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2A" w:rsidRPr="00641D87" w:rsidRDefault="00DB4D2A" w:rsidP="00641D87">
      <w:pPr>
        <w:pStyle w:val="Tekstpodstawowy"/>
        <w:spacing w:line="360" w:lineRule="auto"/>
        <w:jc w:val="center"/>
        <w:rPr>
          <w:rFonts w:ascii="Times New Roman" w:hAnsi="Times New Roman" w:cs="Times New Roman"/>
          <w:b/>
          <w:szCs w:val="24"/>
        </w:rPr>
      </w:pPr>
      <w:bookmarkStart w:id="0" w:name="_GoBack"/>
      <w:bookmarkEnd w:id="0"/>
      <w:r w:rsidRPr="00641D87">
        <w:rPr>
          <w:rFonts w:ascii="Times New Roman" w:hAnsi="Times New Roman" w:cs="Times New Roman"/>
          <w:b/>
          <w:szCs w:val="24"/>
        </w:rPr>
        <w:t>U</w:t>
      </w:r>
      <w:r w:rsidR="00AE47B6">
        <w:rPr>
          <w:rFonts w:ascii="Times New Roman" w:hAnsi="Times New Roman" w:cs="Times New Roman"/>
          <w:b/>
          <w:szCs w:val="24"/>
        </w:rPr>
        <w:t xml:space="preserve"> </w:t>
      </w:r>
      <w:r w:rsidRPr="00641D87">
        <w:rPr>
          <w:rFonts w:ascii="Times New Roman" w:hAnsi="Times New Roman" w:cs="Times New Roman"/>
          <w:b/>
          <w:szCs w:val="24"/>
        </w:rPr>
        <w:t>S</w:t>
      </w:r>
      <w:r w:rsidR="00AE47B6">
        <w:rPr>
          <w:rFonts w:ascii="Times New Roman" w:hAnsi="Times New Roman" w:cs="Times New Roman"/>
          <w:b/>
          <w:szCs w:val="24"/>
        </w:rPr>
        <w:t xml:space="preserve"> </w:t>
      </w:r>
      <w:r w:rsidRPr="00641D87">
        <w:rPr>
          <w:rFonts w:ascii="Times New Roman" w:hAnsi="Times New Roman" w:cs="Times New Roman"/>
          <w:b/>
          <w:szCs w:val="24"/>
        </w:rPr>
        <w:t>T</w:t>
      </w:r>
      <w:r w:rsidR="00AE47B6">
        <w:rPr>
          <w:rFonts w:ascii="Times New Roman" w:hAnsi="Times New Roman" w:cs="Times New Roman"/>
          <w:b/>
          <w:szCs w:val="24"/>
        </w:rPr>
        <w:t xml:space="preserve"> </w:t>
      </w:r>
      <w:r w:rsidRPr="00641D87">
        <w:rPr>
          <w:rFonts w:ascii="Times New Roman" w:hAnsi="Times New Roman" w:cs="Times New Roman"/>
          <w:b/>
          <w:szCs w:val="24"/>
        </w:rPr>
        <w:t>A</w:t>
      </w:r>
      <w:r w:rsidR="00AE47B6">
        <w:rPr>
          <w:rFonts w:ascii="Times New Roman" w:hAnsi="Times New Roman" w:cs="Times New Roman"/>
          <w:b/>
          <w:szCs w:val="24"/>
        </w:rPr>
        <w:t xml:space="preserve"> </w:t>
      </w:r>
      <w:r w:rsidRPr="00641D87">
        <w:rPr>
          <w:rFonts w:ascii="Times New Roman" w:hAnsi="Times New Roman" w:cs="Times New Roman"/>
          <w:b/>
          <w:szCs w:val="24"/>
        </w:rPr>
        <w:t>W</w:t>
      </w:r>
      <w:r w:rsidR="00AE47B6">
        <w:rPr>
          <w:rFonts w:ascii="Times New Roman" w:hAnsi="Times New Roman" w:cs="Times New Roman"/>
          <w:b/>
          <w:szCs w:val="24"/>
        </w:rPr>
        <w:t xml:space="preserve"> </w:t>
      </w:r>
      <w:r w:rsidRPr="00641D87">
        <w:rPr>
          <w:rFonts w:ascii="Times New Roman" w:hAnsi="Times New Roman" w:cs="Times New Roman"/>
          <w:b/>
          <w:szCs w:val="24"/>
        </w:rPr>
        <w:t>A</w:t>
      </w:r>
    </w:p>
    <w:p w:rsidR="00DB4D2A" w:rsidRPr="00AE47B6" w:rsidRDefault="00DB4D2A" w:rsidP="00641D87">
      <w:pPr>
        <w:pStyle w:val="Tekstpodstawowy"/>
        <w:spacing w:line="360" w:lineRule="auto"/>
        <w:jc w:val="center"/>
        <w:rPr>
          <w:rFonts w:ascii="Times New Roman" w:hAnsi="Times New Roman" w:cs="Times New Roman"/>
          <w:szCs w:val="24"/>
        </w:rPr>
      </w:pPr>
      <w:r w:rsidRPr="00AE47B6">
        <w:rPr>
          <w:rFonts w:ascii="Times New Roman" w:hAnsi="Times New Roman" w:cs="Times New Roman"/>
          <w:szCs w:val="24"/>
        </w:rPr>
        <w:t>z dnia …………. 2016 r.</w:t>
      </w:r>
    </w:p>
    <w:p w:rsidR="002F5AD2" w:rsidRDefault="00DB4D2A" w:rsidP="00641D87">
      <w:pPr>
        <w:pStyle w:val="Tekstpodstawowy"/>
        <w:spacing w:line="360" w:lineRule="auto"/>
        <w:jc w:val="center"/>
        <w:rPr>
          <w:rFonts w:ascii="Times New Roman" w:hAnsi="Times New Roman" w:cs="Times New Roman"/>
          <w:b/>
          <w:szCs w:val="24"/>
        </w:rPr>
      </w:pPr>
      <w:r w:rsidRPr="00641D87">
        <w:rPr>
          <w:rFonts w:ascii="Times New Roman" w:hAnsi="Times New Roman" w:cs="Times New Roman"/>
          <w:b/>
          <w:szCs w:val="24"/>
        </w:rPr>
        <w:t xml:space="preserve">o zmianie ustawy </w:t>
      </w:r>
      <w:r w:rsidR="006508EA">
        <w:rPr>
          <w:rFonts w:ascii="Times New Roman" w:hAnsi="Times New Roman" w:cs="Times New Roman"/>
          <w:b/>
          <w:szCs w:val="24"/>
        </w:rPr>
        <w:t xml:space="preserve">- </w:t>
      </w:r>
      <w:r w:rsidR="002F5AD2" w:rsidRPr="00641D87">
        <w:rPr>
          <w:rFonts w:ascii="Times New Roman" w:hAnsi="Times New Roman" w:cs="Times New Roman"/>
          <w:b/>
          <w:szCs w:val="24"/>
        </w:rPr>
        <w:t>Kodeks cywilny</w:t>
      </w:r>
      <w:r w:rsidR="00C639C9" w:rsidRPr="00641D87">
        <w:rPr>
          <w:rFonts w:ascii="Times New Roman" w:hAnsi="Times New Roman" w:cs="Times New Roman"/>
          <w:b/>
          <w:szCs w:val="24"/>
        </w:rPr>
        <w:t xml:space="preserve"> </w:t>
      </w:r>
    </w:p>
    <w:p w:rsidR="00AE47B6" w:rsidRPr="00641D87" w:rsidRDefault="00AE47B6" w:rsidP="00641D87">
      <w:pPr>
        <w:pStyle w:val="Tekstpodstawowy"/>
        <w:spacing w:line="360" w:lineRule="auto"/>
        <w:jc w:val="center"/>
        <w:rPr>
          <w:rFonts w:ascii="Times New Roman" w:hAnsi="Times New Roman" w:cs="Times New Roman"/>
          <w:b/>
          <w:szCs w:val="24"/>
        </w:rPr>
      </w:pPr>
    </w:p>
    <w:p w:rsidR="00DB4D2A" w:rsidRDefault="002F5AD2" w:rsidP="00095C4C">
      <w:pPr>
        <w:pStyle w:val="Tekstpodstawowy"/>
        <w:spacing w:after="0" w:line="360" w:lineRule="auto"/>
        <w:rPr>
          <w:rFonts w:ascii="Times New Roman" w:hAnsi="Times New Roman" w:cs="Times New Roman"/>
          <w:szCs w:val="24"/>
        </w:rPr>
      </w:pPr>
      <w:r w:rsidRPr="00641D87">
        <w:rPr>
          <w:rFonts w:ascii="Times New Roman" w:hAnsi="Times New Roman" w:cs="Times New Roman"/>
          <w:b/>
          <w:szCs w:val="24"/>
        </w:rPr>
        <w:t xml:space="preserve">Art. 1. </w:t>
      </w:r>
      <w:r w:rsidRPr="00641D87">
        <w:rPr>
          <w:rFonts w:ascii="Times New Roman" w:hAnsi="Times New Roman" w:cs="Times New Roman"/>
          <w:szCs w:val="24"/>
        </w:rPr>
        <w:t>W ustawie z dnia 23 kwietnia</w:t>
      </w:r>
      <w:r w:rsidR="00DB4D2A" w:rsidRPr="00641D87">
        <w:rPr>
          <w:rFonts w:ascii="Times New Roman" w:hAnsi="Times New Roman" w:cs="Times New Roman"/>
          <w:szCs w:val="24"/>
        </w:rPr>
        <w:t xml:space="preserve"> 19</w:t>
      </w:r>
      <w:r w:rsidRPr="00641D87">
        <w:rPr>
          <w:rFonts w:ascii="Times New Roman" w:hAnsi="Times New Roman" w:cs="Times New Roman"/>
          <w:szCs w:val="24"/>
        </w:rPr>
        <w:t>64</w:t>
      </w:r>
      <w:r w:rsidR="00DB4D2A" w:rsidRPr="00641D87">
        <w:rPr>
          <w:rFonts w:ascii="Times New Roman" w:hAnsi="Times New Roman" w:cs="Times New Roman"/>
          <w:szCs w:val="24"/>
        </w:rPr>
        <w:t xml:space="preserve"> r. </w:t>
      </w:r>
      <w:r w:rsidRPr="00641D87">
        <w:rPr>
          <w:rFonts w:ascii="Times New Roman" w:hAnsi="Times New Roman" w:cs="Times New Roman"/>
          <w:szCs w:val="24"/>
        </w:rPr>
        <w:t>Kodeks cywilny</w:t>
      </w:r>
      <w:r w:rsidR="00DB4D2A" w:rsidRPr="00641D87">
        <w:rPr>
          <w:rFonts w:ascii="Times New Roman" w:hAnsi="Times New Roman" w:cs="Times New Roman"/>
          <w:szCs w:val="24"/>
        </w:rPr>
        <w:t xml:space="preserve"> </w:t>
      </w:r>
      <w:r w:rsidR="00C639C9" w:rsidRPr="00641D87">
        <w:rPr>
          <w:rFonts w:ascii="Times New Roman" w:hAnsi="Times New Roman" w:cs="Times New Roman"/>
          <w:szCs w:val="24"/>
        </w:rPr>
        <w:t xml:space="preserve">(Dz. U. z 2016 r. poz. 380 z </w:t>
      </w:r>
      <w:proofErr w:type="spellStart"/>
      <w:r w:rsidR="00C639C9" w:rsidRPr="00641D87">
        <w:rPr>
          <w:rFonts w:ascii="Times New Roman" w:hAnsi="Times New Roman" w:cs="Times New Roman"/>
          <w:szCs w:val="24"/>
        </w:rPr>
        <w:t>późn</w:t>
      </w:r>
      <w:proofErr w:type="spellEnd"/>
      <w:r w:rsidR="00C639C9" w:rsidRPr="00641D87">
        <w:rPr>
          <w:rFonts w:ascii="Times New Roman" w:hAnsi="Times New Roman" w:cs="Times New Roman"/>
          <w:szCs w:val="24"/>
        </w:rPr>
        <w:t>. zm.</w:t>
      </w:r>
      <w:r w:rsidR="00232116">
        <w:rPr>
          <w:rStyle w:val="Odwoanieprzypisudolnego"/>
          <w:rFonts w:ascii="Times New Roman" w:hAnsi="Times New Roman" w:cs="Times New Roman"/>
          <w:szCs w:val="24"/>
        </w:rPr>
        <w:footnoteReference w:id="1"/>
      </w:r>
      <w:r w:rsidR="00C639C9" w:rsidRPr="00641D87">
        <w:rPr>
          <w:rFonts w:ascii="Times New Roman" w:hAnsi="Times New Roman" w:cs="Times New Roman"/>
          <w:szCs w:val="24"/>
        </w:rPr>
        <w:t xml:space="preserve">) </w:t>
      </w:r>
      <w:r w:rsidR="00DB4D2A" w:rsidRPr="00641D87">
        <w:rPr>
          <w:rFonts w:ascii="Times New Roman" w:hAnsi="Times New Roman" w:cs="Times New Roman"/>
          <w:szCs w:val="24"/>
        </w:rPr>
        <w:t>wprowadza się następujące zmiany:</w:t>
      </w:r>
    </w:p>
    <w:p w:rsidR="00095C4C" w:rsidRPr="00641D87" w:rsidRDefault="00095C4C" w:rsidP="00095C4C">
      <w:pPr>
        <w:pStyle w:val="Tekstpodstawowy"/>
        <w:spacing w:after="0" w:line="360" w:lineRule="auto"/>
        <w:rPr>
          <w:rFonts w:ascii="Times New Roman" w:hAnsi="Times New Roman" w:cs="Times New Roman"/>
          <w:szCs w:val="24"/>
        </w:rPr>
      </w:pPr>
    </w:p>
    <w:p w:rsidR="00641D87" w:rsidRPr="008C2324" w:rsidRDefault="00641D87" w:rsidP="008C2324">
      <w:pPr>
        <w:pStyle w:val="Akapitzlist"/>
        <w:numPr>
          <w:ilvl w:val="0"/>
          <w:numId w:val="9"/>
        </w:numPr>
        <w:spacing w:after="0" w:line="360" w:lineRule="auto"/>
        <w:jc w:val="both"/>
        <w:rPr>
          <w:rFonts w:ascii="Times New Roman" w:hAnsi="Times New Roman" w:cs="Times New Roman"/>
          <w:szCs w:val="24"/>
        </w:rPr>
      </w:pPr>
      <w:r w:rsidRPr="00641D87">
        <w:rPr>
          <w:rFonts w:ascii="Times New Roman" w:hAnsi="Times New Roman" w:cs="Times New Roman"/>
          <w:szCs w:val="24"/>
        </w:rPr>
        <w:t>w art. 597</w:t>
      </w:r>
      <w:r w:rsidR="008C2324">
        <w:rPr>
          <w:rFonts w:ascii="Times New Roman" w:hAnsi="Times New Roman" w:cs="Times New Roman"/>
          <w:szCs w:val="24"/>
        </w:rPr>
        <w:t xml:space="preserve"> </w:t>
      </w:r>
      <w:r w:rsidRPr="008C2324">
        <w:rPr>
          <w:rFonts w:ascii="Times New Roman" w:hAnsi="Times New Roman" w:cs="Times New Roman"/>
          <w:szCs w:val="24"/>
        </w:rPr>
        <w:t>§ 2 otrzymuje brzmienie:</w:t>
      </w:r>
    </w:p>
    <w:p w:rsidR="00641D87" w:rsidRDefault="002B7CB8" w:rsidP="00232116">
      <w:pPr>
        <w:pStyle w:val="Akapitzlist"/>
        <w:spacing w:after="0" w:line="360" w:lineRule="auto"/>
        <w:ind w:left="1134"/>
        <w:jc w:val="both"/>
        <w:rPr>
          <w:rFonts w:ascii="Times New Roman" w:hAnsi="Times New Roman" w:cs="Times New Roman"/>
          <w:szCs w:val="24"/>
        </w:rPr>
      </w:pPr>
      <w:r w:rsidRPr="00641D87">
        <w:rPr>
          <w:rFonts w:ascii="Times New Roman" w:hAnsi="Times New Roman" w:cs="Times New Roman"/>
          <w:szCs w:val="24"/>
        </w:rPr>
        <w:t xml:space="preserve">„§2. Prawo pierwokupu wykonywa się przez oświadczenie złożone zobowiązanemu z zastrzeżeniem </w:t>
      </w:r>
      <w:r>
        <w:rPr>
          <w:rFonts w:ascii="Times New Roman" w:hAnsi="Times New Roman" w:cs="Times New Roman"/>
          <w:szCs w:val="24"/>
        </w:rPr>
        <w:t>art. 597</w:t>
      </w:r>
      <w:r>
        <w:rPr>
          <w:rFonts w:ascii="Times New Roman" w:hAnsi="Times New Roman" w:cs="Times New Roman"/>
          <w:szCs w:val="24"/>
          <w:vertAlign w:val="superscript"/>
        </w:rPr>
        <w:t>1</w:t>
      </w:r>
      <w:r w:rsidRPr="00641D87">
        <w:rPr>
          <w:rFonts w:ascii="Times New Roman" w:hAnsi="Times New Roman" w:cs="Times New Roman"/>
          <w:szCs w:val="24"/>
        </w:rPr>
        <w:t>. Jeżeli zawarcie umowy sprzedaży rzeczy, której dotyczy prawo pierwokupu, wymaga zachowania szczególnej formy, oświadczenie o wykonaniu prawa pierwokupu powinno być złożone w tej samej formie</w:t>
      </w:r>
      <w:r w:rsidR="00641D87" w:rsidRPr="00641D87">
        <w:rPr>
          <w:rFonts w:ascii="Times New Roman" w:hAnsi="Times New Roman" w:cs="Times New Roman"/>
          <w:szCs w:val="24"/>
        </w:rPr>
        <w:t>.”</w:t>
      </w:r>
      <w:r w:rsidR="00095C4C">
        <w:rPr>
          <w:rFonts w:ascii="Times New Roman" w:hAnsi="Times New Roman" w:cs="Times New Roman"/>
          <w:szCs w:val="24"/>
        </w:rPr>
        <w:t>;</w:t>
      </w:r>
    </w:p>
    <w:p w:rsidR="00095C4C" w:rsidRPr="00641D87" w:rsidRDefault="00095C4C" w:rsidP="00095C4C">
      <w:pPr>
        <w:pStyle w:val="Akapitzlist"/>
        <w:spacing w:after="0" w:line="360" w:lineRule="auto"/>
        <w:jc w:val="both"/>
        <w:rPr>
          <w:rFonts w:ascii="Times New Roman" w:hAnsi="Times New Roman" w:cs="Times New Roman"/>
          <w:szCs w:val="24"/>
        </w:rPr>
      </w:pPr>
    </w:p>
    <w:p w:rsidR="00641D87" w:rsidRPr="00641D87" w:rsidRDefault="00641D87" w:rsidP="008C2324">
      <w:pPr>
        <w:pStyle w:val="Tekstpodstawowy"/>
        <w:numPr>
          <w:ilvl w:val="0"/>
          <w:numId w:val="9"/>
        </w:numPr>
        <w:spacing w:after="0" w:line="360" w:lineRule="auto"/>
        <w:jc w:val="both"/>
        <w:rPr>
          <w:rFonts w:ascii="Times New Roman" w:hAnsi="Times New Roman" w:cs="Times New Roman"/>
          <w:b/>
          <w:szCs w:val="24"/>
          <w:u w:val="single"/>
        </w:rPr>
      </w:pPr>
      <w:r>
        <w:rPr>
          <w:rFonts w:ascii="Times New Roman" w:hAnsi="Times New Roman" w:cs="Times New Roman"/>
          <w:szCs w:val="24"/>
        </w:rPr>
        <w:t>dodaje się</w:t>
      </w:r>
      <w:r w:rsidR="002F5AD2" w:rsidRPr="00641D87">
        <w:rPr>
          <w:rFonts w:ascii="Times New Roman" w:hAnsi="Times New Roman" w:cs="Times New Roman"/>
          <w:szCs w:val="24"/>
        </w:rPr>
        <w:t xml:space="preserve"> art. </w:t>
      </w:r>
      <w:r w:rsidR="00CC5FC7" w:rsidRPr="00641D87">
        <w:rPr>
          <w:rFonts w:ascii="Times New Roman" w:hAnsi="Times New Roman" w:cs="Times New Roman"/>
          <w:szCs w:val="24"/>
        </w:rPr>
        <w:t>597</w:t>
      </w:r>
      <w:r>
        <w:rPr>
          <w:rFonts w:ascii="Times New Roman" w:hAnsi="Times New Roman" w:cs="Times New Roman"/>
          <w:szCs w:val="24"/>
          <w:vertAlign w:val="superscript"/>
        </w:rPr>
        <w:t>1</w:t>
      </w:r>
      <w:r w:rsidR="00CC5FC7" w:rsidRPr="00641D87">
        <w:rPr>
          <w:rFonts w:ascii="Times New Roman" w:hAnsi="Times New Roman" w:cs="Times New Roman"/>
          <w:szCs w:val="24"/>
        </w:rPr>
        <w:t xml:space="preserve"> </w:t>
      </w:r>
      <w:r w:rsidR="002F5AD2" w:rsidRPr="00641D87">
        <w:rPr>
          <w:rFonts w:ascii="Times New Roman" w:hAnsi="Times New Roman" w:cs="Times New Roman"/>
          <w:szCs w:val="24"/>
        </w:rPr>
        <w:t>w brzmieniu</w:t>
      </w:r>
      <w:r w:rsidR="00664FD2" w:rsidRPr="00641D87">
        <w:rPr>
          <w:rFonts w:ascii="Times New Roman" w:hAnsi="Times New Roman" w:cs="Times New Roman"/>
          <w:szCs w:val="24"/>
        </w:rPr>
        <w:t>:</w:t>
      </w:r>
    </w:p>
    <w:p w:rsidR="00095C4C" w:rsidRPr="00095C4C" w:rsidRDefault="00641D87" w:rsidP="00232116">
      <w:pPr>
        <w:pStyle w:val="Akapitzlist"/>
        <w:spacing w:after="0" w:line="360" w:lineRule="auto"/>
        <w:ind w:left="1134"/>
        <w:jc w:val="both"/>
        <w:rPr>
          <w:rFonts w:ascii="Times New Roman" w:hAnsi="Times New Roman" w:cs="Times New Roman"/>
          <w:szCs w:val="24"/>
        </w:rPr>
      </w:pPr>
      <w:r w:rsidRPr="00641D87">
        <w:rPr>
          <w:rFonts w:ascii="Times New Roman" w:hAnsi="Times New Roman" w:cs="Times New Roman"/>
          <w:szCs w:val="24"/>
        </w:rPr>
        <w:t>„</w:t>
      </w:r>
      <w:r w:rsidR="00232116">
        <w:rPr>
          <w:rFonts w:ascii="Times New Roman" w:hAnsi="Times New Roman" w:cs="Times New Roman"/>
          <w:szCs w:val="24"/>
        </w:rPr>
        <w:t>A</w:t>
      </w:r>
      <w:r w:rsidR="008F49E3">
        <w:rPr>
          <w:rFonts w:ascii="Times New Roman" w:hAnsi="Times New Roman" w:cs="Times New Roman"/>
          <w:szCs w:val="24"/>
        </w:rPr>
        <w:t>rt. 597</w:t>
      </w:r>
      <w:r w:rsidR="008F49E3">
        <w:rPr>
          <w:rFonts w:ascii="Times New Roman" w:hAnsi="Times New Roman" w:cs="Times New Roman"/>
          <w:szCs w:val="24"/>
          <w:vertAlign w:val="superscript"/>
        </w:rPr>
        <w:t>1</w:t>
      </w:r>
      <w:r w:rsidRPr="00641D87">
        <w:rPr>
          <w:rFonts w:ascii="Times New Roman" w:hAnsi="Times New Roman" w:cs="Times New Roman"/>
          <w:szCs w:val="24"/>
        </w:rPr>
        <w:t xml:space="preserve">. </w:t>
      </w:r>
      <w:r w:rsidR="002B7CB8">
        <w:rPr>
          <w:rFonts w:ascii="Times New Roman" w:hAnsi="Times New Roman" w:cs="Times New Roman"/>
          <w:szCs w:val="24"/>
        </w:rPr>
        <w:t xml:space="preserve">Warunkiem przyjęcia przez notariusza oświadczenia uprawnionego z tytułu </w:t>
      </w:r>
      <w:r w:rsidR="002B7CB8" w:rsidRPr="00641D87">
        <w:rPr>
          <w:rFonts w:ascii="Times New Roman" w:hAnsi="Times New Roman" w:cs="Times New Roman"/>
          <w:szCs w:val="24"/>
        </w:rPr>
        <w:t>p</w:t>
      </w:r>
      <w:r w:rsidR="002B7CB8">
        <w:rPr>
          <w:rFonts w:ascii="Times New Roman" w:hAnsi="Times New Roman" w:cs="Times New Roman"/>
          <w:szCs w:val="24"/>
        </w:rPr>
        <w:t>rawa p</w:t>
      </w:r>
      <w:r w:rsidR="002B7CB8" w:rsidRPr="00641D87">
        <w:rPr>
          <w:rFonts w:ascii="Times New Roman" w:hAnsi="Times New Roman" w:cs="Times New Roman"/>
          <w:szCs w:val="24"/>
        </w:rPr>
        <w:t>ierwokupu nieruchomości</w:t>
      </w:r>
      <w:r w:rsidR="00B20156">
        <w:rPr>
          <w:rFonts w:ascii="Times New Roman" w:hAnsi="Times New Roman" w:cs="Times New Roman"/>
          <w:szCs w:val="24"/>
        </w:rPr>
        <w:t>,</w:t>
      </w:r>
      <w:r w:rsidR="002B7CB8" w:rsidRPr="00641D87">
        <w:rPr>
          <w:rFonts w:ascii="Times New Roman" w:hAnsi="Times New Roman" w:cs="Times New Roman"/>
          <w:szCs w:val="24"/>
        </w:rPr>
        <w:t xml:space="preserve"> </w:t>
      </w:r>
      <w:r w:rsidR="002B7CB8">
        <w:rPr>
          <w:rFonts w:ascii="Times New Roman" w:hAnsi="Times New Roman" w:cs="Times New Roman"/>
          <w:szCs w:val="24"/>
        </w:rPr>
        <w:t>jest</w:t>
      </w:r>
      <w:r w:rsidR="002B7CB8" w:rsidRPr="00641D87">
        <w:rPr>
          <w:rFonts w:ascii="Times New Roman" w:hAnsi="Times New Roman" w:cs="Times New Roman"/>
          <w:szCs w:val="24"/>
        </w:rPr>
        <w:t xml:space="preserve"> </w:t>
      </w:r>
      <w:r w:rsidR="002B7CB8">
        <w:rPr>
          <w:rFonts w:ascii="Times New Roman" w:hAnsi="Times New Roman" w:cs="Times New Roman"/>
          <w:szCs w:val="24"/>
        </w:rPr>
        <w:t xml:space="preserve">uprzednie </w:t>
      </w:r>
      <w:r w:rsidR="002B7CB8" w:rsidRPr="00641D87">
        <w:rPr>
          <w:rFonts w:ascii="Times New Roman" w:hAnsi="Times New Roman" w:cs="Times New Roman"/>
          <w:szCs w:val="24"/>
        </w:rPr>
        <w:t>złożeni</w:t>
      </w:r>
      <w:r w:rsidR="002B7CB8">
        <w:rPr>
          <w:rFonts w:ascii="Times New Roman" w:hAnsi="Times New Roman" w:cs="Times New Roman"/>
          <w:szCs w:val="24"/>
        </w:rPr>
        <w:t>e przez uprawnionego</w:t>
      </w:r>
      <w:r w:rsidR="002B7CB8" w:rsidRPr="00641D87">
        <w:rPr>
          <w:rFonts w:ascii="Times New Roman" w:hAnsi="Times New Roman" w:cs="Times New Roman"/>
          <w:szCs w:val="24"/>
        </w:rPr>
        <w:t xml:space="preserve"> do depozytu notarialnego </w:t>
      </w:r>
      <w:r w:rsidR="002B7CB8">
        <w:rPr>
          <w:rFonts w:ascii="Times New Roman" w:hAnsi="Times New Roman" w:cs="Times New Roman"/>
          <w:szCs w:val="24"/>
        </w:rPr>
        <w:t xml:space="preserve">całej </w:t>
      </w:r>
      <w:r w:rsidR="002B7CB8" w:rsidRPr="00641D87">
        <w:rPr>
          <w:rFonts w:ascii="Times New Roman" w:hAnsi="Times New Roman" w:cs="Times New Roman"/>
          <w:szCs w:val="24"/>
        </w:rPr>
        <w:t>ceny</w:t>
      </w:r>
      <w:r w:rsidR="002B7CB8">
        <w:rPr>
          <w:rFonts w:ascii="Times New Roman" w:hAnsi="Times New Roman" w:cs="Times New Roman"/>
          <w:szCs w:val="24"/>
        </w:rPr>
        <w:t>,</w:t>
      </w:r>
      <w:r w:rsidR="002B7CB8" w:rsidRPr="00641D87">
        <w:rPr>
          <w:rFonts w:ascii="Times New Roman" w:hAnsi="Times New Roman" w:cs="Times New Roman"/>
          <w:szCs w:val="24"/>
        </w:rPr>
        <w:t xml:space="preserve"> </w:t>
      </w:r>
      <w:r w:rsidR="002B7CB8">
        <w:rPr>
          <w:rFonts w:ascii="Times New Roman" w:hAnsi="Times New Roman" w:cs="Times New Roman"/>
          <w:szCs w:val="24"/>
        </w:rPr>
        <w:t>w wysokości określonej w umowie sprzedaży zawartej przez zobowiązanego z osobą trzecią</w:t>
      </w:r>
      <w:r w:rsidRPr="00641D87">
        <w:rPr>
          <w:rFonts w:ascii="Times New Roman" w:hAnsi="Times New Roman" w:cs="Times New Roman"/>
          <w:szCs w:val="24"/>
        </w:rPr>
        <w:t>.</w:t>
      </w:r>
      <w:r w:rsidR="009557A6">
        <w:rPr>
          <w:rFonts w:ascii="Times New Roman" w:hAnsi="Times New Roman" w:cs="Times New Roman"/>
          <w:szCs w:val="24"/>
        </w:rPr>
        <w:t>”;</w:t>
      </w:r>
    </w:p>
    <w:p w:rsidR="00095C4C" w:rsidRDefault="00095C4C" w:rsidP="00095C4C">
      <w:pPr>
        <w:pStyle w:val="Akapitzlist"/>
        <w:spacing w:after="0" w:line="360" w:lineRule="auto"/>
        <w:jc w:val="both"/>
        <w:rPr>
          <w:rFonts w:ascii="Times New Roman" w:hAnsi="Times New Roman" w:cs="Times New Roman"/>
          <w:szCs w:val="24"/>
        </w:rPr>
      </w:pPr>
    </w:p>
    <w:p w:rsidR="00E9121A" w:rsidRDefault="00E9121A" w:rsidP="00E9121A">
      <w:pPr>
        <w:pStyle w:val="Akapitzlist"/>
        <w:numPr>
          <w:ilvl w:val="0"/>
          <w:numId w:val="9"/>
        </w:numPr>
        <w:spacing w:after="0" w:line="360" w:lineRule="auto"/>
        <w:rPr>
          <w:rFonts w:ascii="Times New Roman" w:hAnsi="Times New Roman" w:cs="Times New Roman"/>
          <w:szCs w:val="24"/>
        </w:rPr>
      </w:pPr>
      <w:r>
        <w:rPr>
          <w:rFonts w:ascii="Times New Roman" w:hAnsi="Times New Roman" w:cs="Times New Roman"/>
          <w:szCs w:val="24"/>
        </w:rPr>
        <w:t>w</w:t>
      </w:r>
      <w:r w:rsidR="009557A6" w:rsidRPr="00E9121A">
        <w:rPr>
          <w:rFonts w:ascii="Times New Roman" w:hAnsi="Times New Roman" w:cs="Times New Roman"/>
          <w:szCs w:val="24"/>
        </w:rPr>
        <w:t xml:space="preserve"> art. 598</w:t>
      </w:r>
      <w:r>
        <w:rPr>
          <w:rFonts w:ascii="Times New Roman" w:hAnsi="Times New Roman" w:cs="Times New Roman"/>
          <w:szCs w:val="24"/>
        </w:rPr>
        <w:t>:</w:t>
      </w:r>
    </w:p>
    <w:p w:rsidR="009557A6" w:rsidRPr="00E9121A" w:rsidRDefault="009557A6" w:rsidP="00E9121A">
      <w:pPr>
        <w:pStyle w:val="Akapitzlist"/>
        <w:numPr>
          <w:ilvl w:val="0"/>
          <w:numId w:val="13"/>
        </w:numPr>
        <w:spacing w:after="0" w:line="360" w:lineRule="auto"/>
        <w:rPr>
          <w:rFonts w:ascii="Times New Roman" w:hAnsi="Times New Roman" w:cs="Times New Roman"/>
          <w:szCs w:val="24"/>
        </w:rPr>
      </w:pPr>
      <w:r w:rsidRPr="00E9121A">
        <w:rPr>
          <w:rFonts w:ascii="Times New Roman" w:hAnsi="Times New Roman" w:cs="Times New Roman"/>
          <w:szCs w:val="24"/>
        </w:rPr>
        <w:t xml:space="preserve">§ </w:t>
      </w:r>
      <w:r w:rsidR="00EC7639" w:rsidRPr="00E9121A">
        <w:rPr>
          <w:rFonts w:ascii="Times New Roman" w:hAnsi="Times New Roman" w:cs="Times New Roman"/>
          <w:szCs w:val="24"/>
        </w:rPr>
        <w:t>1</w:t>
      </w:r>
      <w:r w:rsidRPr="00E9121A">
        <w:rPr>
          <w:rFonts w:ascii="Times New Roman" w:hAnsi="Times New Roman" w:cs="Times New Roman"/>
          <w:szCs w:val="24"/>
        </w:rPr>
        <w:t xml:space="preserve"> otrzymuje brzmienie:</w:t>
      </w:r>
    </w:p>
    <w:p w:rsidR="009557A6" w:rsidRDefault="009557A6" w:rsidP="00845BBD">
      <w:pPr>
        <w:pStyle w:val="Akapitzlist"/>
        <w:spacing w:after="0" w:line="360" w:lineRule="auto"/>
        <w:ind w:left="1134"/>
        <w:jc w:val="both"/>
        <w:rPr>
          <w:rFonts w:ascii="Times New Roman" w:hAnsi="Times New Roman" w:cs="Times New Roman"/>
          <w:szCs w:val="24"/>
        </w:rPr>
      </w:pPr>
      <w:r>
        <w:rPr>
          <w:rFonts w:ascii="Times New Roman" w:hAnsi="Times New Roman" w:cs="Times New Roman"/>
          <w:szCs w:val="24"/>
        </w:rPr>
        <w:t xml:space="preserve">„§ </w:t>
      </w:r>
      <w:r w:rsidR="00C311F6">
        <w:rPr>
          <w:rFonts w:ascii="Times New Roman" w:hAnsi="Times New Roman" w:cs="Times New Roman"/>
          <w:szCs w:val="24"/>
        </w:rPr>
        <w:t>1</w:t>
      </w:r>
      <w:r>
        <w:rPr>
          <w:rFonts w:ascii="Times New Roman" w:hAnsi="Times New Roman" w:cs="Times New Roman"/>
          <w:szCs w:val="24"/>
        </w:rPr>
        <w:t xml:space="preserve">. </w:t>
      </w:r>
      <w:r w:rsidR="002B7CB8">
        <w:rPr>
          <w:rFonts w:ascii="Times New Roman" w:hAnsi="Times New Roman" w:cs="Times New Roman"/>
          <w:szCs w:val="24"/>
        </w:rPr>
        <w:t>Zobowiązany z tytułu prawa pierwokupu powinien, w terminie trzech dni od dnia zawarcia umowy sprzedaży z osobą trzecią, zawiadomić uprawnionego o treści tej umowy</w:t>
      </w:r>
      <w:r>
        <w:rPr>
          <w:rFonts w:ascii="Times New Roman" w:hAnsi="Times New Roman" w:cs="Times New Roman"/>
          <w:szCs w:val="24"/>
        </w:rPr>
        <w:t>.”;</w:t>
      </w:r>
    </w:p>
    <w:p w:rsidR="009557A6" w:rsidRDefault="009557A6" w:rsidP="009557A6">
      <w:pPr>
        <w:pStyle w:val="Akapitzlist"/>
        <w:spacing w:after="0" w:line="360" w:lineRule="auto"/>
        <w:rPr>
          <w:rFonts w:ascii="Times New Roman" w:hAnsi="Times New Roman" w:cs="Times New Roman"/>
          <w:szCs w:val="24"/>
        </w:rPr>
      </w:pPr>
    </w:p>
    <w:p w:rsidR="00DB4D2A" w:rsidRPr="00641D87" w:rsidRDefault="002F5AD2" w:rsidP="00E9121A">
      <w:pPr>
        <w:pStyle w:val="Akapitzlist"/>
        <w:numPr>
          <w:ilvl w:val="0"/>
          <w:numId w:val="13"/>
        </w:numPr>
        <w:spacing w:after="0" w:line="360" w:lineRule="auto"/>
        <w:rPr>
          <w:rFonts w:ascii="Times New Roman" w:hAnsi="Times New Roman" w:cs="Times New Roman"/>
          <w:szCs w:val="24"/>
        </w:rPr>
      </w:pPr>
      <w:r w:rsidRPr="00641D87">
        <w:rPr>
          <w:rFonts w:ascii="Times New Roman" w:hAnsi="Times New Roman" w:cs="Times New Roman"/>
          <w:szCs w:val="24"/>
        </w:rPr>
        <w:t>dodaje się</w:t>
      </w:r>
      <w:r w:rsidR="00DB4D2A" w:rsidRPr="00641D87">
        <w:rPr>
          <w:rFonts w:ascii="Times New Roman" w:hAnsi="Times New Roman" w:cs="Times New Roman"/>
          <w:szCs w:val="24"/>
        </w:rPr>
        <w:t xml:space="preserve"> § </w:t>
      </w:r>
      <w:r w:rsidRPr="00641D87">
        <w:rPr>
          <w:rFonts w:ascii="Times New Roman" w:hAnsi="Times New Roman" w:cs="Times New Roman"/>
          <w:szCs w:val="24"/>
        </w:rPr>
        <w:t>3</w:t>
      </w:r>
      <w:r w:rsidR="00DB4D2A" w:rsidRPr="00641D87">
        <w:rPr>
          <w:rFonts w:ascii="Times New Roman" w:hAnsi="Times New Roman" w:cs="Times New Roman"/>
          <w:szCs w:val="24"/>
        </w:rPr>
        <w:t xml:space="preserve"> </w:t>
      </w:r>
      <w:r w:rsidRPr="00641D87">
        <w:rPr>
          <w:rFonts w:ascii="Times New Roman" w:hAnsi="Times New Roman" w:cs="Times New Roman"/>
          <w:szCs w:val="24"/>
        </w:rPr>
        <w:t>w brzmieniu</w:t>
      </w:r>
      <w:r w:rsidR="00DB4D2A" w:rsidRPr="00641D87">
        <w:rPr>
          <w:rFonts w:ascii="Times New Roman" w:hAnsi="Times New Roman" w:cs="Times New Roman"/>
          <w:szCs w:val="24"/>
        </w:rPr>
        <w:t xml:space="preserve">:  </w:t>
      </w:r>
    </w:p>
    <w:p w:rsidR="00DB4D2A" w:rsidRDefault="007008FB" w:rsidP="00E9121A">
      <w:pPr>
        <w:spacing w:after="0" w:line="360" w:lineRule="auto"/>
        <w:ind w:left="1134"/>
        <w:jc w:val="both"/>
        <w:rPr>
          <w:rFonts w:ascii="Times New Roman" w:hAnsi="Times New Roman" w:cs="Times New Roman"/>
          <w:szCs w:val="24"/>
        </w:rPr>
      </w:pPr>
      <w:r>
        <w:rPr>
          <w:rFonts w:ascii="Times New Roman" w:hAnsi="Times New Roman" w:cs="Times New Roman"/>
          <w:szCs w:val="24"/>
        </w:rPr>
        <w:t xml:space="preserve">„§3. </w:t>
      </w:r>
      <w:r w:rsidR="002B7CB8" w:rsidRPr="008F49E3">
        <w:rPr>
          <w:rFonts w:ascii="Times New Roman" w:hAnsi="Times New Roman" w:cs="Times New Roman"/>
          <w:szCs w:val="24"/>
        </w:rPr>
        <w:t xml:space="preserve">Notariusz zobowiązany jest zawiadomić zobowiązanego z prawa pierwokupu o </w:t>
      </w:r>
      <w:r w:rsidR="002B7CB8">
        <w:rPr>
          <w:rFonts w:ascii="Times New Roman" w:hAnsi="Times New Roman" w:cs="Times New Roman"/>
          <w:szCs w:val="24"/>
        </w:rPr>
        <w:t>wykonaniu</w:t>
      </w:r>
      <w:r w:rsidR="002B7CB8" w:rsidRPr="008F49E3">
        <w:rPr>
          <w:rFonts w:ascii="Times New Roman" w:hAnsi="Times New Roman" w:cs="Times New Roman"/>
          <w:szCs w:val="24"/>
        </w:rPr>
        <w:t xml:space="preserve"> prawa pierwokupu </w:t>
      </w:r>
      <w:r w:rsidR="002B7CB8">
        <w:rPr>
          <w:rFonts w:ascii="Times New Roman" w:hAnsi="Times New Roman" w:cs="Times New Roman"/>
          <w:szCs w:val="24"/>
        </w:rPr>
        <w:t xml:space="preserve">przez uprawnionego </w:t>
      </w:r>
      <w:r w:rsidR="002B7CB8" w:rsidRPr="008F49E3">
        <w:rPr>
          <w:rFonts w:ascii="Times New Roman" w:hAnsi="Times New Roman" w:cs="Times New Roman"/>
          <w:szCs w:val="24"/>
        </w:rPr>
        <w:t xml:space="preserve">w terminie 3 dni od dnia </w:t>
      </w:r>
      <w:r w:rsidR="002B7CB8">
        <w:rPr>
          <w:rFonts w:ascii="Times New Roman" w:hAnsi="Times New Roman" w:cs="Times New Roman"/>
          <w:szCs w:val="24"/>
        </w:rPr>
        <w:t>wykonania prawa pierwokupu</w:t>
      </w:r>
      <w:r>
        <w:rPr>
          <w:rFonts w:ascii="Times New Roman" w:hAnsi="Times New Roman" w:cs="Times New Roman"/>
          <w:szCs w:val="24"/>
        </w:rPr>
        <w:t>.”</w:t>
      </w:r>
      <w:r w:rsidR="00095C4C">
        <w:rPr>
          <w:rFonts w:ascii="Times New Roman" w:hAnsi="Times New Roman" w:cs="Times New Roman"/>
          <w:szCs w:val="24"/>
        </w:rPr>
        <w:t>;</w:t>
      </w:r>
    </w:p>
    <w:p w:rsidR="008C2324" w:rsidRDefault="008C2324" w:rsidP="00641D87">
      <w:pPr>
        <w:spacing w:after="0" w:line="360" w:lineRule="auto"/>
        <w:jc w:val="center"/>
        <w:rPr>
          <w:rFonts w:ascii="Times New Roman" w:hAnsi="Times New Roman" w:cs="Times New Roman"/>
          <w:b/>
          <w:szCs w:val="24"/>
        </w:rPr>
      </w:pPr>
    </w:p>
    <w:p w:rsidR="00876D28" w:rsidRPr="00641D87" w:rsidRDefault="00876D28" w:rsidP="00641D87">
      <w:pPr>
        <w:spacing w:after="0" w:line="360" w:lineRule="auto"/>
        <w:jc w:val="center"/>
        <w:rPr>
          <w:rFonts w:ascii="Times New Roman" w:hAnsi="Times New Roman" w:cs="Times New Roman"/>
          <w:szCs w:val="24"/>
        </w:rPr>
      </w:pPr>
      <w:r w:rsidRPr="00641D87">
        <w:rPr>
          <w:rFonts w:ascii="Times New Roman" w:hAnsi="Times New Roman" w:cs="Times New Roman"/>
          <w:b/>
          <w:szCs w:val="24"/>
        </w:rPr>
        <w:lastRenderedPageBreak/>
        <w:t>UZASADNIENIE</w:t>
      </w:r>
    </w:p>
    <w:p w:rsidR="00876D28" w:rsidRPr="00641D87" w:rsidRDefault="00876D28" w:rsidP="00641D87">
      <w:pPr>
        <w:pStyle w:val="Tekstpodstawowy"/>
        <w:spacing w:line="360" w:lineRule="auto"/>
        <w:jc w:val="center"/>
        <w:rPr>
          <w:rFonts w:ascii="Times New Roman" w:hAnsi="Times New Roman" w:cs="Times New Roman"/>
          <w:szCs w:val="24"/>
        </w:rPr>
      </w:pPr>
    </w:p>
    <w:p w:rsidR="002B7CB8" w:rsidRPr="00641D87" w:rsidRDefault="002B7CB8" w:rsidP="002B7CB8">
      <w:pPr>
        <w:pStyle w:val="Tekstpodstawowy"/>
        <w:spacing w:line="360" w:lineRule="auto"/>
        <w:ind w:firstLine="360"/>
        <w:jc w:val="both"/>
        <w:rPr>
          <w:rFonts w:ascii="Times New Roman" w:hAnsi="Times New Roman" w:cs="Times New Roman"/>
          <w:szCs w:val="24"/>
        </w:rPr>
      </w:pPr>
      <w:r w:rsidRPr="00641D87">
        <w:rPr>
          <w:rFonts w:ascii="Times New Roman" w:hAnsi="Times New Roman" w:cs="Times New Roman"/>
          <w:szCs w:val="24"/>
        </w:rPr>
        <w:t xml:space="preserve">W aktualnym stanie prawnym kwestie związane z wykonaniem prawa pierwokupu są uregulowane </w:t>
      </w:r>
      <w:r>
        <w:rPr>
          <w:rFonts w:ascii="Times New Roman" w:hAnsi="Times New Roman" w:cs="Times New Roman"/>
          <w:szCs w:val="24"/>
        </w:rPr>
        <w:t xml:space="preserve">w szczególności </w:t>
      </w:r>
      <w:r w:rsidRPr="00641D87">
        <w:rPr>
          <w:rFonts w:ascii="Times New Roman" w:hAnsi="Times New Roman" w:cs="Times New Roman"/>
          <w:szCs w:val="24"/>
        </w:rPr>
        <w:t xml:space="preserve">w ustawie z dnia 23 kwietnia 1964 r. – </w:t>
      </w:r>
      <w:r>
        <w:rPr>
          <w:rFonts w:ascii="Times New Roman" w:hAnsi="Times New Roman" w:cs="Times New Roman"/>
          <w:szCs w:val="24"/>
        </w:rPr>
        <w:t>Kodeks cywilny</w:t>
      </w:r>
      <w:r w:rsidRPr="00641D87">
        <w:rPr>
          <w:rFonts w:ascii="Times New Roman" w:hAnsi="Times New Roman" w:cs="Times New Roman"/>
          <w:szCs w:val="24"/>
        </w:rPr>
        <w:t xml:space="preserve"> </w:t>
      </w:r>
      <w:r w:rsidRPr="007008FB">
        <w:rPr>
          <w:rFonts w:ascii="Times New Roman" w:hAnsi="Times New Roman" w:cs="Times New Roman"/>
          <w:szCs w:val="24"/>
        </w:rPr>
        <w:t xml:space="preserve">(Dz. U. z 2016 r. poz. 380 z </w:t>
      </w:r>
      <w:proofErr w:type="spellStart"/>
      <w:r w:rsidRPr="007008FB">
        <w:rPr>
          <w:rFonts w:ascii="Times New Roman" w:hAnsi="Times New Roman" w:cs="Times New Roman"/>
          <w:szCs w:val="24"/>
        </w:rPr>
        <w:t>późn</w:t>
      </w:r>
      <w:proofErr w:type="spellEnd"/>
      <w:r w:rsidRPr="007008FB">
        <w:rPr>
          <w:rFonts w:ascii="Times New Roman" w:hAnsi="Times New Roman" w:cs="Times New Roman"/>
          <w:szCs w:val="24"/>
        </w:rPr>
        <w:t>. zm.)</w:t>
      </w:r>
      <w:r>
        <w:rPr>
          <w:rFonts w:ascii="Times New Roman" w:hAnsi="Times New Roman" w:cs="Times New Roman"/>
          <w:szCs w:val="24"/>
        </w:rPr>
        <w:t xml:space="preserve"> (dalej: „Kodeks cywilny”).</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Pr="00095C4C" w:rsidRDefault="002B7CB8" w:rsidP="002B7CB8">
      <w:pPr>
        <w:pStyle w:val="Akapitzlist"/>
        <w:numPr>
          <w:ilvl w:val="0"/>
          <w:numId w:val="10"/>
        </w:numPr>
        <w:autoSpaceDE w:val="0"/>
        <w:autoSpaceDN w:val="0"/>
        <w:adjustRightInd w:val="0"/>
        <w:spacing w:after="0" w:line="360" w:lineRule="auto"/>
        <w:jc w:val="both"/>
        <w:rPr>
          <w:rFonts w:ascii="Times New Roman" w:hAnsi="Times New Roman" w:cs="Times New Roman"/>
          <w:b/>
          <w:bCs/>
          <w:szCs w:val="24"/>
        </w:rPr>
      </w:pPr>
      <w:r w:rsidRPr="00095C4C">
        <w:rPr>
          <w:rFonts w:ascii="Times New Roman" w:hAnsi="Times New Roman" w:cs="Times New Roman"/>
          <w:b/>
          <w:bCs/>
          <w:szCs w:val="24"/>
        </w:rPr>
        <w:t>Potrzeba i cel wydania ustawy</w:t>
      </w:r>
      <w:r>
        <w:rPr>
          <w:rFonts w:ascii="Times New Roman" w:hAnsi="Times New Roman" w:cs="Times New Roman"/>
          <w:b/>
          <w:bCs/>
          <w:szCs w:val="24"/>
        </w:rPr>
        <w:t>.</w:t>
      </w:r>
    </w:p>
    <w:p w:rsidR="002B7CB8" w:rsidRPr="00095C4C" w:rsidRDefault="002B7CB8" w:rsidP="002B7CB8">
      <w:pPr>
        <w:pStyle w:val="Akapitzlist"/>
        <w:autoSpaceDE w:val="0"/>
        <w:autoSpaceDN w:val="0"/>
        <w:adjustRightInd w:val="0"/>
        <w:spacing w:after="0" w:line="360" w:lineRule="auto"/>
        <w:jc w:val="both"/>
        <w:rPr>
          <w:rFonts w:ascii="Times New Roman" w:hAnsi="Times New Roman" w:cs="Times New Roman"/>
          <w:b/>
          <w:bCs/>
          <w:szCs w:val="24"/>
        </w:rPr>
      </w:pPr>
    </w:p>
    <w:p w:rsidR="002B7CB8" w:rsidRDefault="002B7CB8" w:rsidP="002B7CB8">
      <w:pPr>
        <w:pStyle w:val="Tekstpodstawowy"/>
        <w:spacing w:line="360" w:lineRule="auto"/>
        <w:ind w:firstLine="360"/>
        <w:jc w:val="both"/>
        <w:rPr>
          <w:rFonts w:ascii="Times New Roman" w:hAnsi="Times New Roman" w:cs="Times New Roman"/>
          <w:szCs w:val="24"/>
        </w:rPr>
      </w:pPr>
      <w:r>
        <w:rPr>
          <w:rFonts w:ascii="Times New Roman" w:hAnsi="Times New Roman" w:cs="Times New Roman"/>
          <w:szCs w:val="24"/>
        </w:rPr>
        <w:t>Przepisy prawne odnoszące się do reglamentacji obrotu nieruchomościami w Polsce powinny w precyzyjny sposób regulować sytuację prawną podmiotów uczestniczących w tym obrocie. Dotychczasowe przepisy Kodeksu cywilnego nie normują w sposób pełny kwestii związanych z wykonywaniem prawa pierwokupu, a także bezpieczeństwa podmiotów uczestniczących w tym obrocie.</w:t>
      </w:r>
    </w:p>
    <w:p w:rsidR="002B7CB8" w:rsidRDefault="002B7CB8" w:rsidP="002B7CB8">
      <w:pPr>
        <w:pStyle w:val="Tekstpodstawowy"/>
        <w:spacing w:line="360" w:lineRule="auto"/>
        <w:ind w:firstLine="360"/>
        <w:jc w:val="both"/>
        <w:rPr>
          <w:rFonts w:ascii="Times New Roman" w:hAnsi="Times New Roman" w:cs="Times New Roman"/>
          <w:szCs w:val="24"/>
        </w:rPr>
      </w:pPr>
      <w:r>
        <w:rPr>
          <w:rFonts w:ascii="Times New Roman" w:hAnsi="Times New Roman" w:cs="Times New Roman"/>
          <w:szCs w:val="24"/>
        </w:rPr>
        <w:t xml:space="preserve">Na gruncie wieloletnich doświadczeń związanych z praktycznymi aspektami obowiązywania przepisów odnoszących się do pierwokupu, zwiększenia wymaga w pierwszej kolejności bezpieczeństwo podmiotów zobowiązanych z prawa pierwokupu, tak by transakcje jako całość cechowała przejrzystość i pewność. </w:t>
      </w:r>
    </w:p>
    <w:p w:rsidR="002B7CB8" w:rsidRDefault="002B7CB8" w:rsidP="002B7CB8">
      <w:pPr>
        <w:pStyle w:val="Tekstpodstawowy"/>
        <w:spacing w:line="360" w:lineRule="auto"/>
        <w:ind w:firstLine="360"/>
        <w:jc w:val="both"/>
      </w:pPr>
      <w:r>
        <w:rPr>
          <w:rFonts w:ascii="Times New Roman" w:hAnsi="Times New Roman" w:cs="Times New Roman"/>
          <w:szCs w:val="24"/>
        </w:rPr>
        <w:t>Reglamentacja to ingerencja w sferę własności oraz przede wszystkim w gospodarkę i nie może prowadzić do zmniejszenia wzajemnego zaufania podmiotów uczestniczących w obrocie nieruchomościami. Obecne uregulowania prawne prowadzą do zahamowania gospodarki, bowiem podmioty uczestniczące w transakcjach, w których występuje instytucja pierwokupu, cechuje bierność, brak wzajemnego zaufania, a w konsekwencji rezygnacja z możliwości przeprowadzania potencjalnych transakcji.</w:t>
      </w:r>
    </w:p>
    <w:p w:rsidR="002B7CB8" w:rsidRPr="00641D87" w:rsidRDefault="002B7CB8" w:rsidP="002B7CB8">
      <w:pPr>
        <w:pStyle w:val="Tekstpodstawowy"/>
        <w:spacing w:line="360" w:lineRule="auto"/>
        <w:jc w:val="both"/>
        <w:rPr>
          <w:rFonts w:ascii="Times New Roman" w:hAnsi="Times New Roman" w:cs="Times New Roman"/>
          <w:szCs w:val="24"/>
        </w:rPr>
      </w:pPr>
      <w:r w:rsidRPr="00641D87">
        <w:rPr>
          <w:rFonts w:ascii="Times New Roman" w:hAnsi="Times New Roman" w:cs="Times New Roman"/>
          <w:szCs w:val="24"/>
        </w:rPr>
        <w:t xml:space="preserve">Celem proponowanej regulacji jest przede wszystkim: </w:t>
      </w:r>
    </w:p>
    <w:p w:rsidR="002B7CB8" w:rsidRPr="00A27BFB" w:rsidRDefault="002B7CB8" w:rsidP="002B7CB8">
      <w:pPr>
        <w:pStyle w:val="Akapitzlist"/>
        <w:numPr>
          <w:ilvl w:val="0"/>
          <w:numId w:val="3"/>
        </w:numPr>
        <w:shd w:val="clear" w:color="auto" w:fill="FFFFFF"/>
        <w:spacing w:before="120" w:after="100" w:afterAutospacing="1" w:line="360" w:lineRule="auto"/>
        <w:jc w:val="both"/>
        <w:rPr>
          <w:rFonts w:ascii="Times New Roman" w:hAnsi="Times New Roman" w:cs="Times New Roman"/>
          <w:szCs w:val="24"/>
        </w:rPr>
      </w:pPr>
      <w:r>
        <w:rPr>
          <w:rFonts w:ascii="Times New Roman" w:hAnsi="Times New Roman" w:cs="Times New Roman"/>
          <w:szCs w:val="24"/>
        </w:rPr>
        <w:t>z</w:t>
      </w:r>
      <w:r w:rsidRPr="00A27BFB">
        <w:rPr>
          <w:rFonts w:ascii="Times New Roman" w:hAnsi="Times New Roman" w:cs="Times New Roman"/>
          <w:szCs w:val="24"/>
        </w:rPr>
        <w:t xml:space="preserve">apewnienie bezpieczeństwa obrotu nieruchomościami, </w:t>
      </w:r>
    </w:p>
    <w:p w:rsidR="002B7CB8" w:rsidRPr="00641D87" w:rsidRDefault="002B7CB8" w:rsidP="002B7CB8">
      <w:pPr>
        <w:pStyle w:val="Akapitzlist"/>
        <w:numPr>
          <w:ilvl w:val="0"/>
          <w:numId w:val="3"/>
        </w:numPr>
        <w:shd w:val="clear" w:color="auto" w:fill="FFFFFF"/>
        <w:spacing w:before="120" w:after="100" w:afterAutospacing="1" w:line="360" w:lineRule="auto"/>
        <w:jc w:val="both"/>
        <w:rPr>
          <w:rFonts w:ascii="Times New Roman" w:hAnsi="Times New Roman" w:cs="Times New Roman"/>
          <w:b/>
          <w:bCs/>
          <w:szCs w:val="24"/>
        </w:rPr>
      </w:pPr>
      <w:r w:rsidRPr="00641D87">
        <w:rPr>
          <w:rFonts w:ascii="Times New Roman" w:hAnsi="Times New Roman" w:cs="Times New Roman"/>
          <w:szCs w:val="24"/>
        </w:rPr>
        <w:t xml:space="preserve">zwiększenie </w:t>
      </w:r>
      <w:r>
        <w:rPr>
          <w:rFonts w:ascii="Times New Roman" w:hAnsi="Times New Roman" w:cs="Times New Roman"/>
          <w:szCs w:val="24"/>
        </w:rPr>
        <w:t xml:space="preserve">wzajemnego </w:t>
      </w:r>
      <w:r w:rsidRPr="00641D87">
        <w:rPr>
          <w:rFonts w:ascii="Times New Roman" w:hAnsi="Times New Roman" w:cs="Times New Roman"/>
          <w:szCs w:val="24"/>
        </w:rPr>
        <w:t>zaufania podmiotów uczestniczących w obrocie nieruchomościami,</w:t>
      </w:r>
      <w:r w:rsidRPr="00641D87">
        <w:rPr>
          <w:rFonts w:ascii="Times New Roman" w:hAnsi="Times New Roman" w:cs="Times New Roman"/>
          <w:b/>
          <w:bCs/>
          <w:szCs w:val="24"/>
        </w:rPr>
        <w:t xml:space="preserve"> </w:t>
      </w:r>
    </w:p>
    <w:p w:rsidR="002B7CB8" w:rsidRDefault="002B7CB8" w:rsidP="002B7CB8">
      <w:pPr>
        <w:pStyle w:val="Akapitzlist"/>
        <w:numPr>
          <w:ilvl w:val="0"/>
          <w:numId w:val="3"/>
        </w:numPr>
        <w:shd w:val="clear" w:color="auto" w:fill="FFFFFF"/>
        <w:spacing w:before="120" w:after="100" w:afterAutospacing="1" w:line="360" w:lineRule="auto"/>
        <w:jc w:val="both"/>
        <w:rPr>
          <w:rFonts w:ascii="Times New Roman" w:hAnsi="Times New Roman" w:cs="Times New Roman"/>
          <w:szCs w:val="24"/>
        </w:rPr>
      </w:pPr>
      <w:r>
        <w:rPr>
          <w:rFonts w:ascii="Times New Roman" w:hAnsi="Times New Roman" w:cs="Times New Roman"/>
          <w:szCs w:val="24"/>
        </w:rPr>
        <w:t>zabezpieczenie interesów zobowiązanych z prawa pierwokupu związanych z otrzymaniem wynagrodzenia za sprzedaż nieruchomości,</w:t>
      </w:r>
    </w:p>
    <w:p w:rsidR="002B7CB8" w:rsidRPr="00641D87" w:rsidRDefault="002B7CB8" w:rsidP="002B7CB8">
      <w:pPr>
        <w:pStyle w:val="Akapitzlist"/>
        <w:numPr>
          <w:ilvl w:val="0"/>
          <w:numId w:val="3"/>
        </w:numPr>
        <w:shd w:val="clear" w:color="auto" w:fill="FFFFFF"/>
        <w:spacing w:before="120" w:after="100" w:afterAutospacing="1" w:line="360" w:lineRule="auto"/>
        <w:jc w:val="both"/>
        <w:rPr>
          <w:rFonts w:ascii="Times New Roman" w:hAnsi="Times New Roman" w:cs="Times New Roman"/>
          <w:bCs/>
          <w:szCs w:val="24"/>
        </w:rPr>
      </w:pPr>
      <w:r>
        <w:rPr>
          <w:rFonts w:ascii="Times New Roman" w:hAnsi="Times New Roman" w:cs="Times New Roman"/>
          <w:bCs/>
          <w:szCs w:val="24"/>
        </w:rPr>
        <w:t>wykluczenie</w:t>
      </w:r>
      <w:r w:rsidRPr="00641D87">
        <w:rPr>
          <w:rFonts w:ascii="Times New Roman" w:hAnsi="Times New Roman" w:cs="Times New Roman"/>
          <w:bCs/>
          <w:szCs w:val="24"/>
        </w:rPr>
        <w:t xml:space="preserve"> ryzyka przejścia prawa własności </w:t>
      </w:r>
      <w:r>
        <w:rPr>
          <w:rFonts w:ascii="Times New Roman" w:hAnsi="Times New Roman" w:cs="Times New Roman"/>
          <w:bCs/>
          <w:szCs w:val="24"/>
        </w:rPr>
        <w:t>nieruchomości na rzecz uprawnionego z prawa pierwokupu bez zapłaty ceny</w:t>
      </w:r>
      <w:r w:rsidRPr="00641D87">
        <w:rPr>
          <w:rFonts w:ascii="Times New Roman" w:hAnsi="Times New Roman" w:cs="Times New Roman"/>
          <w:bCs/>
          <w:szCs w:val="24"/>
        </w:rPr>
        <w:t xml:space="preserve">, </w:t>
      </w:r>
    </w:p>
    <w:p w:rsidR="002B7CB8" w:rsidRDefault="002B7CB8" w:rsidP="002B7CB8">
      <w:pPr>
        <w:pStyle w:val="Akapitzlist"/>
        <w:numPr>
          <w:ilvl w:val="0"/>
          <w:numId w:val="3"/>
        </w:numPr>
        <w:shd w:val="clear" w:color="auto" w:fill="FFFFFF"/>
        <w:spacing w:before="120" w:after="100" w:afterAutospacing="1" w:line="360" w:lineRule="auto"/>
        <w:jc w:val="both"/>
        <w:rPr>
          <w:rFonts w:ascii="Times New Roman" w:hAnsi="Times New Roman" w:cs="Times New Roman"/>
          <w:bCs/>
          <w:szCs w:val="24"/>
        </w:rPr>
      </w:pPr>
      <w:r>
        <w:rPr>
          <w:rFonts w:ascii="Times New Roman" w:hAnsi="Times New Roman" w:cs="Times New Roman"/>
          <w:bCs/>
          <w:szCs w:val="24"/>
        </w:rPr>
        <w:lastRenderedPageBreak/>
        <w:t xml:space="preserve">zwiększenie bezpieczeństwa notariuszy i zminimalizowanie ryzyka ponoszenia przez nich odpowiedzialności związanej z wykonywaniem przez uprawnionych prawa pierwokupu bez jednoczesnego zabezpieczenia ceny. </w:t>
      </w:r>
    </w:p>
    <w:p w:rsidR="002B7CB8" w:rsidRDefault="002B7CB8" w:rsidP="002B7CB8">
      <w:pPr>
        <w:pStyle w:val="Akapitzlist"/>
        <w:shd w:val="clear" w:color="auto" w:fill="FFFFFF"/>
        <w:spacing w:before="120" w:after="100" w:afterAutospacing="1" w:line="360" w:lineRule="auto"/>
        <w:jc w:val="both"/>
        <w:rPr>
          <w:rFonts w:ascii="Times New Roman" w:hAnsi="Times New Roman" w:cs="Times New Roman"/>
          <w:bCs/>
          <w:szCs w:val="24"/>
        </w:rPr>
      </w:pPr>
    </w:p>
    <w:p w:rsidR="002B7CB8" w:rsidRPr="00641D87" w:rsidRDefault="002B7CB8" w:rsidP="002B7CB8">
      <w:pPr>
        <w:pStyle w:val="Akapitzlist"/>
        <w:shd w:val="clear" w:color="auto" w:fill="FFFFFF"/>
        <w:spacing w:before="120" w:after="100" w:afterAutospacing="1" w:line="360" w:lineRule="auto"/>
        <w:jc w:val="both"/>
        <w:rPr>
          <w:rFonts w:ascii="Times New Roman" w:hAnsi="Times New Roman" w:cs="Times New Roman"/>
          <w:bCs/>
          <w:szCs w:val="24"/>
        </w:rPr>
      </w:pPr>
    </w:p>
    <w:p w:rsidR="002B7CB8" w:rsidRPr="00A32CC9" w:rsidRDefault="002B7CB8" w:rsidP="002B7CB8">
      <w:pPr>
        <w:pStyle w:val="Akapitzlist"/>
        <w:numPr>
          <w:ilvl w:val="0"/>
          <w:numId w:val="10"/>
        </w:numPr>
        <w:autoSpaceDE w:val="0"/>
        <w:autoSpaceDN w:val="0"/>
        <w:adjustRightInd w:val="0"/>
        <w:spacing w:after="0" w:line="360" w:lineRule="auto"/>
        <w:jc w:val="both"/>
        <w:rPr>
          <w:rFonts w:ascii="Times New Roman" w:hAnsi="Times New Roman" w:cs="Times New Roman"/>
          <w:b/>
          <w:bCs/>
          <w:szCs w:val="24"/>
        </w:rPr>
      </w:pPr>
      <w:r w:rsidRPr="00A32CC9">
        <w:rPr>
          <w:rFonts w:ascii="Times New Roman" w:hAnsi="Times New Roman" w:cs="Times New Roman"/>
          <w:b/>
          <w:bCs/>
          <w:szCs w:val="24"/>
        </w:rPr>
        <w:t>Rzeczywisty stan w dziedzinie, która ma być unormowana oraz różnica pomiędzy dotychczasowym a projektowanym stanem prawnym.</w:t>
      </w:r>
    </w:p>
    <w:p w:rsidR="002B7CB8" w:rsidRPr="00A32CC9" w:rsidRDefault="002B7CB8" w:rsidP="002B7CB8">
      <w:pPr>
        <w:pStyle w:val="Akapitzlist"/>
        <w:autoSpaceDE w:val="0"/>
        <w:autoSpaceDN w:val="0"/>
        <w:adjustRightInd w:val="0"/>
        <w:spacing w:after="0" w:line="360" w:lineRule="auto"/>
        <w:jc w:val="both"/>
        <w:rPr>
          <w:rFonts w:ascii="Times New Roman" w:hAnsi="Times New Roman" w:cs="Times New Roman"/>
          <w:b/>
          <w:bCs/>
          <w:szCs w:val="24"/>
        </w:rPr>
      </w:pP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Default="002B7CB8" w:rsidP="002B7CB8">
      <w:pPr>
        <w:pStyle w:val="Tekstpodstawowy"/>
        <w:spacing w:line="360" w:lineRule="auto"/>
        <w:ind w:firstLine="360"/>
        <w:jc w:val="both"/>
        <w:rPr>
          <w:rFonts w:ascii="Times New Roman" w:hAnsi="Times New Roman" w:cs="Times New Roman"/>
          <w:szCs w:val="24"/>
        </w:rPr>
      </w:pPr>
      <w:r>
        <w:rPr>
          <w:rFonts w:ascii="Times New Roman" w:hAnsi="Times New Roman" w:cs="Times New Roman"/>
          <w:szCs w:val="24"/>
        </w:rPr>
        <w:t>Instytucja p</w:t>
      </w:r>
      <w:r w:rsidRPr="00641D87">
        <w:rPr>
          <w:rFonts w:ascii="Times New Roman" w:hAnsi="Times New Roman" w:cs="Times New Roman"/>
          <w:szCs w:val="24"/>
        </w:rPr>
        <w:t>raw</w:t>
      </w:r>
      <w:r>
        <w:rPr>
          <w:rFonts w:ascii="Times New Roman" w:hAnsi="Times New Roman" w:cs="Times New Roman"/>
          <w:szCs w:val="24"/>
        </w:rPr>
        <w:t>a</w:t>
      </w:r>
      <w:r w:rsidRPr="00641D87">
        <w:rPr>
          <w:rFonts w:ascii="Times New Roman" w:hAnsi="Times New Roman" w:cs="Times New Roman"/>
          <w:szCs w:val="24"/>
        </w:rPr>
        <w:t xml:space="preserve"> pierwokupu uregulowan</w:t>
      </w:r>
      <w:r>
        <w:rPr>
          <w:rFonts w:ascii="Times New Roman" w:hAnsi="Times New Roman" w:cs="Times New Roman"/>
          <w:szCs w:val="24"/>
        </w:rPr>
        <w:t>a</w:t>
      </w:r>
      <w:r w:rsidRPr="00641D87">
        <w:rPr>
          <w:rFonts w:ascii="Times New Roman" w:hAnsi="Times New Roman" w:cs="Times New Roman"/>
          <w:szCs w:val="24"/>
        </w:rPr>
        <w:t xml:space="preserve"> jest w art. 596 – 602 Kodeksu cywilnego. </w:t>
      </w:r>
    </w:p>
    <w:p w:rsidR="002B7CB8" w:rsidRPr="00641D87" w:rsidRDefault="002B7CB8" w:rsidP="002B7CB8">
      <w:pPr>
        <w:pStyle w:val="Tekstpodstawowyzwciciem"/>
        <w:spacing w:line="360" w:lineRule="auto"/>
        <w:jc w:val="both"/>
        <w:rPr>
          <w:rFonts w:ascii="Times New Roman" w:hAnsi="Times New Roman" w:cs="Times New Roman"/>
          <w:szCs w:val="24"/>
        </w:rPr>
      </w:pPr>
      <w:r w:rsidRPr="00641D87">
        <w:rPr>
          <w:rFonts w:ascii="Times New Roman" w:hAnsi="Times New Roman" w:cs="Times New Roman"/>
          <w:szCs w:val="24"/>
        </w:rPr>
        <w:t xml:space="preserve">Prawo </w:t>
      </w:r>
      <w:r>
        <w:rPr>
          <w:rFonts w:ascii="Times New Roman" w:hAnsi="Times New Roman" w:cs="Times New Roman"/>
          <w:szCs w:val="24"/>
        </w:rPr>
        <w:t>pierwokupu</w:t>
      </w:r>
      <w:r w:rsidRPr="00641D87">
        <w:rPr>
          <w:rFonts w:ascii="Times New Roman" w:hAnsi="Times New Roman" w:cs="Times New Roman"/>
          <w:szCs w:val="24"/>
        </w:rPr>
        <w:t xml:space="preserve">, w obecnym stanie prawnym, polega na tym, iż ustawa lub czynność prawna zastrzega dla jednej ze stron pierwszeństwo kupna oznaczonej rzeczy na wypadek, gdyby druga strona sprzedała rzecz osobie trzeciej. Oznacza to pozycję uprzywilejowaną dla podmiotu, który </w:t>
      </w:r>
      <w:r>
        <w:rPr>
          <w:rFonts w:ascii="Times New Roman" w:hAnsi="Times New Roman" w:cs="Times New Roman"/>
          <w:szCs w:val="24"/>
        </w:rPr>
        <w:t>posiada uprawnienie do</w:t>
      </w:r>
      <w:r w:rsidRPr="00641D87">
        <w:rPr>
          <w:rFonts w:ascii="Times New Roman" w:hAnsi="Times New Roman" w:cs="Times New Roman"/>
          <w:szCs w:val="24"/>
        </w:rPr>
        <w:t xml:space="preserve"> skorzysta</w:t>
      </w:r>
      <w:r>
        <w:rPr>
          <w:rFonts w:ascii="Times New Roman" w:hAnsi="Times New Roman" w:cs="Times New Roman"/>
          <w:szCs w:val="24"/>
        </w:rPr>
        <w:t>nia</w:t>
      </w:r>
      <w:r w:rsidRPr="00641D87">
        <w:rPr>
          <w:rFonts w:ascii="Times New Roman" w:hAnsi="Times New Roman" w:cs="Times New Roman"/>
          <w:szCs w:val="24"/>
        </w:rPr>
        <w:t xml:space="preserve"> z możliwości zakupu określonej rzeczy, gdy ta zostanie sprzedana osobie trzeciej. </w:t>
      </w:r>
    </w:p>
    <w:p w:rsidR="002B7CB8" w:rsidRPr="00641D87" w:rsidRDefault="002B7CB8" w:rsidP="002B7CB8">
      <w:pPr>
        <w:pStyle w:val="Tekstpodstawowyzwciciem"/>
        <w:spacing w:line="360" w:lineRule="auto"/>
        <w:jc w:val="both"/>
        <w:rPr>
          <w:rFonts w:ascii="Times New Roman" w:hAnsi="Times New Roman" w:cs="Times New Roman"/>
          <w:szCs w:val="24"/>
        </w:rPr>
      </w:pPr>
      <w:r w:rsidRPr="00641D87">
        <w:rPr>
          <w:rFonts w:ascii="Times New Roman" w:hAnsi="Times New Roman" w:cs="Times New Roman"/>
          <w:szCs w:val="24"/>
        </w:rPr>
        <w:t>Podmiot korzystający z prawa pierwokupu</w:t>
      </w:r>
      <w:r>
        <w:rPr>
          <w:rFonts w:ascii="Times New Roman" w:hAnsi="Times New Roman" w:cs="Times New Roman"/>
          <w:szCs w:val="24"/>
        </w:rPr>
        <w:t>, chcąc wykonać przysługujące mu prawo, zobowiązany jest do złożenia stosowanego oświadczenia w tym zakresie. Jeśli zawarcie umowy sprzedaży określonej rzeczy wymaga zachowania formy szczególnej to oświadczenie o wykonaniu prawa pierwokupu winno być złożone w tej samej formie. W przypadku, gdy przedmiotem sprzedaży jest nieruchomość, przepisy Kodeksu cywilnego wymagają dla tej czynności prawnej zachowania formy aktu notarialnego. Zgodnie bowiem z art. 158 Kodeksu cywilnego „</w:t>
      </w:r>
      <w:r w:rsidRPr="008473BA">
        <w:rPr>
          <w:rFonts w:ascii="Times New Roman" w:hAnsi="Times New Roman" w:cs="Times New Roman"/>
          <w:szCs w:val="24"/>
        </w:rPr>
        <w:t>Umowa zobowiązująca do przeniesienia własności nieruchomości powinna być zawarta w formie aktu notarialnego. To samo dotyczy umowy przenoszącej własność, która zostaje zawarta w celu wykonania istniejącego uprzednio zobowiązania do przeniesienia własności nieruchomości; zobowiązanie powinno być w akcie w</w:t>
      </w:r>
      <w:r>
        <w:rPr>
          <w:rFonts w:ascii="Times New Roman" w:hAnsi="Times New Roman" w:cs="Times New Roman"/>
          <w:szCs w:val="24"/>
        </w:rPr>
        <w:t>ymienione”. Należy więc wskazać, iż oświadczenie dotyczące skorzystania z prawa pierwokupu nieruchomości powinno także przybrać formę aktu notarialnego.</w:t>
      </w:r>
    </w:p>
    <w:p w:rsidR="002B7CB8" w:rsidRDefault="002B7CB8" w:rsidP="002B7CB8">
      <w:pPr>
        <w:pStyle w:val="Tekstpodstawowyzwciciem"/>
        <w:spacing w:line="360" w:lineRule="auto"/>
        <w:jc w:val="both"/>
        <w:rPr>
          <w:rFonts w:ascii="Times New Roman" w:hAnsi="Times New Roman" w:cs="Times New Roman"/>
          <w:szCs w:val="24"/>
        </w:rPr>
      </w:pPr>
      <w:r>
        <w:rPr>
          <w:rFonts w:ascii="Times New Roman" w:hAnsi="Times New Roman" w:cs="Times New Roman"/>
          <w:szCs w:val="24"/>
        </w:rPr>
        <w:t>W</w:t>
      </w:r>
      <w:r w:rsidRPr="00CE7056">
        <w:rPr>
          <w:rFonts w:ascii="Times New Roman" w:hAnsi="Times New Roman" w:cs="Times New Roman"/>
          <w:szCs w:val="24"/>
        </w:rPr>
        <w:t xml:space="preserve">arunkiem przyjęcia przez notariusza oświadczenia uprawnionego z tytułu prawa pierwokupu nieruchomości </w:t>
      </w:r>
      <w:r>
        <w:rPr>
          <w:rFonts w:ascii="Times New Roman" w:hAnsi="Times New Roman" w:cs="Times New Roman"/>
          <w:szCs w:val="24"/>
        </w:rPr>
        <w:t>(oświadczenia w formie aktu notarialnego) będzie</w:t>
      </w:r>
      <w:r w:rsidRPr="00CE7056">
        <w:rPr>
          <w:rFonts w:ascii="Times New Roman" w:hAnsi="Times New Roman" w:cs="Times New Roman"/>
          <w:szCs w:val="24"/>
        </w:rPr>
        <w:t xml:space="preserve"> uprzednie złożenie przez uprawnionego do depozytu notarialnego całej ceny, w wysokości określonej w umowie sprzedaży zawartej przez zobowiązanego z osobą trzecią</w:t>
      </w:r>
      <w:r>
        <w:rPr>
          <w:rFonts w:ascii="Times New Roman" w:hAnsi="Times New Roman" w:cs="Times New Roman"/>
          <w:szCs w:val="24"/>
        </w:rPr>
        <w:t>.</w:t>
      </w:r>
    </w:p>
    <w:p w:rsidR="002B7CB8" w:rsidRDefault="002B7CB8" w:rsidP="002B7CB8">
      <w:pPr>
        <w:pStyle w:val="Tekstpodstawowyzwciciem"/>
        <w:spacing w:line="360" w:lineRule="auto"/>
        <w:jc w:val="both"/>
        <w:rPr>
          <w:rFonts w:ascii="Times New Roman" w:hAnsi="Times New Roman" w:cs="Times New Roman"/>
          <w:szCs w:val="24"/>
        </w:rPr>
      </w:pPr>
      <w:r>
        <w:rPr>
          <w:rFonts w:ascii="Times New Roman" w:hAnsi="Times New Roman" w:cs="Times New Roman"/>
          <w:szCs w:val="24"/>
        </w:rPr>
        <w:lastRenderedPageBreak/>
        <w:t>Reasumując, aby podmiot uprawniony skorzystał z prawa pierwokupu nieruchomości musi spełnić łącznie dwa warunki:</w:t>
      </w:r>
    </w:p>
    <w:p w:rsidR="002B7CB8" w:rsidRDefault="002B7CB8" w:rsidP="002B7CB8">
      <w:pPr>
        <w:pStyle w:val="Tekstpodstawowyzwciciem"/>
        <w:numPr>
          <w:ilvl w:val="0"/>
          <w:numId w:val="11"/>
        </w:numPr>
        <w:spacing w:line="360" w:lineRule="auto"/>
        <w:jc w:val="both"/>
        <w:rPr>
          <w:rFonts w:ascii="Times New Roman" w:hAnsi="Times New Roman" w:cs="Times New Roman"/>
          <w:szCs w:val="24"/>
        </w:rPr>
      </w:pPr>
      <w:r>
        <w:rPr>
          <w:rFonts w:ascii="Times New Roman" w:hAnsi="Times New Roman" w:cs="Times New Roman"/>
          <w:szCs w:val="24"/>
        </w:rPr>
        <w:t>najpóźniej do chwili złożenia oświadczenia o skorzystaniu z prawa pierwokupu złożyć cenę zakupu do depozytu notarialnego; cena musi odpowiadać cenie zakupu określonej w umowie z osobą trzecią;</w:t>
      </w:r>
    </w:p>
    <w:p w:rsidR="002B7CB8" w:rsidRDefault="002B7CB8" w:rsidP="002B7CB8">
      <w:pPr>
        <w:pStyle w:val="Tekstpodstawowyzwciciem"/>
        <w:numPr>
          <w:ilvl w:val="0"/>
          <w:numId w:val="11"/>
        </w:numPr>
        <w:spacing w:line="360" w:lineRule="auto"/>
        <w:jc w:val="both"/>
        <w:rPr>
          <w:rFonts w:ascii="Times New Roman" w:hAnsi="Times New Roman" w:cs="Times New Roman"/>
          <w:szCs w:val="24"/>
        </w:rPr>
      </w:pPr>
      <w:r>
        <w:rPr>
          <w:rFonts w:ascii="Times New Roman" w:hAnsi="Times New Roman" w:cs="Times New Roman"/>
          <w:szCs w:val="24"/>
        </w:rPr>
        <w:t>złożyć oświadczenie o skorzystaniu z prawa pierwokupu w formie aktu notarialnego.</w:t>
      </w:r>
    </w:p>
    <w:p w:rsidR="002B7CB8" w:rsidRPr="00641D87" w:rsidRDefault="002B7CB8" w:rsidP="002B7CB8">
      <w:pPr>
        <w:pStyle w:val="Tekstpodstawowyzwciciem"/>
        <w:spacing w:line="360" w:lineRule="auto"/>
        <w:jc w:val="both"/>
        <w:rPr>
          <w:rFonts w:ascii="Times New Roman" w:hAnsi="Times New Roman" w:cs="Times New Roman"/>
          <w:szCs w:val="24"/>
        </w:rPr>
      </w:pPr>
      <w:r w:rsidRPr="00641D87">
        <w:rPr>
          <w:rFonts w:ascii="Times New Roman" w:hAnsi="Times New Roman" w:cs="Times New Roman"/>
          <w:szCs w:val="24"/>
        </w:rPr>
        <w:t>Obecny stan prawny stwarza</w:t>
      </w:r>
      <w:r>
        <w:rPr>
          <w:rFonts w:ascii="Times New Roman" w:hAnsi="Times New Roman" w:cs="Times New Roman"/>
          <w:szCs w:val="24"/>
        </w:rPr>
        <w:t>,</w:t>
      </w:r>
      <w:r w:rsidRPr="00641D87">
        <w:rPr>
          <w:rFonts w:ascii="Times New Roman" w:hAnsi="Times New Roman" w:cs="Times New Roman"/>
          <w:szCs w:val="24"/>
        </w:rPr>
        <w:t xml:space="preserve"> szczególnie dla podmiotu zobowiązanego </w:t>
      </w:r>
      <w:r>
        <w:rPr>
          <w:rFonts w:ascii="Times New Roman" w:hAnsi="Times New Roman" w:cs="Times New Roman"/>
          <w:szCs w:val="24"/>
        </w:rPr>
        <w:t>z tytułu p</w:t>
      </w:r>
      <w:r w:rsidRPr="00641D87">
        <w:rPr>
          <w:rFonts w:ascii="Times New Roman" w:hAnsi="Times New Roman" w:cs="Times New Roman"/>
          <w:szCs w:val="24"/>
        </w:rPr>
        <w:t>rawa pierwokupu</w:t>
      </w:r>
      <w:r>
        <w:rPr>
          <w:rFonts w:ascii="Times New Roman" w:hAnsi="Times New Roman" w:cs="Times New Roman"/>
          <w:szCs w:val="24"/>
        </w:rPr>
        <w:t>,</w:t>
      </w:r>
      <w:r w:rsidRPr="00B54CAE">
        <w:rPr>
          <w:rFonts w:ascii="Times New Roman" w:hAnsi="Times New Roman" w:cs="Times New Roman"/>
          <w:szCs w:val="24"/>
        </w:rPr>
        <w:t xml:space="preserve"> </w:t>
      </w:r>
      <w:r w:rsidRPr="00641D87">
        <w:rPr>
          <w:rFonts w:ascii="Times New Roman" w:hAnsi="Times New Roman" w:cs="Times New Roman"/>
          <w:szCs w:val="24"/>
        </w:rPr>
        <w:t xml:space="preserve">wiele niebezpieczeństw. Złożenie oświadczenia przez </w:t>
      </w:r>
      <w:r>
        <w:rPr>
          <w:rFonts w:ascii="Times New Roman" w:hAnsi="Times New Roman" w:cs="Times New Roman"/>
          <w:szCs w:val="24"/>
        </w:rPr>
        <w:t xml:space="preserve">uprawnionego o skorzystaniu z prawa pierwokupu oraz </w:t>
      </w:r>
      <w:r w:rsidRPr="008C14DD">
        <w:rPr>
          <w:rFonts w:ascii="Times New Roman" w:hAnsi="Times New Roman" w:cs="Times New Roman"/>
          <w:szCs w:val="24"/>
        </w:rPr>
        <w:t xml:space="preserve">dojście </w:t>
      </w:r>
      <w:r>
        <w:rPr>
          <w:rFonts w:ascii="Times New Roman" w:hAnsi="Times New Roman" w:cs="Times New Roman"/>
          <w:szCs w:val="24"/>
        </w:rPr>
        <w:t xml:space="preserve">tego oświadczenia </w:t>
      </w:r>
      <w:r w:rsidRPr="008C14DD">
        <w:rPr>
          <w:rFonts w:ascii="Times New Roman" w:hAnsi="Times New Roman" w:cs="Times New Roman"/>
          <w:szCs w:val="24"/>
        </w:rPr>
        <w:t>do zobowiązanego z tytułu prawa pierwokupu w taki sposób, że mógł się zapoznać się z jego treścią, zgodnie z art. 66 Kodeksu cywilnego,</w:t>
      </w:r>
      <w:r>
        <w:rPr>
          <w:rFonts w:ascii="Times New Roman" w:hAnsi="Times New Roman" w:cs="Times New Roman"/>
          <w:szCs w:val="24"/>
        </w:rPr>
        <w:t xml:space="preserve"> </w:t>
      </w:r>
      <w:r w:rsidRPr="00641D87">
        <w:rPr>
          <w:rFonts w:ascii="Times New Roman" w:hAnsi="Times New Roman" w:cs="Times New Roman"/>
          <w:szCs w:val="24"/>
        </w:rPr>
        <w:t xml:space="preserve">skutkuje natychmiastowym pozbawieniem skutków umowy sprzedaży z osobą trzecią oraz zgodnie z doktryną i orzecznictwem, dojściem do skutku umowy sprzedaży między </w:t>
      </w:r>
      <w:r>
        <w:rPr>
          <w:rFonts w:ascii="Times New Roman" w:hAnsi="Times New Roman" w:cs="Times New Roman"/>
          <w:szCs w:val="24"/>
        </w:rPr>
        <w:t>zobowiązanym</w:t>
      </w:r>
      <w:r w:rsidRPr="00641D87">
        <w:rPr>
          <w:rFonts w:ascii="Times New Roman" w:hAnsi="Times New Roman" w:cs="Times New Roman"/>
          <w:szCs w:val="24"/>
        </w:rPr>
        <w:t xml:space="preserve"> a uprawnionym, a w konsekwencji - przejściem prawa własności na podmiot uprawniony wraz z możliwością stosownego wpisu do księgi wieczystej. Oznacza to, że właściciel zbywający swoją nieruchomość</w:t>
      </w:r>
      <w:r>
        <w:rPr>
          <w:rFonts w:ascii="Times New Roman" w:hAnsi="Times New Roman" w:cs="Times New Roman"/>
          <w:szCs w:val="24"/>
        </w:rPr>
        <w:t>, a więc będący zobowiązanym z tytułu prawa pierwokupu,</w:t>
      </w:r>
      <w:r w:rsidRPr="00641D87">
        <w:rPr>
          <w:rFonts w:ascii="Times New Roman" w:hAnsi="Times New Roman" w:cs="Times New Roman"/>
          <w:szCs w:val="24"/>
        </w:rPr>
        <w:t xml:space="preserve"> jest narażony na </w:t>
      </w:r>
      <w:r>
        <w:rPr>
          <w:rFonts w:ascii="Times New Roman" w:hAnsi="Times New Roman" w:cs="Times New Roman"/>
          <w:szCs w:val="24"/>
        </w:rPr>
        <w:t>zbycie</w:t>
      </w:r>
      <w:r w:rsidRPr="00641D87">
        <w:rPr>
          <w:rFonts w:ascii="Times New Roman" w:hAnsi="Times New Roman" w:cs="Times New Roman"/>
          <w:szCs w:val="24"/>
        </w:rPr>
        <w:t xml:space="preserve"> </w:t>
      </w:r>
      <w:r>
        <w:rPr>
          <w:rFonts w:ascii="Times New Roman" w:hAnsi="Times New Roman" w:cs="Times New Roman"/>
          <w:szCs w:val="24"/>
        </w:rPr>
        <w:t>prawa własności</w:t>
      </w:r>
      <w:r w:rsidRPr="00641D87">
        <w:rPr>
          <w:rFonts w:ascii="Times New Roman" w:hAnsi="Times New Roman" w:cs="Times New Roman"/>
          <w:szCs w:val="24"/>
        </w:rPr>
        <w:t> nieruchomości przy jednoczesnym braku zapłaty ze strony podmiotu nabywającego i jednocześnie korzystającego z przysługującego mu pierwokupu. Choć sytuacja</w:t>
      </w:r>
      <w:r>
        <w:rPr>
          <w:rFonts w:ascii="Times New Roman" w:hAnsi="Times New Roman" w:cs="Times New Roman"/>
          <w:szCs w:val="24"/>
        </w:rPr>
        <w:t xml:space="preserve"> przejścia własności bez zapłaty ceny wydaje się być wyłącznie hipotetyczna, to</w:t>
      </w:r>
      <w:r w:rsidRPr="00641D87">
        <w:rPr>
          <w:rFonts w:ascii="Times New Roman" w:hAnsi="Times New Roman" w:cs="Times New Roman"/>
          <w:szCs w:val="24"/>
        </w:rPr>
        <w:t xml:space="preserve"> jest</w:t>
      </w:r>
      <w:r>
        <w:rPr>
          <w:rFonts w:ascii="Times New Roman" w:hAnsi="Times New Roman" w:cs="Times New Roman"/>
          <w:szCs w:val="24"/>
        </w:rPr>
        <w:t xml:space="preserve"> jednak</w:t>
      </w:r>
      <w:r w:rsidRPr="00641D87">
        <w:rPr>
          <w:rFonts w:ascii="Times New Roman" w:hAnsi="Times New Roman" w:cs="Times New Roman"/>
          <w:szCs w:val="24"/>
        </w:rPr>
        <w:t xml:space="preserve"> jak najbardziej możliwa i uzasadniona prawnie. </w:t>
      </w:r>
    </w:p>
    <w:p w:rsidR="002B7CB8" w:rsidRPr="00641D87" w:rsidRDefault="002B7CB8" w:rsidP="002B7CB8">
      <w:pPr>
        <w:pStyle w:val="Tekstpodstawowyzwciciem"/>
        <w:spacing w:line="360" w:lineRule="auto"/>
        <w:jc w:val="both"/>
        <w:rPr>
          <w:rFonts w:ascii="Times New Roman" w:hAnsi="Times New Roman" w:cs="Times New Roman"/>
          <w:szCs w:val="24"/>
        </w:rPr>
      </w:pPr>
      <w:r w:rsidRPr="00641D87">
        <w:rPr>
          <w:rFonts w:ascii="Times New Roman" w:hAnsi="Times New Roman" w:cs="Times New Roman"/>
          <w:szCs w:val="24"/>
        </w:rPr>
        <w:t>Nowelizacja zakłada, że podmiot korzystający z prawa pierwokupu będzie zobowiązany do złożenia należnej kwoty do depozytu notarialnego, co będzie stanowiło odpowiednie zabezpieczenie i gwarancję dla sprzedającego</w:t>
      </w:r>
      <w:r>
        <w:rPr>
          <w:rFonts w:ascii="Times New Roman" w:hAnsi="Times New Roman" w:cs="Times New Roman"/>
          <w:szCs w:val="24"/>
        </w:rPr>
        <w:t>, iż otrzyma zapłatę za nieruchomość będącą przedmiotem sprzedaży</w:t>
      </w:r>
      <w:r w:rsidRPr="00641D87">
        <w:rPr>
          <w:rFonts w:ascii="Times New Roman" w:hAnsi="Times New Roman" w:cs="Times New Roman"/>
          <w:szCs w:val="24"/>
        </w:rPr>
        <w:t xml:space="preserve">. Zmiana ta będzie reakcją na brak należytego zabezpieczenia interesów i praw obywateli i ochrony ich własności gwarantowanych w art. 64 Konstytucji Rzeczypospolitej Polskiej. Prawo własności jest podstawowym prawem każdego obywatela, dlatego jego ochrona ma szczególnie doniosły charakter i nie może stwarzać zagrożeń dla podmiotów uczestniczących w obrocie. </w:t>
      </w:r>
    </w:p>
    <w:p w:rsidR="002B7CB8" w:rsidRPr="00641D87" w:rsidRDefault="002B7CB8" w:rsidP="002B7CB8">
      <w:pPr>
        <w:pStyle w:val="Tekstpodstawowyzwciciem"/>
        <w:spacing w:line="360" w:lineRule="auto"/>
        <w:jc w:val="both"/>
        <w:rPr>
          <w:rFonts w:ascii="Times New Roman" w:hAnsi="Times New Roman" w:cs="Times New Roman"/>
          <w:szCs w:val="24"/>
        </w:rPr>
      </w:pPr>
      <w:r w:rsidRPr="00641D87">
        <w:rPr>
          <w:rFonts w:ascii="Times New Roman" w:hAnsi="Times New Roman" w:cs="Times New Roman"/>
          <w:szCs w:val="24"/>
        </w:rPr>
        <w:t>Nowelizacja nawiązuje również do obecnego art. 601 Kodeksu cywilnego, który wskazuje wprost obowiązek zabezpieczenia zapłaty ceny. Przepis ten odnosi się jednak jedynie do zapłaty w późniejszym terminie. Słusznym jest spostrzeżenie, że zabezpieczenie takie jest konieczne zawsze</w:t>
      </w:r>
      <w:r>
        <w:rPr>
          <w:rFonts w:ascii="Times New Roman" w:hAnsi="Times New Roman" w:cs="Times New Roman"/>
          <w:szCs w:val="24"/>
        </w:rPr>
        <w:t>,</w:t>
      </w:r>
      <w:r w:rsidRPr="00641D87">
        <w:rPr>
          <w:rFonts w:ascii="Times New Roman" w:hAnsi="Times New Roman" w:cs="Times New Roman"/>
          <w:szCs w:val="24"/>
        </w:rPr>
        <w:t xml:space="preserve"> a nie tylko w szczególnie określonym przypadku. Należy również </w:t>
      </w:r>
      <w:r w:rsidRPr="00641D87">
        <w:rPr>
          <w:rFonts w:ascii="Times New Roman" w:hAnsi="Times New Roman" w:cs="Times New Roman"/>
          <w:szCs w:val="24"/>
        </w:rPr>
        <w:lastRenderedPageBreak/>
        <w:t xml:space="preserve">zauważyć, iż niebezpieczeństwo istnieje zarówno w zakresie pierwokupu ustawowego i umownego. </w:t>
      </w:r>
    </w:p>
    <w:p w:rsidR="002B7CB8" w:rsidRPr="00641D87" w:rsidRDefault="002B7CB8" w:rsidP="002B7CB8">
      <w:pPr>
        <w:pStyle w:val="Tekstpodstawowyzwciciem"/>
        <w:spacing w:line="360" w:lineRule="auto"/>
        <w:jc w:val="both"/>
        <w:rPr>
          <w:rFonts w:ascii="Times New Roman" w:hAnsi="Times New Roman" w:cs="Times New Roman"/>
          <w:szCs w:val="24"/>
        </w:rPr>
      </w:pPr>
      <w:r>
        <w:rPr>
          <w:rFonts w:ascii="Times New Roman" w:hAnsi="Times New Roman" w:cs="Times New Roman"/>
          <w:szCs w:val="24"/>
        </w:rPr>
        <w:t xml:space="preserve">Zgodnie z obecnym stanem prawnym zobowiązany z tytułu prawa pierwokupu powinien niezwłocznie poinformować uprawnionego o treści umowy sprzedaży zawartej z osobą trzecią. Pojęcie „niezwłocznie” nie jest ściśle zdefiniowane. Należy zatem unikać pojęć nieostrych i zastąpić je precyzyjnymi określeniami. W proponowanej nowelizacji obowiązek poinformowania uprawnionego o treści umowy zawartej z osobą trzecią powinien być spełniony w terminie trzech dni od zawarcia tej umowy. Z kolei w przypadku skorzystania przez uprawnionego z prawa pierwokupu, zgodnie z założeniami nowelizacji, to notariusz zobowiązany będzie poinformować zobowiązanego z tytułu prawa pierwokupu o wykonaniu tego prawa przez uprawnionego, w terminie trzech dni od dnia wykonania tego prawa. Takie rozwiązania w precyzyjny sposób określają sferę obowiązków i niweczą ryzyko </w:t>
      </w:r>
      <w:r w:rsidRPr="00641D87">
        <w:rPr>
          <w:rFonts w:ascii="Times New Roman" w:hAnsi="Times New Roman" w:cs="Times New Roman"/>
          <w:szCs w:val="24"/>
        </w:rPr>
        <w:t xml:space="preserve">nieporozumień </w:t>
      </w:r>
      <w:r>
        <w:rPr>
          <w:rFonts w:ascii="Times New Roman" w:hAnsi="Times New Roman" w:cs="Times New Roman"/>
          <w:szCs w:val="24"/>
        </w:rPr>
        <w:t>oraz ewentualnego</w:t>
      </w:r>
      <w:r w:rsidRPr="00641D87">
        <w:rPr>
          <w:rFonts w:ascii="Times New Roman" w:hAnsi="Times New Roman" w:cs="Times New Roman"/>
          <w:szCs w:val="24"/>
        </w:rPr>
        <w:t xml:space="preserve"> stan</w:t>
      </w:r>
      <w:r>
        <w:rPr>
          <w:rFonts w:ascii="Times New Roman" w:hAnsi="Times New Roman" w:cs="Times New Roman"/>
          <w:szCs w:val="24"/>
        </w:rPr>
        <w:t>u</w:t>
      </w:r>
      <w:r w:rsidRPr="00641D87">
        <w:rPr>
          <w:rFonts w:ascii="Times New Roman" w:hAnsi="Times New Roman" w:cs="Times New Roman"/>
          <w:szCs w:val="24"/>
        </w:rPr>
        <w:t xml:space="preserve"> niepewności dla sprzedającego. </w:t>
      </w:r>
    </w:p>
    <w:p w:rsidR="002B7CB8" w:rsidRPr="00641D87" w:rsidRDefault="002B7CB8" w:rsidP="002B7CB8">
      <w:pPr>
        <w:spacing w:after="0" w:line="360" w:lineRule="auto"/>
        <w:ind w:firstLine="360"/>
        <w:jc w:val="both"/>
        <w:rPr>
          <w:rFonts w:ascii="Times New Roman" w:hAnsi="Times New Roman" w:cs="Times New Roman"/>
          <w:szCs w:val="24"/>
        </w:rPr>
      </w:pPr>
      <w:r w:rsidRPr="00641D87">
        <w:rPr>
          <w:rFonts w:ascii="Times New Roman" w:hAnsi="Times New Roman" w:cs="Times New Roman"/>
          <w:szCs w:val="24"/>
        </w:rPr>
        <w:t>Stosownym wydaje się odwołanie do ustawy z dnia 21 sierpnia 1997r. o gospodarce nieruchomościami (</w:t>
      </w:r>
      <w:proofErr w:type="spellStart"/>
      <w:r>
        <w:rPr>
          <w:rFonts w:ascii="Times New Roman" w:hAnsi="Times New Roman" w:cs="Times New Roman"/>
          <w:szCs w:val="24"/>
        </w:rPr>
        <w:t>t.j</w:t>
      </w:r>
      <w:proofErr w:type="spellEnd"/>
      <w:r>
        <w:rPr>
          <w:rFonts w:ascii="Times New Roman" w:hAnsi="Times New Roman" w:cs="Times New Roman"/>
          <w:szCs w:val="24"/>
        </w:rPr>
        <w:t>. Dz.U. z 2015 r. poz. 1774</w:t>
      </w:r>
      <w:r w:rsidRPr="00641D87">
        <w:rPr>
          <w:rFonts w:ascii="Times New Roman" w:hAnsi="Times New Roman" w:cs="Times New Roman"/>
          <w:szCs w:val="24"/>
        </w:rPr>
        <w:t xml:space="preserve">). Art. 109 i następne  </w:t>
      </w:r>
      <w:r>
        <w:rPr>
          <w:rFonts w:ascii="Times New Roman" w:hAnsi="Times New Roman" w:cs="Times New Roman"/>
          <w:szCs w:val="24"/>
        </w:rPr>
        <w:t>komentowanej</w:t>
      </w:r>
      <w:r w:rsidRPr="00641D87">
        <w:rPr>
          <w:rFonts w:ascii="Times New Roman" w:hAnsi="Times New Roman" w:cs="Times New Roman"/>
          <w:szCs w:val="24"/>
        </w:rPr>
        <w:t xml:space="preserve"> ustawy traktują o korzystaniu z prawa pierwokupu przez gminy. Zgodnie z art. 110 ust. 5 to notariusz, przed którym składane jest oświadczenie o wykonaniu prawa pierwokupu, jest zobowiązany do doręczenia owego oświadczenia sprzedawcy. Jest to zasada słuszna i stosowana w praktyce, nie ma więc przeszkód, aby nie rozszerzyć jej na wszelkie przypadki wykonywania prawa pierwokupu, nie tylko te, w których uprawnionym podmiotem jest gmina.      </w:t>
      </w:r>
    </w:p>
    <w:p w:rsidR="002B7CB8" w:rsidRPr="00641D87" w:rsidRDefault="002B7CB8" w:rsidP="002B7CB8">
      <w:pPr>
        <w:spacing w:after="0" w:line="360" w:lineRule="auto"/>
        <w:rPr>
          <w:rFonts w:ascii="Times New Roman" w:hAnsi="Times New Roman" w:cs="Times New Roman"/>
          <w:color w:val="545454"/>
          <w:szCs w:val="24"/>
          <w:shd w:val="clear" w:color="auto" w:fill="FFFFFF"/>
        </w:rPr>
      </w:pPr>
    </w:p>
    <w:p w:rsidR="002B7CB8" w:rsidRPr="00641D87" w:rsidRDefault="002B7CB8" w:rsidP="002B7CB8">
      <w:pPr>
        <w:spacing w:after="0" w:line="360" w:lineRule="auto"/>
        <w:rPr>
          <w:rFonts w:ascii="Times New Roman" w:hAnsi="Times New Roman" w:cs="Times New Roman"/>
          <w:b/>
          <w:szCs w:val="24"/>
        </w:rPr>
      </w:pPr>
      <w:r w:rsidRPr="00641D87">
        <w:rPr>
          <w:rFonts w:ascii="Times New Roman" w:hAnsi="Times New Roman" w:cs="Times New Roman"/>
          <w:szCs w:val="24"/>
        </w:rPr>
        <w:t xml:space="preserve">      </w:t>
      </w:r>
    </w:p>
    <w:p w:rsidR="002B7CB8" w:rsidRPr="00641D87" w:rsidRDefault="002B7CB8" w:rsidP="002B7CB8">
      <w:pPr>
        <w:pStyle w:val="Tekstpodstawowyzwciciem"/>
        <w:spacing w:line="360" w:lineRule="auto"/>
        <w:ind w:firstLine="0"/>
        <w:jc w:val="both"/>
        <w:rPr>
          <w:rFonts w:ascii="Times New Roman" w:hAnsi="Times New Roman" w:cs="Times New Roman"/>
          <w:szCs w:val="24"/>
          <w:lang w:eastAsia="pl-PL"/>
        </w:rPr>
      </w:pPr>
      <w:r w:rsidRPr="00641D87">
        <w:rPr>
          <w:rFonts w:ascii="Times New Roman" w:hAnsi="Times New Roman" w:cs="Times New Roman"/>
          <w:b/>
          <w:bCs/>
          <w:szCs w:val="24"/>
        </w:rPr>
        <w:t>3. Przewidywane skutki społeczne, gospodarcze, finansowe i prawne i źródła finasowania</w:t>
      </w:r>
    </w:p>
    <w:p w:rsidR="002B7CB8" w:rsidRPr="00641D87" w:rsidRDefault="002B7CB8" w:rsidP="002B7CB8">
      <w:pPr>
        <w:pStyle w:val="Tekstpodstawowyzwciciem"/>
        <w:spacing w:line="360" w:lineRule="auto"/>
        <w:jc w:val="both"/>
        <w:rPr>
          <w:rFonts w:ascii="Times New Roman" w:hAnsi="Times New Roman" w:cs="Times New Roman"/>
          <w:szCs w:val="24"/>
          <w:lang w:eastAsia="pl-PL"/>
        </w:rPr>
      </w:pPr>
      <w:r>
        <w:rPr>
          <w:rFonts w:ascii="Times New Roman" w:hAnsi="Times New Roman" w:cs="Times New Roman"/>
          <w:szCs w:val="24"/>
          <w:lang w:eastAsia="pl-PL"/>
        </w:rPr>
        <w:t>Proponowana nowelizacja</w:t>
      </w:r>
      <w:r w:rsidRPr="00641D87">
        <w:rPr>
          <w:rFonts w:ascii="Times New Roman" w:hAnsi="Times New Roman" w:cs="Times New Roman"/>
          <w:szCs w:val="24"/>
          <w:lang w:eastAsia="pl-PL"/>
        </w:rPr>
        <w:t xml:space="preserve"> ma na celu ochronę prawa własności oraz </w:t>
      </w:r>
      <w:r>
        <w:rPr>
          <w:rFonts w:ascii="Times New Roman" w:hAnsi="Times New Roman" w:cs="Times New Roman"/>
          <w:szCs w:val="24"/>
          <w:lang w:eastAsia="pl-PL"/>
        </w:rPr>
        <w:t>zapewnienie bezpieczeństwa</w:t>
      </w:r>
      <w:r w:rsidRPr="00641D87">
        <w:rPr>
          <w:rFonts w:ascii="Times New Roman" w:hAnsi="Times New Roman" w:cs="Times New Roman"/>
          <w:szCs w:val="24"/>
          <w:lang w:eastAsia="pl-PL"/>
        </w:rPr>
        <w:t xml:space="preserve"> obrotu nieruchomościami. Nowe zasady zapobiegną stosowaniu nadużyć i oszustw</w:t>
      </w:r>
      <w:r>
        <w:rPr>
          <w:rFonts w:ascii="Times New Roman" w:hAnsi="Times New Roman" w:cs="Times New Roman"/>
          <w:szCs w:val="24"/>
          <w:lang w:eastAsia="pl-PL"/>
        </w:rPr>
        <w:t xml:space="preserve">. </w:t>
      </w:r>
      <w:r w:rsidRPr="00641D87">
        <w:rPr>
          <w:rFonts w:ascii="Times New Roman" w:hAnsi="Times New Roman" w:cs="Times New Roman"/>
          <w:szCs w:val="24"/>
          <w:lang w:eastAsia="pl-PL"/>
        </w:rPr>
        <w:t>Należy zauważyć, że do tej pory podmioty te miały po swojej stronie jedynie obowiązki, podczas gdy nowelizacja, nie zabierając żadnej z powinności, przyznaje im również uprawnienia do uzys</w:t>
      </w:r>
      <w:r>
        <w:rPr>
          <w:rFonts w:ascii="Times New Roman" w:hAnsi="Times New Roman" w:cs="Times New Roman"/>
          <w:szCs w:val="24"/>
          <w:lang w:eastAsia="pl-PL"/>
        </w:rPr>
        <w:t>kania stosownego zabezpieczenia.</w:t>
      </w:r>
    </w:p>
    <w:p w:rsidR="002B7CB8" w:rsidRPr="00641D87" w:rsidRDefault="002B7CB8" w:rsidP="002B7CB8">
      <w:pPr>
        <w:pStyle w:val="Tekstpodstawowyzwciciem"/>
        <w:spacing w:line="360" w:lineRule="auto"/>
        <w:jc w:val="both"/>
        <w:rPr>
          <w:rFonts w:ascii="Times New Roman" w:hAnsi="Times New Roman" w:cs="Times New Roman"/>
          <w:szCs w:val="24"/>
          <w:lang w:eastAsia="pl-PL"/>
        </w:rPr>
      </w:pPr>
      <w:r>
        <w:rPr>
          <w:rFonts w:ascii="Times New Roman" w:hAnsi="Times New Roman" w:cs="Times New Roman"/>
          <w:szCs w:val="24"/>
          <w:lang w:eastAsia="pl-PL"/>
        </w:rPr>
        <w:t>Z</w:t>
      </w:r>
      <w:r w:rsidRPr="00641D87">
        <w:rPr>
          <w:rFonts w:ascii="Times New Roman" w:hAnsi="Times New Roman" w:cs="Times New Roman"/>
          <w:szCs w:val="24"/>
          <w:lang w:eastAsia="pl-PL"/>
        </w:rPr>
        <w:t xml:space="preserve">obowiązanie w postaci obowiązku złożenia odpowiedniej ceny </w:t>
      </w:r>
      <w:r>
        <w:rPr>
          <w:rFonts w:ascii="Times New Roman" w:hAnsi="Times New Roman" w:cs="Times New Roman"/>
          <w:szCs w:val="24"/>
          <w:lang w:eastAsia="pl-PL"/>
        </w:rPr>
        <w:t>do</w:t>
      </w:r>
      <w:r w:rsidRPr="00641D87">
        <w:rPr>
          <w:rFonts w:ascii="Times New Roman" w:hAnsi="Times New Roman" w:cs="Times New Roman"/>
          <w:szCs w:val="24"/>
          <w:lang w:eastAsia="pl-PL"/>
        </w:rPr>
        <w:t xml:space="preserve"> depozy</w:t>
      </w:r>
      <w:r>
        <w:rPr>
          <w:rFonts w:ascii="Times New Roman" w:hAnsi="Times New Roman" w:cs="Times New Roman"/>
          <w:szCs w:val="24"/>
          <w:lang w:eastAsia="pl-PL"/>
        </w:rPr>
        <w:t>tu</w:t>
      </w:r>
      <w:r w:rsidRPr="00641D87">
        <w:rPr>
          <w:rFonts w:ascii="Times New Roman" w:hAnsi="Times New Roman" w:cs="Times New Roman"/>
          <w:szCs w:val="24"/>
          <w:lang w:eastAsia="pl-PL"/>
        </w:rPr>
        <w:t xml:space="preserve"> wpłynie na  wiarygodność kupującego. Dzięki wykonaniu swojego obowiązku zostanie uznany za </w:t>
      </w:r>
      <w:r w:rsidRPr="00641D87">
        <w:rPr>
          <w:rFonts w:ascii="Times New Roman" w:hAnsi="Times New Roman" w:cs="Times New Roman"/>
          <w:szCs w:val="24"/>
          <w:lang w:eastAsia="pl-PL"/>
        </w:rPr>
        <w:lastRenderedPageBreak/>
        <w:t xml:space="preserve">uczciwego i odpowiedzialnego kontrahenta, </w:t>
      </w:r>
      <w:r>
        <w:rPr>
          <w:rFonts w:ascii="Times New Roman" w:hAnsi="Times New Roman" w:cs="Times New Roman"/>
          <w:szCs w:val="24"/>
          <w:lang w:eastAsia="pl-PL"/>
        </w:rPr>
        <w:t xml:space="preserve">a w konsekwencji </w:t>
      </w:r>
      <w:r w:rsidRPr="00641D87">
        <w:rPr>
          <w:rFonts w:ascii="Times New Roman" w:hAnsi="Times New Roman" w:cs="Times New Roman"/>
          <w:szCs w:val="24"/>
          <w:lang w:eastAsia="pl-PL"/>
        </w:rPr>
        <w:t xml:space="preserve">spełnienie zobowiązania nie powinno budzić żadnych sprzeciwów </w:t>
      </w:r>
      <w:r>
        <w:rPr>
          <w:rFonts w:ascii="Times New Roman" w:hAnsi="Times New Roman" w:cs="Times New Roman"/>
          <w:szCs w:val="24"/>
          <w:lang w:eastAsia="pl-PL"/>
        </w:rPr>
        <w:t>oraz ewentualnych</w:t>
      </w:r>
      <w:r w:rsidRPr="00641D87">
        <w:rPr>
          <w:rFonts w:ascii="Times New Roman" w:hAnsi="Times New Roman" w:cs="Times New Roman"/>
          <w:szCs w:val="24"/>
          <w:lang w:eastAsia="pl-PL"/>
        </w:rPr>
        <w:t xml:space="preserve"> sporów. </w:t>
      </w:r>
    </w:p>
    <w:p w:rsidR="002B7CB8" w:rsidRPr="00641D87" w:rsidRDefault="002B7CB8" w:rsidP="002B7CB8">
      <w:pPr>
        <w:pStyle w:val="Tekstpodstawowyzwciciem"/>
        <w:spacing w:line="360" w:lineRule="auto"/>
        <w:jc w:val="both"/>
        <w:rPr>
          <w:rFonts w:ascii="Times New Roman" w:hAnsi="Times New Roman" w:cs="Times New Roman"/>
          <w:szCs w:val="24"/>
          <w:lang w:eastAsia="pl-PL"/>
        </w:rPr>
      </w:pPr>
      <w:r w:rsidRPr="00641D87">
        <w:rPr>
          <w:rFonts w:ascii="Times New Roman" w:hAnsi="Times New Roman" w:cs="Times New Roman"/>
          <w:szCs w:val="24"/>
          <w:lang w:eastAsia="pl-PL"/>
        </w:rPr>
        <w:t xml:space="preserve">Zobowiązanie notariuszy do doręczenia podmiotowi zainteresowanemu oświadczenia o wykonaniu prawa pierwokupu zabezpieczy nie tylko sytuację prawną </w:t>
      </w:r>
      <w:r>
        <w:rPr>
          <w:rFonts w:ascii="Times New Roman" w:hAnsi="Times New Roman" w:cs="Times New Roman"/>
          <w:szCs w:val="24"/>
          <w:lang w:eastAsia="pl-PL"/>
        </w:rPr>
        <w:t>zobowiązanego</w:t>
      </w:r>
      <w:r w:rsidRPr="00641D87">
        <w:rPr>
          <w:rFonts w:ascii="Times New Roman" w:hAnsi="Times New Roman" w:cs="Times New Roman"/>
          <w:szCs w:val="24"/>
          <w:lang w:eastAsia="pl-PL"/>
        </w:rPr>
        <w:t xml:space="preserve"> i </w:t>
      </w:r>
      <w:r>
        <w:rPr>
          <w:rFonts w:ascii="Times New Roman" w:hAnsi="Times New Roman" w:cs="Times New Roman"/>
          <w:szCs w:val="24"/>
          <w:lang w:eastAsia="pl-PL"/>
        </w:rPr>
        <w:t>uprawnionego z tytułu prawa pierwokupu</w:t>
      </w:r>
      <w:r w:rsidRPr="00641D87">
        <w:rPr>
          <w:rFonts w:ascii="Times New Roman" w:hAnsi="Times New Roman" w:cs="Times New Roman"/>
          <w:szCs w:val="24"/>
          <w:lang w:eastAsia="pl-PL"/>
        </w:rPr>
        <w:t xml:space="preserve">, ale również będzie </w:t>
      </w:r>
      <w:r>
        <w:rPr>
          <w:rFonts w:ascii="Times New Roman" w:hAnsi="Times New Roman" w:cs="Times New Roman"/>
          <w:szCs w:val="24"/>
          <w:lang w:eastAsia="pl-PL"/>
        </w:rPr>
        <w:t>stanowiło zabezpieczenie</w:t>
      </w:r>
      <w:r w:rsidRPr="00641D87">
        <w:rPr>
          <w:rFonts w:ascii="Times New Roman" w:hAnsi="Times New Roman" w:cs="Times New Roman"/>
          <w:szCs w:val="24"/>
          <w:lang w:eastAsia="pl-PL"/>
        </w:rPr>
        <w:t xml:space="preserve"> dla samego notariusza. Zapobiegnie to powstaniu niepewności i sporów co do tego, kto jest zobligowany do doręczeni</w:t>
      </w:r>
      <w:r>
        <w:rPr>
          <w:rFonts w:ascii="Times New Roman" w:hAnsi="Times New Roman" w:cs="Times New Roman"/>
          <w:szCs w:val="24"/>
          <w:lang w:eastAsia="pl-PL"/>
        </w:rPr>
        <w:t>a</w:t>
      </w:r>
      <w:r w:rsidRPr="00641D87">
        <w:rPr>
          <w:rFonts w:ascii="Times New Roman" w:hAnsi="Times New Roman" w:cs="Times New Roman"/>
          <w:szCs w:val="24"/>
          <w:lang w:eastAsia="pl-PL"/>
        </w:rPr>
        <w:t xml:space="preserve"> oświadczenia</w:t>
      </w:r>
      <w:r>
        <w:rPr>
          <w:rFonts w:ascii="Times New Roman" w:hAnsi="Times New Roman" w:cs="Times New Roman"/>
          <w:szCs w:val="24"/>
          <w:lang w:eastAsia="pl-PL"/>
        </w:rPr>
        <w:t>, a także kiedy i w jaki sposób należy zabezpieczyć cenę uzyskaną z tytułu sprzedaży nieruchomości</w:t>
      </w:r>
      <w:r w:rsidRPr="00641D87">
        <w:rPr>
          <w:rFonts w:ascii="Times New Roman" w:hAnsi="Times New Roman" w:cs="Times New Roman"/>
          <w:szCs w:val="24"/>
          <w:lang w:eastAsia="pl-PL"/>
        </w:rPr>
        <w:t xml:space="preserve">.   </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r w:rsidRPr="00641D87">
        <w:rPr>
          <w:rFonts w:ascii="Times New Roman" w:hAnsi="Times New Roman" w:cs="Times New Roman"/>
          <w:b/>
          <w:bCs/>
          <w:szCs w:val="24"/>
        </w:rPr>
        <w:t>4. Źródła finansowania, jeżeli projekt niesie obciążenia dla budżetu państwa lub</w:t>
      </w:r>
    </w:p>
    <w:p w:rsidR="002B7CB8" w:rsidRDefault="002B7CB8" w:rsidP="002B7CB8">
      <w:pPr>
        <w:autoSpaceDE w:val="0"/>
        <w:autoSpaceDN w:val="0"/>
        <w:adjustRightInd w:val="0"/>
        <w:spacing w:after="0" w:line="360" w:lineRule="auto"/>
        <w:jc w:val="both"/>
        <w:rPr>
          <w:rFonts w:ascii="Times New Roman" w:hAnsi="Times New Roman" w:cs="Times New Roman"/>
          <w:b/>
          <w:bCs/>
          <w:szCs w:val="24"/>
        </w:rPr>
      </w:pPr>
      <w:r w:rsidRPr="00641D87">
        <w:rPr>
          <w:rFonts w:ascii="Times New Roman" w:hAnsi="Times New Roman" w:cs="Times New Roman"/>
          <w:b/>
          <w:bCs/>
          <w:szCs w:val="24"/>
        </w:rPr>
        <w:t>jednostek samorządu terytorialnego</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Pr="00641D87" w:rsidRDefault="002B7CB8" w:rsidP="002B7CB8">
      <w:pPr>
        <w:autoSpaceDE w:val="0"/>
        <w:autoSpaceDN w:val="0"/>
        <w:adjustRightInd w:val="0"/>
        <w:spacing w:after="0" w:line="360" w:lineRule="auto"/>
        <w:jc w:val="both"/>
        <w:rPr>
          <w:rFonts w:ascii="Times New Roman" w:hAnsi="Times New Roman" w:cs="Times New Roman"/>
          <w:szCs w:val="24"/>
        </w:rPr>
      </w:pPr>
      <w:r w:rsidRPr="00641D87">
        <w:rPr>
          <w:rFonts w:ascii="Times New Roman" w:hAnsi="Times New Roman" w:cs="Times New Roman"/>
          <w:szCs w:val="24"/>
        </w:rPr>
        <w:t>Projektowana ustawa rodzi skutk</w:t>
      </w:r>
      <w:r>
        <w:rPr>
          <w:rFonts w:ascii="Times New Roman" w:hAnsi="Times New Roman" w:cs="Times New Roman"/>
          <w:szCs w:val="24"/>
        </w:rPr>
        <w:t>i</w:t>
      </w:r>
      <w:r w:rsidRPr="00641D87">
        <w:rPr>
          <w:rFonts w:ascii="Times New Roman" w:hAnsi="Times New Roman" w:cs="Times New Roman"/>
          <w:szCs w:val="24"/>
        </w:rPr>
        <w:t xml:space="preserve"> finansow</w:t>
      </w:r>
      <w:r>
        <w:rPr>
          <w:rFonts w:ascii="Times New Roman" w:hAnsi="Times New Roman" w:cs="Times New Roman"/>
          <w:szCs w:val="24"/>
        </w:rPr>
        <w:t>e</w:t>
      </w:r>
      <w:r w:rsidRPr="00641D87">
        <w:rPr>
          <w:rFonts w:ascii="Times New Roman" w:hAnsi="Times New Roman" w:cs="Times New Roman"/>
          <w:szCs w:val="24"/>
        </w:rPr>
        <w:t xml:space="preserve"> dla budżetu państwa oraz budżetów jed</w:t>
      </w:r>
      <w:r>
        <w:rPr>
          <w:rFonts w:ascii="Times New Roman" w:hAnsi="Times New Roman" w:cs="Times New Roman"/>
          <w:szCs w:val="24"/>
        </w:rPr>
        <w:t>nostek samorządu terytorialnego wynikająca z opłat za przyjęcie środków pieniężnych do depozytu notarialnego.</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Default="002B7CB8" w:rsidP="002B7CB8">
      <w:pPr>
        <w:autoSpaceDE w:val="0"/>
        <w:autoSpaceDN w:val="0"/>
        <w:adjustRightInd w:val="0"/>
        <w:spacing w:after="0" w:line="360" w:lineRule="auto"/>
        <w:jc w:val="both"/>
        <w:rPr>
          <w:rFonts w:ascii="Times New Roman" w:hAnsi="Times New Roman" w:cs="Times New Roman"/>
          <w:b/>
          <w:bCs/>
          <w:szCs w:val="24"/>
        </w:rPr>
      </w:pPr>
      <w:r w:rsidRPr="00641D87">
        <w:rPr>
          <w:rFonts w:ascii="Times New Roman" w:hAnsi="Times New Roman" w:cs="Times New Roman"/>
          <w:b/>
          <w:bCs/>
          <w:szCs w:val="24"/>
        </w:rPr>
        <w:t>5. Założenia projektów podstawowych aktów wykonawczych</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Pr="00641D87" w:rsidRDefault="002B7CB8" w:rsidP="002B7CB8">
      <w:pPr>
        <w:autoSpaceDE w:val="0"/>
        <w:autoSpaceDN w:val="0"/>
        <w:adjustRightInd w:val="0"/>
        <w:spacing w:after="0" w:line="360" w:lineRule="auto"/>
        <w:jc w:val="both"/>
        <w:rPr>
          <w:rFonts w:ascii="Times New Roman" w:hAnsi="Times New Roman" w:cs="Times New Roman"/>
          <w:szCs w:val="24"/>
        </w:rPr>
      </w:pPr>
      <w:r w:rsidRPr="00641D87">
        <w:rPr>
          <w:rFonts w:ascii="Times New Roman" w:hAnsi="Times New Roman" w:cs="Times New Roman"/>
          <w:szCs w:val="24"/>
        </w:rPr>
        <w:t xml:space="preserve">Projekt ustawy nie przewiduje wydania aktów wykonawczych. </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Default="002B7CB8" w:rsidP="002B7CB8">
      <w:pPr>
        <w:autoSpaceDE w:val="0"/>
        <w:autoSpaceDN w:val="0"/>
        <w:adjustRightInd w:val="0"/>
        <w:spacing w:after="0" w:line="360" w:lineRule="auto"/>
        <w:jc w:val="both"/>
        <w:rPr>
          <w:rFonts w:ascii="Times New Roman" w:hAnsi="Times New Roman" w:cs="Times New Roman"/>
          <w:b/>
          <w:bCs/>
          <w:szCs w:val="24"/>
        </w:rPr>
      </w:pPr>
      <w:r w:rsidRPr="00641D87">
        <w:rPr>
          <w:rFonts w:ascii="Times New Roman" w:hAnsi="Times New Roman" w:cs="Times New Roman"/>
          <w:b/>
          <w:bCs/>
          <w:szCs w:val="24"/>
        </w:rPr>
        <w:t>6. Ocena zgodności projektu z prawem Unii Europejskiej</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r w:rsidRPr="00641D87">
        <w:rPr>
          <w:rFonts w:ascii="Times New Roman" w:hAnsi="Times New Roman" w:cs="Times New Roman"/>
          <w:szCs w:val="24"/>
        </w:rPr>
        <w:t>Przedkładany projekt ustawy jest zgodny z prawem Unii Europejskiej.</w:t>
      </w:r>
    </w:p>
    <w:p w:rsidR="002B7CB8" w:rsidRPr="00641D87" w:rsidRDefault="002B7CB8" w:rsidP="002B7CB8">
      <w:pPr>
        <w:autoSpaceDE w:val="0"/>
        <w:autoSpaceDN w:val="0"/>
        <w:adjustRightInd w:val="0"/>
        <w:spacing w:after="0" w:line="360" w:lineRule="auto"/>
        <w:jc w:val="both"/>
        <w:rPr>
          <w:rFonts w:ascii="Times New Roman" w:hAnsi="Times New Roman" w:cs="Times New Roman"/>
          <w:b/>
          <w:bCs/>
          <w:szCs w:val="24"/>
        </w:rPr>
      </w:pPr>
    </w:p>
    <w:p w:rsidR="00876D28" w:rsidRPr="00641D87" w:rsidRDefault="00876D28" w:rsidP="002B7CB8">
      <w:pPr>
        <w:pStyle w:val="Tekstpodstawowy"/>
        <w:spacing w:line="360" w:lineRule="auto"/>
        <w:ind w:firstLine="360"/>
        <w:jc w:val="both"/>
        <w:rPr>
          <w:rFonts w:ascii="Times New Roman" w:hAnsi="Times New Roman" w:cs="Times New Roman"/>
          <w:b/>
          <w:bCs/>
          <w:szCs w:val="24"/>
        </w:rPr>
      </w:pPr>
    </w:p>
    <w:sectPr w:rsidR="00876D28" w:rsidRPr="00641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AE6" w:rsidRDefault="00927AE6" w:rsidP="0062659E">
      <w:pPr>
        <w:spacing w:after="0" w:line="240" w:lineRule="auto"/>
      </w:pPr>
      <w:r>
        <w:separator/>
      </w:r>
    </w:p>
  </w:endnote>
  <w:endnote w:type="continuationSeparator" w:id="0">
    <w:p w:rsidR="00927AE6" w:rsidRDefault="00927AE6" w:rsidP="0062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AE6" w:rsidRDefault="00927AE6" w:rsidP="0062659E">
      <w:pPr>
        <w:spacing w:after="0" w:line="240" w:lineRule="auto"/>
      </w:pPr>
      <w:r>
        <w:separator/>
      </w:r>
    </w:p>
  </w:footnote>
  <w:footnote w:type="continuationSeparator" w:id="0">
    <w:p w:rsidR="00927AE6" w:rsidRDefault="00927AE6" w:rsidP="0062659E">
      <w:pPr>
        <w:spacing w:after="0" w:line="240" w:lineRule="auto"/>
      </w:pPr>
      <w:r>
        <w:continuationSeparator/>
      </w:r>
    </w:p>
  </w:footnote>
  <w:footnote w:id="1">
    <w:p w:rsidR="00232116" w:rsidRDefault="00232116">
      <w:pPr>
        <w:pStyle w:val="Tekstprzypisudolnego"/>
      </w:pPr>
      <w:r>
        <w:rPr>
          <w:rStyle w:val="Odwoanieprzypisudolnego"/>
        </w:rPr>
        <w:footnoteRef/>
      </w:r>
      <w:r>
        <w:t xml:space="preserve"> </w:t>
      </w:r>
      <w:r>
        <w:rPr>
          <w:rFonts w:ascii="Times New Roman"/>
        </w:rPr>
        <w:t>Zmiany tekstu jednolitego wymienionej ustawy zosta</w:t>
      </w:r>
      <w:r>
        <w:rPr>
          <w:rFonts w:hAnsi="Times New Roman"/>
        </w:rPr>
        <w:t>ł</w:t>
      </w:r>
      <w:r>
        <w:rPr>
          <w:rFonts w:ascii="Times New Roman"/>
          <w:lang w:val="da-DK"/>
        </w:rPr>
        <w:t>y og</w:t>
      </w:r>
      <w:proofErr w:type="spellStart"/>
      <w:r>
        <w:rPr>
          <w:rFonts w:hAnsi="Times New Roman"/>
        </w:rPr>
        <w:t>ł</w:t>
      </w:r>
      <w:r>
        <w:rPr>
          <w:rFonts w:ascii="Times New Roman"/>
        </w:rPr>
        <w:t>oszone</w:t>
      </w:r>
      <w:proofErr w:type="spellEnd"/>
      <w:r>
        <w:rPr>
          <w:rFonts w:ascii="Times New Roman"/>
        </w:rPr>
        <w:t xml:space="preserve"> w Dz. U. z 2016 r. poz. 585.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71D"/>
    <w:multiLevelType w:val="hybridMultilevel"/>
    <w:tmpl w:val="047A2DB8"/>
    <w:lvl w:ilvl="0" w:tplc="5E9E51E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3B41F4"/>
    <w:multiLevelType w:val="hybridMultilevel"/>
    <w:tmpl w:val="0C6041F2"/>
    <w:lvl w:ilvl="0" w:tplc="4F1C48EE">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10263E44"/>
    <w:multiLevelType w:val="hybridMultilevel"/>
    <w:tmpl w:val="C2F25308"/>
    <w:lvl w:ilvl="0" w:tplc="4E5C8690">
      <w:start w:val="1"/>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E6351C"/>
    <w:multiLevelType w:val="hybridMultilevel"/>
    <w:tmpl w:val="39C82336"/>
    <w:lvl w:ilvl="0" w:tplc="5166074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8B50C7A"/>
    <w:multiLevelType w:val="hybridMultilevel"/>
    <w:tmpl w:val="486A7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5827C77"/>
    <w:multiLevelType w:val="hybridMultilevel"/>
    <w:tmpl w:val="C818DE88"/>
    <w:lvl w:ilvl="0" w:tplc="0415000F">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CAE127D"/>
    <w:multiLevelType w:val="multilevel"/>
    <w:tmpl w:val="205814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1B4969"/>
    <w:multiLevelType w:val="hybridMultilevel"/>
    <w:tmpl w:val="FF9A52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7EB3748"/>
    <w:multiLevelType w:val="hybridMultilevel"/>
    <w:tmpl w:val="E3944C9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nsid w:val="65832812"/>
    <w:multiLevelType w:val="hybridMultilevel"/>
    <w:tmpl w:val="D680AE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61562F6"/>
    <w:multiLevelType w:val="multilevel"/>
    <w:tmpl w:val="205814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885A6A"/>
    <w:multiLevelType w:val="hybridMultilevel"/>
    <w:tmpl w:val="C24C78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D9D4410"/>
    <w:multiLevelType w:val="hybridMultilevel"/>
    <w:tmpl w:val="A69AEBAC"/>
    <w:lvl w:ilvl="0" w:tplc="DA347CB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0"/>
  </w:num>
  <w:num w:numId="2">
    <w:abstractNumId w:val="6"/>
  </w:num>
  <w:num w:numId="3">
    <w:abstractNumId w:val="0"/>
  </w:num>
  <w:num w:numId="4">
    <w:abstractNumId w:val="11"/>
  </w:num>
  <w:num w:numId="5">
    <w:abstractNumId w:val="2"/>
  </w:num>
  <w:num w:numId="6">
    <w:abstractNumId w:val="8"/>
  </w:num>
  <w:num w:numId="7">
    <w:abstractNumId w:val="9"/>
  </w:num>
  <w:num w:numId="8">
    <w:abstractNumId w:val="5"/>
  </w:num>
  <w:num w:numId="9">
    <w:abstractNumId w:val="3"/>
  </w:num>
  <w:num w:numId="10">
    <w:abstractNumId w:val="4"/>
  </w:num>
  <w:num w:numId="11">
    <w:abstractNumId w:val="7"/>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307"/>
    <w:rsid w:val="000332F2"/>
    <w:rsid w:val="00046F26"/>
    <w:rsid w:val="00071E06"/>
    <w:rsid w:val="000725BF"/>
    <w:rsid w:val="00077E36"/>
    <w:rsid w:val="00095C4C"/>
    <w:rsid w:val="00113F1C"/>
    <w:rsid w:val="00152BC4"/>
    <w:rsid w:val="00152D44"/>
    <w:rsid w:val="00155BFE"/>
    <w:rsid w:val="00157996"/>
    <w:rsid w:val="001E09EA"/>
    <w:rsid w:val="00232116"/>
    <w:rsid w:val="002663AC"/>
    <w:rsid w:val="00272ECF"/>
    <w:rsid w:val="002B7CB8"/>
    <w:rsid w:val="002D6698"/>
    <w:rsid w:val="002F44D2"/>
    <w:rsid w:val="002F5AD2"/>
    <w:rsid w:val="003063DC"/>
    <w:rsid w:val="00367307"/>
    <w:rsid w:val="00391AA7"/>
    <w:rsid w:val="003A4E6F"/>
    <w:rsid w:val="003B11B6"/>
    <w:rsid w:val="003D34F5"/>
    <w:rsid w:val="004164AA"/>
    <w:rsid w:val="004377FD"/>
    <w:rsid w:val="004A4614"/>
    <w:rsid w:val="004A7607"/>
    <w:rsid w:val="004C0D88"/>
    <w:rsid w:val="004C2DE7"/>
    <w:rsid w:val="005C4D79"/>
    <w:rsid w:val="005E7FF1"/>
    <w:rsid w:val="0062659E"/>
    <w:rsid w:val="00641D87"/>
    <w:rsid w:val="006508EA"/>
    <w:rsid w:val="00664730"/>
    <w:rsid w:val="00664FD2"/>
    <w:rsid w:val="00667A28"/>
    <w:rsid w:val="00685FE6"/>
    <w:rsid w:val="006F65BE"/>
    <w:rsid w:val="007008FB"/>
    <w:rsid w:val="0071772A"/>
    <w:rsid w:val="00721976"/>
    <w:rsid w:val="00722B4D"/>
    <w:rsid w:val="00733A30"/>
    <w:rsid w:val="0074510A"/>
    <w:rsid w:val="00750377"/>
    <w:rsid w:val="007B4441"/>
    <w:rsid w:val="007B75EA"/>
    <w:rsid w:val="007C34F5"/>
    <w:rsid w:val="007C51E5"/>
    <w:rsid w:val="007C55EA"/>
    <w:rsid w:val="00845BBD"/>
    <w:rsid w:val="008473BA"/>
    <w:rsid w:val="00876D28"/>
    <w:rsid w:val="008A706D"/>
    <w:rsid w:val="008A7C04"/>
    <w:rsid w:val="008C14DD"/>
    <w:rsid w:val="008C2324"/>
    <w:rsid w:val="008C4EA7"/>
    <w:rsid w:val="008F49E3"/>
    <w:rsid w:val="00927AE6"/>
    <w:rsid w:val="0093656C"/>
    <w:rsid w:val="00952B0F"/>
    <w:rsid w:val="009557A6"/>
    <w:rsid w:val="009A032E"/>
    <w:rsid w:val="009F58BE"/>
    <w:rsid w:val="009F7AB1"/>
    <w:rsid w:val="00A27BFB"/>
    <w:rsid w:val="00A32188"/>
    <w:rsid w:val="00A32CC9"/>
    <w:rsid w:val="00A44E3B"/>
    <w:rsid w:val="00AB3FEF"/>
    <w:rsid w:val="00AE47B6"/>
    <w:rsid w:val="00AE72C1"/>
    <w:rsid w:val="00B043A0"/>
    <w:rsid w:val="00B20156"/>
    <w:rsid w:val="00B26E72"/>
    <w:rsid w:val="00B54CAE"/>
    <w:rsid w:val="00B55044"/>
    <w:rsid w:val="00BC1E5C"/>
    <w:rsid w:val="00C311F6"/>
    <w:rsid w:val="00C476EF"/>
    <w:rsid w:val="00C639C9"/>
    <w:rsid w:val="00C8022C"/>
    <w:rsid w:val="00C8584B"/>
    <w:rsid w:val="00CC5FC7"/>
    <w:rsid w:val="00CD15A8"/>
    <w:rsid w:val="00CD777C"/>
    <w:rsid w:val="00D20579"/>
    <w:rsid w:val="00D62831"/>
    <w:rsid w:val="00DA0A13"/>
    <w:rsid w:val="00DB3C42"/>
    <w:rsid w:val="00DB4D2A"/>
    <w:rsid w:val="00DB5BEE"/>
    <w:rsid w:val="00DD1DB3"/>
    <w:rsid w:val="00DF6F92"/>
    <w:rsid w:val="00E52291"/>
    <w:rsid w:val="00E83D00"/>
    <w:rsid w:val="00E90DC7"/>
    <w:rsid w:val="00E9121A"/>
    <w:rsid w:val="00EB1C7D"/>
    <w:rsid w:val="00EC7639"/>
    <w:rsid w:val="00ED2C8C"/>
    <w:rsid w:val="00F1737C"/>
    <w:rsid w:val="00F50A06"/>
    <w:rsid w:val="00F618A7"/>
    <w:rsid w:val="00F863EA"/>
    <w:rsid w:val="00F90D61"/>
    <w:rsid w:val="00FB602F"/>
    <w:rsid w:val="00FB67A7"/>
    <w:rsid w:val="00FC23E9"/>
    <w:rsid w:val="00FD1B06"/>
    <w:rsid w:val="00FE0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Theme="minorHAnsi" w:hAnsi="Palatino Linotype"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62659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659E"/>
    <w:rPr>
      <w:sz w:val="20"/>
      <w:szCs w:val="20"/>
    </w:rPr>
  </w:style>
  <w:style w:type="character" w:styleId="Odwoanieprzypisukocowego">
    <w:name w:val="endnote reference"/>
    <w:basedOn w:val="Domylnaczcionkaakapitu"/>
    <w:uiPriority w:val="99"/>
    <w:semiHidden/>
    <w:unhideWhenUsed/>
    <w:rsid w:val="0062659E"/>
    <w:rPr>
      <w:vertAlign w:val="superscript"/>
    </w:rPr>
  </w:style>
  <w:style w:type="paragraph" w:styleId="Akapitzlist">
    <w:name w:val="List Paragraph"/>
    <w:basedOn w:val="Normalny"/>
    <w:uiPriority w:val="34"/>
    <w:qFormat/>
    <w:rsid w:val="007B75EA"/>
    <w:pPr>
      <w:ind w:left="720"/>
      <w:contextualSpacing/>
    </w:pPr>
  </w:style>
  <w:style w:type="paragraph" w:styleId="Lista">
    <w:name w:val="List"/>
    <w:basedOn w:val="Normalny"/>
    <w:uiPriority w:val="99"/>
    <w:unhideWhenUsed/>
    <w:rsid w:val="00FC23E9"/>
    <w:pPr>
      <w:ind w:left="283" w:hanging="283"/>
      <w:contextualSpacing/>
    </w:pPr>
  </w:style>
  <w:style w:type="paragraph" w:styleId="Lista-kontynuacja">
    <w:name w:val="List Continue"/>
    <w:basedOn w:val="Normalny"/>
    <w:uiPriority w:val="99"/>
    <w:unhideWhenUsed/>
    <w:rsid w:val="00FC23E9"/>
    <w:pPr>
      <w:spacing w:after="120"/>
      <w:ind w:left="283"/>
      <w:contextualSpacing/>
    </w:pPr>
  </w:style>
  <w:style w:type="paragraph" w:styleId="Tekstpodstawowy">
    <w:name w:val="Body Text"/>
    <w:basedOn w:val="Normalny"/>
    <w:link w:val="TekstpodstawowyZnak"/>
    <w:uiPriority w:val="99"/>
    <w:unhideWhenUsed/>
    <w:rsid w:val="00FC23E9"/>
    <w:pPr>
      <w:spacing w:after="120"/>
    </w:pPr>
  </w:style>
  <w:style w:type="character" w:customStyle="1" w:styleId="TekstpodstawowyZnak">
    <w:name w:val="Tekst podstawowy Znak"/>
    <w:basedOn w:val="Domylnaczcionkaakapitu"/>
    <w:link w:val="Tekstpodstawowy"/>
    <w:uiPriority w:val="99"/>
    <w:rsid w:val="00FC23E9"/>
  </w:style>
  <w:style w:type="paragraph" w:styleId="Tekstpodstawowyzwciciem">
    <w:name w:val="Body Text First Indent"/>
    <w:basedOn w:val="Tekstpodstawowy"/>
    <w:link w:val="TekstpodstawowyzwciciemZnak"/>
    <w:uiPriority w:val="99"/>
    <w:unhideWhenUsed/>
    <w:rsid w:val="00FC23E9"/>
    <w:pPr>
      <w:spacing w:after="200"/>
      <w:ind w:firstLine="360"/>
    </w:pPr>
  </w:style>
  <w:style w:type="character" w:customStyle="1" w:styleId="TekstpodstawowyzwciciemZnak">
    <w:name w:val="Tekst podstawowy z wcięciem Znak"/>
    <w:basedOn w:val="TekstpodstawowyZnak"/>
    <w:link w:val="Tekstpodstawowyzwciciem"/>
    <w:uiPriority w:val="99"/>
    <w:rsid w:val="00FC23E9"/>
  </w:style>
  <w:style w:type="character" w:customStyle="1" w:styleId="apple-converted-space">
    <w:name w:val="apple-converted-space"/>
    <w:basedOn w:val="Domylnaczcionkaakapitu"/>
    <w:rsid w:val="00C476EF"/>
  </w:style>
  <w:style w:type="character" w:customStyle="1" w:styleId="luchili">
    <w:name w:val="luc_hili"/>
    <w:basedOn w:val="Domylnaczcionkaakapitu"/>
    <w:rsid w:val="00C476EF"/>
  </w:style>
  <w:style w:type="paragraph" w:styleId="Tekstdymka">
    <w:name w:val="Balloon Text"/>
    <w:basedOn w:val="Normalny"/>
    <w:link w:val="TekstdymkaZnak"/>
    <w:uiPriority w:val="99"/>
    <w:semiHidden/>
    <w:unhideWhenUsed/>
    <w:rsid w:val="009F7AB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F7AB1"/>
    <w:rPr>
      <w:rFonts w:ascii="Tahoma" w:hAnsi="Tahoma" w:cs="Tahoma"/>
      <w:sz w:val="16"/>
      <w:szCs w:val="16"/>
    </w:rPr>
  </w:style>
  <w:style w:type="paragraph" w:styleId="Tekstprzypisudolnego">
    <w:name w:val="footnote text"/>
    <w:basedOn w:val="Normalny"/>
    <w:link w:val="TekstprzypisudolnegoZnak"/>
    <w:uiPriority w:val="99"/>
    <w:semiHidden/>
    <w:unhideWhenUsed/>
    <w:rsid w:val="002321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32116"/>
    <w:rPr>
      <w:sz w:val="20"/>
      <w:szCs w:val="20"/>
    </w:rPr>
  </w:style>
  <w:style w:type="character" w:styleId="Odwoanieprzypisudolnego">
    <w:name w:val="footnote reference"/>
    <w:basedOn w:val="Domylnaczcionkaakapitu"/>
    <w:uiPriority w:val="99"/>
    <w:semiHidden/>
    <w:unhideWhenUsed/>
    <w:rsid w:val="00232116"/>
    <w:rPr>
      <w:vertAlign w:val="superscript"/>
    </w:rPr>
  </w:style>
  <w:style w:type="character" w:styleId="Odwoaniedokomentarza">
    <w:name w:val="annotation reference"/>
    <w:basedOn w:val="Domylnaczcionkaakapitu"/>
    <w:uiPriority w:val="99"/>
    <w:semiHidden/>
    <w:unhideWhenUsed/>
    <w:rsid w:val="00E9121A"/>
    <w:rPr>
      <w:sz w:val="16"/>
      <w:szCs w:val="16"/>
    </w:rPr>
  </w:style>
  <w:style w:type="paragraph" w:styleId="Tekstkomentarza">
    <w:name w:val="annotation text"/>
    <w:basedOn w:val="Normalny"/>
    <w:link w:val="TekstkomentarzaZnak"/>
    <w:uiPriority w:val="99"/>
    <w:semiHidden/>
    <w:unhideWhenUsed/>
    <w:rsid w:val="00E912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121A"/>
    <w:rPr>
      <w:sz w:val="20"/>
      <w:szCs w:val="20"/>
    </w:rPr>
  </w:style>
  <w:style w:type="paragraph" w:styleId="Tematkomentarza">
    <w:name w:val="annotation subject"/>
    <w:basedOn w:val="Tekstkomentarza"/>
    <w:next w:val="Tekstkomentarza"/>
    <w:link w:val="TematkomentarzaZnak"/>
    <w:uiPriority w:val="99"/>
    <w:semiHidden/>
    <w:unhideWhenUsed/>
    <w:rsid w:val="00E9121A"/>
    <w:rPr>
      <w:b/>
      <w:bCs/>
    </w:rPr>
  </w:style>
  <w:style w:type="character" w:customStyle="1" w:styleId="TematkomentarzaZnak">
    <w:name w:val="Temat komentarza Znak"/>
    <w:basedOn w:val="TekstkomentarzaZnak"/>
    <w:link w:val="Tematkomentarza"/>
    <w:uiPriority w:val="99"/>
    <w:semiHidden/>
    <w:rsid w:val="00E9121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Theme="minorHAnsi" w:hAnsi="Palatino Linotype"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62659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659E"/>
    <w:rPr>
      <w:sz w:val="20"/>
      <w:szCs w:val="20"/>
    </w:rPr>
  </w:style>
  <w:style w:type="character" w:styleId="Odwoanieprzypisukocowego">
    <w:name w:val="endnote reference"/>
    <w:basedOn w:val="Domylnaczcionkaakapitu"/>
    <w:uiPriority w:val="99"/>
    <w:semiHidden/>
    <w:unhideWhenUsed/>
    <w:rsid w:val="0062659E"/>
    <w:rPr>
      <w:vertAlign w:val="superscript"/>
    </w:rPr>
  </w:style>
  <w:style w:type="paragraph" w:styleId="Akapitzlist">
    <w:name w:val="List Paragraph"/>
    <w:basedOn w:val="Normalny"/>
    <w:uiPriority w:val="34"/>
    <w:qFormat/>
    <w:rsid w:val="007B75EA"/>
    <w:pPr>
      <w:ind w:left="720"/>
      <w:contextualSpacing/>
    </w:pPr>
  </w:style>
  <w:style w:type="paragraph" w:styleId="Lista">
    <w:name w:val="List"/>
    <w:basedOn w:val="Normalny"/>
    <w:uiPriority w:val="99"/>
    <w:unhideWhenUsed/>
    <w:rsid w:val="00FC23E9"/>
    <w:pPr>
      <w:ind w:left="283" w:hanging="283"/>
      <w:contextualSpacing/>
    </w:pPr>
  </w:style>
  <w:style w:type="paragraph" w:styleId="Lista-kontynuacja">
    <w:name w:val="List Continue"/>
    <w:basedOn w:val="Normalny"/>
    <w:uiPriority w:val="99"/>
    <w:unhideWhenUsed/>
    <w:rsid w:val="00FC23E9"/>
    <w:pPr>
      <w:spacing w:after="120"/>
      <w:ind w:left="283"/>
      <w:contextualSpacing/>
    </w:pPr>
  </w:style>
  <w:style w:type="paragraph" w:styleId="Tekstpodstawowy">
    <w:name w:val="Body Text"/>
    <w:basedOn w:val="Normalny"/>
    <w:link w:val="TekstpodstawowyZnak"/>
    <w:uiPriority w:val="99"/>
    <w:unhideWhenUsed/>
    <w:rsid w:val="00FC23E9"/>
    <w:pPr>
      <w:spacing w:after="120"/>
    </w:pPr>
  </w:style>
  <w:style w:type="character" w:customStyle="1" w:styleId="TekstpodstawowyZnak">
    <w:name w:val="Tekst podstawowy Znak"/>
    <w:basedOn w:val="Domylnaczcionkaakapitu"/>
    <w:link w:val="Tekstpodstawowy"/>
    <w:uiPriority w:val="99"/>
    <w:rsid w:val="00FC23E9"/>
  </w:style>
  <w:style w:type="paragraph" w:styleId="Tekstpodstawowyzwciciem">
    <w:name w:val="Body Text First Indent"/>
    <w:basedOn w:val="Tekstpodstawowy"/>
    <w:link w:val="TekstpodstawowyzwciciemZnak"/>
    <w:uiPriority w:val="99"/>
    <w:unhideWhenUsed/>
    <w:rsid w:val="00FC23E9"/>
    <w:pPr>
      <w:spacing w:after="200"/>
      <w:ind w:firstLine="360"/>
    </w:pPr>
  </w:style>
  <w:style w:type="character" w:customStyle="1" w:styleId="TekstpodstawowyzwciciemZnak">
    <w:name w:val="Tekst podstawowy z wcięciem Znak"/>
    <w:basedOn w:val="TekstpodstawowyZnak"/>
    <w:link w:val="Tekstpodstawowyzwciciem"/>
    <w:uiPriority w:val="99"/>
    <w:rsid w:val="00FC23E9"/>
  </w:style>
  <w:style w:type="character" w:customStyle="1" w:styleId="apple-converted-space">
    <w:name w:val="apple-converted-space"/>
    <w:basedOn w:val="Domylnaczcionkaakapitu"/>
    <w:rsid w:val="00C476EF"/>
  </w:style>
  <w:style w:type="character" w:customStyle="1" w:styleId="luchili">
    <w:name w:val="luc_hili"/>
    <w:basedOn w:val="Domylnaczcionkaakapitu"/>
    <w:rsid w:val="00C476EF"/>
  </w:style>
  <w:style w:type="paragraph" w:styleId="Tekstdymka">
    <w:name w:val="Balloon Text"/>
    <w:basedOn w:val="Normalny"/>
    <w:link w:val="TekstdymkaZnak"/>
    <w:uiPriority w:val="99"/>
    <w:semiHidden/>
    <w:unhideWhenUsed/>
    <w:rsid w:val="009F7AB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F7AB1"/>
    <w:rPr>
      <w:rFonts w:ascii="Tahoma" w:hAnsi="Tahoma" w:cs="Tahoma"/>
      <w:sz w:val="16"/>
      <w:szCs w:val="16"/>
    </w:rPr>
  </w:style>
  <w:style w:type="paragraph" w:styleId="Tekstprzypisudolnego">
    <w:name w:val="footnote text"/>
    <w:basedOn w:val="Normalny"/>
    <w:link w:val="TekstprzypisudolnegoZnak"/>
    <w:uiPriority w:val="99"/>
    <w:semiHidden/>
    <w:unhideWhenUsed/>
    <w:rsid w:val="002321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32116"/>
    <w:rPr>
      <w:sz w:val="20"/>
      <w:szCs w:val="20"/>
    </w:rPr>
  </w:style>
  <w:style w:type="character" w:styleId="Odwoanieprzypisudolnego">
    <w:name w:val="footnote reference"/>
    <w:basedOn w:val="Domylnaczcionkaakapitu"/>
    <w:uiPriority w:val="99"/>
    <w:semiHidden/>
    <w:unhideWhenUsed/>
    <w:rsid w:val="00232116"/>
    <w:rPr>
      <w:vertAlign w:val="superscript"/>
    </w:rPr>
  </w:style>
  <w:style w:type="character" w:styleId="Odwoaniedokomentarza">
    <w:name w:val="annotation reference"/>
    <w:basedOn w:val="Domylnaczcionkaakapitu"/>
    <w:uiPriority w:val="99"/>
    <w:semiHidden/>
    <w:unhideWhenUsed/>
    <w:rsid w:val="00E9121A"/>
    <w:rPr>
      <w:sz w:val="16"/>
      <w:szCs w:val="16"/>
    </w:rPr>
  </w:style>
  <w:style w:type="paragraph" w:styleId="Tekstkomentarza">
    <w:name w:val="annotation text"/>
    <w:basedOn w:val="Normalny"/>
    <w:link w:val="TekstkomentarzaZnak"/>
    <w:uiPriority w:val="99"/>
    <w:semiHidden/>
    <w:unhideWhenUsed/>
    <w:rsid w:val="00E912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121A"/>
    <w:rPr>
      <w:sz w:val="20"/>
      <w:szCs w:val="20"/>
    </w:rPr>
  </w:style>
  <w:style w:type="paragraph" w:styleId="Tematkomentarza">
    <w:name w:val="annotation subject"/>
    <w:basedOn w:val="Tekstkomentarza"/>
    <w:next w:val="Tekstkomentarza"/>
    <w:link w:val="TematkomentarzaZnak"/>
    <w:uiPriority w:val="99"/>
    <w:semiHidden/>
    <w:unhideWhenUsed/>
    <w:rsid w:val="00E9121A"/>
    <w:rPr>
      <w:b/>
      <w:bCs/>
    </w:rPr>
  </w:style>
  <w:style w:type="character" w:customStyle="1" w:styleId="TematkomentarzaZnak">
    <w:name w:val="Temat komentarza Znak"/>
    <w:basedOn w:val="TekstkomentarzaZnak"/>
    <w:link w:val="Tematkomentarza"/>
    <w:uiPriority w:val="99"/>
    <w:semiHidden/>
    <w:rsid w:val="00E912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73528">
      <w:bodyDiv w:val="1"/>
      <w:marLeft w:val="0"/>
      <w:marRight w:val="0"/>
      <w:marTop w:val="0"/>
      <w:marBottom w:val="0"/>
      <w:divBdr>
        <w:top w:val="none" w:sz="0" w:space="0" w:color="auto"/>
        <w:left w:val="none" w:sz="0" w:space="0" w:color="auto"/>
        <w:bottom w:val="none" w:sz="0" w:space="0" w:color="auto"/>
        <w:right w:val="none" w:sz="0" w:space="0" w:color="auto"/>
      </w:divBdr>
    </w:div>
    <w:div w:id="381447462">
      <w:bodyDiv w:val="1"/>
      <w:marLeft w:val="0"/>
      <w:marRight w:val="0"/>
      <w:marTop w:val="0"/>
      <w:marBottom w:val="0"/>
      <w:divBdr>
        <w:top w:val="none" w:sz="0" w:space="0" w:color="auto"/>
        <w:left w:val="none" w:sz="0" w:space="0" w:color="auto"/>
        <w:bottom w:val="none" w:sz="0" w:space="0" w:color="auto"/>
        <w:right w:val="none" w:sz="0" w:space="0" w:color="auto"/>
      </w:divBdr>
    </w:div>
    <w:div w:id="495415917">
      <w:bodyDiv w:val="1"/>
      <w:marLeft w:val="0"/>
      <w:marRight w:val="0"/>
      <w:marTop w:val="0"/>
      <w:marBottom w:val="0"/>
      <w:divBdr>
        <w:top w:val="none" w:sz="0" w:space="0" w:color="auto"/>
        <w:left w:val="none" w:sz="0" w:space="0" w:color="auto"/>
        <w:bottom w:val="none" w:sz="0" w:space="0" w:color="auto"/>
        <w:right w:val="none" w:sz="0" w:space="0" w:color="auto"/>
      </w:divBdr>
    </w:div>
    <w:div w:id="1132747360">
      <w:bodyDiv w:val="1"/>
      <w:marLeft w:val="0"/>
      <w:marRight w:val="0"/>
      <w:marTop w:val="0"/>
      <w:marBottom w:val="0"/>
      <w:divBdr>
        <w:top w:val="none" w:sz="0" w:space="0" w:color="auto"/>
        <w:left w:val="none" w:sz="0" w:space="0" w:color="auto"/>
        <w:bottom w:val="none" w:sz="0" w:space="0" w:color="auto"/>
        <w:right w:val="none" w:sz="0" w:space="0" w:color="auto"/>
      </w:divBdr>
    </w:div>
    <w:div w:id="1361541762">
      <w:bodyDiv w:val="1"/>
      <w:marLeft w:val="0"/>
      <w:marRight w:val="0"/>
      <w:marTop w:val="0"/>
      <w:marBottom w:val="0"/>
      <w:divBdr>
        <w:top w:val="none" w:sz="0" w:space="0" w:color="auto"/>
        <w:left w:val="none" w:sz="0" w:space="0" w:color="auto"/>
        <w:bottom w:val="none" w:sz="0" w:space="0" w:color="auto"/>
        <w:right w:val="none" w:sz="0" w:space="0" w:color="auto"/>
      </w:divBdr>
    </w:div>
    <w:div w:id="146554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83C5F-A02D-40DD-80C8-54EAD2D6A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1591</Words>
  <Characters>9550</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Kancelaria Adwokacka adwokat Michał Michajłow</Company>
  <LinksUpToDate>false</LinksUpToDate>
  <CharactersWithSpaces>11119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 Michał Michajłow</dc:creator>
  <cp:lastModifiedBy>Ewa A. Genert</cp:lastModifiedBy>
  <cp:revision>2</cp:revision>
  <cp:lastPrinted>2016-07-12T15:21:00Z</cp:lastPrinted>
  <dcterms:created xsi:type="dcterms:W3CDTF">2016-09-05T11:17:00Z</dcterms:created>
  <dcterms:modified xsi:type="dcterms:W3CDTF">2016-09-05T11:17:00Z</dcterms:modified>
</cp:coreProperties>
</file>