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4123" w:rsidRPr="00914123" w:rsidRDefault="00914123" w:rsidP="00914123">
      <w:pPr>
        <w:spacing w:before="120" w:after="120"/>
        <w:jc w:val="right"/>
        <w:rPr>
          <w:rFonts w:ascii="Times New Roman" w:hAnsi="Times New Roman"/>
          <w:b/>
          <w:bCs/>
          <w:sz w:val="26"/>
          <w:szCs w:val="26"/>
        </w:rPr>
      </w:pPr>
      <w:bookmarkStart w:id="0" w:name="_GoBack"/>
      <w:bookmarkEnd w:id="0"/>
      <w:r>
        <w:rPr>
          <w:rFonts w:ascii="Times New Roman" w:hAnsi="Times New Roman"/>
          <w:b/>
          <w:bCs/>
          <w:sz w:val="26"/>
          <w:szCs w:val="26"/>
        </w:rPr>
        <w:t>PROJEKT</w:t>
      </w:r>
    </w:p>
    <w:p w:rsidR="0092333A" w:rsidRPr="005322F7" w:rsidRDefault="006C745E" w:rsidP="00810668">
      <w:pPr>
        <w:spacing w:before="120" w:after="120"/>
        <w:jc w:val="center"/>
        <w:rPr>
          <w:rFonts w:ascii="Times New Roman" w:hAnsi="Times New Roman"/>
          <w:b/>
          <w:i/>
          <w:sz w:val="26"/>
          <w:szCs w:val="26"/>
        </w:rPr>
      </w:pPr>
      <w:r w:rsidRPr="005322F7">
        <w:rPr>
          <w:rFonts w:ascii="Times New Roman" w:hAnsi="Times New Roman"/>
          <w:b/>
          <w:bCs/>
          <w:i/>
          <w:sz w:val="26"/>
          <w:szCs w:val="26"/>
        </w:rPr>
        <w:t xml:space="preserve">Ustawa </w:t>
      </w:r>
      <w:r w:rsidR="0092333A" w:rsidRPr="005322F7">
        <w:rPr>
          <w:rFonts w:ascii="Times New Roman" w:hAnsi="Times New Roman"/>
          <w:b/>
          <w:bCs/>
          <w:i/>
          <w:sz w:val="26"/>
          <w:szCs w:val="26"/>
        </w:rPr>
        <w:t>o statusie sędziów Trybunału Konstytucyjnego</w:t>
      </w:r>
    </w:p>
    <w:p w:rsidR="006C745E" w:rsidRPr="005322F7" w:rsidRDefault="006C745E" w:rsidP="00810668">
      <w:pPr>
        <w:spacing w:before="120" w:after="120"/>
        <w:jc w:val="center"/>
        <w:rPr>
          <w:rFonts w:ascii="Times New Roman" w:hAnsi="Times New Roman"/>
          <w:b/>
          <w:sz w:val="26"/>
          <w:szCs w:val="26"/>
        </w:rPr>
      </w:pPr>
      <w:r w:rsidRPr="005322F7">
        <w:rPr>
          <w:rFonts w:ascii="Times New Roman" w:hAnsi="Times New Roman"/>
          <w:b/>
          <w:sz w:val="26"/>
          <w:szCs w:val="26"/>
        </w:rPr>
        <w:t>UZASADNIENIE</w:t>
      </w:r>
    </w:p>
    <w:p w:rsidR="00810668" w:rsidRPr="005322F7" w:rsidRDefault="00810668" w:rsidP="00810668">
      <w:pPr>
        <w:spacing w:before="120" w:after="120"/>
        <w:jc w:val="center"/>
        <w:rPr>
          <w:rFonts w:ascii="Times New Roman" w:hAnsi="Times New Roman"/>
          <w:b/>
          <w:bCs/>
          <w:sz w:val="26"/>
          <w:szCs w:val="26"/>
        </w:rPr>
      </w:pPr>
    </w:p>
    <w:p w:rsidR="006C745E" w:rsidRPr="005322F7" w:rsidRDefault="006C745E" w:rsidP="00810668">
      <w:pPr>
        <w:spacing w:before="120" w:after="120"/>
        <w:jc w:val="center"/>
        <w:rPr>
          <w:rFonts w:ascii="Times New Roman" w:hAnsi="Times New Roman"/>
          <w:b/>
          <w:bCs/>
          <w:sz w:val="26"/>
          <w:szCs w:val="26"/>
        </w:rPr>
      </w:pPr>
      <w:r w:rsidRPr="005322F7">
        <w:rPr>
          <w:rFonts w:ascii="Times New Roman" w:hAnsi="Times New Roman"/>
          <w:b/>
          <w:bCs/>
          <w:sz w:val="26"/>
          <w:szCs w:val="26"/>
        </w:rPr>
        <w:t>I</w:t>
      </w:r>
    </w:p>
    <w:p w:rsidR="00810668" w:rsidRPr="005322F7" w:rsidRDefault="00810668" w:rsidP="00810668">
      <w:pPr>
        <w:spacing w:before="120" w:after="120"/>
        <w:jc w:val="both"/>
        <w:rPr>
          <w:rFonts w:ascii="Times New Roman" w:hAnsi="Times New Roman"/>
          <w:bCs/>
          <w:sz w:val="26"/>
          <w:szCs w:val="26"/>
        </w:rPr>
      </w:pPr>
      <w:r w:rsidRPr="005322F7">
        <w:rPr>
          <w:rFonts w:ascii="Times New Roman" w:hAnsi="Times New Roman"/>
          <w:bCs/>
          <w:sz w:val="26"/>
          <w:szCs w:val="26"/>
        </w:rPr>
        <w:tab/>
      </w:r>
    </w:p>
    <w:p w:rsidR="00974B05" w:rsidRPr="005322F7" w:rsidRDefault="00810668" w:rsidP="00810668">
      <w:pPr>
        <w:spacing w:before="120" w:after="120"/>
        <w:ind w:firstLine="708"/>
        <w:jc w:val="both"/>
        <w:rPr>
          <w:rFonts w:ascii="Times New Roman" w:hAnsi="Times New Roman"/>
          <w:sz w:val="26"/>
          <w:szCs w:val="26"/>
        </w:rPr>
      </w:pPr>
      <w:r w:rsidRPr="005322F7">
        <w:rPr>
          <w:rFonts w:ascii="Times New Roman" w:hAnsi="Times New Roman"/>
          <w:bCs/>
          <w:sz w:val="26"/>
          <w:szCs w:val="26"/>
        </w:rPr>
        <w:t>Status sędziego Trybunału Konstytucyjnego jest uregulowany w przepisach Konstytucji RP.</w:t>
      </w:r>
      <w:r w:rsidR="00DB6157" w:rsidRPr="005322F7">
        <w:rPr>
          <w:rFonts w:ascii="Times New Roman" w:hAnsi="Times New Roman"/>
          <w:bCs/>
          <w:sz w:val="26"/>
          <w:szCs w:val="26"/>
        </w:rPr>
        <w:t xml:space="preserve"> W </w:t>
      </w:r>
      <w:r w:rsidR="00DB6157" w:rsidRPr="005322F7">
        <w:rPr>
          <w:rFonts w:ascii="Times New Roman" w:hAnsi="Times New Roman"/>
          <w:sz w:val="26"/>
          <w:szCs w:val="26"/>
        </w:rPr>
        <w:t>art. 194, art. 195 i</w:t>
      </w:r>
      <w:r w:rsidR="0034471A" w:rsidRPr="005322F7">
        <w:rPr>
          <w:rFonts w:ascii="Times New Roman" w:hAnsi="Times New Roman"/>
          <w:sz w:val="26"/>
          <w:szCs w:val="26"/>
        </w:rPr>
        <w:t xml:space="preserve"> </w:t>
      </w:r>
      <w:r w:rsidR="00DB6157" w:rsidRPr="005322F7">
        <w:rPr>
          <w:rFonts w:ascii="Times New Roman" w:hAnsi="Times New Roman"/>
          <w:sz w:val="26"/>
          <w:szCs w:val="26"/>
        </w:rPr>
        <w:t>art.</w:t>
      </w:r>
      <w:r w:rsidR="0034471A" w:rsidRPr="005322F7">
        <w:rPr>
          <w:rFonts w:ascii="Times New Roman" w:hAnsi="Times New Roman"/>
          <w:sz w:val="26"/>
          <w:szCs w:val="26"/>
        </w:rPr>
        <w:t xml:space="preserve"> </w:t>
      </w:r>
      <w:r w:rsidR="00DB6157" w:rsidRPr="005322F7">
        <w:rPr>
          <w:rFonts w:ascii="Times New Roman" w:hAnsi="Times New Roman"/>
          <w:sz w:val="26"/>
          <w:szCs w:val="26"/>
        </w:rPr>
        <w:t xml:space="preserve">196 Konstytucji </w:t>
      </w:r>
      <w:r w:rsidR="00974B05" w:rsidRPr="005322F7">
        <w:rPr>
          <w:rFonts w:ascii="Times New Roman" w:hAnsi="Times New Roman"/>
          <w:sz w:val="26"/>
          <w:szCs w:val="26"/>
        </w:rPr>
        <w:t>określono</w:t>
      </w:r>
      <w:r w:rsidR="00DB6157" w:rsidRPr="005322F7">
        <w:rPr>
          <w:rFonts w:ascii="Times New Roman" w:hAnsi="Times New Roman"/>
          <w:sz w:val="26"/>
          <w:szCs w:val="26"/>
        </w:rPr>
        <w:t xml:space="preserve"> jednak tylko podstawowe </w:t>
      </w:r>
      <w:r w:rsidR="00B15AD7" w:rsidRPr="005322F7">
        <w:rPr>
          <w:rFonts w:ascii="Times New Roman" w:hAnsi="Times New Roman"/>
          <w:sz w:val="26"/>
          <w:szCs w:val="26"/>
        </w:rPr>
        <w:t xml:space="preserve">jego </w:t>
      </w:r>
      <w:r w:rsidR="00DB6157" w:rsidRPr="005322F7">
        <w:rPr>
          <w:rFonts w:ascii="Times New Roman" w:hAnsi="Times New Roman"/>
          <w:sz w:val="26"/>
          <w:szCs w:val="26"/>
        </w:rPr>
        <w:t xml:space="preserve">elementy </w:t>
      </w:r>
      <w:r w:rsidR="00B15AD7" w:rsidRPr="005322F7">
        <w:rPr>
          <w:rFonts w:ascii="Times New Roman" w:hAnsi="Times New Roman"/>
          <w:sz w:val="26"/>
          <w:szCs w:val="26"/>
        </w:rPr>
        <w:t>takie j</w:t>
      </w:r>
      <w:r w:rsidR="00DB6157" w:rsidRPr="005322F7">
        <w:rPr>
          <w:rFonts w:ascii="Times New Roman" w:hAnsi="Times New Roman"/>
          <w:sz w:val="26"/>
          <w:szCs w:val="26"/>
        </w:rPr>
        <w:t xml:space="preserve">ak: 1) długość kadencji; 2) zasady niezawisłości sędziowskiej; 3) </w:t>
      </w:r>
      <w:r w:rsidR="00974B05" w:rsidRPr="005322F7">
        <w:rPr>
          <w:rFonts w:ascii="Times New Roman" w:hAnsi="Times New Roman"/>
          <w:sz w:val="26"/>
          <w:szCs w:val="26"/>
        </w:rPr>
        <w:t xml:space="preserve">wymóg zapewnienia </w:t>
      </w:r>
      <w:r w:rsidR="00DB6157" w:rsidRPr="005322F7">
        <w:rPr>
          <w:rFonts w:ascii="Times New Roman" w:hAnsi="Times New Roman"/>
          <w:sz w:val="26"/>
          <w:szCs w:val="26"/>
        </w:rPr>
        <w:t>warunk</w:t>
      </w:r>
      <w:r w:rsidR="00974B05" w:rsidRPr="005322F7">
        <w:rPr>
          <w:rFonts w:ascii="Times New Roman" w:hAnsi="Times New Roman"/>
          <w:sz w:val="26"/>
          <w:szCs w:val="26"/>
        </w:rPr>
        <w:t>ów</w:t>
      </w:r>
      <w:r w:rsidR="00DB6157" w:rsidRPr="005322F7">
        <w:rPr>
          <w:rFonts w:ascii="Times New Roman" w:hAnsi="Times New Roman"/>
          <w:sz w:val="26"/>
          <w:szCs w:val="26"/>
        </w:rPr>
        <w:t xml:space="preserve"> pracy</w:t>
      </w:r>
      <w:r w:rsidR="00974B05" w:rsidRPr="005322F7">
        <w:rPr>
          <w:rFonts w:ascii="Times New Roman" w:hAnsi="Times New Roman"/>
          <w:sz w:val="26"/>
          <w:szCs w:val="26"/>
        </w:rPr>
        <w:t xml:space="preserve"> sędziego TK</w:t>
      </w:r>
      <w:r w:rsidR="00DB6157" w:rsidRPr="005322F7">
        <w:rPr>
          <w:rFonts w:ascii="Times New Roman" w:hAnsi="Times New Roman"/>
          <w:sz w:val="26"/>
          <w:szCs w:val="26"/>
        </w:rPr>
        <w:t xml:space="preserve"> i wynagrodzenia stosowne</w:t>
      </w:r>
      <w:r w:rsidR="00974B05" w:rsidRPr="005322F7">
        <w:rPr>
          <w:rFonts w:ascii="Times New Roman" w:hAnsi="Times New Roman"/>
          <w:sz w:val="26"/>
          <w:szCs w:val="26"/>
        </w:rPr>
        <w:t xml:space="preserve">go do sprawowanego urzędu i </w:t>
      </w:r>
      <w:r w:rsidR="00DB6157" w:rsidRPr="005322F7">
        <w:rPr>
          <w:rFonts w:ascii="Times New Roman" w:hAnsi="Times New Roman"/>
          <w:sz w:val="26"/>
          <w:szCs w:val="26"/>
        </w:rPr>
        <w:t>obowiązków; 4) zakaz przynależności do partii politycznych i związków</w:t>
      </w:r>
      <w:r w:rsidR="00402AB8" w:rsidRPr="005322F7">
        <w:rPr>
          <w:rFonts w:ascii="Times New Roman" w:hAnsi="Times New Roman"/>
          <w:sz w:val="26"/>
          <w:szCs w:val="26"/>
        </w:rPr>
        <w:t xml:space="preserve"> zawodowych; 5) </w:t>
      </w:r>
      <w:r w:rsidR="00DB6157" w:rsidRPr="005322F7">
        <w:rPr>
          <w:rFonts w:ascii="Times New Roman" w:hAnsi="Times New Roman"/>
          <w:sz w:val="26"/>
          <w:szCs w:val="26"/>
        </w:rPr>
        <w:t>zakaz prowadzenia działalności publicznej niedającej się pogodzić z zasadami niezależności sądów i niezawisłości sędziów</w:t>
      </w:r>
      <w:r w:rsidR="00402AB8" w:rsidRPr="005322F7">
        <w:rPr>
          <w:rFonts w:ascii="Times New Roman" w:hAnsi="Times New Roman"/>
          <w:sz w:val="26"/>
          <w:szCs w:val="26"/>
        </w:rPr>
        <w:t>; 6</w:t>
      </w:r>
      <w:r w:rsidR="00DB6157" w:rsidRPr="005322F7">
        <w:rPr>
          <w:rFonts w:ascii="Times New Roman" w:hAnsi="Times New Roman"/>
          <w:sz w:val="26"/>
          <w:szCs w:val="26"/>
        </w:rPr>
        <w:t xml:space="preserve">) funkcjonowanie immunitetu sędziego Trybunału Konstytucyjnego. </w:t>
      </w:r>
    </w:p>
    <w:p w:rsidR="00DB6157" w:rsidRPr="005322F7" w:rsidRDefault="00974B05" w:rsidP="00810668">
      <w:pPr>
        <w:spacing w:before="120" w:after="120"/>
        <w:ind w:firstLine="708"/>
        <w:jc w:val="both"/>
        <w:rPr>
          <w:rFonts w:ascii="Times New Roman" w:hAnsi="Times New Roman"/>
          <w:bCs/>
          <w:sz w:val="26"/>
          <w:szCs w:val="26"/>
        </w:rPr>
      </w:pPr>
      <w:r w:rsidRPr="005322F7">
        <w:rPr>
          <w:rFonts w:ascii="Times New Roman" w:hAnsi="Times New Roman"/>
          <w:sz w:val="26"/>
          <w:szCs w:val="26"/>
        </w:rPr>
        <w:t>Wyżej wymienione kwestie dotyczące s</w:t>
      </w:r>
      <w:r w:rsidR="00DB6157" w:rsidRPr="005322F7">
        <w:rPr>
          <w:rFonts w:ascii="Times New Roman" w:hAnsi="Times New Roman"/>
          <w:sz w:val="26"/>
          <w:szCs w:val="26"/>
        </w:rPr>
        <w:t>tatus</w:t>
      </w:r>
      <w:r w:rsidRPr="005322F7">
        <w:rPr>
          <w:rFonts w:ascii="Times New Roman" w:hAnsi="Times New Roman"/>
          <w:sz w:val="26"/>
          <w:szCs w:val="26"/>
        </w:rPr>
        <w:t>u</w:t>
      </w:r>
      <w:r w:rsidR="00DB6157" w:rsidRPr="005322F7">
        <w:rPr>
          <w:rFonts w:ascii="Times New Roman" w:hAnsi="Times New Roman"/>
          <w:sz w:val="26"/>
          <w:szCs w:val="26"/>
        </w:rPr>
        <w:t xml:space="preserve"> sędziego TK został</w:t>
      </w:r>
      <w:r w:rsidRPr="005322F7">
        <w:rPr>
          <w:rFonts w:ascii="Times New Roman" w:hAnsi="Times New Roman"/>
          <w:sz w:val="26"/>
          <w:szCs w:val="26"/>
        </w:rPr>
        <w:t>y</w:t>
      </w:r>
      <w:r w:rsidR="00DB6157" w:rsidRPr="005322F7">
        <w:rPr>
          <w:rFonts w:ascii="Times New Roman" w:hAnsi="Times New Roman"/>
          <w:sz w:val="26"/>
          <w:szCs w:val="26"/>
        </w:rPr>
        <w:t xml:space="preserve"> w Konstytucji </w:t>
      </w:r>
      <w:r w:rsidRPr="005322F7">
        <w:rPr>
          <w:rFonts w:ascii="Times New Roman" w:hAnsi="Times New Roman"/>
          <w:sz w:val="26"/>
          <w:szCs w:val="26"/>
        </w:rPr>
        <w:t>uregulowane</w:t>
      </w:r>
      <w:r w:rsidR="00DB6157" w:rsidRPr="005322F7">
        <w:rPr>
          <w:rFonts w:ascii="Times New Roman" w:hAnsi="Times New Roman"/>
          <w:sz w:val="26"/>
          <w:szCs w:val="26"/>
        </w:rPr>
        <w:t xml:space="preserve"> w sposób wyraźny, a nie w sposób dorozumiany lub poprzez odesłanie do innych przepisów.</w:t>
      </w:r>
      <w:r w:rsidR="00402AB8" w:rsidRPr="005322F7">
        <w:rPr>
          <w:rFonts w:ascii="Times New Roman" w:hAnsi="Times New Roman"/>
          <w:sz w:val="26"/>
          <w:szCs w:val="26"/>
        </w:rPr>
        <w:t xml:space="preserve"> </w:t>
      </w:r>
      <w:r w:rsidRPr="005322F7">
        <w:rPr>
          <w:rFonts w:ascii="Times New Roman" w:hAnsi="Times New Roman"/>
          <w:sz w:val="26"/>
          <w:szCs w:val="26"/>
        </w:rPr>
        <w:t>Konstytucyjne regulacje dotyczące pozycji sędziego konstytucyjnego są</w:t>
      </w:r>
      <w:r w:rsidR="00402AB8" w:rsidRPr="005322F7">
        <w:rPr>
          <w:rFonts w:ascii="Times New Roman" w:hAnsi="Times New Roman"/>
          <w:sz w:val="26"/>
          <w:szCs w:val="26"/>
        </w:rPr>
        <w:t xml:space="preserve"> </w:t>
      </w:r>
      <w:r w:rsidRPr="005322F7">
        <w:rPr>
          <w:rFonts w:ascii="Times New Roman" w:hAnsi="Times New Roman"/>
          <w:sz w:val="26"/>
          <w:szCs w:val="26"/>
        </w:rPr>
        <w:t>podobne</w:t>
      </w:r>
      <w:r w:rsidR="00402AB8" w:rsidRPr="005322F7">
        <w:rPr>
          <w:rFonts w:ascii="Times New Roman" w:hAnsi="Times New Roman"/>
          <w:sz w:val="26"/>
          <w:szCs w:val="26"/>
        </w:rPr>
        <w:t xml:space="preserve">, ale </w:t>
      </w:r>
      <w:r w:rsidRPr="005322F7">
        <w:rPr>
          <w:rFonts w:ascii="Times New Roman" w:hAnsi="Times New Roman"/>
          <w:sz w:val="26"/>
          <w:szCs w:val="26"/>
        </w:rPr>
        <w:t xml:space="preserve">nie takie same jak regulacje odnoszące się do </w:t>
      </w:r>
      <w:r w:rsidR="00402AB8" w:rsidRPr="005322F7">
        <w:rPr>
          <w:rFonts w:ascii="Times New Roman" w:hAnsi="Times New Roman"/>
          <w:sz w:val="26"/>
          <w:szCs w:val="26"/>
        </w:rPr>
        <w:t>status</w:t>
      </w:r>
      <w:r w:rsidRPr="005322F7">
        <w:rPr>
          <w:rFonts w:ascii="Times New Roman" w:hAnsi="Times New Roman"/>
          <w:sz w:val="26"/>
          <w:szCs w:val="26"/>
        </w:rPr>
        <w:t>u</w:t>
      </w:r>
      <w:r w:rsidR="00402AB8" w:rsidRPr="005322F7">
        <w:rPr>
          <w:rFonts w:ascii="Times New Roman" w:hAnsi="Times New Roman"/>
          <w:sz w:val="26"/>
          <w:szCs w:val="26"/>
        </w:rPr>
        <w:t xml:space="preserve"> prawn</w:t>
      </w:r>
      <w:r w:rsidRPr="005322F7">
        <w:rPr>
          <w:rFonts w:ascii="Times New Roman" w:hAnsi="Times New Roman"/>
          <w:sz w:val="26"/>
          <w:szCs w:val="26"/>
        </w:rPr>
        <w:t>ego</w:t>
      </w:r>
      <w:r w:rsidR="00402AB8" w:rsidRPr="005322F7">
        <w:rPr>
          <w:rFonts w:ascii="Times New Roman" w:hAnsi="Times New Roman"/>
          <w:sz w:val="26"/>
          <w:szCs w:val="26"/>
        </w:rPr>
        <w:t xml:space="preserve"> sędziów sądów</w:t>
      </w:r>
      <w:r w:rsidRPr="005322F7">
        <w:rPr>
          <w:rFonts w:ascii="Times New Roman" w:hAnsi="Times New Roman"/>
          <w:sz w:val="26"/>
          <w:szCs w:val="26"/>
        </w:rPr>
        <w:t xml:space="preserve"> (sędziów zawodowych)</w:t>
      </w:r>
      <w:r w:rsidR="00402AB8" w:rsidRPr="005322F7">
        <w:rPr>
          <w:rFonts w:ascii="Times New Roman" w:hAnsi="Times New Roman"/>
          <w:sz w:val="26"/>
          <w:szCs w:val="26"/>
        </w:rPr>
        <w:t>.</w:t>
      </w:r>
      <w:r w:rsidRPr="005322F7">
        <w:rPr>
          <w:rFonts w:ascii="Times New Roman" w:hAnsi="Times New Roman"/>
          <w:sz w:val="26"/>
          <w:szCs w:val="26"/>
        </w:rPr>
        <w:t xml:space="preserve"> Nie można zatem w sposób bezkrytyczny uznać, że sędzia TK jest takim samym sędzią, jak sędzia sądu.</w:t>
      </w:r>
    </w:p>
    <w:p w:rsidR="00CD58EE" w:rsidRPr="005322F7" w:rsidRDefault="00974B05" w:rsidP="00810668">
      <w:pPr>
        <w:spacing w:before="120" w:after="120"/>
        <w:ind w:firstLine="708"/>
        <w:jc w:val="both"/>
        <w:rPr>
          <w:rFonts w:ascii="Times New Roman" w:hAnsi="Times New Roman"/>
          <w:bCs/>
          <w:sz w:val="26"/>
          <w:szCs w:val="26"/>
        </w:rPr>
      </w:pPr>
      <w:r w:rsidRPr="005322F7">
        <w:rPr>
          <w:rFonts w:ascii="Times New Roman" w:hAnsi="Times New Roman"/>
          <w:bCs/>
          <w:sz w:val="26"/>
          <w:szCs w:val="26"/>
        </w:rPr>
        <w:t xml:space="preserve">Mimo że Konstytucja RP zawiera regulacje dotyczące </w:t>
      </w:r>
      <w:r w:rsidR="00402AB8" w:rsidRPr="005322F7">
        <w:rPr>
          <w:rFonts w:ascii="Times New Roman" w:hAnsi="Times New Roman"/>
          <w:bCs/>
          <w:sz w:val="26"/>
          <w:szCs w:val="26"/>
        </w:rPr>
        <w:t>do statusu sędziów TK</w:t>
      </w:r>
      <w:r w:rsidRPr="005322F7">
        <w:rPr>
          <w:rFonts w:ascii="Times New Roman" w:hAnsi="Times New Roman"/>
          <w:bCs/>
          <w:sz w:val="26"/>
          <w:szCs w:val="26"/>
        </w:rPr>
        <w:t xml:space="preserve">, należy uznać, że dla </w:t>
      </w:r>
      <w:r w:rsidR="00CD58EE" w:rsidRPr="005322F7">
        <w:rPr>
          <w:rFonts w:ascii="Times New Roman" w:hAnsi="Times New Roman"/>
          <w:bCs/>
          <w:sz w:val="26"/>
          <w:szCs w:val="26"/>
        </w:rPr>
        <w:t xml:space="preserve">pełnego </w:t>
      </w:r>
      <w:r w:rsidRPr="005322F7">
        <w:rPr>
          <w:rFonts w:ascii="Times New Roman" w:hAnsi="Times New Roman"/>
          <w:bCs/>
          <w:sz w:val="26"/>
          <w:szCs w:val="26"/>
        </w:rPr>
        <w:t xml:space="preserve">określenia uprawnień i obowiązków tych sędziów, przepisy </w:t>
      </w:r>
      <w:r w:rsidR="00CD58EE" w:rsidRPr="005322F7">
        <w:rPr>
          <w:rFonts w:ascii="Times New Roman" w:hAnsi="Times New Roman"/>
          <w:bCs/>
          <w:sz w:val="26"/>
          <w:szCs w:val="26"/>
        </w:rPr>
        <w:t>konstytucyjne</w:t>
      </w:r>
      <w:r w:rsidRPr="005322F7">
        <w:rPr>
          <w:rFonts w:ascii="Times New Roman" w:hAnsi="Times New Roman"/>
          <w:bCs/>
          <w:sz w:val="26"/>
          <w:szCs w:val="26"/>
        </w:rPr>
        <w:t xml:space="preserve"> są </w:t>
      </w:r>
      <w:r w:rsidR="00810668" w:rsidRPr="005322F7">
        <w:rPr>
          <w:rFonts w:ascii="Times New Roman" w:hAnsi="Times New Roman"/>
          <w:bCs/>
          <w:sz w:val="26"/>
          <w:szCs w:val="26"/>
        </w:rPr>
        <w:t>niewystarczając</w:t>
      </w:r>
      <w:r w:rsidR="00DB6157" w:rsidRPr="005322F7">
        <w:rPr>
          <w:rFonts w:ascii="Times New Roman" w:hAnsi="Times New Roman"/>
          <w:bCs/>
          <w:sz w:val="26"/>
          <w:szCs w:val="26"/>
        </w:rPr>
        <w:t xml:space="preserve">e. Z tego powodu </w:t>
      </w:r>
      <w:r w:rsidR="00CD58EE" w:rsidRPr="005322F7">
        <w:rPr>
          <w:rFonts w:ascii="Times New Roman" w:hAnsi="Times New Roman"/>
          <w:bCs/>
          <w:sz w:val="26"/>
          <w:szCs w:val="26"/>
        </w:rPr>
        <w:t xml:space="preserve">ustawodawca najpierw w ustawie o Trybunale Konstytucyjnym z 1997 r., a następnie w kolejnych ustawach z 2015 r. i 2016 r. rozwinął </w:t>
      </w:r>
      <w:r w:rsidR="00DB6157" w:rsidRPr="005322F7">
        <w:rPr>
          <w:rFonts w:ascii="Times New Roman" w:hAnsi="Times New Roman"/>
          <w:bCs/>
          <w:sz w:val="26"/>
          <w:szCs w:val="26"/>
        </w:rPr>
        <w:t xml:space="preserve">przepisy dotyczące </w:t>
      </w:r>
      <w:r w:rsidR="00CD58EE" w:rsidRPr="005322F7">
        <w:rPr>
          <w:rFonts w:ascii="Times New Roman" w:hAnsi="Times New Roman"/>
          <w:bCs/>
          <w:sz w:val="26"/>
          <w:szCs w:val="26"/>
        </w:rPr>
        <w:t xml:space="preserve">statusu </w:t>
      </w:r>
      <w:r w:rsidR="00810668" w:rsidRPr="005322F7">
        <w:rPr>
          <w:rFonts w:ascii="Times New Roman" w:hAnsi="Times New Roman"/>
          <w:bCs/>
          <w:sz w:val="26"/>
          <w:szCs w:val="26"/>
        </w:rPr>
        <w:t>sędzi</w:t>
      </w:r>
      <w:r w:rsidR="00DB6157" w:rsidRPr="005322F7">
        <w:rPr>
          <w:rFonts w:ascii="Times New Roman" w:hAnsi="Times New Roman"/>
          <w:bCs/>
          <w:sz w:val="26"/>
          <w:szCs w:val="26"/>
        </w:rPr>
        <w:t xml:space="preserve">ów </w:t>
      </w:r>
      <w:r w:rsidR="00810668" w:rsidRPr="005322F7">
        <w:rPr>
          <w:rFonts w:ascii="Times New Roman" w:hAnsi="Times New Roman"/>
          <w:bCs/>
          <w:sz w:val="26"/>
          <w:szCs w:val="26"/>
        </w:rPr>
        <w:t>Trybunału</w:t>
      </w:r>
      <w:r w:rsidR="00CD58EE" w:rsidRPr="005322F7">
        <w:rPr>
          <w:rFonts w:ascii="Times New Roman" w:hAnsi="Times New Roman"/>
          <w:bCs/>
          <w:sz w:val="26"/>
          <w:szCs w:val="26"/>
        </w:rPr>
        <w:t xml:space="preserve">. Rozwiązania prawne </w:t>
      </w:r>
      <w:r w:rsidR="00B15AD7" w:rsidRPr="005322F7">
        <w:rPr>
          <w:rFonts w:ascii="Times New Roman" w:hAnsi="Times New Roman"/>
          <w:bCs/>
          <w:sz w:val="26"/>
          <w:szCs w:val="26"/>
        </w:rPr>
        <w:t xml:space="preserve">odnoszące się do tej materii </w:t>
      </w:r>
      <w:r w:rsidR="00CD58EE" w:rsidRPr="005322F7">
        <w:rPr>
          <w:rFonts w:ascii="Times New Roman" w:hAnsi="Times New Roman"/>
          <w:bCs/>
          <w:sz w:val="26"/>
          <w:szCs w:val="26"/>
        </w:rPr>
        <w:t xml:space="preserve">zostały </w:t>
      </w:r>
      <w:r w:rsidR="00810668" w:rsidRPr="005322F7">
        <w:rPr>
          <w:rFonts w:ascii="Times New Roman" w:hAnsi="Times New Roman"/>
          <w:bCs/>
          <w:sz w:val="26"/>
          <w:szCs w:val="26"/>
        </w:rPr>
        <w:t>zamieszczon</w:t>
      </w:r>
      <w:r w:rsidR="00CD58EE" w:rsidRPr="005322F7">
        <w:rPr>
          <w:rFonts w:ascii="Times New Roman" w:hAnsi="Times New Roman"/>
          <w:bCs/>
          <w:sz w:val="26"/>
          <w:szCs w:val="26"/>
        </w:rPr>
        <w:t>e</w:t>
      </w:r>
      <w:r w:rsidR="00810668" w:rsidRPr="005322F7">
        <w:rPr>
          <w:rFonts w:ascii="Times New Roman" w:hAnsi="Times New Roman"/>
          <w:bCs/>
          <w:sz w:val="26"/>
          <w:szCs w:val="26"/>
        </w:rPr>
        <w:t xml:space="preserve"> obok regulacji </w:t>
      </w:r>
      <w:r w:rsidR="00B15AD7" w:rsidRPr="005322F7">
        <w:rPr>
          <w:rFonts w:ascii="Times New Roman" w:hAnsi="Times New Roman"/>
          <w:bCs/>
          <w:sz w:val="26"/>
          <w:szCs w:val="26"/>
        </w:rPr>
        <w:t xml:space="preserve">o </w:t>
      </w:r>
      <w:r w:rsidR="00810668" w:rsidRPr="005322F7">
        <w:rPr>
          <w:rFonts w:ascii="Times New Roman" w:hAnsi="Times New Roman"/>
          <w:bCs/>
          <w:sz w:val="26"/>
          <w:szCs w:val="26"/>
        </w:rPr>
        <w:t>organizacji i tryb</w:t>
      </w:r>
      <w:r w:rsidR="00B15AD7" w:rsidRPr="005322F7">
        <w:rPr>
          <w:rFonts w:ascii="Times New Roman" w:hAnsi="Times New Roman"/>
          <w:bCs/>
          <w:sz w:val="26"/>
          <w:szCs w:val="26"/>
        </w:rPr>
        <w:t>ie</w:t>
      </w:r>
      <w:r w:rsidR="00810668" w:rsidRPr="005322F7">
        <w:rPr>
          <w:rFonts w:ascii="Times New Roman" w:hAnsi="Times New Roman"/>
          <w:bCs/>
          <w:sz w:val="26"/>
          <w:szCs w:val="26"/>
        </w:rPr>
        <w:t xml:space="preserve"> postępowania przed Trybunałem</w:t>
      </w:r>
      <w:r w:rsidR="00CD58EE" w:rsidRPr="005322F7">
        <w:rPr>
          <w:rFonts w:ascii="Times New Roman" w:hAnsi="Times New Roman"/>
          <w:bCs/>
          <w:sz w:val="26"/>
          <w:szCs w:val="26"/>
        </w:rPr>
        <w:t>, a zatem obok kwestii, które zgodnie z art. 197 Konstytucji RP miały być uregulowane w ustawie</w:t>
      </w:r>
      <w:r w:rsidR="00810668" w:rsidRPr="005322F7">
        <w:rPr>
          <w:rFonts w:ascii="Times New Roman" w:hAnsi="Times New Roman"/>
          <w:bCs/>
          <w:sz w:val="26"/>
          <w:szCs w:val="26"/>
        </w:rPr>
        <w:t xml:space="preserve">. </w:t>
      </w:r>
    </w:p>
    <w:p w:rsidR="006C745E" w:rsidRPr="005322F7" w:rsidRDefault="00810668" w:rsidP="00810668">
      <w:pPr>
        <w:spacing w:before="120" w:after="120"/>
        <w:ind w:firstLine="708"/>
        <w:jc w:val="both"/>
        <w:rPr>
          <w:rFonts w:ascii="Times New Roman" w:hAnsi="Times New Roman"/>
          <w:b/>
          <w:bCs/>
          <w:sz w:val="26"/>
          <w:szCs w:val="26"/>
        </w:rPr>
      </w:pPr>
      <w:r w:rsidRPr="005322F7">
        <w:rPr>
          <w:rFonts w:ascii="Times New Roman" w:hAnsi="Times New Roman"/>
          <w:b/>
          <w:bCs/>
          <w:sz w:val="26"/>
          <w:szCs w:val="26"/>
        </w:rPr>
        <w:t xml:space="preserve">W wyniku przeprowadzonych analiz, w tym sugestii wynikającej z raportu </w:t>
      </w:r>
      <w:r w:rsidR="00A503A3" w:rsidRPr="005322F7">
        <w:rPr>
          <w:rFonts w:ascii="Times New Roman" w:hAnsi="Times New Roman"/>
          <w:b/>
          <w:bCs/>
          <w:sz w:val="26"/>
          <w:szCs w:val="26"/>
        </w:rPr>
        <w:t xml:space="preserve">zespołu </w:t>
      </w:r>
      <w:r w:rsidRPr="005322F7">
        <w:rPr>
          <w:rFonts w:ascii="Times New Roman" w:hAnsi="Times New Roman"/>
          <w:b/>
          <w:bCs/>
          <w:sz w:val="26"/>
          <w:szCs w:val="26"/>
        </w:rPr>
        <w:t>ekspertów ds. problematyki Trybunału Konstytucyjnego</w:t>
      </w:r>
      <w:r w:rsidR="00A503A3" w:rsidRPr="005322F7">
        <w:rPr>
          <w:rFonts w:ascii="Times New Roman" w:hAnsi="Times New Roman"/>
          <w:b/>
          <w:bCs/>
          <w:sz w:val="26"/>
          <w:szCs w:val="26"/>
        </w:rPr>
        <w:t xml:space="preserve"> (raport zespołu ekspertów ds. TK)</w:t>
      </w:r>
      <w:r w:rsidRPr="005322F7">
        <w:rPr>
          <w:rFonts w:ascii="Times New Roman" w:hAnsi="Times New Roman"/>
          <w:b/>
          <w:bCs/>
          <w:sz w:val="26"/>
          <w:szCs w:val="26"/>
        </w:rPr>
        <w:t>, uznano, że podstawowa ustawa dotycząca funkcjonowania Trybunału powinna określać, to co wynika z art. 197 Konstytucji, a więc: organizację TK i tryb postępowania przed tym organem.</w:t>
      </w:r>
    </w:p>
    <w:p w:rsidR="00A503A3" w:rsidRPr="005322F7" w:rsidRDefault="00A503A3" w:rsidP="00810668">
      <w:pPr>
        <w:spacing w:before="120" w:after="120"/>
        <w:jc w:val="both"/>
        <w:rPr>
          <w:rFonts w:ascii="Times New Roman" w:hAnsi="Times New Roman"/>
          <w:b/>
          <w:bCs/>
          <w:sz w:val="26"/>
          <w:szCs w:val="26"/>
        </w:rPr>
      </w:pPr>
      <w:r w:rsidRPr="005322F7">
        <w:rPr>
          <w:rFonts w:ascii="Times New Roman" w:hAnsi="Times New Roman"/>
          <w:b/>
          <w:bCs/>
          <w:sz w:val="26"/>
          <w:szCs w:val="26"/>
        </w:rPr>
        <w:tab/>
        <w:t xml:space="preserve">Z raportu zespołu ekspertów ds. TK wynika, że: </w:t>
      </w:r>
      <w:r w:rsidRPr="005322F7">
        <w:rPr>
          <w:rFonts w:ascii="Times New Roman" w:hAnsi="Times New Roman"/>
          <w:b/>
          <w:bCs/>
          <w:i/>
          <w:sz w:val="26"/>
          <w:szCs w:val="26"/>
        </w:rPr>
        <w:t>„</w:t>
      </w:r>
      <w:r w:rsidRPr="005322F7">
        <w:rPr>
          <w:rFonts w:ascii="Times New Roman" w:hAnsi="Times New Roman"/>
          <w:b/>
          <w:i/>
          <w:sz w:val="26"/>
          <w:szCs w:val="26"/>
        </w:rPr>
        <w:t xml:space="preserve">Wskazany art. 197 stanowi, że „organizację Trybunału Konstytucyjnego oraz tryb postępowania przed Trybunałem określa ustawa”. Intencją ustrojodawcy było więc stworzenie względnie wąskiego zakresu regulacji ustawowej, która – wbrew przyjętym rozwiązaniom – miała odnosić się jedynie do dwóch zagadnień, mianowicie: 1) organizacji Trybunału Konstytucyjnego oraz 2) trybu postępowania przed Trybunałem. Pozostałe kwestie, które nie mieszczą się w zakresie „organizacji” oraz „trybu postępowania”, powinny regulować inne akty normatywne niż ustawa, do której odsyła wyraźnie przepis art. 197. Aktami tymi może być Konstytucja RP (która w </w:t>
      </w:r>
      <w:r w:rsidRPr="005322F7">
        <w:rPr>
          <w:rFonts w:ascii="Times New Roman" w:hAnsi="Times New Roman"/>
          <w:b/>
          <w:i/>
          <w:sz w:val="26"/>
          <w:szCs w:val="26"/>
        </w:rPr>
        <w:lastRenderedPageBreak/>
        <w:t>takim razie powinna w dużo większym stopniu regulować ustrój Trybunału) lub regulamin Sejmu, skoro to Sejm – zgodnie z art. 194 – wybiera sędziów Trybunału Konstytucyjnego, co sugeruje, że sprawy związane choćby z procedurą wyborczą winny być przedmiotem unormowania regulaminowego. Można wysunąć z tego wniosek, że ustrój Trybunału Konstytucyjnego mogłyby równolegle</w:t>
      </w:r>
      <w:r w:rsidRPr="005322F7">
        <w:rPr>
          <w:rFonts w:ascii="Times New Roman" w:hAnsi="Times New Roman"/>
          <w:b/>
          <w:bCs/>
          <w:i/>
          <w:sz w:val="26"/>
          <w:szCs w:val="26"/>
        </w:rPr>
        <w:t xml:space="preserve"> </w:t>
      </w:r>
      <w:r w:rsidRPr="005322F7">
        <w:rPr>
          <w:rFonts w:ascii="Times New Roman" w:hAnsi="Times New Roman"/>
          <w:b/>
          <w:i/>
          <w:sz w:val="26"/>
          <w:szCs w:val="26"/>
        </w:rPr>
        <w:t>regulować co najmniej trzy akty normatywne, tzn.: 1) Konstytucja RP (w szerszym zakresie, aniżeli to robi obecnie); 2) ustawa, ale istotnie zawężona jedynie do organizacji i trybu pracy, a nie ustawa o Trybunale Konstytucyjnym (nota bene ustawa przyjęta na podstawie art. 197 powinna mieć tytuł „ustawa o organizacji i trybie postępowania przed Trybunałem Konstytucyjnym”) oraz 3) regulamin Sejmu (zwłaszcza w odniesieniu do uregulowania procedury wyboru sędziów Trybunału, skoro są oni – zgodnie z Konstytucją – wybierani przez Sejm, a sama kwestia trybu wyboru sędziów nie obejmuje przecież organizacji Trybunału)</w:t>
      </w:r>
      <w:r w:rsidRPr="005322F7">
        <w:rPr>
          <w:rFonts w:ascii="Times New Roman" w:hAnsi="Times New Roman"/>
          <w:b/>
          <w:sz w:val="26"/>
          <w:szCs w:val="26"/>
        </w:rPr>
        <w:t>” (s. 41-42 raportu zespołu ekspertów ds. TK).</w:t>
      </w:r>
    </w:p>
    <w:p w:rsidR="00767436" w:rsidRPr="005322F7" w:rsidRDefault="0055180C" w:rsidP="00767436">
      <w:pPr>
        <w:spacing w:before="120" w:after="120"/>
        <w:ind w:firstLine="708"/>
        <w:jc w:val="both"/>
        <w:rPr>
          <w:rFonts w:ascii="Times New Roman" w:hAnsi="Times New Roman"/>
          <w:sz w:val="26"/>
          <w:szCs w:val="26"/>
        </w:rPr>
      </w:pPr>
      <w:r w:rsidRPr="005322F7">
        <w:rPr>
          <w:rFonts w:ascii="Times New Roman" w:hAnsi="Times New Roman"/>
          <w:bCs/>
          <w:sz w:val="26"/>
          <w:szCs w:val="26"/>
        </w:rPr>
        <w:t xml:space="preserve">Projektodawca wziął pod uwagę stanowisko wypracowane przez zespół ekspertów ds. TK i stwierdził, że </w:t>
      </w:r>
      <w:r w:rsidR="00810668" w:rsidRPr="005322F7">
        <w:rPr>
          <w:rFonts w:ascii="Times New Roman" w:hAnsi="Times New Roman"/>
          <w:bCs/>
          <w:sz w:val="26"/>
          <w:szCs w:val="26"/>
        </w:rPr>
        <w:t xml:space="preserve">status sędziego TK nie mieści się ani w kategorii organizacji, ani tym bardziej w procedurze postępowania, o czym </w:t>
      </w:r>
      <w:r w:rsidR="00767436" w:rsidRPr="005322F7">
        <w:rPr>
          <w:rFonts w:ascii="Times New Roman" w:hAnsi="Times New Roman"/>
          <w:bCs/>
          <w:sz w:val="26"/>
          <w:szCs w:val="26"/>
        </w:rPr>
        <w:t xml:space="preserve">pisał również </w:t>
      </w:r>
      <w:r w:rsidR="00810668" w:rsidRPr="005322F7">
        <w:rPr>
          <w:rFonts w:ascii="Times New Roman" w:hAnsi="Times New Roman"/>
          <w:bCs/>
          <w:sz w:val="26"/>
          <w:szCs w:val="26"/>
        </w:rPr>
        <w:t xml:space="preserve">Trybunał </w:t>
      </w:r>
      <w:r w:rsidR="00767436" w:rsidRPr="005322F7">
        <w:rPr>
          <w:rFonts w:ascii="Times New Roman" w:hAnsi="Times New Roman"/>
          <w:bCs/>
          <w:sz w:val="26"/>
          <w:szCs w:val="26"/>
        </w:rPr>
        <w:t xml:space="preserve">Konstytucyjny </w:t>
      </w:r>
      <w:r w:rsidR="00810668" w:rsidRPr="005322F7">
        <w:rPr>
          <w:rFonts w:ascii="Times New Roman" w:hAnsi="Times New Roman"/>
          <w:bCs/>
          <w:sz w:val="26"/>
          <w:szCs w:val="26"/>
        </w:rPr>
        <w:t>w uzasadnieniach swoich rozstrzygnięć</w:t>
      </w:r>
      <w:r w:rsidR="00124D7F" w:rsidRPr="005322F7">
        <w:rPr>
          <w:rFonts w:ascii="Times New Roman" w:hAnsi="Times New Roman"/>
          <w:bCs/>
          <w:sz w:val="26"/>
          <w:szCs w:val="26"/>
        </w:rPr>
        <w:t>.</w:t>
      </w:r>
      <w:r w:rsidR="00767436" w:rsidRPr="005322F7">
        <w:rPr>
          <w:rFonts w:ascii="Times New Roman" w:hAnsi="Times New Roman"/>
          <w:sz w:val="26"/>
          <w:szCs w:val="26"/>
        </w:rPr>
        <w:t xml:space="preserve"> W uzasadnieniu do sprawy z 9 marca 2016 r. sygn. K 47/15 (rozstrzygniecie wydane z naruszeniem prawa, niepublikowane) czytamy: „</w:t>
      </w:r>
      <w:r w:rsidR="00767436" w:rsidRPr="005322F7">
        <w:rPr>
          <w:rFonts w:ascii="Times New Roman" w:hAnsi="Times New Roman"/>
          <w:i/>
          <w:iCs/>
          <w:sz w:val="26"/>
          <w:szCs w:val="26"/>
        </w:rPr>
        <w:t xml:space="preserve">Procedura zgłaszania kandydatów na sędziów TK niewątpliwie nie mieści się w upoważnieniu do określenia w ustawie „trybu postępowania przed Trybunałem”. Jak wskazano wyżej, powoływanie sędziów TK jest w całości elementem „trybu postępowania” przed Sejmem i żaden jego etap nie odbywa się przed Trybunałem Konstytucyjnym. Nie można jednak także przyjąć </w:t>
      </w:r>
      <w:r w:rsidR="00767436" w:rsidRPr="005322F7">
        <w:rPr>
          <w:i/>
          <w:iCs/>
          <w:sz w:val="26"/>
          <w:szCs w:val="26"/>
        </w:rPr>
        <w:t xml:space="preserve">(…), </w:t>
      </w:r>
      <w:r w:rsidR="00767436" w:rsidRPr="005322F7">
        <w:rPr>
          <w:rFonts w:ascii="Times New Roman" w:hAnsi="Times New Roman"/>
          <w:i/>
          <w:iCs/>
          <w:sz w:val="26"/>
          <w:szCs w:val="26"/>
        </w:rPr>
        <w:t>że kwestia ta należy do zastrzeżonej dla ustawy „organizacji Trybunału”. Taka rozszerzająca interpretacja pojęcia „organizacja Trybunału” nie znajduje potwierdzenia w pozostałych przepisach Konstytucji, które zawierają upoważnienie do stanowienia ustaw ustrojowych. Wyklucza ją zwłaszcza art. 227 ust. 7 Konstytucji, w którym „organizacja i zasady działania” Narodowego Banku Polskiego oraz „szczegółowe zasady powoływania i odwoływania jego organów” zostały potraktowane jako dwa odrębne obszary regulacji ustawowej. Sfery te nie mogą być utożsamiane. (…)</w:t>
      </w:r>
      <w:r w:rsidR="00767436" w:rsidRPr="005322F7">
        <w:rPr>
          <w:rFonts w:ascii="Times New Roman" w:hAnsi="Times New Roman"/>
          <w:sz w:val="26"/>
          <w:szCs w:val="26"/>
        </w:rPr>
        <w:t>” .</w:t>
      </w:r>
    </w:p>
    <w:p w:rsidR="00CB1A04" w:rsidRPr="005322F7" w:rsidRDefault="00767436" w:rsidP="00A503A3">
      <w:pPr>
        <w:spacing w:before="120" w:after="120"/>
        <w:ind w:firstLine="708"/>
        <w:jc w:val="both"/>
        <w:rPr>
          <w:rFonts w:ascii="Times New Roman" w:hAnsi="Times New Roman"/>
          <w:bCs/>
          <w:sz w:val="26"/>
          <w:szCs w:val="26"/>
        </w:rPr>
      </w:pPr>
      <w:r w:rsidRPr="005322F7">
        <w:rPr>
          <w:rFonts w:ascii="Times New Roman" w:hAnsi="Times New Roman"/>
          <w:bCs/>
          <w:sz w:val="26"/>
          <w:szCs w:val="26"/>
        </w:rPr>
        <w:t xml:space="preserve">To pozwala projektodawcy </w:t>
      </w:r>
      <w:r w:rsidR="005A5464" w:rsidRPr="005322F7">
        <w:rPr>
          <w:rFonts w:ascii="Times New Roman" w:hAnsi="Times New Roman"/>
          <w:bCs/>
          <w:sz w:val="26"/>
          <w:szCs w:val="26"/>
        </w:rPr>
        <w:t>przyj</w:t>
      </w:r>
      <w:r w:rsidRPr="005322F7">
        <w:rPr>
          <w:rFonts w:ascii="Times New Roman" w:hAnsi="Times New Roman"/>
          <w:bCs/>
          <w:sz w:val="26"/>
          <w:szCs w:val="26"/>
        </w:rPr>
        <w:t>ąć</w:t>
      </w:r>
      <w:r w:rsidR="005A5464" w:rsidRPr="005322F7">
        <w:rPr>
          <w:rFonts w:ascii="Times New Roman" w:hAnsi="Times New Roman"/>
          <w:bCs/>
          <w:sz w:val="26"/>
          <w:szCs w:val="26"/>
        </w:rPr>
        <w:t xml:space="preserve"> założeni</w:t>
      </w:r>
      <w:r w:rsidRPr="005322F7">
        <w:rPr>
          <w:rFonts w:ascii="Times New Roman" w:hAnsi="Times New Roman"/>
          <w:bCs/>
          <w:sz w:val="26"/>
          <w:szCs w:val="26"/>
        </w:rPr>
        <w:t>e</w:t>
      </w:r>
      <w:r w:rsidR="005A5464" w:rsidRPr="005322F7">
        <w:rPr>
          <w:rFonts w:ascii="Times New Roman" w:hAnsi="Times New Roman"/>
          <w:bCs/>
          <w:sz w:val="26"/>
          <w:szCs w:val="26"/>
        </w:rPr>
        <w:t>, że</w:t>
      </w:r>
      <w:r w:rsidR="00810668" w:rsidRPr="005322F7">
        <w:rPr>
          <w:rFonts w:ascii="Times New Roman" w:hAnsi="Times New Roman"/>
          <w:bCs/>
          <w:sz w:val="26"/>
          <w:szCs w:val="26"/>
        </w:rPr>
        <w:t xml:space="preserve"> zasadne </w:t>
      </w:r>
      <w:r w:rsidR="005A5464" w:rsidRPr="005322F7">
        <w:rPr>
          <w:rFonts w:ascii="Times New Roman" w:hAnsi="Times New Roman"/>
          <w:bCs/>
          <w:sz w:val="26"/>
          <w:szCs w:val="26"/>
        </w:rPr>
        <w:t xml:space="preserve">jest </w:t>
      </w:r>
      <w:r w:rsidR="00810668" w:rsidRPr="005322F7">
        <w:rPr>
          <w:rFonts w:ascii="Times New Roman" w:hAnsi="Times New Roman"/>
          <w:bCs/>
          <w:sz w:val="26"/>
          <w:szCs w:val="26"/>
        </w:rPr>
        <w:t xml:space="preserve">stworzenie projektu </w:t>
      </w:r>
      <w:r w:rsidR="005A5464" w:rsidRPr="005322F7">
        <w:rPr>
          <w:rFonts w:ascii="Times New Roman" w:hAnsi="Times New Roman"/>
          <w:bCs/>
          <w:sz w:val="26"/>
          <w:szCs w:val="26"/>
        </w:rPr>
        <w:t xml:space="preserve">odrębnej </w:t>
      </w:r>
      <w:r w:rsidR="00810668" w:rsidRPr="005322F7">
        <w:rPr>
          <w:rFonts w:ascii="Times New Roman" w:hAnsi="Times New Roman"/>
          <w:bCs/>
          <w:sz w:val="26"/>
          <w:szCs w:val="26"/>
        </w:rPr>
        <w:t xml:space="preserve">ustawy dotyczącej statusu sędziego TK. </w:t>
      </w:r>
      <w:r w:rsidR="00351A36" w:rsidRPr="005322F7">
        <w:rPr>
          <w:rFonts w:ascii="Times New Roman" w:hAnsi="Times New Roman"/>
          <w:bCs/>
          <w:sz w:val="26"/>
          <w:szCs w:val="26"/>
        </w:rPr>
        <w:t>Znaczenie tego zabiegu wzmacnia fakt – o którym była mowa po</w:t>
      </w:r>
      <w:r w:rsidR="00402AB8" w:rsidRPr="005322F7">
        <w:rPr>
          <w:rFonts w:ascii="Times New Roman" w:hAnsi="Times New Roman"/>
          <w:bCs/>
          <w:sz w:val="26"/>
          <w:szCs w:val="26"/>
        </w:rPr>
        <w:t xml:space="preserve">wyżej </w:t>
      </w:r>
      <w:r w:rsidR="00351A36" w:rsidRPr="005322F7">
        <w:rPr>
          <w:rFonts w:ascii="Times New Roman" w:hAnsi="Times New Roman"/>
          <w:bCs/>
          <w:sz w:val="26"/>
          <w:szCs w:val="26"/>
        </w:rPr>
        <w:t>–</w:t>
      </w:r>
      <w:r w:rsidR="00402AB8" w:rsidRPr="005322F7">
        <w:rPr>
          <w:rFonts w:ascii="Times New Roman" w:hAnsi="Times New Roman"/>
          <w:bCs/>
          <w:sz w:val="26"/>
          <w:szCs w:val="26"/>
        </w:rPr>
        <w:t xml:space="preserve"> </w:t>
      </w:r>
      <w:r w:rsidR="00351A36" w:rsidRPr="005322F7">
        <w:rPr>
          <w:rFonts w:ascii="Times New Roman" w:hAnsi="Times New Roman"/>
          <w:bCs/>
          <w:sz w:val="26"/>
          <w:szCs w:val="26"/>
        </w:rPr>
        <w:t xml:space="preserve">że </w:t>
      </w:r>
      <w:r w:rsidR="00810668" w:rsidRPr="005322F7">
        <w:rPr>
          <w:rFonts w:ascii="Times New Roman" w:hAnsi="Times New Roman"/>
          <w:bCs/>
          <w:sz w:val="26"/>
          <w:szCs w:val="26"/>
        </w:rPr>
        <w:t>dla określenia statusu</w:t>
      </w:r>
      <w:r w:rsidR="00351A36" w:rsidRPr="005322F7">
        <w:rPr>
          <w:rFonts w:ascii="Times New Roman" w:hAnsi="Times New Roman"/>
          <w:bCs/>
          <w:sz w:val="26"/>
          <w:szCs w:val="26"/>
        </w:rPr>
        <w:t xml:space="preserve"> sędziego TK</w:t>
      </w:r>
      <w:r w:rsidR="00810668" w:rsidRPr="005322F7">
        <w:rPr>
          <w:rFonts w:ascii="Times New Roman" w:hAnsi="Times New Roman"/>
          <w:bCs/>
          <w:sz w:val="26"/>
          <w:szCs w:val="26"/>
        </w:rPr>
        <w:t xml:space="preserve"> przepisy Konstytucji są niewystarczające</w:t>
      </w:r>
      <w:r w:rsidR="00351A36" w:rsidRPr="005322F7">
        <w:rPr>
          <w:rFonts w:ascii="Times New Roman" w:hAnsi="Times New Roman"/>
          <w:bCs/>
          <w:sz w:val="26"/>
          <w:szCs w:val="26"/>
        </w:rPr>
        <w:t>, co może utrudniać wykonywanie kompetencji przez członków konstytucyjnego organu państwa</w:t>
      </w:r>
      <w:r w:rsidR="00810668" w:rsidRPr="005322F7">
        <w:rPr>
          <w:rFonts w:ascii="Times New Roman" w:hAnsi="Times New Roman"/>
          <w:bCs/>
          <w:sz w:val="26"/>
          <w:szCs w:val="26"/>
        </w:rPr>
        <w:t xml:space="preserve">. </w:t>
      </w:r>
    </w:p>
    <w:p w:rsidR="000B6873" w:rsidRPr="005322F7" w:rsidRDefault="00CB1A04" w:rsidP="00A503A3">
      <w:pPr>
        <w:spacing w:before="120" w:after="120"/>
        <w:ind w:firstLine="708"/>
        <w:jc w:val="both"/>
        <w:rPr>
          <w:rFonts w:ascii="Times New Roman" w:hAnsi="Times New Roman"/>
          <w:sz w:val="26"/>
          <w:szCs w:val="26"/>
        </w:rPr>
      </w:pPr>
      <w:r w:rsidRPr="005322F7">
        <w:rPr>
          <w:rFonts w:ascii="Times New Roman" w:hAnsi="Times New Roman"/>
          <w:bCs/>
          <w:sz w:val="26"/>
          <w:szCs w:val="26"/>
        </w:rPr>
        <w:t>Autorzy projektu podkreślają, że p</w:t>
      </w:r>
      <w:r w:rsidR="00810668" w:rsidRPr="005322F7">
        <w:rPr>
          <w:rFonts w:ascii="Times New Roman" w:hAnsi="Times New Roman"/>
          <w:bCs/>
          <w:sz w:val="26"/>
          <w:szCs w:val="26"/>
        </w:rPr>
        <w:t xml:space="preserve">ozycja sędziego Trybunału Konstytucyjnego różni się od pozycji sędziów sądów powszechnych, administracyjnych czy sędziów Sądu Najwyższego. </w:t>
      </w:r>
      <w:r w:rsidR="00DB6157" w:rsidRPr="005322F7">
        <w:rPr>
          <w:rFonts w:ascii="Times New Roman" w:hAnsi="Times New Roman"/>
          <w:sz w:val="26"/>
          <w:szCs w:val="26"/>
        </w:rPr>
        <w:t xml:space="preserve">Mimo pewnych podobieństw, funkcja sędziego TK ma takie właściwości, </w:t>
      </w:r>
      <w:r w:rsidR="00402AB8" w:rsidRPr="005322F7">
        <w:rPr>
          <w:rFonts w:ascii="Times New Roman" w:hAnsi="Times New Roman"/>
          <w:sz w:val="26"/>
          <w:szCs w:val="26"/>
        </w:rPr>
        <w:t xml:space="preserve">że </w:t>
      </w:r>
      <w:r w:rsidR="00DB6157" w:rsidRPr="005322F7">
        <w:rPr>
          <w:rFonts w:ascii="Times New Roman" w:hAnsi="Times New Roman"/>
          <w:sz w:val="26"/>
          <w:szCs w:val="26"/>
        </w:rPr>
        <w:t xml:space="preserve">jego status powinien być uregulowany odrębnie i </w:t>
      </w:r>
      <w:r w:rsidR="000B6873" w:rsidRPr="005322F7">
        <w:rPr>
          <w:rFonts w:ascii="Times New Roman" w:hAnsi="Times New Roman"/>
          <w:sz w:val="26"/>
          <w:szCs w:val="26"/>
        </w:rPr>
        <w:t xml:space="preserve">w możliwie najmniejszym zakresie </w:t>
      </w:r>
      <w:r w:rsidR="00DB6157" w:rsidRPr="005322F7">
        <w:rPr>
          <w:rFonts w:ascii="Times New Roman" w:hAnsi="Times New Roman"/>
          <w:sz w:val="26"/>
          <w:szCs w:val="26"/>
        </w:rPr>
        <w:t>nawiązywać do odpowiednieg</w:t>
      </w:r>
      <w:r w:rsidRPr="005322F7">
        <w:rPr>
          <w:rFonts w:ascii="Times New Roman" w:hAnsi="Times New Roman"/>
          <w:sz w:val="26"/>
          <w:szCs w:val="26"/>
        </w:rPr>
        <w:t xml:space="preserve">o stosowania przepisów ustawy o </w:t>
      </w:r>
      <w:r w:rsidR="00DB6157" w:rsidRPr="005322F7">
        <w:rPr>
          <w:rFonts w:ascii="Times New Roman" w:hAnsi="Times New Roman"/>
          <w:sz w:val="26"/>
          <w:szCs w:val="26"/>
        </w:rPr>
        <w:t xml:space="preserve">Sądzie Najwyższym. </w:t>
      </w:r>
    </w:p>
    <w:p w:rsidR="00256144" w:rsidRPr="005322F7" w:rsidRDefault="003F617A" w:rsidP="000B6873">
      <w:pPr>
        <w:spacing w:before="120" w:after="120"/>
        <w:ind w:firstLine="708"/>
        <w:jc w:val="both"/>
        <w:rPr>
          <w:rFonts w:ascii="Times New Roman" w:hAnsi="Times New Roman"/>
          <w:sz w:val="26"/>
          <w:szCs w:val="26"/>
        </w:rPr>
      </w:pPr>
      <w:r w:rsidRPr="005322F7">
        <w:rPr>
          <w:rFonts w:ascii="Times New Roman" w:hAnsi="Times New Roman"/>
          <w:sz w:val="26"/>
          <w:szCs w:val="26"/>
        </w:rPr>
        <w:t>S</w:t>
      </w:r>
      <w:r w:rsidR="000B6873" w:rsidRPr="005322F7">
        <w:rPr>
          <w:rFonts w:ascii="Times New Roman" w:hAnsi="Times New Roman"/>
          <w:sz w:val="26"/>
          <w:szCs w:val="26"/>
        </w:rPr>
        <w:t xml:space="preserve">koro </w:t>
      </w:r>
      <w:r w:rsidRPr="005322F7">
        <w:rPr>
          <w:rFonts w:ascii="Times New Roman" w:hAnsi="Times New Roman"/>
          <w:sz w:val="26"/>
          <w:szCs w:val="26"/>
        </w:rPr>
        <w:t xml:space="preserve">jednak </w:t>
      </w:r>
      <w:r w:rsidR="000B6873" w:rsidRPr="005322F7">
        <w:rPr>
          <w:rFonts w:ascii="Times New Roman" w:hAnsi="Times New Roman"/>
          <w:sz w:val="26"/>
          <w:szCs w:val="26"/>
        </w:rPr>
        <w:t xml:space="preserve">kryteria wyboru osoby na stanowisko sędziego Trybunału Konstytucyjnego są identyczne jak </w:t>
      </w:r>
      <w:r w:rsidRPr="005322F7">
        <w:rPr>
          <w:rFonts w:ascii="Times New Roman" w:hAnsi="Times New Roman"/>
          <w:sz w:val="26"/>
          <w:szCs w:val="26"/>
        </w:rPr>
        <w:t xml:space="preserve">wymogi stawiane </w:t>
      </w:r>
      <w:r w:rsidR="000B6873" w:rsidRPr="005322F7">
        <w:rPr>
          <w:rFonts w:ascii="Times New Roman" w:hAnsi="Times New Roman"/>
          <w:sz w:val="26"/>
          <w:szCs w:val="26"/>
        </w:rPr>
        <w:t>sędzie</w:t>
      </w:r>
      <w:r w:rsidRPr="005322F7">
        <w:rPr>
          <w:rFonts w:ascii="Times New Roman" w:hAnsi="Times New Roman"/>
          <w:sz w:val="26"/>
          <w:szCs w:val="26"/>
        </w:rPr>
        <w:t xml:space="preserve">mu </w:t>
      </w:r>
      <w:r w:rsidR="000B6873" w:rsidRPr="005322F7">
        <w:rPr>
          <w:rFonts w:ascii="Times New Roman" w:hAnsi="Times New Roman"/>
          <w:sz w:val="26"/>
          <w:szCs w:val="26"/>
        </w:rPr>
        <w:t>Sądu Najwyższego</w:t>
      </w:r>
      <w:r w:rsidR="00B15AD7" w:rsidRPr="005322F7">
        <w:rPr>
          <w:rFonts w:ascii="Times New Roman" w:hAnsi="Times New Roman"/>
          <w:sz w:val="26"/>
          <w:szCs w:val="26"/>
        </w:rPr>
        <w:t xml:space="preserve"> </w:t>
      </w:r>
      <w:r w:rsidR="00B15AD7" w:rsidRPr="005322F7">
        <w:rPr>
          <w:rFonts w:ascii="Times New Roman" w:hAnsi="Times New Roman"/>
          <w:sz w:val="26"/>
          <w:szCs w:val="26"/>
        </w:rPr>
        <w:lastRenderedPageBreak/>
        <w:t>(zob. art. 2 ust. 3 projektu, który powtarza wcześniejsze rozwiązania)</w:t>
      </w:r>
      <w:r w:rsidR="000B6873" w:rsidRPr="005322F7">
        <w:rPr>
          <w:rFonts w:ascii="Times New Roman" w:hAnsi="Times New Roman"/>
          <w:sz w:val="26"/>
          <w:szCs w:val="26"/>
        </w:rPr>
        <w:t>, nic nie stoi na przeszkodzie, aby pewne standardy przewidziane dla sędziów Sądu Najwyższego, z odpowiednim uwzględnieniem innej specyfiki funkcji sędziego Trybunału Konstytucyjnego, zostały zaadoptowane do niniejszej ustawy.</w:t>
      </w:r>
      <w:r w:rsidR="00C1625E" w:rsidRPr="005322F7">
        <w:rPr>
          <w:rFonts w:ascii="Times New Roman" w:hAnsi="Times New Roman"/>
          <w:sz w:val="26"/>
          <w:szCs w:val="26"/>
        </w:rPr>
        <w:t xml:space="preserve"> </w:t>
      </w:r>
      <w:r w:rsidR="00256144" w:rsidRPr="005322F7">
        <w:rPr>
          <w:rFonts w:ascii="Times New Roman" w:hAnsi="Times New Roman"/>
          <w:sz w:val="26"/>
          <w:szCs w:val="26"/>
        </w:rPr>
        <w:t xml:space="preserve">W szczególności nie można różnicować sędziów obu organów w zakresie dotyczącym ich kwalifikacji i cech, które powinni posiadać nie tylko jako kandydaci na </w:t>
      </w:r>
      <w:r w:rsidRPr="005322F7">
        <w:rPr>
          <w:rFonts w:ascii="Times New Roman" w:hAnsi="Times New Roman"/>
          <w:sz w:val="26"/>
          <w:szCs w:val="26"/>
        </w:rPr>
        <w:t xml:space="preserve">dany </w:t>
      </w:r>
      <w:r w:rsidR="00256144" w:rsidRPr="005322F7">
        <w:rPr>
          <w:rFonts w:ascii="Times New Roman" w:hAnsi="Times New Roman"/>
          <w:sz w:val="26"/>
          <w:szCs w:val="26"/>
        </w:rPr>
        <w:t xml:space="preserve">urząd, ale też w trakcie wykonywania swoich </w:t>
      </w:r>
      <w:r w:rsidRPr="005322F7">
        <w:rPr>
          <w:rFonts w:ascii="Times New Roman" w:hAnsi="Times New Roman"/>
          <w:sz w:val="26"/>
          <w:szCs w:val="26"/>
        </w:rPr>
        <w:t xml:space="preserve">konstytucyjnych i ustawowych </w:t>
      </w:r>
      <w:r w:rsidR="00256144" w:rsidRPr="005322F7">
        <w:rPr>
          <w:rFonts w:ascii="Times New Roman" w:hAnsi="Times New Roman"/>
          <w:sz w:val="26"/>
          <w:szCs w:val="26"/>
        </w:rPr>
        <w:t>obowiązków. W szczególności chodzi tu o wymogi dotyczące legitymowania się określonym poziomem merytorycznym, bezstronnością, która jest gwarancją niezawisłości, a także odpowiednim stanem zdrowia koniecznym do sprawowania urzędu.</w:t>
      </w:r>
    </w:p>
    <w:p w:rsidR="00810668" w:rsidRPr="005322F7" w:rsidRDefault="00256144" w:rsidP="00256144">
      <w:pPr>
        <w:spacing w:before="120" w:after="120"/>
        <w:jc w:val="both"/>
        <w:rPr>
          <w:rFonts w:ascii="Times New Roman" w:hAnsi="Times New Roman"/>
          <w:sz w:val="26"/>
          <w:szCs w:val="26"/>
        </w:rPr>
      </w:pPr>
      <w:r w:rsidRPr="005322F7">
        <w:rPr>
          <w:rFonts w:ascii="Times New Roman" w:hAnsi="Times New Roman"/>
          <w:sz w:val="26"/>
          <w:szCs w:val="26"/>
        </w:rPr>
        <w:tab/>
      </w:r>
      <w:r w:rsidR="00CB1A04" w:rsidRPr="005322F7">
        <w:rPr>
          <w:rFonts w:ascii="Times New Roman" w:hAnsi="Times New Roman"/>
          <w:sz w:val="26"/>
          <w:szCs w:val="26"/>
        </w:rPr>
        <w:t xml:space="preserve">Powyżej wskazane okoliczności zadecydowały o tym, że grupa posłów przedstawiła propozycję </w:t>
      </w:r>
      <w:r w:rsidR="00DB6157" w:rsidRPr="005322F7">
        <w:rPr>
          <w:rFonts w:ascii="Times New Roman" w:hAnsi="Times New Roman"/>
          <w:sz w:val="26"/>
          <w:szCs w:val="26"/>
        </w:rPr>
        <w:t>uregulowani</w:t>
      </w:r>
      <w:r w:rsidR="00B15AD7" w:rsidRPr="005322F7">
        <w:rPr>
          <w:rFonts w:ascii="Times New Roman" w:hAnsi="Times New Roman"/>
          <w:sz w:val="26"/>
          <w:szCs w:val="26"/>
        </w:rPr>
        <w:t>a</w:t>
      </w:r>
      <w:r w:rsidR="00DB6157" w:rsidRPr="005322F7">
        <w:rPr>
          <w:rFonts w:ascii="Times New Roman" w:hAnsi="Times New Roman"/>
          <w:sz w:val="26"/>
          <w:szCs w:val="26"/>
        </w:rPr>
        <w:t xml:space="preserve"> statusu sędziów TK</w:t>
      </w:r>
      <w:r w:rsidR="00810668" w:rsidRPr="005322F7">
        <w:rPr>
          <w:rFonts w:ascii="Times New Roman" w:hAnsi="Times New Roman"/>
          <w:bCs/>
          <w:sz w:val="26"/>
          <w:szCs w:val="26"/>
        </w:rPr>
        <w:t xml:space="preserve"> w odrębnej ustawie</w:t>
      </w:r>
      <w:r w:rsidR="00CB1A04" w:rsidRPr="005322F7">
        <w:rPr>
          <w:rFonts w:ascii="Times New Roman" w:hAnsi="Times New Roman"/>
          <w:bCs/>
          <w:sz w:val="26"/>
          <w:szCs w:val="26"/>
        </w:rPr>
        <w:t xml:space="preserve"> w sposób kompleksowy</w:t>
      </w:r>
      <w:r w:rsidR="00810668" w:rsidRPr="005322F7">
        <w:rPr>
          <w:rFonts w:ascii="Times New Roman" w:hAnsi="Times New Roman"/>
          <w:bCs/>
          <w:sz w:val="26"/>
          <w:szCs w:val="26"/>
        </w:rPr>
        <w:t xml:space="preserve">. </w:t>
      </w:r>
      <w:r w:rsidRPr="005322F7">
        <w:rPr>
          <w:rFonts w:ascii="Times New Roman" w:hAnsi="Times New Roman"/>
          <w:bCs/>
          <w:sz w:val="26"/>
          <w:szCs w:val="26"/>
        </w:rPr>
        <w:t>Nie zrezygnowano jednak całkowicie z odwołań do obowiązków i praw sędziów SN. W ten sposób projektowana ustawa wpisuje się w wyznaczenie wysokiego standardu dotyczącego statusu sędziów najwyższych organów władzy sądowniczej w Polsce.</w:t>
      </w:r>
    </w:p>
    <w:p w:rsidR="00A503A3" w:rsidRPr="005322F7" w:rsidRDefault="00A503A3" w:rsidP="00DB6157">
      <w:pPr>
        <w:spacing w:before="120" w:after="120"/>
        <w:ind w:firstLine="708"/>
        <w:jc w:val="both"/>
        <w:rPr>
          <w:rFonts w:ascii="Times New Roman" w:hAnsi="Times New Roman"/>
          <w:b/>
          <w:bCs/>
          <w:sz w:val="26"/>
          <w:szCs w:val="26"/>
        </w:rPr>
      </w:pPr>
      <w:r w:rsidRPr="005322F7">
        <w:rPr>
          <w:rFonts w:ascii="Times New Roman" w:hAnsi="Times New Roman"/>
          <w:bCs/>
          <w:sz w:val="26"/>
          <w:szCs w:val="26"/>
        </w:rPr>
        <w:t xml:space="preserve">Jest to realizacja zalecenia zespołu ekspertów ds. TK, którzy uznali, że: </w:t>
      </w:r>
      <w:r w:rsidRPr="005322F7">
        <w:rPr>
          <w:rFonts w:ascii="Times New Roman" w:hAnsi="Times New Roman"/>
          <w:b/>
          <w:bCs/>
          <w:i/>
          <w:sz w:val="26"/>
          <w:szCs w:val="26"/>
        </w:rPr>
        <w:t>„</w:t>
      </w:r>
      <w:r w:rsidRPr="005322F7">
        <w:rPr>
          <w:rFonts w:ascii="Times New Roman" w:hAnsi="Times New Roman"/>
          <w:b/>
          <w:i/>
          <w:sz w:val="26"/>
          <w:szCs w:val="26"/>
        </w:rPr>
        <w:t>Dopuszczalne na podstawie obowiązującej Konstytucji jest jeszcze uchwalenie drugiej równoległej ustawy dotyczącej Trybunału Konstytucyjnego (ewentualnie przyjęcie jednej ustawy, ale o zawężonym zakresie przedmiotowym, a co za tym idzie i o precyzyjnie wskazanym tytule). Podstawą jej uchwalania mógłby być przepis art. 195 ust. 2 Konstytucji, w którym stwierdza się wyraźnie, że „sędziom Trybunału Konstytucyjnego zapewnia się warunki pracy i wynagrodzenie odpowiadające godności urzędu oraz zakresowi ich obowiązków”. Warunki te nie są bowiem częścią składową organizacji TK, ani – tym bardziej – trybu postępowania przed Trybunałem Konstytucyjnym, a trudno jest je zawrzeć w Konstytucji bądź w regulaminie Sejmu. Dlatego obok podstawowej ustawy dotyczącej Trybunału Konstytucyjnego, jaką powinna być dość wąska przedmiotowo ustawa o organizacji i trybie postępowania przed TK (opartej na art. 197 Konstytucji RP), możliwe byłoby przyjęcie „mniejszej” ustawy, tym razem „o warunkach pracy i wynagrodzeniu sędziów Trybunału Konstytucyjnego” (opartej na art. 195 ust. 2 Konstytucji RP). Ewentualnie dopuszczalne byłoby również przyjęcie jednej „ustawy o organizacji i trybie postępowania przed TK oraz o warunkach pracy i wynagrodzeniu sędziów TK”.</w:t>
      </w:r>
      <w:r w:rsidR="00ED3BFC" w:rsidRPr="005322F7">
        <w:rPr>
          <w:rFonts w:ascii="Times New Roman" w:hAnsi="Times New Roman"/>
          <w:b/>
          <w:i/>
          <w:sz w:val="26"/>
          <w:szCs w:val="26"/>
        </w:rPr>
        <w:t>”</w:t>
      </w:r>
      <w:r w:rsidR="00ED3BFC" w:rsidRPr="005322F7">
        <w:rPr>
          <w:rFonts w:ascii="Times New Roman" w:hAnsi="Times New Roman"/>
          <w:b/>
          <w:sz w:val="26"/>
          <w:szCs w:val="26"/>
        </w:rPr>
        <w:t xml:space="preserve"> (s. 42 raportu zespołu ekspertów ds. TK).</w:t>
      </w:r>
    </w:p>
    <w:p w:rsidR="00810668" w:rsidRPr="005322F7" w:rsidRDefault="002E6481" w:rsidP="00DB6157">
      <w:pPr>
        <w:spacing w:before="120" w:after="120"/>
        <w:ind w:firstLine="708"/>
        <w:jc w:val="both"/>
        <w:rPr>
          <w:rFonts w:ascii="Times New Roman" w:hAnsi="Times New Roman"/>
          <w:bCs/>
          <w:sz w:val="26"/>
          <w:szCs w:val="26"/>
        </w:rPr>
      </w:pPr>
      <w:r w:rsidRPr="005322F7">
        <w:rPr>
          <w:rFonts w:ascii="Times New Roman" w:hAnsi="Times New Roman"/>
          <w:bCs/>
          <w:sz w:val="26"/>
          <w:szCs w:val="26"/>
        </w:rPr>
        <w:t xml:space="preserve">Z powyższych względów przedkładana przez grupę posłów </w:t>
      </w:r>
      <w:r w:rsidR="00810668" w:rsidRPr="005322F7">
        <w:rPr>
          <w:rFonts w:ascii="Times New Roman" w:hAnsi="Times New Roman"/>
          <w:bCs/>
          <w:sz w:val="26"/>
          <w:szCs w:val="26"/>
        </w:rPr>
        <w:t xml:space="preserve">ustawa dotyczy więc praw, obowiązków i zasad odpowiedzialności sędziów TK. Charakteryzuje </w:t>
      </w:r>
      <w:r w:rsidRPr="005322F7">
        <w:rPr>
          <w:rFonts w:ascii="Times New Roman" w:hAnsi="Times New Roman"/>
          <w:bCs/>
          <w:sz w:val="26"/>
          <w:szCs w:val="26"/>
        </w:rPr>
        <w:t xml:space="preserve">ona </w:t>
      </w:r>
      <w:r w:rsidR="00810668" w:rsidRPr="005322F7">
        <w:rPr>
          <w:rFonts w:ascii="Times New Roman" w:hAnsi="Times New Roman"/>
          <w:bCs/>
          <w:sz w:val="26"/>
          <w:szCs w:val="26"/>
        </w:rPr>
        <w:t>także stosunek służbowy sędziego Trybunału.</w:t>
      </w:r>
    </w:p>
    <w:p w:rsidR="00810668" w:rsidRPr="005322F7" w:rsidRDefault="00810668" w:rsidP="00810668">
      <w:pPr>
        <w:spacing w:before="120" w:after="120"/>
        <w:jc w:val="both"/>
        <w:rPr>
          <w:rFonts w:ascii="Times New Roman" w:hAnsi="Times New Roman"/>
          <w:bCs/>
          <w:sz w:val="26"/>
          <w:szCs w:val="26"/>
        </w:rPr>
      </w:pPr>
    </w:p>
    <w:p w:rsidR="006C745E" w:rsidRPr="005322F7" w:rsidRDefault="006C745E" w:rsidP="00810668">
      <w:pPr>
        <w:spacing w:before="120" w:after="120"/>
        <w:jc w:val="center"/>
        <w:rPr>
          <w:rFonts w:ascii="Times New Roman" w:hAnsi="Times New Roman"/>
          <w:b/>
          <w:bCs/>
          <w:sz w:val="26"/>
          <w:szCs w:val="26"/>
        </w:rPr>
      </w:pPr>
      <w:r w:rsidRPr="005322F7">
        <w:rPr>
          <w:rFonts w:ascii="Times New Roman" w:hAnsi="Times New Roman"/>
          <w:b/>
          <w:bCs/>
          <w:sz w:val="26"/>
          <w:szCs w:val="26"/>
        </w:rPr>
        <w:t>II</w:t>
      </w:r>
    </w:p>
    <w:p w:rsidR="00DB6157" w:rsidRPr="005322F7" w:rsidRDefault="00DB6157" w:rsidP="00DB6157">
      <w:pPr>
        <w:spacing w:before="120" w:after="120"/>
        <w:jc w:val="both"/>
        <w:rPr>
          <w:rFonts w:ascii="Times New Roman" w:hAnsi="Times New Roman"/>
          <w:b/>
          <w:bCs/>
          <w:sz w:val="26"/>
          <w:szCs w:val="26"/>
        </w:rPr>
      </w:pPr>
    </w:p>
    <w:p w:rsidR="009B6FD8" w:rsidRPr="005322F7" w:rsidRDefault="00DB6157" w:rsidP="009B6FD8">
      <w:pPr>
        <w:spacing w:before="120" w:after="120"/>
        <w:jc w:val="both"/>
        <w:rPr>
          <w:rFonts w:ascii="Times New Roman" w:hAnsi="Times New Roman"/>
          <w:sz w:val="26"/>
          <w:szCs w:val="26"/>
        </w:rPr>
      </w:pPr>
      <w:r w:rsidRPr="005322F7">
        <w:rPr>
          <w:rFonts w:ascii="Times New Roman" w:hAnsi="Times New Roman"/>
          <w:b/>
          <w:bCs/>
          <w:sz w:val="26"/>
          <w:szCs w:val="26"/>
        </w:rPr>
        <w:tab/>
      </w:r>
      <w:r w:rsidR="008F1C73" w:rsidRPr="005322F7">
        <w:rPr>
          <w:rFonts w:ascii="Times New Roman" w:hAnsi="Times New Roman"/>
          <w:b/>
          <w:bCs/>
          <w:sz w:val="26"/>
          <w:szCs w:val="26"/>
        </w:rPr>
        <w:t xml:space="preserve">1. </w:t>
      </w:r>
      <w:r w:rsidRPr="005322F7">
        <w:rPr>
          <w:rFonts w:ascii="Times New Roman" w:hAnsi="Times New Roman"/>
          <w:bCs/>
          <w:sz w:val="26"/>
          <w:szCs w:val="26"/>
        </w:rPr>
        <w:t xml:space="preserve">Projektowana ustawa składa się z </w:t>
      </w:r>
      <w:r w:rsidR="00027552" w:rsidRPr="005322F7">
        <w:rPr>
          <w:rFonts w:ascii="Times New Roman" w:hAnsi="Times New Roman"/>
          <w:bCs/>
          <w:sz w:val="26"/>
          <w:szCs w:val="26"/>
        </w:rPr>
        <w:t>5</w:t>
      </w:r>
      <w:r w:rsidRPr="005322F7">
        <w:rPr>
          <w:rFonts w:ascii="Times New Roman" w:hAnsi="Times New Roman"/>
          <w:bCs/>
          <w:sz w:val="26"/>
          <w:szCs w:val="26"/>
        </w:rPr>
        <w:t xml:space="preserve"> rozdziałów. W pierwszym </w:t>
      </w:r>
      <w:r w:rsidR="002A53DC" w:rsidRPr="005322F7">
        <w:rPr>
          <w:rFonts w:ascii="Times New Roman" w:hAnsi="Times New Roman"/>
          <w:bCs/>
          <w:i/>
          <w:sz w:val="26"/>
          <w:szCs w:val="26"/>
        </w:rPr>
        <w:t xml:space="preserve">Przepisy ogólne </w:t>
      </w:r>
      <w:r w:rsidRPr="005322F7">
        <w:rPr>
          <w:rFonts w:ascii="Times New Roman" w:hAnsi="Times New Roman"/>
          <w:bCs/>
          <w:sz w:val="26"/>
          <w:szCs w:val="26"/>
        </w:rPr>
        <w:t>projektodawca powtórzył</w:t>
      </w:r>
      <w:r w:rsidR="00BC4E05" w:rsidRPr="005322F7">
        <w:rPr>
          <w:rFonts w:ascii="Times New Roman" w:hAnsi="Times New Roman"/>
          <w:bCs/>
          <w:sz w:val="26"/>
          <w:szCs w:val="26"/>
        </w:rPr>
        <w:t xml:space="preserve"> konstytucyjne normy dotyczące liczebności składu tego organu, a także zasadę wyboru przez Sejm na 9-letnią kadencję oraz cechy kandydata na stanowisko sędziego</w:t>
      </w:r>
      <w:r w:rsidR="00B15AD7" w:rsidRPr="005322F7">
        <w:rPr>
          <w:rFonts w:ascii="Times New Roman" w:hAnsi="Times New Roman"/>
          <w:bCs/>
          <w:sz w:val="26"/>
          <w:szCs w:val="26"/>
        </w:rPr>
        <w:t xml:space="preserve"> (art. 2)</w:t>
      </w:r>
      <w:r w:rsidR="00BC4E05" w:rsidRPr="005322F7">
        <w:rPr>
          <w:rFonts w:ascii="Times New Roman" w:hAnsi="Times New Roman"/>
          <w:bCs/>
          <w:sz w:val="26"/>
          <w:szCs w:val="26"/>
        </w:rPr>
        <w:t xml:space="preserve">. </w:t>
      </w:r>
      <w:r w:rsidR="00300FB8" w:rsidRPr="005322F7">
        <w:rPr>
          <w:rFonts w:ascii="Times New Roman" w:hAnsi="Times New Roman"/>
          <w:bCs/>
          <w:sz w:val="26"/>
          <w:szCs w:val="26"/>
        </w:rPr>
        <w:t xml:space="preserve">W tym ostatnim zakresie projekt odsyła do </w:t>
      </w:r>
      <w:r w:rsidR="009B6FD8" w:rsidRPr="005322F7">
        <w:rPr>
          <w:rFonts w:ascii="Times New Roman" w:hAnsi="Times New Roman"/>
          <w:bCs/>
          <w:sz w:val="26"/>
          <w:szCs w:val="26"/>
        </w:rPr>
        <w:lastRenderedPageBreak/>
        <w:t xml:space="preserve">wymogów </w:t>
      </w:r>
      <w:r w:rsidR="009B6FD8" w:rsidRPr="005322F7">
        <w:rPr>
          <w:rFonts w:ascii="Times New Roman" w:hAnsi="Times New Roman"/>
          <w:sz w:val="26"/>
          <w:szCs w:val="26"/>
        </w:rPr>
        <w:t xml:space="preserve">kwalifikacyjnych potrzebnych do zajmowania stanowiska sędziego Sądu Najwyższego. Jest to rozwiązanie, które dotychczasowej praktyce dobrze się sprawdzało i gwarantowało wyłanianie odpowiednich kandydatów na funkcję sędziego TK. Jednocześnie nie narzuca ono Sejmowi nadmiernie wąskich ram, ograniczających znacząco krąg osób, które mogłyby być wybrane. Z powyższych powodów projektodawca uznał, że nie ma konieczności, by w nowej ustawie kwestia kwalifikacji kandydatów na sędziów TK była uregulowana w </w:t>
      </w:r>
      <w:r w:rsidR="008F1C73" w:rsidRPr="005322F7">
        <w:rPr>
          <w:rFonts w:ascii="Times New Roman" w:hAnsi="Times New Roman"/>
          <w:sz w:val="26"/>
          <w:szCs w:val="26"/>
        </w:rPr>
        <w:t xml:space="preserve">sposób </w:t>
      </w:r>
      <w:r w:rsidR="009B6FD8" w:rsidRPr="005322F7">
        <w:rPr>
          <w:rFonts w:ascii="Times New Roman" w:hAnsi="Times New Roman"/>
          <w:sz w:val="26"/>
          <w:szCs w:val="26"/>
        </w:rPr>
        <w:t>inny niż dotychczas.</w:t>
      </w:r>
    </w:p>
    <w:p w:rsidR="00B15AD7" w:rsidRPr="005322F7" w:rsidRDefault="00BC4E05" w:rsidP="009B6FD8">
      <w:pPr>
        <w:spacing w:before="120" w:after="120"/>
        <w:ind w:firstLine="708"/>
        <w:jc w:val="both"/>
        <w:rPr>
          <w:rFonts w:ascii="Times New Roman" w:hAnsi="Times New Roman"/>
          <w:b/>
          <w:bCs/>
          <w:sz w:val="26"/>
          <w:szCs w:val="26"/>
        </w:rPr>
      </w:pPr>
      <w:r w:rsidRPr="005322F7">
        <w:rPr>
          <w:rFonts w:ascii="Times New Roman" w:hAnsi="Times New Roman"/>
          <w:bCs/>
          <w:sz w:val="26"/>
          <w:szCs w:val="26"/>
        </w:rPr>
        <w:t>W zakresie</w:t>
      </w:r>
      <w:r w:rsidR="00B15AD7" w:rsidRPr="005322F7">
        <w:rPr>
          <w:rFonts w:ascii="Times New Roman" w:hAnsi="Times New Roman"/>
          <w:bCs/>
          <w:sz w:val="26"/>
          <w:szCs w:val="26"/>
        </w:rPr>
        <w:t xml:space="preserve"> samej</w:t>
      </w:r>
      <w:r w:rsidRPr="005322F7">
        <w:rPr>
          <w:rFonts w:ascii="Times New Roman" w:hAnsi="Times New Roman"/>
          <w:bCs/>
          <w:sz w:val="26"/>
          <w:szCs w:val="26"/>
        </w:rPr>
        <w:t xml:space="preserve"> procedury wyboru sędziów TK projektodawca odesłał do Regulaminu Sejmu (art. 2 ust. 2).</w:t>
      </w:r>
      <w:r w:rsidR="00B15AD7" w:rsidRPr="005322F7">
        <w:rPr>
          <w:rFonts w:ascii="Times New Roman" w:hAnsi="Times New Roman"/>
          <w:bCs/>
          <w:sz w:val="26"/>
          <w:szCs w:val="26"/>
        </w:rPr>
        <w:t xml:space="preserve"> Jest to po pierwsze potwierdzenie konstytucyjnej kompetencji Sejmu do wyboru sędziów TK, </w:t>
      </w:r>
      <w:r w:rsidR="00B15AD7" w:rsidRPr="005322F7">
        <w:rPr>
          <w:rFonts w:ascii="Times New Roman" w:hAnsi="Times New Roman"/>
          <w:b/>
          <w:bCs/>
          <w:sz w:val="26"/>
          <w:szCs w:val="26"/>
        </w:rPr>
        <w:t>a po drugie, jest to także realizacja wniosków płynących z raportu zespołu ekspertów ds. TK, którzy wyraźnie stwierdzili, że:</w:t>
      </w:r>
      <w:r w:rsidR="00E23943" w:rsidRPr="005322F7">
        <w:rPr>
          <w:rFonts w:ascii="Times New Roman" w:hAnsi="Times New Roman"/>
          <w:b/>
          <w:bCs/>
          <w:sz w:val="26"/>
          <w:szCs w:val="26"/>
        </w:rPr>
        <w:t xml:space="preserve"> „</w:t>
      </w:r>
      <w:r w:rsidR="00B15AD7" w:rsidRPr="005322F7">
        <w:rPr>
          <w:rFonts w:ascii="Times New Roman" w:hAnsi="Times New Roman"/>
          <w:b/>
          <w:i/>
          <w:sz w:val="26"/>
          <w:szCs w:val="26"/>
        </w:rPr>
        <w:t xml:space="preserve">zgodnie z art. 194 – wybiera sędziów Trybunału Konstytucyjnego, co sugeruje, że sprawy związane choćby z procedurą wyborczą winny być przedmiotem unormowania regulaminowego. </w:t>
      </w:r>
      <w:r w:rsidR="00E23943" w:rsidRPr="005322F7">
        <w:rPr>
          <w:rFonts w:ascii="Times New Roman" w:hAnsi="Times New Roman"/>
          <w:b/>
          <w:i/>
          <w:sz w:val="26"/>
          <w:szCs w:val="26"/>
        </w:rPr>
        <w:t>[…]</w:t>
      </w:r>
      <w:r w:rsidR="00B15AD7" w:rsidRPr="005322F7">
        <w:rPr>
          <w:rFonts w:ascii="Times New Roman" w:hAnsi="Times New Roman"/>
          <w:b/>
          <w:sz w:val="26"/>
          <w:szCs w:val="26"/>
        </w:rPr>
        <w:t>”</w:t>
      </w:r>
      <w:r w:rsidR="00E23943" w:rsidRPr="005322F7">
        <w:rPr>
          <w:rFonts w:ascii="Times New Roman" w:hAnsi="Times New Roman"/>
          <w:b/>
          <w:sz w:val="26"/>
          <w:szCs w:val="26"/>
        </w:rPr>
        <w:t xml:space="preserve"> (s. 41-42 raportu zespołu ekspertów ds. TK).</w:t>
      </w:r>
    </w:p>
    <w:p w:rsidR="008F1C73" w:rsidRPr="005322F7" w:rsidRDefault="008F1C73" w:rsidP="002E5A74">
      <w:pPr>
        <w:spacing w:before="120" w:after="120"/>
        <w:ind w:firstLine="708"/>
        <w:jc w:val="both"/>
        <w:rPr>
          <w:rFonts w:ascii="Times New Roman" w:hAnsi="Times New Roman"/>
          <w:b/>
          <w:sz w:val="26"/>
          <w:szCs w:val="26"/>
        </w:rPr>
      </w:pPr>
    </w:p>
    <w:p w:rsidR="00F20DC2" w:rsidRPr="005322F7" w:rsidRDefault="008F1C73" w:rsidP="002E5A74">
      <w:pPr>
        <w:spacing w:before="120" w:after="120"/>
        <w:ind w:firstLine="708"/>
        <w:jc w:val="both"/>
        <w:rPr>
          <w:rFonts w:ascii="Times New Roman" w:eastAsia="Calibri" w:hAnsi="Times New Roman"/>
          <w:bCs/>
          <w:i/>
          <w:sz w:val="26"/>
          <w:szCs w:val="26"/>
          <w:lang w:eastAsia="en-US"/>
        </w:rPr>
      </w:pPr>
      <w:r w:rsidRPr="005322F7">
        <w:rPr>
          <w:rFonts w:ascii="Times New Roman" w:hAnsi="Times New Roman"/>
          <w:b/>
          <w:sz w:val="26"/>
          <w:szCs w:val="26"/>
        </w:rPr>
        <w:t>2.</w:t>
      </w:r>
      <w:r w:rsidRPr="005322F7">
        <w:rPr>
          <w:rFonts w:ascii="Times New Roman" w:hAnsi="Times New Roman"/>
          <w:sz w:val="26"/>
          <w:szCs w:val="26"/>
        </w:rPr>
        <w:t xml:space="preserve"> Ważnym fragmentem projektu są przepisy dotyczące statusu osoby wybranej na stanowisko sędziego Trybunału. </w:t>
      </w:r>
      <w:r w:rsidR="00BC4E05" w:rsidRPr="005322F7">
        <w:rPr>
          <w:rFonts w:ascii="Times New Roman" w:hAnsi="Times New Roman"/>
          <w:sz w:val="26"/>
          <w:szCs w:val="26"/>
        </w:rPr>
        <w:t xml:space="preserve">Projekt określa wymogi związane ze złożeniem ślubowania. Utrzymuje zasadę składania ślubowania wobec Prezydenta (art. </w:t>
      </w:r>
      <w:r w:rsidR="00871666" w:rsidRPr="005322F7">
        <w:rPr>
          <w:rFonts w:ascii="Times New Roman" w:hAnsi="Times New Roman"/>
          <w:sz w:val="26"/>
          <w:szCs w:val="26"/>
        </w:rPr>
        <w:t>3</w:t>
      </w:r>
      <w:r w:rsidR="00BC4E05" w:rsidRPr="005322F7">
        <w:rPr>
          <w:rFonts w:ascii="Times New Roman" w:hAnsi="Times New Roman"/>
          <w:sz w:val="26"/>
          <w:szCs w:val="26"/>
        </w:rPr>
        <w:t xml:space="preserve"> ust. </w:t>
      </w:r>
      <w:r w:rsidR="00871666" w:rsidRPr="005322F7">
        <w:rPr>
          <w:rFonts w:ascii="Times New Roman" w:hAnsi="Times New Roman"/>
          <w:sz w:val="26"/>
          <w:szCs w:val="26"/>
        </w:rPr>
        <w:t>1</w:t>
      </w:r>
      <w:r w:rsidR="00BC4E05" w:rsidRPr="005322F7">
        <w:rPr>
          <w:rFonts w:ascii="Times New Roman" w:hAnsi="Times New Roman"/>
          <w:sz w:val="26"/>
          <w:szCs w:val="26"/>
        </w:rPr>
        <w:t>). Proponowane przepisy realizują tezę zawartą w uzasadnieniu TK do wyroku z 3 grudnia 2015 r. (sygn. K 34/15), że</w:t>
      </w:r>
      <w:r w:rsidR="002E5A74" w:rsidRPr="005322F7">
        <w:rPr>
          <w:rFonts w:ascii="Times New Roman" w:hAnsi="Times New Roman"/>
          <w:sz w:val="26"/>
          <w:szCs w:val="26"/>
        </w:rPr>
        <w:t>: „</w:t>
      </w:r>
      <w:r w:rsidR="002E5A74" w:rsidRPr="005322F7">
        <w:rPr>
          <w:rFonts w:ascii="Times New Roman" w:eastAsia="Calibri" w:hAnsi="Times New Roman"/>
          <w:bCs/>
          <w:i/>
          <w:sz w:val="26"/>
          <w:szCs w:val="26"/>
          <w:lang w:eastAsia="en-US"/>
        </w:rPr>
        <w:t xml:space="preserve">Ślubowanie składane wobec Prezydenta zgodnie z art. 21 ust. 1 </w:t>
      </w:r>
      <w:r w:rsidR="002E5A74" w:rsidRPr="005322F7">
        <w:rPr>
          <w:rFonts w:ascii="Times New Roman" w:eastAsia="Calibri" w:hAnsi="Times New Roman"/>
          <w:i/>
          <w:sz w:val="26"/>
          <w:szCs w:val="26"/>
          <w:lang w:eastAsia="en-US"/>
        </w:rPr>
        <w:t>ustawy o TK</w:t>
      </w:r>
      <w:r w:rsidR="002E5A74" w:rsidRPr="005322F7">
        <w:rPr>
          <w:rFonts w:ascii="Times New Roman" w:eastAsia="Calibri" w:hAnsi="Times New Roman"/>
          <w:bCs/>
          <w:i/>
          <w:sz w:val="26"/>
          <w:szCs w:val="26"/>
          <w:lang w:eastAsia="en-US"/>
        </w:rPr>
        <w:t xml:space="preserve"> nie stanowi wyłącznie podniosłej uroczystości o charakterze symbolicznym, nawiązującej do tradycyjnej inauguracji okresu urzędowania. Wydarzenie to pełni dwie istotne funkcje. Po pierwsze, jest publicznym przyrzeczeniem sędziego do zachowania się zgodnie z rotą składanego ślubowania. W ten sposób sędzia deklaruje osobistą odpowiedzialność za bezstronne i staranne wykonywanie swoich obowiązków zgodnie z własnym sumieniem oraz poszanowaniem godności sprawowanego urzędu. Po drugie, złożenie ślubowania pozwala sędziemu rozpocząć urzędowanie, czyli wykonywanie powierzonego mu mandatu. Te dwa istotne aspekty ślubowania świadczą o tym, że nie jest to wyłącznie podniosła uroczystość, lecz zdarzenie wywołujące konkretne skutki prawne. Z tego względu włączenie Prezydenta w odbieranie ślubowania od wybranych przez Sejm sędziów TK należy ulokować w sferze realizacji kompetencji głowy państwa”. </w:t>
      </w:r>
    </w:p>
    <w:p w:rsidR="0092333A" w:rsidRPr="005322F7" w:rsidRDefault="00F20DC2" w:rsidP="002E5A74">
      <w:pPr>
        <w:spacing w:before="120" w:after="120"/>
        <w:ind w:firstLine="708"/>
        <w:jc w:val="both"/>
        <w:rPr>
          <w:rFonts w:ascii="Times New Roman" w:hAnsi="Times New Roman"/>
          <w:sz w:val="26"/>
          <w:szCs w:val="26"/>
        </w:rPr>
      </w:pPr>
      <w:r w:rsidRPr="005322F7">
        <w:rPr>
          <w:rFonts w:ascii="Times New Roman" w:eastAsia="Calibri" w:hAnsi="Times New Roman"/>
          <w:bCs/>
          <w:sz w:val="26"/>
          <w:szCs w:val="26"/>
          <w:lang w:eastAsia="en-US"/>
        </w:rPr>
        <w:t>Konsekwencją wyżej zaprezentowanego stanowiska jest</w:t>
      </w:r>
      <w:r w:rsidR="002E5A74" w:rsidRPr="005322F7">
        <w:rPr>
          <w:rFonts w:ascii="Times New Roman" w:eastAsia="Calibri" w:hAnsi="Times New Roman"/>
          <w:bCs/>
          <w:sz w:val="26"/>
          <w:szCs w:val="26"/>
          <w:lang w:eastAsia="en-US"/>
        </w:rPr>
        <w:t xml:space="preserve"> po pierwsze</w:t>
      </w:r>
      <w:r w:rsidRPr="005322F7">
        <w:rPr>
          <w:rFonts w:ascii="Times New Roman" w:eastAsia="Calibri" w:hAnsi="Times New Roman"/>
          <w:bCs/>
          <w:sz w:val="26"/>
          <w:szCs w:val="26"/>
          <w:lang w:eastAsia="en-US"/>
        </w:rPr>
        <w:t xml:space="preserve"> to, że</w:t>
      </w:r>
      <w:r w:rsidR="002E5A74" w:rsidRPr="005322F7">
        <w:rPr>
          <w:rFonts w:ascii="Times New Roman" w:eastAsia="Calibri" w:hAnsi="Times New Roman"/>
          <w:bCs/>
          <w:sz w:val="26"/>
          <w:szCs w:val="26"/>
          <w:lang w:eastAsia="en-US"/>
        </w:rPr>
        <w:t xml:space="preserve"> o</w:t>
      </w:r>
      <w:r w:rsidR="0092333A" w:rsidRPr="005322F7">
        <w:rPr>
          <w:rFonts w:ascii="Times New Roman" w:hAnsi="Times New Roman"/>
          <w:sz w:val="26"/>
          <w:szCs w:val="26"/>
        </w:rPr>
        <w:t>dmowa złożenia ślubowania jest równoznaczna ze zrzeczeniem się stanowiska sędziego Trybunału</w:t>
      </w:r>
      <w:r w:rsidR="002E5A74" w:rsidRPr="005322F7">
        <w:rPr>
          <w:rFonts w:ascii="Times New Roman" w:hAnsi="Times New Roman"/>
          <w:sz w:val="26"/>
          <w:szCs w:val="26"/>
        </w:rPr>
        <w:t xml:space="preserve"> (</w:t>
      </w:r>
      <w:r w:rsidRPr="005322F7">
        <w:rPr>
          <w:rFonts w:ascii="Times New Roman" w:hAnsi="Times New Roman"/>
          <w:sz w:val="26"/>
          <w:szCs w:val="26"/>
        </w:rPr>
        <w:t>art. 3 ust. 2</w:t>
      </w:r>
      <w:r w:rsidR="002E5A74" w:rsidRPr="005322F7">
        <w:rPr>
          <w:rFonts w:ascii="Times New Roman" w:hAnsi="Times New Roman"/>
          <w:sz w:val="26"/>
          <w:szCs w:val="26"/>
        </w:rPr>
        <w:t xml:space="preserve">) i po drugie, </w:t>
      </w:r>
      <w:r w:rsidRPr="005322F7">
        <w:rPr>
          <w:rFonts w:ascii="Times New Roman" w:hAnsi="Times New Roman"/>
          <w:sz w:val="26"/>
          <w:szCs w:val="26"/>
        </w:rPr>
        <w:t xml:space="preserve">że </w:t>
      </w:r>
      <w:r w:rsidR="002E5A74" w:rsidRPr="005322F7">
        <w:rPr>
          <w:rFonts w:ascii="Times New Roman" w:hAnsi="Times New Roman"/>
          <w:sz w:val="26"/>
          <w:szCs w:val="26"/>
        </w:rPr>
        <w:t>s</w:t>
      </w:r>
      <w:r w:rsidR="0092333A" w:rsidRPr="005322F7">
        <w:rPr>
          <w:rFonts w:ascii="Times New Roman" w:hAnsi="Times New Roman"/>
          <w:sz w:val="26"/>
          <w:szCs w:val="26"/>
        </w:rPr>
        <w:t>tosunek służbowy sędziego Trybunału nawiązuje się po złożeniu ślubowania. Sędzia po złożeniu ślubowania stawia się niezwłocznie w Trybunale w celu podjęcia obowiązków, a Prezes Trybunału przydziela mu sprawy i stwarza warunki umożliwiające wypełnianie obowiązków sędziego</w:t>
      </w:r>
      <w:r w:rsidR="002E5A74" w:rsidRPr="005322F7">
        <w:rPr>
          <w:rFonts w:ascii="Times New Roman" w:hAnsi="Times New Roman"/>
          <w:sz w:val="26"/>
          <w:szCs w:val="26"/>
        </w:rPr>
        <w:t xml:space="preserve"> (</w:t>
      </w:r>
      <w:r w:rsidRPr="005322F7">
        <w:rPr>
          <w:rFonts w:ascii="Times New Roman" w:hAnsi="Times New Roman"/>
          <w:sz w:val="26"/>
          <w:szCs w:val="26"/>
        </w:rPr>
        <w:t>art. 3 ust. 3</w:t>
      </w:r>
      <w:r w:rsidR="002E5A74" w:rsidRPr="005322F7">
        <w:rPr>
          <w:rFonts w:ascii="Times New Roman" w:hAnsi="Times New Roman"/>
          <w:sz w:val="26"/>
          <w:szCs w:val="26"/>
        </w:rPr>
        <w:t>)</w:t>
      </w:r>
      <w:r w:rsidR="0092333A" w:rsidRPr="005322F7">
        <w:rPr>
          <w:rFonts w:ascii="Times New Roman" w:hAnsi="Times New Roman"/>
          <w:sz w:val="26"/>
          <w:szCs w:val="26"/>
        </w:rPr>
        <w:t>.</w:t>
      </w:r>
    </w:p>
    <w:p w:rsidR="00761098" w:rsidRPr="005322F7" w:rsidRDefault="00F20DC2" w:rsidP="002E5A74">
      <w:pPr>
        <w:spacing w:before="120" w:after="120"/>
        <w:ind w:firstLine="708"/>
        <w:jc w:val="both"/>
        <w:rPr>
          <w:rFonts w:ascii="Times New Roman" w:hAnsi="Times New Roman"/>
          <w:b/>
          <w:sz w:val="26"/>
          <w:szCs w:val="26"/>
        </w:rPr>
      </w:pPr>
      <w:r w:rsidRPr="005322F7">
        <w:rPr>
          <w:rFonts w:ascii="Times New Roman" w:hAnsi="Times New Roman"/>
          <w:b/>
          <w:sz w:val="26"/>
          <w:szCs w:val="26"/>
        </w:rPr>
        <w:t xml:space="preserve">Zaproponowany </w:t>
      </w:r>
      <w:r w:rsidR="00761098" w:rsidRPr="005322F7">
        <w:rPr>
          <w:rFonts w:ascii="Times New Roman" w:hAnsi="Times New Roman"/>
          <w:b/>
          <w:sz w:val="26"/>
          <w:szCs w:val="26"/>
        </w:rPr>
        <w:t xml:space="preserve">kształt przepisów </w:t>
      </w:r>
      <w:r w:rsidRPr="005322F7">
        <w:rPr>
          <w:rFonts w:ascii="Times New Roman" w:hAnsi="Times New Roman"/>
          <w:b/>
          <w:sz w:val="26"/>
          <w:szCs w:val="26"/>
        </w:rPr>
        <w:t xml:space="preserve">dotyczących ślubowania i jego skutków </w:t>
      </w:r>
      <w:r w:rsidR="00761098" w:rsidRPr="005322F7">
        <w:rPr>
          <w:rFonts w:ascii="Times New Roman" w:hAnsi="Times New Roman"/>
          <w:b/>
          <w:sz w:val="26"/>
          <w:szCs w:val="26"/>
        </w:rPr>
        <w:t xml:space="preserve">znajduje również </w:t>
      </w:r>
      <w:r w:rsidR="00FB38A8" w:rsidRPr="005322F7">
        <w:rPr>
          <w:rFonts w:ascii="Times New Roman" w:hAnsi="Times New Roman"/>
          <w:b/>
          <w:sz w:val="26"/>
          <w:szCs w:val="26"/>
        </w:rPr>
        <w:t xml:space="preserve">potwierdzenie w stanowisku wyrażonym </w:t>
      </w:r>
      <w:r w:rsidR="00761098" w:rsidRPr="005322F7">
        <w:rPr>
          <w:rFonts w:ascii="Times New Roman" w:hAnsi="Times New Roman"/>
          <w:b/>
          <w:sz w:val="26"/>
          <w:szCs w:val="26"/>
        </w:rPr>
        <w:t>w raporcie zespołu ekspertów ds. problematyki TK. W zaleceniu nr IV stwierdzili oni, że: „</w:t>
      </w:r>
      <w:r w:rsidR="00761098" w:rsidRPr="005322F7">
        <w:rPr>
          <w:rFonts w:ascii="Times New Roman" w:hAnsi="Times New Roman"/>
          <w:b/>
          <w:i/>
          <w:sz w:val="26"/>
          <w:szCs w:val="26"/>
        </w:rPr>
        <w:t>W polskiej tradycji ustrojowej i prawnej ślubowanie pełni istotną i szczególną rolę jako znak lojalności i forma zapewnienia o dotrzymaniu zaciąganych zobowiązań. Uzasadnia to utrzymanie regulacji zobowiązującej do złożenia ślubowania przez sędziego</w:t>
      </w:r>
      <w:r w:rsidR="00761098" w:rsidRPr="005322F7">
        <w:rPr>
          <w:rFonts w:ascii="Times New Roman" w:hAnsi="Times New Roman"/>
          <w:b/>
          <w:sz w:val="26"/>
          <w:szCs w:val="26"/>
        </w:rPr>
        <w:t xml:space="preserve"> </w:t>
      </w:r>
      <w:r w:rsidR="00761098" w:rsidRPr="005322F7">
        <w:rPr>
          <w:rFonts w:ascii="Times New Roman" w:hAnsi="Times New Roman"/>
          <w:b/>
          <w:i/>
          <w:sz w:val="26"/>
          <w:szCs w:val="26"/>
        </w:rPr>
        <w:t>Trybunału Konstytucyjnego. Odmowa złożenia ślubowania powinna być równoznaczna ze zrzeczeniem się stanowiska sędziego TK”</w:t>
      </w:r>
      <w:r w:rsidR="00761098" w:rsidRPr="005322F7">
        <w:rPr>
          <w:rFonts w:ascii="Times New Roman" w:hAnsi="Times New Roman"/>
          <w:b/>
          <w:sz w:val="26"/>
          <w:szCs w:val="26"/>
        </w:rPr>
        <w:t xml:space="preserve"> (s. 50-51 raportu zespołu ekspertów ds. TK)</w:t>
      </w:r>
      <w:r w:rsidR="00761098" w:rsidRPr="005322F7">
        <w:rPr>
          <w:rFonts w:ascii="Times New Roman" w:hAnsi="Times New Roman"/>
          <w:b/>
          <w:i/>
          <w:sz w:val="26"/>
          <w:szCs w:val="26"/>
        </w:rPr>
        <w:t>.</w:t>
      </w:r>
    </w:p>
    <w:p w:rsidR="0048032A" w:rsidRPr="005322F7" w:rsidRDefault="0048032A" w:rsidP="001F4569">
      <w:pPr>
        <w:spacing w:before="120" w:after="120"/>
        <w:ind w:firstLine="708"/>
        <w:jc w:val="both"/>
        <w:rPr>
          <w:rFonts w:ascii="Times New Roman" w:hAnsi="Times New Roman"/>
          <w:sz w:val="26"/>
          <w:szCs w:val="26"/>
        </w:rPr>
      </w:pPr>
    </w:p>
    <w:p w:rsidR="0092333A" w:rsidRPr="005322F7" w:rsidRDefault="0048032A" w:rsidP="001F4569">
      <w:pPr>
        <w:spacing w:before="120" w:after="120"/>
        <w:ind w:firstLine="708"/>
        <w:jc w:val="both"/>
        <w:rPr>
          <w:rFonts w:ascii="Times New Roman" w:hAnsi="Times New Roman"/>
          <w:sz w:val="26"/>
          <w:szCs w:val="26"/>
        </w:rPr>
      </w:pPr>
      <w:r w:rsidRPr="005322F7">
        <w:rPr>
          <w:rFonts w:ascii="Times New Roman" w:hAnsi="Times New Roman"/>
          <w:b/>
          <w:sz w:val="26"/>
          <w:szCs w:val="26"/>
        </w:rPr>
        <w:t xml:space="preserve">3. </w:t>
      </w:r>
      <w:r w:rsidR="002E5A74" w:rsidRPr="005322F7">
        <w:rPr>
          <w:rFonts w:ascii="Times New Roman" w:hAnsi="Times New Roman"/>
          <w:sz w:val="26"/>
          <w:szCs w:val="26"/>
        </w:rPr>
        <w:t xml:space="preserve">Rozdział 1 </w:t>
      </w:r>
      <w:r w:rsidRPr="005322F7">
        <w:rPr>
          <w:rFonts w:ascii="Times New Roman" w:hAnsi="Times New Roman"/>
          <w:sz w:val="26"/>
          <w:szCs w:val="26"/>
        </w:rPr>
        <w:t xml:space="preserve">projektu </w:t>
      </w:r>
      <w:r w:rsidR="002E5A74" w:rsidRPr="005322F7">
        <w:rPr>
          <w:rFonts w:ascii="Times New Roman" w:hAnsi="Times New Roman"/>
          <w:sz w:val="26"/>
          <w:szCs w:val="26"/>
        </w:rPr>
        <w:t>zawiera również przepis dotyczący nieza</w:t>
      </w:r>
      <w:r w:rsidR="004560EE" w:rsidRPr="005322F7">
        <w:rPr>
          <w:rFonts w:ascii="Times New Roman" w:hAnsi="Times New Roman"/>
          <w:sz w:val="26"/>
          <w:szCs w:val="26"/>
        </w:rPr>
        <w:t>wisłości sędziego TK (</w:t>
      </w:r>
      <w:r w:rsidRPr="005322F7">
        <w:rPr>
          <w:rFonts w:ascii="Times New Roman" w:hAnsi="Times New Roman"/>
          <w:sz w:val="26"/>
          <w:szCs w:val="26"/>
        </w:rPr>
        <w:t>art. 4</w:t>
      </w:r>
      <w:r w:rsidR="004560EE" w:rsidRPr="005322F7">
        <w:rPr>
          <w:rFonts w:ascii="Times New Roman" w:hAnsi="Times New Roman"/>
          <w:sz w:val="26"/>
          <w:szCs w:val="26"/>
        </w:rPr>
        <w:t>)</w:t>
      </w:r>
      <w:r w:rsidR="0092333A" w:rsidRPr="005322F7">
        <w:rPr>
          <w:rFonts w:ascii="Times New Roman" w:hAnsi="Times New Roman"/>
          <w:sz w:val="26"/>
          <w:szCs w:val="26"/>
        </w:rPr>
        <w:t>.</w:t>
      </w:r>
    </w:p>
    <w:p w:rsidR="0092333A" w:rsidRPr="005322F7" w:rsidRDefault="0048032A" w:rsidP="001F4569">
      <w:pPr>
        <w:spacing w:before="120" w:after="120"/>
        <w:ind w:firstLine="708"/>
        <w:jc w:val="both"/>
        <w:rPr>
          <w:rFonts w:ascii="Times New Roman" w:hAnsi="Times New Roman"/>
          <w:sz w:val="26"/>
          <w:szCs w:val="26"/>
        </w:rPr>
      </w:pPr>
      <w:r w:rsidRPr="005322F7">
        <w:rPr>
          <w:rFonts w:ascii="Times New Roman" w:hAnsi="Times New Roman"/>
          <w:bCs/>
          <w:sz w:val="26"/>
          <w:szCs w:val="26"/>
        </w:rPr>
        <w:t>Art.</w:t>
      </w:r>
      <w:r w:rsidR="008E079C" w:rsidRPr="005322F7">
        <w:rPr>
          <w:rFonts w:ascii="Times New Roman" w:hAnsi="Times New Roman"/>
          <w:bCs/>
          <w:sz w:val="26"/>
          <w:szCs w:val="26"/>
        </w:rPr>
        <w:t xml:space="preserve"> </w:t>
      </w:r>
      <w:r w:rsidRPr="005322F7">
        <w:rPr>
          <w:rFonts w:ascii="Times New Roman" w:hAnsi="Times New Roman"/>
          <w:sz w:val="26"/>
          <w:szCs w:val="26"/>
        </w:rPr>
        <w:t>5</w:t>
      </w:r>
      <w:r w:rsidR="002E5A74" w:rsidRPr="005322F7">
        <w:rPr>
          <w:rFonts w:ascii="Times New Roman" w:hAnsi="Times New Roman"/>
          <w:bCs/>
          <w:sz w:val="26"/>
          <w:szCs w:val="26"/>
        </w:rPr>
        <w:t xml:space="preserve"> projektu obszernie reguluje wymogi związane z bezstronnością i apolitycznością. Wyznacza też ograniczenia związane z prowadzeniem dodatkowej działalności przez sędziego</w:t>
      </w:r>
      <w:r w:rsidR="001972B4" w:rsidRPr="005322F7">
        <w:rPr>
          <w:rFonts w:ascii="Times New Roman" w:hAnsi="Times New Roman"/>
          <w:bCs/>
          <w:sz w:val="26"/>
          <w:szCs w:val="26"/>
        </w:rPr>
        <w:t xml:space="preserve"> Trybunału. Projektowane normy mają zagwarantować rzetelność w wykonywaniu funkcji sędziego. W tym zakresie szczególną rolę przypisano Prezesowi Trybunału, który zgodnie z </w:t>
      </w:r>
      <w:r w:rsidRPr="005322F7">
        <w:rPr>
          <w:rFonts w:ascii="Times New Roman" w:hAnsi="Times New Roman"/>
          <w:bCs/>
          <w:sz w:val="26"/>
          <w:szCs w:val="26"/>
        </w:rPr>
        <w:t xml:space="preserve">art. </w:t>
      </w:r>
      <w:r w:rsidRPr="005322F7">
        <w:rPr>
          <w:rFonts w:ascii="Times New Roman" w:hAnsi="Times New Roman"/>
          <w:sz w:val="26"/>
          <w:szCs w:val="26"/>
        </w:rPr>
        <w:t>5</w:t>
      </w:r>
      <w:r w:rsidR="00FC11C3" w:rsidRPr="005322F7">
        <w:rPr>
          <w:rFonts w:ascii="Times New Roman" w:hAnsi="Times New Roman"/>
          <w:sz w:val="26"/>
          <w:szCs w:val="26"/>
        </w:rPr>
        <w:t xml:space="preserve"> </w:t>
      </w:r>
      <w:r w:rsidRPr="005322F7">
        <w:rPr>
          <w:rFonts w:ascii="Times New Roman" w:hAnsi="Times New Roman"/>
          <w:sz w:val="26"/>
          <w:szCs w:val="26"/>
        </w:rPr>
        <w:t>ust. 4</w:t>
      </w:r>
      <w:r w:rsidR="001972B4" w:rsidRPr="005322F7">
        <w:rPr>
          <w:rFonts w:ascii="Times New Roman" w:hAnsi="Times New Roman"/>
          <w:bCs/>
          <w:sz w:val="26"/>
          <w:szCs w:val="26"/>
        </w:rPr>
        <w:t xml:space="preserve"> może wyrazić pisemny sprzeciw, </w:t>
      </w:r>
      <w:r w:rsidR="0092333A" w:rsidRPr="005322F7">
        <w:rPr>
          <w:rFonts w:ascii="Times New Roman" w:hAnsi="Times New Roman"/>
          <w:sz w:val="26"/>
          <w:szCs w:val="26"/>
        </w:rPr>
        <w:t>jeżeli uzna, że podjęcie albo kontynuowanie zatrudnienia lub innego zajęcia będzie utrudniało pełnienie obowiązków, uchybiało godności urzędu sędziego Trybunału lub podważało zaufanie do jego bezstronności lub niezawisłości.</w:t>
      </w:r>
    </w:p>
    <w:p w:rsidR="00A06EE5" w:rsidRPr="005322F7" w:rsidRDefault="00A06EE5" w:rsidP="00A06EE5">
      <w:pPr>
        <w:spacing w:before="120" w:after="120"/>
        <w:ind w:firstLine="708"/>
        <w:jc w:val="both"/>
        <w:rPr>
          <w:rFonts w:ascii="Times New Roman" w:hAnsi="Times New Roman"/>
          <w:b/>
          <w:sz w:val="26"/>
          <w:szCs w:val="26"/>
        </w:rPr>
      </w:pPr>
      <w:r w:rsidRPr="005322F7">
        <w:rPr>
          <w:rFonts w:ascii="Times New Roman" w:hAnsi="Times New Roman"/>
          <w:b/>
          <w:sz w:val="26"/>
          <w:szCs w:val="26"/>
        </w:rPr>
        <w:t>Ta regulacja stanowi odpowiedź na zalecenie zespołu ekspertów ds. problematyki Trybunału Konstytucyjnego (zob. s. 46-50 raportu zespołu ekspertów ds. TK).</w:t>
      </w:r>
    </w:p>
    <w:p w:rsidR="005325E7" w:rsidRPr="005322F7" w:rsidRDefault="00FC11C3" w:rsidP="001F4569">
      <w:pPr>
        <w:spacing w:before="120" w:after="120"/>
        <w:ind w:firstLine="708"/>
        <w:jc w:val="both"/>
        <w:rPr>
          <w:rFonts w:ascii="Times New Roman" w:hAnsi="Times New Roman"/>
          <w:b/>
          <w:sz w:val="26"/>
          <w:szCs w:val="26"/>
        </w:rPr>
      </w:pPr>
      <w:r w:rsidRPr="005322F7">
        <w:rPr>
          <w:rFonts w:ascii="Times New Roman" w:hAnsi="Times New Roman"/>
          <w:bCs/>
          <w:sz w:val="26"/>
          <w:szCs w:val="26"/>
        </w:rPr>
        <w:t>A</w:t>
      </w:r>
      <w:r w:rsidR="0048032A" w:rsidRPr="005322F7">
        <w:rPr>
          <w:rFonts w:ascii="Times New Roman" w:hAnsi="Times New Roman"/>
          <w:bCs/>
          <w:sz w:val="26"/>
          <w:szCs w:val="26"/>
        </w:rPr>
        <w:t xml:space="preserve">rt. </w:t>
      </w:r>
      <w:r w:rsidR="0048032A" w:rsidRPr="005322F7">
        <w:rPr>
          <w:rFonts w:ascii="Times New Roman" w:hAnsi="Times New Roman"/>
          <w:sz w:val="26"/>
          <w:szCs w:val="26"/>
        </w:rPr>
        <w:t>5</w:t>
      </w:r>
      <w:r w:rsidRPr="005322F7">
        <w:rPr>
          <w:rFonts w:ascii="Times New Roman" w:hAnsi="Times New Roman"/>
          <w:sz w:val="26"/>
          <w:szCs w:val="26"/>
        </w:rPr>
        <w:t xml:space="preserve"> </w:t>
      </w:r>
      <w:r w:rsidR="0048032A" w:rsidRPr="005322F7">
        <w:rPr>
          <w:rFonts w:ascii="Times New Roman" w:hAnsi="Times New Roman"/>
          <w:sz w:val="26"/>
          <w:szCs w:val="26"/>
        </w:rPr>
        <w:t>ust. 5</w:t>
      </w:r>
      <w:r w:rsidR="001972B4" w:rsidRPr="005322F7">
        <w:rPr>
          <w:rFonts w:ascii="Times New Roman" w:hAnsi="Times New Roman"/>
          <w:sz w:val="26"/>
          <w:szCs w:val="26"/>
        </w:rPr>
        <w:t xml:space="preserve"> projektu wyznacza dodatkowy obowiązek, by sędzia </w:t>
      </w:r>
      <w:r w:rsidR="0092333A" w:rsidRPr="005322F7">
        <w:rPr>
          <w:rFonts w:ascii="Times New Roman" w:hAnsi="Times New Roman"/>
          <w:sz w:val="26"/>
          <w:szCs w:val="26"/>
        </w:rPr>
        <w:t>postęp</w:t>
      </w:r>
      <w:r w:rsidR="001972B4" w:rsidRPr="005322F7">
        <w:rPr>
          <w:rFonts w:ascii="Times New Roman" w:hAnsi="Times New Roman"/>
          <w:sz w:val="26"/>
          <w:szCs w:val="26"/>
        </w:rPr>
        <w:t>ował</w:t>
      </w:r>
      <w:r w:rsidR="0092333A" w:rsidRPr="005322F7">
        <w:rPr>
          <w:rFonts w:ascii="Times New Roman" w:hAnsi="Times New Roman"/>
          <w:sz w:val="26"/>
          <w:szCs w:val="26"/>
        </w:rPr>
        <w:t xml:space="preserve"> zgodnie z Kodeksem Etycznym Sędziego Trybunału</w:t>
      </w:r>
      <w:r w:rsidR="0096799C">
        <w:rPr>
          <w:rFonts w:ascii="Times New Roman" w:hAnsi="Times New Roman"/>
          <w:sz w:val="26"/>
          <w:szCs w:val="26"/>
        </w:rPr>
        <w:t xml:space="preserve"> Konstytucyjnego</w:t>
      </w:r>
      <w:r w:rsidR="001972B4" w:rsidRPr="005322F7">
        <w:rPr>
          <w:rFonts w:ascii="Times New Roman" w:hAnsi="Times New Roman"/>
          <w:sz w:val="26"/>
          <w:szCs w:val="26"/>
        </w:rPr>
        <w:t xml:space="preserve">. Kodeks taki ma być uchwalony </w:t>
      </w:r>
      <w:r w:rsidR="0092333A" w:rsidRPr="005322F7">
        <w:rPr>
          <w:rFonts w:ascii="Times New Roman" w:hAnsi="Times New Roman"/>
          <w:sz w:val="26"/>
          <w:szCs w:val="26"/>
        </w:rPr>
        <w:t>na podstawie odrębnych przepisów</w:t>
      </w:r>
      <w:r w:rsidR="0048032A" w:rsidRPr="005322F7">
        <w:rPr>
          <w:rFonts w:ascii="Times New Roman" w:hAnsi="Times New Roman"/>
          <w:sz w:val="26"/>
          <w:szCs w:val="26"/>
        </w:rPr>
        <w:t xml:space="preserve"> prawa</w:t>
      </w:r>
      <w:r w:rsidR="0092333A" w:rsidRPr="005322F7">
        <w:rPr>
          <w:rFonts w:ascii="Times New Roman" w:hAnsi="Times New Roman"/>
          <w:sz w:val="26"/>
          <w:szCs w:val="26"/>
        </w:rPr>
        <w:t>.</w:t>
      </w:r>
      <w:r w:rsidR="005325E7" w:rsidRPr="005322F7">
        <w:rPr>
          <w:rFonts w:ascii="Times New Roman" w:hAnsi="Times New Roman"/>
          <w:sz w:val="26"/>
          <w:szCs w:val="26"/>
        </w:rPr>
        <w:t xml:space="preserve"> </w:t>
      </w:r>
      <w:r w:rsidR="005325E7" w:rsidRPr="005322F7">
        <w:rPr>
          <w:rFonts w:ascii="Times New Roman" w:hAnsi="Times New Roman"/>
          <w:b/>
          <w:sz w:val="26"/>
          <w:szCs w:val="26"/>
        </w:rPr>
        <w:t xml:space="preserve">Kwestia uchwalenia kodeksu </w:t>
      </w:r>
      <w:r w:rsidR="00300733" w:rsidRPr="005322F7">
        <w:rPr>
          <w:rFonts w:ascii="Times New Roman" w:hAnsi="Times New Roman"/>
          <w:b/>
          <w:sz w:val="26"/>
          <w:szCs w:val="26"/>
        </w:rPr>
        <w:t xml:space="preserve">etycznego </w:t>
      </w:r>
      <w:r w:rsidR="0048032A" w:rsidRPr="005322F7">
        <w:rPr>
          <w:rFonts w:ascii="Times New Roman" w:hAnsi="Times New Roman"/>
          <w:b/>
          <w:sz w:val="26"/>
          <w:szCs w:val="26"/>
        </w:rPr>
        <w:t>jest wyrazem realizacji</w:t>
      </w:r>
      <w:r w:rsidR="005325E7" w:rsidRPr="005322F7">
        <w:rPr>
          <w:rFonts w:ascii="Times New Roman" w:hAnsi="Times New Roman"/>
          <w:b/>
          <w:sz w:val="26"/>
          <w:szCs w:val="26"/>
        </w:rPr>
        <w:t xml:space="preserve"> zaleceni</w:t>
      </w:r>
      <w:r w:rsidR="0048032A" w:rsidRPr="005322F7">
        <w:rPr>
          <w:rFonts w:ascii="Times New Roman" w:hAnsi="Times New Roman"/>
          <w:b/>
          <w:sz w:val="26"/>
          <w:szCs w:val="26"/>
        </w:rPr>
        <w:t>a</w:t>
      </w:r>
      <w:r w:rsidR="005325E7" w:rsidRPr="005322F7">
        <w:rPr>
          <w:rFonts w:ascii="Times New Roman" w:hAnsi="Times New Roman"/>
          <w:b/>
          <w:sz w:val="26"/>
          <w:szCs w:val="26"/>
        </w:rPr>
        <w:t xml:space="preserve"> zespołu ekspertów ds. problematyki TK, który uznał, że: „</w:t>
      </w:r>
      <w:r w:rsidR="005325E7" w:rsidRPr="005322F7">
        <w:rPr>
          <w:rFonts w:ascii="Times New Roman" w:hAnsi="Times New Roman"/>
          <w:b/>
          <w:i/>
          <w:sz w:val="26"/>
          <w:szCs w:val="26"/>
        </w:rPr>
        <w:t>Istotnym warunkiem funkcjonowania niezależnego sądu konstytucyjnego jest zapewnienie apolityczności sędziów. Niezbędne minimum ustanawia w tym zakresie Konstytucja RP. Wymaganie apolityczności sędziów należy uściślić na poziomie ustawowym, ponadto wskazane byłoby opracowanie w Trybunale Konstytucyjnym kodeksu etycznego</w:t>
      </w:r>
      <w:r w:rsidR="005325E7" w:rsidRPr="005322F7">
        <w:rPr>
          <w:rFonts w:ascii="Times New Roman" w:hAnsi="Times New Roman"/>
          <w:b/>
          <w:sz w:val="26"/>
          <w:szCs w:val="26"/>
        </w:rPr>
        <w:t>” (s. 46 raportu zespołu ekspertów</w:t>
      </w:r>
      <w:r w:rsidR="00A06EE5" w:rsidRPr="005322F7">
        <w:rPr>
          <w:rFonts w:ascii="Times New Roman" w:hAnsi="Times New Roman"/>
          <w:b/>
          <w:sz w:val="26"/>
          <w:szCs w:val="26"/>
        </w:rPr>
        <w:t xml:space="preserve"> ds. TK</w:t>
      </w:r>
      <w:r w:rsidR="005325E7" w:rsidRPr="005322F7">
        <w:rPr>
          <w:rFonts w:ascii="Times New Roman" w:hAnsi="Times New Roman"/>
          <w:b/>
          <w:sz w:val="26"/>
          <w:szCs w:val="26"/>
        </w:rPr>
        <w:t>)</w:t>
      </w:r>
      <w:r w:rsidR="005325E7" w:rsidRPr="005322F7">
        <w:rPr>
          <w:rFonts w:ascii="Times New Roman" w:hAnsi="Times New Roman"/>
          <w:b/>
          <w:i/>
          <w:sz w:val="26"/>
          <w:szCs w:val="26"/>
        </w:rPr>
        <w:t>.</w:t>
      </w:r>
      <w:r w:rsidR="005325E7" w:rsidRPr="005322F7">
        <w:rPr>
          <w:rFonts w:ascii="Times New Roman" w:hAnsi="Times New Roman"/>
          <w:b/>
          <w:sz w:val="26"/>
          <w:szCs w:val="26"/>
        </w:rPr>
        <w:t xml:space="preserve"> </w:t>
      </w:r>
    </w:p>
    <w:p w:rsidR="0048032A" w:rsidRPr="005322F7" w:rsidRDefault="00ED3BFC" w:rsidP="001F4569">
      <w:pPr>
        <w:spacing w:before="120" w:after="120"/>
        <w:ind w:firstLine="708"/>
        <w:jc w:val="both"/>
        <w:rPr>
          <w:rFonts w:ascii="Times New Roman" w:hAnsi="Times New Roman"/>
          <w:b/>
          <w:sz w:val="26"/>
          <w:szCs w:val="26"/>
        </w:rPr>
      </w:pPr>
      <w:r w:rsidRPr="005322F7">
        <w:rPr>
          <w:rFonts w:ascii="Times New Roman" w:hAnsi="Times New Roman"/>
          <w:bCs/>
          <w:sz w:val="26"/>
          <w:szCs w:val="26"/>
        </w:rPr>
        <w:t xml:space="preserve">Zespół ekspertów podkreślił, że: </w:t>
      </w:r>
      <w:r w:rsidRPr="005322F7">
        <w:rPr>
          <w:rFonts w:ascii="Times New Roman" w:hAnsi="Times New Roman"/>
          <w:b/>
          <w:bCs/>
          <w:i/>
          <w:sz w:val="26"/>
          <w:szCs w:val="26"/>
        </w:rPr>
        <w:t>„</w:t>
      </w:r>
      <w:r w:rsidRPr="005322F7">
        <w:rPr>
          <w:rFonts w:ascii="Times New Roman" w:hAnsi="Times New Roman"/>
          <w:b/>
          <w:i/>
          <w:sz w:val="26"/>
          <w:szCs w:val="26"/>
        </w:rPr>
        <w:t>Zgodnie z art. 195 ust. 3 Konstytucji RP „Sędziowie Trybunału Konstytucyjnego w okresie zajmowania stanowiska nie mogą należeć do partii politycznej, związku zawodowego ani prowadzić działalności publicznej niedającej się pogodzić z zasadami niezależności sądów i niezawisłości sędziów”. Mimo, że w literaturze obecny jest pogląd, iż obowiązek powstrzymywania się sędziów od zachowań i udziału w działaniach o charakterze politycznym dotyczy tylko okresu czynnego wykonywania funkcji, należy odnieść go także do czasu, w którym sędzia znajduje się w stanie spoczynku i z tego tytułu cieszy się określonymi przywilejami. W tym kontekście należy także postrzegać szczególnie rażące, z racji swej intensywności politycznej, wypowiedzi i zachowania niektórych sędziów w stanie spoczynku, w tym Trybunału Konstytucyjnego. Ustawowe ograniczenia dotyczące okresu „stanu spoczynku”, w którym dana osoba pozostaje przecież sędzią i powinna zachować stosowny dystans do sfery politycznej, wydają się ze wszech miar uzasadnione i pożądane. […] Określone angażowanie się sędziego Trybunału Konstytucyjnego w stanie spoczynku w działalność o charakterze politycznym powinna w każdym przypadku skutkować jego odpowiedzialnością o charakterze dyscyplinarnym”</w:t>
      </w:r>
      <w:r w:rsidRPr="005322F7">
        <w:rPr>
          <w:rFonts w:ascii="Times New Roman" w:hAnsi="Times New Roman"/>
          <w:b/>
          <w:sz w:val="26"/>
          <w:szCs w:val="26"/>
        </w:rPr>
        <w:t xml:space="preserve"> (s. 46-47 raportu zespołu ekspertów ds. TK). </w:t>
      </w:r>
    </w:p>
    <w:p w:rsidR="00ED3BFC" w:rsidRPr="005322F7" w:rsidRDefault="0048032A" w:rsidP="001F4569">
      <w:pPr>
        <w:spacing w:before="120" w:after="120"/>
        <w:ind w:firstLine="708"/>
        <w:jc w:val="both"/>
        <w:rPr>
          <w:rFonts w:ascii="Times New Roman" w:hAnsi="Times New Roman"/>
          <w:bCs/>
          <w:sz w:val="26"/>
          <w:szCs w:val="26"/>
        </w:rPr>
      </w:pPr>
      <w:r w:rsidRPr="005322F7">
        <w:rPr>
          <w:rFonts w:ascii="Times New Roman" w:hAnsi="Times New Roman"/>
          <w:sz w:val="26"/>
          <w:szCs w:val="26"/>
        </w:rPr>
        <w:t xml:space="preserve">Zagadnienie dotyczące możliwości prowadzenia określonej aktywności publicznej przez sędziego TK </w:t>
      </w:r>
      <w:r w:rsidR="00ED3BFC" w:rsidRPr="005322F7">
        <w:rPr>
          <w:rFonts w:ascii="Times New Roman" w:hAnsi="Times New Roman"/>
          <w:sz w:val="26"/>
          <w:szCs w:val="26"/>
        </w:rPr>
        <w:t>znajduje odzwierciedlenie w projektowanej ustawie. Projekt w odrębny</w:t>
      </w:r>
      <w:r w:rsidRPr="005322F7">
        <w:rPr>
          <w:rFonts w:ascii="Times New Roman" w:hAnsi="Times New Roman"/>
          <w:sz w:val="26"/>
          <w:szCs w:val="26"/>
        </w:rPr>
        <w:t>ch rozdziałach</w:t>
      </w:r>
      <w:r w:rsidR="00ED3BFC" w:rsidRPr="005322F7">
        <w:rPr>
          <w:rFonts w:ascii="Times New Roman" w:hAnsi="Times New Roman"/>
          <w:sz w:val="26"/>
          <w:szCs w:val="26"/>
        </w:rPr>
        <w:t xml:space="preserve"> reguluje status sędziów i sędziów w stanie spoczynku. W zakresie obowiązków i praw sędziów TK ustanawia określone wymogi i ograniczenia, za naruszenie których można sędziego, również </w:t>
      </w:r>
      <w:r w:rsidRPr="005322F7">
        <w:rPr>
          <w:rFonts w:ascii="Times New Roman" w:hAnsi="Times New Roman"/>
          <w:sz w:val="26"/>
          <w:szCs w:val="26"/>
        </w:rPr>
        <w:t xml:space="preserve">tego będącego </w:t>
      </w:r>
      <w:r w:rsidR="00ED3BFC" w:rsidRPr="005322F7">
        <w:rPr>
          <w:rFonts w:ascii="Times New Roman" w:hAnsi="Times New Roman"/>
          <w:sz w:val="26"/>
          <w:szCs w:val="26"/>
        </w:rPr>
        <w:t>w stanie spoczynku pociągnąć do odpowiedzialności dyscyplinarnej</w:t>
      </w:r>
      <w:r w:rsidRPr="005322F7">
        <w:rPr>
          <w:rFonts w:ascii="Times New Roman" w:hAnsi="Times New Roman"/>
          <w:sz w:val="26"/>
          <w:szCs w:val="26"/>
        </w:rPr>
        <w:t xml:space="preserve"> (zob. rozdziały 4 i 5)</w:t>
      </w:r>
      <w:r w:rsidR="00ED3BFC" w:rsidRPr="005322F7">
        <w:rPr>
          <w:rFonts w:ascii="Times New Roman" w:hAnsi="Times New Roman"/>
          <w:sz w:val="26"/>
          <w:szCs w:val="26"/>
        </w:rPr>
        <w:t>.</w:t>
      </w:r>
    </w:p>
    <w:p w:rsidR="0048032A" w:rsidRPr="005322F7" w:rsidRDefault="0048032A" w:rsidP="001F4569">
      <w:pPr>
        <w:spacing w:before="120" w:after="120"/>
        <w:ind w:firstLine="708"/>
        <w:jc w:val="both"/>
        <w:rPr>
          <w:rFonts w:ascii="Times New Roman" w:hAnsi="Times New Roman"/>
          <w:bCs/>
          <w:sz w:val="26"/>
          <w:szCs w:val="26"/>
        </w:rPr>
      </w:pPr>
    </w:p>
    <w:p w:rsidR="0092333A" w:rsidRPr="005322F7" w:rsidRDefault="0048032A" w:rsidP="001F4569">
      <w:pPr>
        <w:spacing w:before="120" w:after="120"/>
        <w:ind w:firstLine="708"/>
        <w:jc w:val="both"/>
        <w:rPr>
          <w:rFonts w:ascii="Times New Roman" w:hAnsi="Times New Roman"/>
          <w:bCs/>
          <w:sz w:val="26"/>
          <w:szCs w:val="26"/>
        </w:rPr>
      </w:pPr>
      <w:r w:rsidRPr="005322F7">
        <w:rPr>
          <w:rFonts w:ascii="Times New Roman" w:hAnsi="Times New Roman"/>
          <w:b/>
          <w:bCs/>
          <w:sz w:val="26"/>
          <w:szCs w:val="26"/>
        </w:rPr>
        <w:t>4.</w:t>
      </w:r>
      <w:r w:rsidRPr="005322F7">
        <w:rPr>
          <w:rFonts w:ascii="Times New Roman" w:hAnsi="Times New Roman"/>
          <w:bCs/>
          <w:sz w:val="26"/>
          <w:szCs w:val="26"/>
        </w:rPr>
        <w:t xml:space="preserve"> </w:t>
      </w:r>
      <w:r w:rsidR="002A53DC" w:rsidRPr="005322F7">
        <w:rPr>
          <w:rFonts w:ascii="Times New Roman" w:hAnsi="Times New Roman"/>
          <w:bCs/>
          <w:sz w:val="26"/>
          <w:szCs w:val="26"/>
        </w:rPr>
        <w:t xml:space="preserve">Drugi rozdział </w:t>
      </w:r>
      <w:r w:rsidRPr="005322F7">
        <w:rPr>
          <w:rFonts w:ascii="Times New Roman" w:hAnsi="Times New Roman"/>
          <w:bCs/>
          <w:sz w:val="26"/>
          <w:szCs w:val="26"/>
        </w:rPr>
        <w:t xml:space="preserve">projektowanej ustawy </w:t>
      </w:r>
      <w:r w:rsidR="002A53DC" w:rsidRPr="005322F7">
        <w:rPr>
          <w:rFonts w:ascii="Times New Roman" w:hAnsi="Times New Roman"/>
          <w:bCs/>
          <w:sz w:val="26"/>
          <w:szCs w:val="26"/>
        </w:rPr>
        <w:t>określa zasady odpowiedzialności</w:t>
      </w:r>
      <w:r w:rsidR="00300733" w:rsidRPr="005322F7">
        <w:rPr>
          <w:rFonts w:ascii="Times New Roman" w:hAnsi="Times New Roman"/>
          <w:bCs/>
          <w:sz w:val="26"/>
          <w:szCs w:val="26"/>
        </w:rPr>
        <w:t xml:space="preserve"> oraz kwestię immunitetu</w:t>
      </w:r>
      <w:r w:rsidR="002A53DC" w:rsidRPr="005322F7">
        <w:rPr>
          <w:rFonts w:ascii="Times New Roman" w:hAnsi="Times New Roman"/>
          <w:bCs/>
          <w:sz w:val="26"/>
          <w:szCs w:val="26"/>
        </w:rPr>
        <w:t xml:space="preserve"> sędziego Trybunału</w:t>
      </w:r>
      <w:r w:rsidR="00027552" w:rsidRPr="005322F7">
        <w:rPr>
          <w:rFonts w:ascii="Times New Roman" w:hAnsi="Times New Roman"/>
          <w:bCs/>
          <w:sz w:val="26"/>
          <w:szCs w:val="26"/>
        </w:rPr>
        <w:t xml:space="preserve"> i jego nietykalności osobistej</w:t>
      </w:r>
      <w:r w:rsidR="002A53DC" w:rsidRPr="005322F7">
        <w:rPr>
          <w:rFonts w:ascii="Times New Roman" w:hAnsi="Times New Roman"/>
          <w:bCs/>
          <w:sz w:val="26"/>
          <w:szCs w:val="26"/>
        </w:rPr>
        <w:t>. Projektodawca zawarł w nim zarówno reguły związane z pociągnięciem do odpowiedzialności karnej czy pozbawieniem wolności (</w:t>
      </w:r>
      <w:r w:rsidR="00FC11C3" w:rsidRPr="005322F7">
        <w:rPr>
          <w:rFonts w:ascii="Times New Roman" w:hAnsi="Times New Roman"/>
          <w:bCs/>
          <w:sz w:val="26"/>
          <w:szCs w:val="26"/>
        </w:rPr>
        <w:t>a</w:t>
      </w:r>
      <w:r w:rsidRPr="005322F7">
        <w:rPr>
          <w:rFonts w:ascii="Times New Roman" w:hAnsi="Times New Roman"/>
          <w:bCs/>
          <w:sz w:val="26"/>
          <w:szCs w:val="26"/>
        </w:rPr>
        <w:t>rt. 6-art.</w:t>
      </w:r>
      <w:r w:rsidR="00FC11C3" w:rsidRPr="005322F7">
        <w:rPr>
          <w:rFonts w:ascii="Times New Roman" w:hAnsi="Times New Roman"/>
          <w:bCs/>
          <w:sz w:val="26"/>
          <w:szCs w:val="26"/>
        </w:rPr>
        <w:t xml:space="preserve"> </w:t>
      </w:r>
      <w:r w:rsidRPr="005322F7">
        <w:rPr>
          <w:rFonts w:ascii="Times New Roman" w:hAnsi="Times New Roman"/>
          <w:bCs/>
          <w:sz w:val="26"/>
          <w:szCs w:val="26"/>
        </w:rPr>
        <w:t>9</w:t>
      </w:r>
      <w:r w:rsidR="002A53DC" w:rsidRPr="005322F7">
        <w:rPr>
          <w:rFonts w:ascii="Times New Roman" w:hAnsi="Times New Roman"/>
          <w:bCs/>
          <w:sz w:val="26"/>
          <w:szCs w:val="26"/>
        </w:rPr>
        <w:t xml:space="preserve">), jak </w:t>
      </w:r>
      <w:r w:rsidR="005613AB" w:rsidRPr="005322F7">
        <w:rPr>
          <w:rFonts w:ascii="Times New Roman" w:hAnsi="Times New Roman"/>
          <w:bCs/>
          <w:sz w:val="26"/>
          <w:szCs w:val="26"/>
        </w:rPr>
        <w:t xml:space="preserve">i </w:t>
      </w:r>
      <w:r w:rsidRPr="005322F7">
        <w:rPr>
          <w:rFonts w:ascii="Times New Roman" w:hAnsi="Times New Roman"/>
          <w:bCs/>
          <w:sz w:val="26"/>
          <w:szCs w:val="26"/>
        </w:rPr>
        <w:t>materię dotyczącą</w:t>
      </w:r>
      <w:r w:rsidR="002A53DC" w:rsidRPr="005322F7">
        <w:rPr>
          <w:rFonts w:ascii="Times New Roman" w:hAnsi="Times New Roman"/>
          <w:bCs/>
          <w:sz w:val="26"/>
          <w:szCs w:val="26"/>
        </w:rPr>
        <w:t xml:space="preserve"> odpowiedzialności dyscyplinarnej (</w:t>
      </w:r>
      <w:r w:rsidRPr="005322F7">
        <w:rPr>
          <w:rFonts w:ascii="Times New Roman" w:hAnsi="Times New Roman"/>
          <w:bCs/>
          <w:sz w:val="26"/>
          <w:szCs w:val="26"/>
        </w:rPr>
        <w:t>art.</w:t>
      </w:r>
      <w:r w:rsidR="00FC11C3" w:rsidRPr="005322F7">
        <w:rPr>
          <w:rFonts w:ascii="Times New Roman" w:hAnsi="Times New Roman"/>
          <w:bCs/>
          <w:sz w:val="26"/>
          <w:szCs w:val="26"/>
        </w:rPr>
        <w:t xml:space="preserve"> </w:t>
      </w:r>
      <w:r w:rsidRPr="005322F7">
        <w:rPr>
          <w:rFonts w:ascii="Times New Roman" w:hAnsi="Times New Roman"/>
          <w:bCs/>
          <w:sz w:val="26"/>
          <w:szCs w:val="26"/>
        </w:rPr>
        <w:t>10-art.</w:t>
      </w:r>
      <w:r w:rsidR="00FC11C3" w:rsidRPr="005322F7">
        <w:rPr>
          <w:rFonts w:ascii="Times New Roman" w:hAnsi="Times New Roman"/>
          <w:bCs/>
          <w:sz w:val="26"/>
          <w:szCs w:val="26"/>
        </w:rPr>
        <w:t xml:space="preserve"> </w:t>
      </w:r>
      <w:r w:rsidRPr="005322F7">
        <w:rPr>
          <w:rFonts w:ascii="Times New Roman" w:hAnsi="Times New Roman"/>
          <w:bCs/>
          <w:sz w:val="26"/>
          <w:szCs w:val="26"/>
        </w:rPr>
        <w:t>1</w:t>
      </w:r>
      <w:r w:rsidR="00E23943" w:rsidRPr="005322F7">
        <w:rPr>
          <w:rFonts w:ascii="Times New Roman" w:hAnsi="Times New Roman"/>
          <w:bCs/>
          <w:sz w:val="26"/>
          <w:szCs w:val="26"/>
        </w:rPr>
        <w:t>5</w:t>
      </w:r>
      <w:r w:rsidR="002A53DC" w:rsidRPr="005322F7">
        <w:rPr>
          <w:rFonts w:ascii="Times New Roman" w:hAnsi="Times New Roman"/>
          <w:bCs/>
          <w:sz w:val="26"/>
          <w:szCs w:val="26"/>
        </w:rPr>
        <w:t>).</w:t>
      </w:r>
    </w:p>
    <w:p w:rsidR="0048032A" w:rsidRPr="005322F7" w:rsidRDefault="00947AAE" w:rsidP="0048032A">
      <w:pPr>
        <w:spacing w:before="120" w:after="120"/>
        <w:ind w:firstLine="708"/>
        <w:jc w:val="both"/>
        <w:rPr>
          <w:rFonts w:ascii="Arial" w:hAnsi="Arial" w:cs="Arial"/>
          <w:sz w:val="26"/>
          <w:szCs w:val="26"/>
        </w:rPr>
      </w:pPr>
      <w:r w:rsidRPr="005322F7">
        <w:rPr>
          <w:rFonts w:ascii="Times New Roman" w:hAnsi="Times New Roman"/>
          <w:bCs/>
          <w:sz w:val="26"/>
          <w:szCs w:val="26"/>
        </w:rPr>
        <w:t>P</w:t>
      </w:r>
      <w:r w:rsidR="0048032A" w:rsidRPr="005322F7">
        <w:rPr>
          <w:rFonts w:ascii="Times New Roman" w:hAnsi="Times New Roman"/>
          <w:bCs/>
          <w:sz w:val="26"/>
          <w:szCs w:val="26"/>
        </w:rPr>
        <w:t>rojektodawca szczegółowo określił</w:t>
      </w:r>
      <w:r w:rsidRPr="005322F7">
        <w:rPr>
          <w:rFonts w:ascii="Times New Roman" w:hAnsi="Times New Roman"/>
          <w:bCs/>
          <w:sz w:val="26"/>
          <w:szCs w:val="26"/>
        </w:rPr>
        <w:t xml:space="preserve"> zasady uchylenia immunitetu sędziemu Trybunału. Decyzję w tej sprawie pozostawiono Zgromadzeniu Ogólnemu Sędziów TK. </w:t>
      </w:r>
      <w:r w:rsidR="005613AB" w:rsidRPr="005322F7">
        <w:rPr>
          <w:rFonts w:ascii="Times New Roman" w:hAnsi="Times New Roman"/>
          <w:bCs/>
          <w:sz w:val="26"/>
          <w:szCs w:val="26"/>
        </w:rPr>
        <w:t>O</w:t>
      </w:r>
      <w:r w:rsidR="0048032A" w:rsidRPr="005322F7">
        <w:rPr>
          <w:rFonts w:ascii="Times New Roman" w:hAnsi="Times New Roman"/>
          <w:bCs/>
          <w:sz w:val="26"/>
          <w:szCs w:val="26"/>
        </w:rPr>
        <w:t xml:space="preserve">dpowiada </w:t>
      </w:r>
      <w:r w:rsidR="005613AB" w:rsidRPr="005322F7">
        <w:rPr>
          <w:rFonts w:ascii="Times New Roman" w:hAnsi="Times New Roman"/>
          <w:bCs/>
          <w:sz w:val="26"/>
          <w:szCs w:val="26"/>
        </w:rPr>
        <w:t xml:space="preserve">to </w:t>
      </w:r>
      <w:r w:rsidR="0048032A" w:rsidRPr="005322F7">
        <w:rPr>
          <w:rFonts w:ascii="Times New Roman" w:hAnsi="Times New Roman"/>
          <w:bCs/>
          <w:sz w:val="26"/>
          <w:szCs w:val="26"/>
        </w:rPr>
        <w:t xml:space="preserve">regulacji zawartej w art. 196 Konstytucji, zgodnie z którą: </w:t>
      </w:r>
      <w:r w:rsidR="0048032A" w:rsidRPr="005322F7">
        <w:rPr>
          <w:rFonts w:ascii="Times New Roman" w:hAnsi="Times New Roman"/>
          <w:bCs/>
          <w:i/>
          <w:sz w:val="26"/>
          <w:szCs w:val="26"/>
        </w:rPr>
        <w:t>„</w:t>
      </w:r>
      <w:r w:rsidR="0048032A" w:rsidRPr="005322F7">
        <w:rPr>
          <w:rFonts w:ascii="Times New Roman" w:hAnsi="Times New Roman"/>
          <w:i/>
          <w:sz w:val="26"/>
          <w:szCs w:val="26"/>
        </w:rPr>
        <w:t>Sędzia Trybunału Konstytucyjnego nie może być, bez uprzedniej zgody Trybunału Konstytucyjnego, pociągnięty do odpowiedzialności karnej ani pozbawiony wolności. Sędzia nie może być zatrzymany lub aresztowany, z wyjątkiem ujęcia go na gorącym uczynku przestępstwa, jeżeli jego zatrzymanie jest niezbędne do zapewnienia prawidłowego toku postępowania. O zatrzymaniu niezwłocznie powiadamia się Prezesa Trybunału Konstytucyjnego, który może nakazać natychmiastowe zwolnienie zatrzymanego”</w:t>
      </w:r>
      <w:r w:rsidR="0048032A" w:rsidRPr="005322F7">
        <w:rPr>
          <w:rFonts w:ascii="Arial" w:hAnsi="Arial" w:cs="Arial"/>
          <w:sz w:val="26"/>
          <w:szCs w:val="26"/>
        </w:rPr>
        <w:t>.</w:t>
      </w:r>
    </w:p>
    <w:p w:rsidR="00925120" w:rsidRPr="005322F7" w:rsidRDefault="00925120" w:rsidP="001F4569">
      <w:pPr>
        <w:spacing w:before="120" w:after="120"/>
        <w:ind w:firstLine="708"/>
        <w:jc w:val="both"/>
        <w:rPr>
          <w:rFonts w:ascii="Times New Roman" w:hAnsi="Times New Roman"/>
          <w:bCs/>
          <w:sz w:val="26"/>
          <w:szCs w:val="26"/>
        </w:rPr>
      </w:pPr>
    </w:p>
    <w:p w:rsidR="00E23943" w:rsidRPr="005322F7" w:rsidRDefault="00925120" w:rsidP="001F4569">
      <w:pPr>
        <w:spacing w:before="120" w:after="120"/>
        <w:ind w:firstLine="708"/>
        <w:jc w:val="both"/>
        <w:rPr>
          <w:rFonts w:ascii="Times New Roman" w:hAnsi="Times New Roman"/>
          <w:sz w:val="26"/>
          <w:szCs w:val="26"/>
        </w:rPr>
      </w:pPr>
      <w:r w:rsidRPr="005322F7">
        <w:rPr>
          <w:rFonts w:ascii="Times New Roman" w:hAnsi="Times New Roman"/>
          <w:b/>
          <w:bCs/>
          <w:sz w:val="26"/>
          <w:szCs w:val="26"/>
        </w:rPr>
        <w:t>5.</w:t>
      </w:r>
      <w:r w:rsidRPr="005322F7">
        <w:rPr>
          <w:rFonts w:ascii="Times New Roman" w:hAnsi="Times New Roman"/>
          <w:bCs/>
          <w:sz w:val="26"/>
          <w:szCs w:val="26"/>
        </w:rPr>
        <w:t xml:space="preserve"> Art. 10 ust. 1</w:t>
      </w:r>
      <w:r w:rsidR="00947AAE" w:rsidRPr="005322F7">
        <w:rPr>
          <w:rFonts w:ascii="Times New Roman" w:hAnsi="Times New Roman"/>
          <w:bCs/>
          <w:sz w:val="26"/>
          <w:szCs w:val="26"/>
        </w:rPr>
        <w:t xml:space="preserve"> projektu </w:t>
      </w:r>
      <w:r w:rsidR="001F4569" w:rsidRPr="005322F7">
        <w:rPr>
          <w:rFonts w:ascii="Times New Roman" w:hAnsi="Times New Roman"/>
          <w:bCs/>
          <w:sz w:val="26"/>
          <w:szCs w:val="26"/>
        </w:rPr>
        <w:t>wskazuje</w:t>
      </w:r>
      <w:r w:rsidR="00947AAE" w:rsidRPr="005322F7">
        <w:rPr>
          <w:rFonts w:ascii="Times New Roman" w:hAnsi="Times New Roman"/>
          <w:bCs/>
          <w:sz w:val="26"/>
          <w:szCs w:val="26"/>
        </w:rPr>
        <w:t xml:space="preserve"> przesłanki odpowiedzialności dyscyplinarnej. Jest ona realizowana przed Trybunałem Konstytucyjnym za </w:t>
      </w:r>
      <w:r w:rsidR="0092333A" w:rsidRPr="005322F7">
        <w:rPr>
          <w:rFonts w:ascii="Times New Roman" w:hAnsi="Times New Roman"/>
          <w:sz w:val="26"/>
          <w:szCs w:val="26"/>
        </w:rPr>
        <w:t>naruszenie przepisów prawa, uchybienie godności urzędu sędziego Trybunału, naruszenie Kodeksu Etycznego Sędziego Trybunału</w:t>
      </w:r>
      <w:r w:rsidR="0096799C">
        <w:rPr>
          <w:rFonts w:ascii="Times New Roman" w:hAnsi="Times New Roman"/>
          <w:sz w:val="26"/>
          <w:szCs w:val="26"/>
        </w:rPr>
        <w:t xml:space="preserve"> Konstytucyjnego</w:t>
      </w:r>
      <w:r w:rsidR="0092333A" w:rsidRPr="005322F7">
        <w:rPr>
          <w:rFonts w:ascii="Times New Roman" w:hAnsi="Times New Roman"/>
          <w:sz w:val="26"/>
          <w:szCs w:val="26"/>
        </w:rPr>
        <w:t xml:space="preserve"> lub inne nieetyczne zachowanie mogące podważać zaufanie do jego bezstronności lub niezawisłości.</w:t>
      </w:r>
      <w:r w:rsidR="00947AAE" w:rsidRPr="005322F7">
        <w:rPr>
          <w:rFonts w:ascii="Times New Roman" w:hAnsi="Times New Roman"/>
          <w:sz w:val="26"/>
          <w:szCs w:val="26"/>
        </w:rPr>
        <w:t xml:space="preserve"> </w:t>
      </w:r>
    </w:p>
    <w:p w:rsidR="0092333A" w:rsidRPr="005322F7" w:rsidRDefault="00E23943" w:rsidP="001F4569">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Projekt wypełnia dotychczasową lukę w przepisach dotyczących postępowania dyscyplinarnego </w:t>
      </w:r>
      <w:r w:rsidR="00A73742" w:rsidRPr="005322F7">
        <w:rPr>
          <w:rFonts w:ascii="Times New Roman" w:hAnsi="Times New Roman"/>
          <w:sz w:val="26"/>
          <w:szCs w:val="26"/>
        </w:rPr>
        <w:t xml:space="preserve">wobec sędziego TK poprzez bardziej szczegółowy opis procedury. Z tego względu grupa posłów, obok takich regulacji jak: 1) składy sądu dyscyplinarnego (art. 11), 2) kwestie braku skargi </w:t>
      </w:r>
      <w:r w:rsidR="00947AAE" w:rsidRPr="005322F7">
        <w:rPr>
          <w:rFonts w:ascii="Times New Roman" w:hAnsi="Times New Roman"/>
          <w:bCs/>
          <w:sz w:val="26"/>
          <w:szCs w:val="26"/>
        </w:rPr>
        <w:t>kasacyjnej o</w:t>
      </w:r>
      <w:r w:rsidR="0092333A" w:rsidRPr="005322F7">
        <w:rPr>
          <w:rFonts w:ascii="Times New Roman" w:hAnsi="Times New Roman"/>
          <w:sz w:val="26"/>
          <w:szCs w:val="26"/>
        </w:rPr>
        <w:t>d orzeczenia dyscyplinarnego wydanego w drugiej</w:t>
      </w:r>
      <w:r w:rsidR="00925120" w:rsidRPr="005322F7">
        <w:rPr>
          <w:rFonts w:ascii="Times New Roman" w:hAnsi="Times New Roman"/>
          <w:sz w:val="26"/>
          <w:szCs w:val="26"/>
        </w:rPr>
        <w:t xml:space="preserve"> instancji</w:t>
      </w:r>
      <w:r w:rsidR="00A73742" w:rsidRPr="005322F7">
        <w:rPr>
          <w:rFonts w:ascii="Times New Roman" w:hAnsi="Times New Roman"/>
          <w:sz w:val="26"/>
          <w:szCs w:val="26"/>
        </w:rPr>
        <w:t xml:space="preserve"> (art. 13), czy</w:t>
      </w:r>
      <w:r w:rsidR="00925120" w:rsidRPr="005322F7">
        <w:rPr>
          <w:rFonts w:ascii="Times New Roman" w:hAnsi="Times New Roman"/>
          <w:sz w:val="26"/>
          <w:szCs w:val="26"/>
        </w:rPr>
        <w:t xml:space="preserve"> 3)</w:t>
      </w:r>
      <w:r w:rsidR="00947AAE" w:rsidRPr="005322F7">
        <w:rPr>
          <w:rFonts w:ascii="Times New Roman" w:hAnsi="Times New Roman"/>
          <w:sz w:val="26"/>
          <w:szCs w:val="26"/>
        </w:rPr>
        <w:t xml:space="preserve"> katalog kar dyscyplinarnych, którymi są: </w:t>
      </w:r>
      <w:r w:rsidR="00925120" w:rsidRPr="005322F7">
        <w:rPr>
          <w:rFonts w:ascii="Times New Roman" w:hAnsi="Times New Roman"/>
          <w:sz w:val="26"/>
          <w:szCs w:val="26"/>
        </w:rPr>
        <w:t>a</w:t>
      </w:r>
      <w:r w:rsidR="0092333A" w:rsidRPr="005322F7">
        <w:rPr>
          <w:rFonts w:ascii="Times New Roman" w:hAnsi="Times New Roman"/>
          <w:sz w:val="26"/>
          <w:szCs w:val="26"/>
        </w:rPr>
        <w:t>)</w:t>
      </w:r>
      <w:r w:rsidR="00947AAE" w:rsidRPr="005322F7">
        <w:rPr>
          <w:rFonts w:ascii="Times New Roman" w:hAnsi="Times New Roman"/>
          <w:sz w:val="26"/>
          <w:szCs w:val="26"/>
        </w:rPr>
        <w:t xml:space="preserve"> </w:t>
      </w:r>
      <w:r w:rsidR="0092333A" w:rsidRPr="005322F7">
        <w:rPr>
          <w:rFonts w:ascii="Times New Roman" w:hAnsi="Times New Roman"/>
          <w:sz w:val="26"/>
          <w:szCs w:val="26"/>
        </w:rPr>
        <w:t>upomnienie;</w:t>
      </w:r>
      <w:r w:rsidR="00947AAE" w:rsidRPr="005322F7">
        <w:rPr>
          <w:rFonts w:ascii="Times New Roman" w:hAnsi="Times New Roman"/>
          <w:sz w:val="26"/>
          <w:szCs w:val="26"/>
        </w:rPr>
        <w:t xml:space="preserve"> </w:t>
      </w:r>
      <w:r w:rsidR="00925120" w:rsidRPr="005322F7">
        <w:rPr>
          <w:rFonts w:ascii="Times New Roman" w:hAnsi="Times New Roman"/>
          <w:sz w:val="26"/>
          <w:szCs w:val="26"/>
        </w:rPr>
        <w:t>b</w:t>
      </w:r>
      <w:r w:rsidR="0092333A" w:rsidRPr="005322F7">
        <w:rPr>
          <w:rFonts w:ascii="Times New Roman" w:hAnsi="Times New Roman"/>
          <w:sz w:val="26"/>
          <w:szCs w:val="26"/>
        </w:rPr>
        <w:t>)</w:t>
      </w:r>
      <w:r w:rsidR="00947AAE" w:rsidRPr="005322F7">
        <w:rPr>
          <w:rFonts w:ascii="Times New Roman" w:hAnsi="Times New Roman"/>
          <w:sz w:val="26"/>
          <w:szCs w:val="26"/>
        </w:rPr>
        <w:t xml:space="preserve"> </w:t>
      </w:r>
      <w:r w:rsidR="0092333A" w:rsidRPr="005322F7">
        <w:rPr>
          <w:rFonts w:ascii="Times New Roman" w:hAnsi="Times New Roman"/>
          <w:sz w:val="26"/>
          <w:szCs w:val="26"/>
        </w:rPr>
        <w:t>nagana;</w:t>
      </w:r>
      <w:r w:rsidR="00947AAE" w:rsidRPr="005322F7">
        <w:rPr>
          <w:rFonts w:ascii="Times New Roman" w:hAnsi="Times New Roman"/>
          <w:sz w:val="26"/>
          <w:szCs w:val="26"/>
        </w:rPr>
        <w:t xml:space="preserve"> </w:t>
      </w:r>
      <w:r w:rsidR="00925120" w:rsidRPr="005322F7">
        <w:rPr>
          <w:rFonts w:ascii="Times New Roman" w:hAnsi="Times New Roman"/>
          <w:sz w:val="26"/>
          <w:szCs w:val="26"/>
        </w:rPr>
        <w:t>c</w:t>
      </w:r>
      <w:r w:rsidR="0092333A" w:rsidRPr="005322F7">
        <w:rPr>
          <w:rFonts w:ascii="Times New Roman" w:hAnsi="Times New Roman"/>
          <w:sz w:val="26"/>
          <w:szCs w:val="26"/>
        </w:rPr>
        <w:t xml:space="preserve">) </w:t>
      </w:r>
      <w:r w:rsidR="00300733" w:rsidRPr="005322F7">
        <w:rPr>
          <w:rFonts w:ascii="Times New Roman" w:hAnsi="Times New Roman"/>
          <w:sz w:val="26"/>
          <w:szCs w:val="26"/>
        </w:rPr>
        <w:t>obniżenie wynag</w:t>
      </w:r>
      <w:r w:rsidR="00F54323" w:rsidRPr="005322F7">
        <w:rPr>
          <w:rFonts w:ascii="Times New Roman" w:hAnsi="Times New Roman"/>
          <w:sz w:val="26"/>
          <w:szCs w:val="26"/>
        </w:rPr>
        <w:t>rodzenia w wysokości od 10% do 2</w:t>
      </w:r>
      <w:r w:rsidR="00300733" w:rsidRPr="005322F7">
        <w:rPr>
          <w:rFonts w:ascii="Times New Roman" w:hAnsi="Times New Roman"/>
          <w:sz w:val="26"/>
          <w:szCs w:val="26"/>
        </w:rPr>
        <w:t>0% na okres do 2 lat</w:t>
      </w:r>
      <w:r w:rsidR="0092333A" w:rsidRPr="005322F7">
        <w:rPr>
          <w:rFonts w:ascii="Times New Roman" w:hAnsi="Times New Roman"/>
          <w:sz w:val="26"/>
          <w:szCs w:val="26"/>
        </w:rPr>
        <w:t>;</w:t>
      </w:r>
      <w:r w:rsidR="00947AAE" w:rsidRPr="005322F7">
        <w:rPr>
          <w:rFonts w:ascii="Times New Roman" w:hAnsi="Times New Roman"/>
          <w:sz w:val="26"/>
          <w:szCs w:val="26"/>
        </w:rPr>
        <w:t xml:space="preserve"> </w:t>
      </w:r>
      <w:r w:rsidR="00925120" w:rsidRPr="005322F7">
        <w:rPr>
          <w:rFonts w:ascii="Times New Roman" w:hAnsi="Times New Roman"/>
          <w:sz w:val="26"/>
          <w:szCs w:val="26"/>
        </w:rPr>
        <w:t>d</w:t>
      </w:r>
      <w:r w:rsidR="0092333A" w:rsidRPr="005322F7">
        <w:rPr>
          <w:rFonts w:ascii="Times New Roman" w:hAnsi="Times New Roman"/>
          <w:sz w:val="26"/>
          <w:szCs w:val="26"/>
        </w:rPr>
        <w:t>)</w:t>
      </w:r>
      <w:r w:rsidR="00947AAE" w:rsidRPr="005322F7">
        <w:rPr>
          <w:rFonts w:ascii="Times New Roman" w:hAnsi="Times New Roman"/>
          <w:sz w:val="26"/>
          <w:szCs w:val="26"/>
        </w:rPr>
        <w:t xml:space="preserve"> </w:t>
      </w:r>
      <w:r w:rsidR="0092333A" w:rsidRPr="005322F7">
        <w:rPr>
          <w:rFonts w:ascii="Times New Roman" w:hAnsi="Times New Roman"/>
          <w:sz w:val="26"/>
          <w:szCs w:val="26"/>
        </w:rPr>
        <w:t>złożenie sędziego Trybunału z</w:t>
      </w:r>
      <w:r w:rsidR="00A73742" w:rsidRPr="005322F7">
        <w:rPr>
          <w:rFonts w:ascii="Times New Roman" w:hAnsi="Times New Roman"/>
          <w:sz w:val="26"/>
          <w:szCs w:val="26"/>
        </w:rPr>
        <w:t xml:space="preserve"> urzędu</w:t>
      </w:r>
      <w:r w:rsidR="00871B9E" w:rsidRPr="005322F7">
        <w:rPr>
          <w:rFonts w:ascii="Times New Roman" w:hAnsi="Times New Roman"/>
          <w:sz w:val="26"/>
          <w:szCs w:val="26"/>
        </w:rPr>
        <w:t xml:space="preserve"> (art. 14),</w:t>
      </w:r>
      <w:r w:rsidR="00A73742" w:rsidRPr="005322F7">
        <w:rPr>
          <w:rFonts w:ascii="Times New Roman" w:hAnsi="Times New Roman"/>
          <w:sz w:val="26"/>
          <w:szCs w:val="26"/>
        </w:rPr>
        <w:t xml:space="preserve"> określa zasady wszczęcia postępowania i nadania mu biegu (art. 12).</w:t>
      </w:r>
    </w:p>
    <w:p w:rsidR="006D313E" w:rsidRPr="005322F7" w:rsidRDefault="006D313E" w:rsidP="001F4569">
      <w:pPr>
        <w:spacing w:before="120" w:after="120"/>
        <w:ind w:firstLine="708"/>
        <w:jc w:val="both"/>
        <w:rPr>
          <w:rFonts w:ascii="Times New Roman" w:hAnsi="Times New Roman"/>
          <w:b/>
          <w:i/>
          <w:sz w:val="26"/>
          <w:szCs w:val="26"/>
        </w:rPr>
      </w:pPr>
      <w:r w:rsidRPr="005322F7">
        <w:rPr>
          <w:rFonts w:ascii="Times New Roman" w:hAnsi="Times New Roman"/>
          <w:b/>
          <w:bCs/>
          <w:sz w:val="26"/>
          <w:szCs w:val="26"/>
        </w:rPr>
        <w:t xml:space="preserve">Szczegółowe uregulowanie postępowania dyscyplinarnego realizuje zalecenie nr X zespołu ekspertów ds. problematyki TK. Eksperci w raporcie podkreślali, że: </w:t>
      </w:r>
      <w:r w:rsidRPr="005322F7">
        <w:rPr>
          <w:rFonts w:ascii="Times New Roman" w:hAnsi="Times New Roman"/>
          <w:b/>
          <w:bCs/>
          <w:i/>
          <w:sz w:val="26"/>
          <w:szCs w:val="26"/>
        </w:rPr>
        <w:t>„</w:t>
      </w:r>
      <w:r w:rsidRPr="005322F7">
        <w:rPr>
          <w:rFonts w:ascii="Times New Roman" w:hAnsi="Times New Roman"/>
          <w:b/>
          <w:i/>
          <w:sz w:val="26"/>
          <w:szCs w:val="26"/>
        </w:rPr>
        <w:t>Ustanowienie przejrzystych, a zarazem logicznych i funkcjonalnych zasad postępowania dyscyplinarnego wobec sędziów TK (zarówno orzekających, jak i w stanie spoczynku) jest koniecznym wymogiem demokratycznego państwa prawnego, w którym organy władzy publicznej i ich funkcjonariusze działają na podstawie i w granicach prawa. Prawidłowo uregulowany sposób pociągania sędziów TK do odpowiedzialności spełnia też istotny element legitymizacji sądownictwa konstytucyjnego. Ponadto należy mieć na uwadze dodatkowe wymogi moralne, które stawia się osobom sprawującym funkcje publiczne, w tym przede wszystkim sędziom. Mechanizm pociągania sędziów do odpowiedzialności dyscyplinarnej powinien w pierwszym rzędzie gwarantować autentyczną niezależność TK i niezawisłość jego sędziów”</w:t>
      </w:r>
      <w:r w:rsidRPr="005322F7">
        <w:rPr>
          <w:rFonts w:ascii="Times New Roman" w:hAnsi="Times New Roman"/>
          <w:b/>
          <w:sz w:val="26"/>
          <w:szCs w:val="26"/>
        </w:rPr>
        <w:t xml:space="preserve"> (s. 77 raportu zespołu ekspertów ds. TK)</w:t>
      </w:r>
      <w:r w:rsidRPr="005322F7">
        <w:rPr>
          <w:rFonts w:ascii="Times New Roman" w:hAnsi="Times New Roman"/>
          <w:b/>
          <w:i/>
          <w:sz w:val="26"/>
          <w:szCs w:val="26"/>
        </w:rPr>
        <w:t>.</w:t>
      </w:r>
    </w:p>
    <w:p w:rsidR="003076E8" w:rsidRPr="005322F7" w:rsidRDefault="00C55377" w:rsidP="001F4569">
      <w:pPr>
        <w:spacing w:before="120" w:after="120"/>
        <w:ind w:firstLine="708"/>
        <w:jc w:val="both"/>
        <w:rPr>
          <w:rFonts w:ascii="Times New Roman" w:hAnsi="Times New Roman"/>
          <w:b/>
          <w:bCs/>
          <w:sz w:val="26"/>
          <w:szCs w:val="26"/>
        </w:rPr>
      </w:pPr>
      <w:r w:rsidRPr="005322F7">
        <w:rPr>
          <w:rFonts w:ascii="Times New Roman" w:hAnsi="Times New Roman"/>
          <w:bCs/>
          <w:sz w:val="26"/>
          <w:szCs w:val="26"/>
        </w:rPr>
        <w:t>Projekt</w:t>
      </w:r>
      <w:r w:rsidR="003B37D2" w:rsidRPr="005322F7">
        <w:rPr>
          <w:rFonts w:ascii="Times New Roman" w:hAnsi="Times New Roman"/>
          <w:bCs/>
          <w:sz w:val="26"/>
          <w:szCs w:val="26"/>
        </w:rPr>
        <w:t xml:space="preserve"> przewiduje podstępowanie dyscyplinarne wobec sędziów TK jedynie w ramach Trybunału Konstytucyjnego. </w:t>
      </w:r>
      <w:r w:rsidR="003B37D2" w:rsidRPr="005322F7">
        <w:rPr>
          <w:rFonts w:ascii="Times New Roman" w:hAnsi="Times New Roman"/>
          <w:b/>
          <w:bCs/>
          <w:sz w:val="26"/>
          <w:szCs w:val="26"/>
        </w:rPr>
        <w:t xml:space="preserve">Odpowiada to </w:t>
      </w:r>
      <w:r w:rsidRPr="005322F7">
        <w:rPr>
          <w:rFonts w:ascii="Times New Roman" w:hAnsi="Times New Roman"/>
          <w:b/>
          <w:bCs/>
          <w:sz w:val="26"/>
          <w:szCs w:val="26"/>
        </w:rPr>
        <w:t>zaleceni</w:t>
      </w:r>
      <w:r w:rsidR="003B37D2" w:rsidRPr="005322F7">
        <w:rPr>
          <w:rFonts w:ascii="Times New Roman" w:hAnsi="Times New Roman"/>
          <w:b/>
          <w:bCs/>
          <w:sz w:val="26"/>
          <w:szCs w:val="26"/>
        </w:rPr>
        <w:t xml:space="preserve">u </w:t>
      </w:r>
      <w:r w:rsidRPr="005322F7">
        <w:rPr>
          <w:rFonts w:ascii="Times New Roman" w:hAnsi="Times New Roman"/>
          <w:b/>
          <w:bCs/>
          <w:sz w:val="26"/>
          <w:szCs w:val="26"/>
        </w:rPr>
        <w:t>wynikając</w:t>
      </w:r>
      <w:r w:rsidR="003B37D2" w:rsidRPr="005322F7">
        <w:rPr>
          <w:rFonts w:ascii="Times New Roman" w:hAnsi="Times New Roman"/>
          <w:b/>
          <w:bCs/>
          <w:sz w:val="26"/>
          <w:szCs w:val="26"/>
        </w:rPr>
        <w:t xml:space="preserve">emu </w:t>
      </w:r>
      <w:r w:rsidRPr="005322F7">
        <w:rPr>
          <w:rFonts w:ascii="Times New Roman" w:hAnsi="Times New Roman"/>
          <w:b/>
          <w:bCs/>
          <w:sz w:val="26"/>
          <w:szCs w:val="26"/>
        </w:rPr>
        <w:t>z raportu zespołu ekspertów ds. TK</w:t>
      </w:r>
      <w:r w:rsidR="003076E8" w:rsidRPr="005322F7">
        <w:rPr>
          <w:rFonts w:ascii="Times New Roman" w:hAnsi="Times New Roman"/>
          <w:b/>
          <w:bCs/>
          <w:sz w:val="26"/>
          <w:szCs w:val="26"/>
        </w:rPr>
        <w:t xml:space="preserve">, zgodnie z którym: </w:t>
      </w:r>
      <w:r w:rsidR="003076E8" w:rsidRPr="005322F7">
        <w:rPr>
          <w:rFonts w:ascii="Times New Roman" w:hAnsi="Times New Roman"/>
          <w:b/>
          <w:bCs/>
          <w:i/>
          <w:sz w:val="26"/>
          <w:szCs w:val="26"/>
        </w:rPr>
        <w:t>„</w:t>
      </w:r>
      <w:r w:rsidR="003076E8" w:rsidRPr="005322F7">
        <w:rPr>
          <w:rFonts w:ascii="Times New Roman" w:hAnsi="Times New Roman"/>
          <w:b/>
          <w:i/>
          <w:sz w:val="26"/>
          <w:szCs w:val="26"/>
        </w:rPr>
        <w:t>Postępowanie dyscyplinarne wobec sędziów TK powinno być „zamknięte” w Trybunale Konstytucyjnym, co oznacza niedopuszczalność zaangażowania w procedurę egzekwowania odpowiedzialności dyscyplinarnej innych, zewnętrznych podmiotów. Zaznaczyć jednocześnie trzeba, że szczególna odpowiedzialność w ramach postępowania dyscyplinarnego spoczywa na osobie Prezesa TK, co tym bardziej, poza innymi okolicznościami, uzasadnia konieczność ustanowienia kadencji tego stanowiska. Zamknięcie odpowiedzialności dyscyplinarnej sędziów TK w Trybunale nie oznacza jednak braku możliwości złożenia stosownego zawiadomienia przez podmioty zewnętrzne. Zawiadomienie takie, co należy zaznaczyć, nie uruchamia żadnej procedury dyscyplinarnej wobec sędziego, a jedynie stanowi element wstępny, o zasadności którego – autonomicznie, szanując w pełni zasadę niezależności TK – rozstrzyga Prezes TK. Rekomendować należy ustanowienie, na poziomie ustawowym, podmiotu – z racji konstytucyjnych – szczególnie predystynowanego do złożenia stosownego zawiadomienia. Jest nim Prezydent RP, który z racji pełnienia funkcji strażnika konstytucji (por. art. 126) ma tutaj rolę oczywistą”</w:t>
      </w:r>
      <w:r w:rsidR="003076E8" w:rsidRPr="005322F7">
        <w:rPr>
          <w:rFonts w:ascii="Times New Roman" w:hAnsi="Times New Roman"/>
          <w:b/>
          <w:sz w:val="26"/>
          <w:szCs w:val="26"/>
        </w:rPr>
        <w:t xml:space="preserve"> (s. 77-78 raportu zespołu ekspertów ds. TK).</w:t>
      </w:r>
    </w:p>
    <w:p w:rsidR="00A73742" w:rsidRPr="005322F7" w:rsidRDefault="00A73742" w:rsidP="00C3187B">
      <w:pPr>
        <w:spacing w:before="120" w:after="120"/>
        <w:ind w:firstLine="708"/>
        <w:jc w:val="both"/>
        <w:rPr>
          <w:rFonts w:ascii="Times New Roman" w:hAnsi="Times New Roman"/>
          <w:bCs/>
          <w:sz w:val="26"/>
          <w:szCs w:val="26"/>
        </w:rPr>
      </w:pPr>
      <w:r w:rsidRPr="005322F7">
        <w:rPr>
          <w:rFonts w:ascii="Times New Roman" w:hAnsi="Times New Roman"/>
          <w:bCs/>
          <w:sz w:val="26"/>
          <w:szCs w:val="26"/>
        </w:rPr>
        <w:t>Z tego względu w art. 12</w:t>
      </w:r>
      <w:r w:rsidR="001A5071" w:rsidRPr="005322F7">
        <w:rPr>
          <w:rFonts w:ascii="Times New Roman" w:hAnsi="Times New Roman"/>
          <w:bCs/>
          <w:sz w:val="26"/>
          <w:szCs w:val="26"/>
        </w:rPr>
        <w:t xml:space="preserve"> ust. 1 projektu</w:t>
      </w:r>
      <w:r w:rsidRPr="005322F7">
        <w:rPr>
          <w:rFonts w:ascii="Times New Roman" w:hAnsi="Times New Roman"/>
          <w:bCs/>
          <w:sz w:val="26"/>
          <w:szCs w:val="26"/>
        </w:rPr>
        <w:t xml:space="preserve"> wskazano</w:t>
      </w:r>
      <w:r w:rsidR="00C3187B" w:rsidRPr="005322F7">
        <w:rPr>
          <w:rFonts w:ascii="Times New Roman" w:hAnsi="Times New Roman"/>
          <w:bCs/>
          <w:sz w:val="26"/>
          <w:szCs w:val="26"/>
        </w:rPr>
        <w:t xml:space="preserve"> krąg podmiotów uprawnionych do złożenia zawiadomienia Prezesa TK </w:t>
      </w:r>
      <w:r w:rsidRPr="005322F7">
        <w:rPr>
          <w:rFonts w:ascii="Times New Roman" w:hAnsi="Times New Roman"/>
          <w:bCs/>
          <w:sz w:val="26"/>
          <w:szCs w:val="26"/>
        </w:rPr>
        <w:t>o popełnieniu przez sędziego Trybunału przewinienia</w:t>
      </w:r>
      <w:r w:rsidR="001A5071" w:rsidRPr="005322F7">
        <w:rPr>
          <w:rFonts w:ascii="Times New Roman" w:hAnsi="Times New Roman"/>
          <w:bCs/>
          <w:sz w:val="26"/>
          <w:szCs w:val="26"/>
        </w:rPr>
        <w:t>. Do osób tych należą zarówno sędziowie TK, jak i organy zobowiązane do stania na straży Konstytucji (Prezydent RP) oraz praworządności (Prokurator Generalny).</w:t>
      </w:r>
      <w:r w:rsidR="00812F32" w:rsidRPr="005322F7">
        <w:rPr>
          <w:rFonts w:ascii="Times New Roman" w:hAnsi="Times New Roman"/>
          <w:bCs/>
          <w:sz w:val="26"/>
          <w:szCs w:val="26"/>
        </w:rPr>
        <w:t xml:space="preserve"> Należy podkreślić, że projektodawca założył w wypadku tych dwóch ostatnich podmiotów wymóg współdziałania. </w:t>
      </w:r>
      <w:r w:rsidR="008937E5" w:rsidRPr="005322F7">
        <w:rPr>
          <w:rFonts w:ascii="Times New Roman" w:hAnsi="Times New Roman"/>
          <w:bCs/>
          <w:sz w:val="26"/>
          <w:szCs w:val="26"/>
        </w:rPr>
        <w:t xml:space="preserve">Projekt </w:t>
      </w:r>
      <w:r w:rsidR="005613AB" w:rsidRPr="005322F7">
        <w:rPr>
          <w:rFonts w:ascii="Times New Roman" w:hAnsi="Times New Roman"/>
          <w:bCs/>
          <w:sz w:val="26"/>
          <w:szCs w:val="26"/>
        </w:rPr>
        <w:t>przewiduje</w:t>
      </w:r>
      <w:r w:rsidR="008937E5" w:rsidRPr="005322F7">
        <w:rPr>
          <w:rFonts w:ascii="Times New Roman" w:hAnsi="Times New Roman"/>
          <w:bCs/>
          <w:sz w:val="26"/>
          <w:szCs w:val="26"/>
        </w:rPr>
        <w:t xml:space="preserve"> bowiem, że zawiadomienie o popełnieniu przewinienia może złożyć Prezydent na wniosek Prokuratora Generalnego. Jest to wyraz współdziałania, ale i równoważnia się władzy.</w:t>
      </w:r>
    </w:p>
    <w:p w:rsidR="001A5071" w:rsidRPr="005322F7" w:rsidRDefault="008937E5" w:rsidP="001A5071">
      <w:pPr>
        <w:ind w:firstLine="708"/>
        <w:jc w:val="both"/>
        <w:rPr>
          <w:rFonts w:ascii="Times New Roman" w:hAnsi="Times New Roman"/>
          <w:sz w:val="26"/>
          <w:szCs w:val="26"/>
        </w:rPr>
      </w:pPr>
      <w:r w:rsidRPr="005322F7">
        <w:rPr>
          <w:rFonts w:ascii="Times New Roman" w:hAnsi="Times New Roman"/>
          <w:sz w:val="26"/>
          <w:szCs w:val="26"/>
        </w:rPr>
        <w:t>U</w:t>
      </w:r>
      <w:r w:rsidR="001A5071" w:rsidRPr="005322F7">
        <w:rPr>
          <w:rFonts w:ascii="Times New Roman" w:hAnsi="Times New Roman"/>
          <w:sz w:val="26"/>
          <w:szCs w:val="26"/>
        </w:rPr>
        <w:t xml:space="preserve">prawnienie Prezydenta RP do złożenia zawiadomienia o popełnieniu przewinienia przez sędziego TK </w:t>
      </w:r>
      <w:r w:rsidR="00871B9E" w:rsidRPr="005322F7">
        <w:rPr>
          <w:rFonts w:ascii="Times New Roman" w:hAnsi="Times New Roman"/>
          <w:sz w:val="26"/>
          <w:szCs w:val="26"/>
        </w:rPr>
        <w:t xml:space="preserve">jest </w:t>
      </w:r>
      <w:r w:rsidR="005613AB" w:rsidRPr="005322F7">
        <w:rPr>
          <w:rFonts w:ascii="Times New Roman" w:hAnsi="Times New Roman"/>
          <w:sz w:val="26"/>
          <w:szCs w:val="26"/>
        </w:rPr>
        <w:t>realizacją</w:t>
      </w:r>
      <w:r w:rsidR="001A5071" w:rsidRPr="005322F7">
        <w:rPr>
          <w:rFonts w:ascii="Times New Roman" w:hAnsi="Times New Roman"/>
          <w:sz w:val="26"/>
          <w:szCs w:val="26"/>
        </w:rPr>
        <w:t xml:space="preserve"> a</w:t>
      </w:r>
      <w:r w:rsidR="0003039F" w:rsidRPr="005322F7">
        <w:rPr>
          <w:rFonts w:ascii="Times New Roman" w:hAnsi="Times New Roman"/>
          <w:sz w:val="26"/>
          <w:szCs w:val="26"/>
        </w:rPr>
        <w:t>rt. 126 Konstytucji</w:t>
      </w:r>
      <w:r w:rsidR="001A5071" w:rsidRPr="005322F7">
        <w:rPr>
          <w:rFonts w:ascii="Times New Roman" w:hAnsi="Times New Roman"/>
          <w:sz w:val="26"/>
          <w:szCs w:val="26"/>
        </w:rPr>
        <w:t xml:space="preserve">, w którym ustawodawca konstytucyjny powierzył Prezydentowi RP zadanie stania na straży Konstytucji. </w:t>
      </w:r>
      <w:r w:rsidR="005613AB" w:rsidRPr="005322F7">
        <w:rPr>
          <w:rFonts w:ascii="Times New Roman" w:hAnsi="Times New Roman"/>
          <w:sz w:val="26"/>
          <w:szCs w:val="26"/>
        </w:rPr>
        <w:t>Zadanie to m</w:t>
      </w:r>
      <w:r w:rsidR="001A5071" w:rsidRPr="005322F7">
        <w:rPr>
          <w:rFonts w:ascii="Times New Roman" w:hAnsi="Times New Roman"/>
          <w:sz w:val="26"/>
          <w:szCs w:val="26"/>
        </w:rPr>
        <w:t xml:space="preserve">a również związek z ustawową pozycją Prezydenta RP jako podmiotu odbierającego ślubowanie od osoby wybranej na stanowisko sędziego TK. Prezydent z mocy ustawy staje się bowiem gwarantem zachowania takiego sędziego zgodnie z prawem i etyką. </w:t>
      </w:r>
    </w:p>
    <w:p w:rsidR="001A5071" w:rsidRPr="005322F7" w:rsidRDefault="001A5071" w:rsidP="001A5071">
      <w:pPr>
        <w:widowControl/>
        <w:autoSpaceDE/>
        <w:autoSpaceDN/>
        <w:adjustRightInd/>
        <w:ind w:firstLine="480"/>
        <w:jc w:val="both"/>
        <w:rPr>
          <w:rFonts w:ascii="Times New Roman" w:hAnsi="Times New Roman"/>
          <w:sz w:val="26"/>
          <w:szCs w:val="26"/>
        </w:rPr>
      </w:pPr>
      <w:r w:rsidRPr="005322F7">
        <w:rPr>
          <w:rFonts w:ascii="Times New Roman" w:hAnsi="Times New Roman"/>
          <w:sz w:val="26"/>
          <w:szCs w:val="26"/>
        </w:rPr>
        <w:t xml:space="preserve">Uprawnienie Prokuratora Generalnego </w:t>
      </w:r>
      <w:r w:rsidR="008937E5" w:rsidRPr="005322F7">
        <w:rPr>
          <w:rFonts w:ascii="Times New Roman" w:hAnsi="Times New Roman"/>
          <w:sz w:val="26"/>
          <w:szCs w:val="26"/>
        </w:rPr>
        <w:t xml:space="preserve">do złożenia wniosku do Prezydenta RP w sprawie przewinienia sędziego TK </w:t>
      </w:r>
      <w:r w:rsidRPr="005322F7">
        <w:rPr>
          <w:rFonts w:ascii="Times New Roman" w:hAnsi="Times New Roman"/>
          <w:sz w:val="26"/>
          <w:szCs w:val="26"/>
        </w:rPr>
        <w:t>jest natomiast związane z ustrojową pozycją tego organu jako podmiotu stojącego na straży interesu publicznego.</w:t>
      </w:r>
    </w:p>
    <w:p w:rsidR="001A5071" w:rsidRPr="005322F7" w:rsidRDefault="001A5071" w:rsidP="001A5071">
      <w:pPr>
        <w:widowControl/>
        <w:autoSpaceDE/>
        <w:autoSpaceDN/>
        <w:adjustRightInd/>
        <w:ind w:firstLine="480"/>
        <w:jc w:val="both"/>
        <w:rPr>
          <w:rFonts w:ascii="Times New Roman" w:hAnsi="Times New Roman"/>
          <w:sz w:val="26"/>
          <w:szCs w:val="26"/>
        </w:rPr>
      </w:pPr>
      <w:r w:rsidRPr="005322F7">
        <w:rPr>
          <w:rFonts w:ascii="Times New Roman" w:hAnsi="Times New Roman"/>
          <w:sz w:val="26"/>
          <w:szCs w:val="26"/>
        </w:rPr>
        <w:t>Co istotne, wyżej wskazane podmioty nie mają wpływu na ostateczną decyzję o wszczęciu postępowania</w:t>
      </w:r>
      <w:r w:rsidR="00774B91" w:rsidRPr="005322F7">
        <w:rPr>
          <w:rFonts w:ascii="Times New Roman" w:hAnsi="Times New Roman"/>
          <w:sz w:val="26"/>
          <w:szCs w:val="26"/>
        </w:rPr>
        <w:t xml:space="preserve"> dyscyplinarnego ani na jego wynik. To bowiem do rzecznika dyscyplinarnego, powoływanego przez Prezesa TK w drodze losowania należy wstępne rozpoznanie zarzutów stawianych danemu sędziemu TK i zdecydowanie o wszczęciu postępowania. Procedura ta jest opisana w art. 12 ust. 2-6 projektowanej ustawy.</w:t>
      </w:r>
      <w:r w:rsidR="001110F0" w:rsidRPr="005322F7">
        <w:rPr>
          <w:rFonts w:ascii="Times New Roman" w:hAnsi="Times New Roman"/>
          <w:sz w:val="26"/>
          <w:szCs w:val="26"/>
        </w:rPr>
        <w:t xml:space="preserve"> Proponowane rozwiązanie nawiązuje to regulacji z ustawy o SN, a w sprawach nieuregulowanych odsyła do przepisów – Prawa o ustroju sądów powszechnych i Kodeksu postępowania karnego. Dzięki temu po raz pierwszy kwestia postępowania dyscyplinarnego w sprawie sędziego TK jest uregulowana pełniej, co daje z jednej strony wyraźne i jasne reguły co do tego, jak prowadzić takie postępowania, a z drugie strony stwarza proceduralne gwarancje dla sędziego TK obwinionego. Dotychczas te zagadnienia nie były jasno określone.</w:t>
      </w:r>
    </w:p>
    <w:p w:rsidR="001A5071" w:rsidRPr="005322F7" w:rsidRDefault="001A5071" w:rsidP="00A73742">
      <w:pPr>
        <w:widowControl/>
        <w:autoSpaceDE/>
        <w:autoSpaceDN/>
        <w:adjustRightInd/>
        <w:ind w:firstLine="480"/>
        <w:jc w:val="both"/>
        <w:rPr>
          <w:rFonts w:ascii="Times New Roman" w:hAnsi="Times New Roman"/>
          <w:sz w:val="26"/>
          <w:szCs w:val="26"/>
        </w:rPr>
      </w:pPr>
    </w:p>
    <w:p w:rsidR="0092333A" w:rsidRPr="005322F7" w:rsidRDefault="00D01EB1" w:rsidP="001F4569">
      <w:pPr>
        <w:spacing w:before="120" w:after="120"/>
        <w:ind w:firstLine="708"/>
        <w:jc w:val="both"/>
        <w:rPr>
          <w:rFonts w:ascii="Times New Roman" w:hAnsi="Times New Roman"/>
          <w:sz w:val="26"/>
          <w:szCs w:val="26"/>
        </w:rPr>
      </w:pPr>
      <w:r w:rsidRPr="005322F7">
        <w:rPr>
          <w:rFonts w:ascii="Times New Roman" w:hAnsi="Times New Roman"/>
          <w:b/>
          <w:bCs/>
          <w:sz w:val="26"/>
          <w:szCs w:val="26"/>
        </w:rPr>
        <w:t>6.</w:t>
      </w:r>
      <w:r w:rsidRPr="005322F7">
        <w:rPr>
          <w:rFonts w:ascii="Times New Roman" w:hAnsi="Times New Roman"/>
          <w:bCs/>
          <w:sz w:val="26"/>
          <w:szCs w:val="26"/>
        </w:rPr>
        <w:t xml:space="preserve"> </w:t>
      </w:r>
      <w:r w:rsidR="00FF6174" w:rsidRPr="005322F7">
        <w:rPr>
          <w:rFonts w:ascii="Times New Roman" w:hAnsi="Times New Roman"/>
          <w:bCs/>
          <w:sz w:val="26"/>
          <w:szCs w:val="26"/>
        </w:rPr>
        <w:t>W rozdziale 3 projektodawca określił prawa i obowiązki sędziego Trybunału. Utrzymano regułę, że c</w:t>
      </w:r>
      <w:r w:rsidR="0092333A" w:rsidRPr="005322F7">
        <w:rPr>
          <w:rFonts w:ascii="Times New Roman" w:hAnsi="Times New Roman"/>
          <w:sz w:val="26"/>
          <w:szCs w:val="26"/>
        </w:rPr>
        <w:t>zas pracy sędziego Trybunału jest określony wymiarem jego zadań</w:t>
      </w:r>
      <w:r w:rsidR="00FF6174" w:rsidRPr="005322F7">
        <w:rPr>
          <w:rFonts w:ascii="Times New Roman" w:hAnsi="Times New Roman"/>
          <w:sz w:val="26"/>
          <w:szCs w:val="26"/>
        </w:rPr>
        <w:t xml:space="preserve"> (</w:t>
      </w:r>
      <w:r w:rsidR="001110F0" w:rsidRPr="005322F7">
        <w:rPr>
          <w:rFonts w:ascii="Times New Roman" w:hAnsi="Times New Roman"/>
          <w:sz w:val="26"/>
          <w:szCs w:val="26"/>
        </w:rPr>
        <w:t>art. 16</w:t>
      </w:r>
      <w:r w:rsidR="00FF6174" w:rsidRPr="005322F7">
        <w:rPr>
          <w:rFonts w:ascii="Times New Roman" w:hAnsi="Times New Roman"/>
          <w:sz w:val="26"/>
          <w:szCs w:val="26"/>
        </w:rPr>
        <w:t>)</w:t>
      </w:r>
      <w:r w:rsidR="0092333A" w:rsidRPr="005322F7">
        <w:rPr>
          <w:rFonts w:ascii="Times New Roman" w:hAnsi="Times New Roman"/>
          <w:sz w:val="26"/>
          <w:szCs w:val="26"/>
        </w:rPr>
        <w:t>.</w:t>
      </w:r>
    </w:p>
    <w:p w:rsidR="0092333A" w:rsidRPr="005322F7" w:rsidRDefault="00FF6174" w:rsidP="001F4569">
      <w:pPr>
        <w:spacing w:before="120" w:after="120"/>
        <w:ind w:firstLine="708"/>
        <w:jc w:val="both"/>
        <w:rPr>
          <w:rFonts w:ascii="Times New Roman" w:hAnsi="Times New Roman"/>
          <w:sz w:val="26"/>
          <w:szCs w:val="26"/>
        </w:rPr>
      </w:pPr>
      <w:r w:rsidRPr="005322F7">
        <w:rPr>
          <w:rFonts w:ascii="Times New Roman" w:hAnsi="Times New Roman"/>
          <w:bCs/>
          <w:sz w:val="26"/>
          <w:szCs w:val="26"/>
        </w:rPr>
        <w:t xml:space="preserve">W </w:t>
      </w:r>
      <w:r w:rsidR="00D01EB1" w:rsidRPr="005322F7">
        <w:rPr>
          <w:rFonts w:ascii="Times New Roman" w:hAnsi="Times New Roman"/>
          <w:bCs/>
          <w:sz w:val="26"/>
          <w:szCs w:val="26"/>
        </w:rPr>
        <w:t>art. 1</w:t>
      </w:r>
      <w:r w:rsidR="001110F0" w:rsidRPr="005322F7">
        <w:rPr>
          <w:rFonts w:ascii="Times New Roman" w:hAnsi="Times New Roman"/>
          <w:bCs/>
          <w:sz w:val="26"/>
          <w:szCs w:val="26"/>
        </w:rPr>
        <w:t>8</w:t>
      </w:r>
      <w:r w:rsidRPr="005322F7">
        <w:rPr>
          <w:rFonts w:ascii="Times New Roman" w:hAnsi="Times New Roman"/>
          <w:bCs/>
          <w:sz w:val="26"/>
          <w:szCs w:val="26"/>
        </w:rPr>
        <w:t xml:space="preserve"> projektu </w:t>
      </w:r>
      <w:r w:rsidR="001F4569" w:rsidRPr="005322F7">
        <w:rPr>
          <w:rFonts w:ascii="Times New Roman" w:hAnsi="Times New Roman"/>
          <w:bCs/>
          <w:sz w:val="26"/>
          <w:szCs w:val="26"/>
        </w:rPr>
        <w:t>wskaza</w:t>
      </w:r>
      <w:r w:rsidR="005613AB" w:rsidRPr="005322F7">
        <w:rPr>
          <w:rFonts w:ascii="Times New Roman" w:hAnsi="Times New Roman"/>
          <w:bCs/>
          <w:sz w:val="26"/>
          <w:szCs w:val="26"/>
        </w:rPr>
        <w:t>no</w:t>
      </w:r>
      <w:r w:rsidRPr="005322F7">
        <w:rPr>
          <w:rFonts w:ascii="Times New Roman" w:hAnsi="Times New Roman"/>
          <w:bCs/>
          <w:sz w:val="26"/>
          <w:szCs w:val="26"/>
        </w:rPr>
        <w:t xml:space="preserve"> wskaźniki </w:t>
      </w:r>
      <w:r w:rsidR="00300733" w:rsidRPr="005322F7">
        <w:rPr>
          <w:rFonts w:ascii="Times New Roman" w:hAnsi="Times New Roman"/>
          <w:bCs/>
          <w:sz w:val="26"/>
          <w:szCs w:val="26"/>
        </w:rPr>
        <w:t xml:space="preserve">potrzebne </w:t>
      </w:r>
      <w:r w:rsidRPr="005322F7">
        <w:rPr>
          <w:rFonts w:ascii="Times New Roman" w:hAnsi="Times New Roman"/>
          <w:bCs/>
          <w:sz w:val="26"/>
          <w:szCs w:val="26"/>
        </w:rPr>
        <w:t xml:space="preserve">do </w:t>
      </w:r>
      <w:r w:rsidR="00300733" w:rsidRPr="005322F7">
        <w:rPr>
          <w:rFonts w:ascii="Times New Roman" w:hAnsi="Times New Roman"/>
          <w:bCs/>
          <w:sz w:val="26"/>
          <w:szCs w:val="26"/>
        </w:rPr>
        <w:t>wyliczenia</w:t>
      </w:r>
      <w:r w:rsidRPr="005322F7">
        <w:rPr>
          <w:rFonts w:ascii="Times New Roman" w:hAnsi="Times New Roman"/>
          <w:bCs/>
          <w:sz w:val="26"/>
          <w:szCs w:val="26"/>
        </w:rPr>
        <w:t xml:space="preserve"> wynagrodzenia zasadniczego sędziego TK (ust. 1-3) oraz w</w:t>
      </w:r>
      <w:r w:rsidRPr="005322F7">
        <w:rPr>
          <w:rFonts w:ascii="Times New Roman" w:hAnsi="Times New Roman"/>
          <w:sz w:val="26"/>
          <w:szCs w:val="26"/>
        </w:rPr>
        <w:t>ynagrodzenia</w:t>
      </w:r>
      <w:r w:rsidR="0092333A" w:rsidRPr="005322F7">
        <w:rPr>
          <w:rFonts w:ascii="Times New Roman" w:hAnsi="Times New Roman"/>
          <w:sz w:val="26"/>
          <w:szCs w:val="26"/>
        </w:rPr>
        <w:t xml:space="preserve"> Prezesa oraz Wiceprezesa Trybunału</w:t>
      </w:r>
      <w:r w:rsidRPr="005322F7">
        <w:rPr>
          <w:rFonts w:ascii="Times New Roman" w:hAnsi="Times New Roman"/>
          <w:sz w:val="26"/>
          <w:szCs w:val="26"/>
        </w:rPr>
        <w:t xml:space="preserve"> (ust. 4)</w:t>
      </w:r>
      <w:r w:rsidR="00095CEC" w:rsidRPr="005322F7">
        <w:rPr>
          <w:rFonts w:ascii="Times New Roman" w:hAnsi="Times New Roman"/>
          <w:sz w:val="26"/>
          <w:szCs w:val="26"/>
        </w:rPr>
        <w:t>, a także</w:t>
      </w:r>
      <w:r w:rsidR="001F4569" w:rsidRPr="005322F7">
        <w:rPr>
          <w:rFonts w:ascii="Times New Roman" w:hAnsi="Times New Roman"/>
          <w:sz w:val="26"/>
          <w:szCs w:val="26"/>
        </w:rPr>
        <w:t xml:space="preserve"> zasady ustalania tego wynagrodzenia</w:t>
      </w:r>
      <w:r w:rsidR="0092333A" w:rsidRPr="005322F7">
        <w:rPr>
          <w:rFonts w:ascii="Times New Roman" w:hAnsi="Times New Roman"/>
          <w:sz w:val="26"/>
          <w:szCs w:val="26"/>
        </w:rPr>
        <w:t>.</w:t>
      </w:r>
    </w:p>
    <w:p w:rsidR="0092333A" w:rsidRPr="005322F7" w:rsidRDefault="001F4569" w:rsidP="00810668">
      <w:pPr>
        <w:spacing w:before="120" w:after="120"/>
        <w:ind w:firstLine="431"/>
        <w:jc w:val="both"/>
        <w:rPr>
          <w:rFonts w:ascii="Times New Roman" w:hAnsi="Times New Roman"/>
          <w:sz w:val="26"/>
          <w:szCs w:val="26"/>
        </w:rPr>
      </w:pPr>
      <w:r w:rsidRPr="005322F7">
        <w:rPr>
          <w:rFonts w:ascii="Times New Roman" w:hAnsi="Times New Roman"/>
          <w:b/>
          <w:bCs/>
          <w:sz w:val="26"/>
          <w:szCs w:val="26"/>
        </w:rPr>
        <w:tab/>
      </w:r>
      <w:r w:rsidR="00300733" w:rsidRPr="005322F7">
        <w:rPr>
          <w:rFonts w:ascii="Times New Roman" w:hAnsi="Times New Roman"/>
          <w:bCs/>
          <w:sz w:val="26"/>
          <w:szCs w:val="26"/>
        </w:rPr>
        <w:t>W</w:t>
      </w:r>
      <w:r w:rsidR="00FC11C3" w:rsidRPr="005322F7">
        <w:rPr>
          <w:rFonts w:ascii="Times New Roman" w:hAnsi="Times New Roman"/>
          <w:bCs/>
          <w:sz w:val="26"/>
          <w:szCs w:val="26"/>
        </w:rPr>
        <w:t xml:space="preserve"> </w:t>
      </w:r>
      <w:r w:rsidR="00D01EB1" w:rsidRPr="005322F7">
        <w:rPr>
          <w:rFonts w:ascii="Times New Roman" w:hAnsi="Times New Roman"/>
          <w:bCs/>
          <w:sz w:val="26"/>
          <w:szCs w:val="26"/>
        </w:rPr>
        <w:t>art. 1</w:t>
      </w:r>
      <w:r w:rsidR="001110F0" w:rsidRPr="005322F7">
        <w:rPr>
          <w:rFonts w:ascii="Times New Roman" w:hAnsi="Times New Roman"/>
          <w:bCs/>
          <w:sz w:val="26"/>
          <w:szCs w:val="26"/>
        </w:rPr>
        <w:t>9</w:t>
      </w:r>
      <w:r w:rsidRPr="005322F7">
        <w:rPr>
          <w:rFonts w:ascii="Times New Roman" w:hAnsi="Times New Roman"/>
          <w:bCs/>
          <w:sz w:val="26"/>
          <w:szCs w:val="26"/>
        </w:rPr>
        <w:t xml:space="preserve"> projektu potwierdzono uprawnienie dla s</w:t>
      </w:r>
      <w:r w:rsidR="0092333A" w:rsidRPr="005322F7">
        <w:rPr>
          <w:rFonts w:ascii="Times New Roman" w:hAnsi="Times New Roman"/>
          <w:sz w:val="26"/>
          <w:szCs w:val="26"/>
        </w:rPr>
        <w:t>ędzie</w:t>
      </w:r>
      <w:r w:rsidRPr="005322F7">
        <w:rPr>
          <w:rFonts w:ascii="Times New Roman" w:hAnsi="Times New Roman"/>
          <w:sz w:val="26"/>
          <w:szCs w:val="26"/>
        </w:rPr>
        <w:t>go</w:t>
      </w:r>
      <w:r w:rsidR="0092333A" w:rsidRPr="005322F7">
        <w:rPr>
          <w:rFonts w:ascii="Times New Roman" w:hAnsi="Times New Roman"/>
          <w:sz w:val="26"/>
          <w:szCs w:val="26"/>
        </w:rPr>
        <w:t xml:space="preserve"> Trybunału stale zamieszkałe</w:t>
      </w:r>
      <w:r w:rsidRPr="005322F7">
        <w:rPr>
          <w:rFonts w:ascii="Times New Roman" w:hAnsi="Times New Roman"/>
          <w:sz w:val="26"/>
          <w:szCs w:val="26"/>
        </w:rPr>
        <w:t>go</w:t>
      </w:r>
      <w:r w:rsidR="0092333A" w:rsidRPr="005322F7">
        <w:rPr>
          <w:rFonts w:ascii="Times New Roman" w:hAnsi="Times New Roman"/>
          <w:sz w:val="26"/>
          <w:szCs w:val="26"/>
        </w:rPr>
        <w:t xml:space="preserve"> poza m</w:t>
      </w:r>
      <w:r w:rsidRPr="005322F7">
        <w:rPr>
          <w:rFonts w:ascii="Times New Roman" w:hAnsi="Times New Roman"/>
          <w:sz w:val="26"/>
          <w:szCs w:val="26"/>
        </w:rPr>
        <w:t>.st. Warszawą do</w:t>
      </w:r>
      <w:r w:rsidR="0092333A" w:rsidRPr="005322F7">
        <w:rPr>
          <w:rFonts w:ascii="Times New Roman" w:hAnsi="Times New Roman"/>
          <w:sz w:val="26"/>
          <w:szCs w:val="26"/>
        </w:rPr>
        <w:t xml:space="preserve"> bezpłatne</w:t>
      </w:r>
      <w:r w:rsidRPr="005322F7">
        <w:rPr>
          <w:rFonts w:ascii="Times New Roman" w:hAnsi="Times New Roman"/>
          <w:sz w:val="26"/>
          <w:szCs w:val="26"/>
        </w:rPr>
        <w:t>go</w:t>
      </w:r>
      <w:r w:rsidR="00095CEC" w:rsidRPr="005322F7">
        <w:rPr>
          <w:rFonts w:ascii="Times New Roman" w:hAnsi="Times New Roman"/>
          <w:sz w:val="26"/>
          <w:szCs w:val="26"/>
        </w:rPr>
        <w:t xml:space="preserve"> zakwaterowania</w:t>
      </w:r>
      <w:r w:rsidR="0092333A" w:rsidRPr="005322F7">
        <w:rPr>
          <w:rFonts w:ascii="Times New Roman" w:hAnsi="Times New Roman"/>
          <w:sz w:val="26"/>
          <w:szCs w:val="26"/>
        </w:rPr>
        <w:t xml:space="preserve"> w m.st. Warszawie oraz zwrot kosztów przejazdu i dodatek z tytułu rozłąki z rodziną </w:t>
      </w:r>
      <w:r w:rsidRPr="005322F7">
        <w:rPr>
          <w:rFonts w:ascii="Times New Roman" w:hAnsi="Times New Roman"/>
          <w:sz w:val="26"/>
          <w:szCs w:val="26"/>
        </w:rPr>
        <w:t>zgodnie z ustawą</w:t>
      </w:r>
      <w:r w:rsidR="0092333A" w:rsidRPr="005322F7">
        <w:rPr>
          <w:rFonts w:ascii="Times New Roman" w:hAnsi="Times New Roman"/>
          <w:sz w:val="26"/>
          <w:szCs w:val="26"/>
        </w:rPr>
        <w:t xml:space="preserve"> o pracownikach urzędów państwowych.</w:t>
      </w:r>
    </w:p>
    <w:p w:rsidR="00787167" w:rsidRPr="005322F7" w:rsidRDefault="00787167" w:rsidP="00787167">
      <w:pPr>
        <w:spacing w:before="120" w:after="120"/>
        <w:ind w:firstLine="431"/>
        <w:jc w:val="both"/>
        <w:rPr>
          <w:rFonts w:ascii="Times New Roman" w:hAnsi="Times New Roman"/>
          <w:sz w:val="26"/>
          <w:szCs w:val="26"/>
        </w:rPr>
      </w:pPr>
      <w:r w:rsidRPr="005322F7">
        <w:rPr>
          <w:rFonts w:ascii="Times New Roman" w:hAnsi="Times New Roman"/>
          <w:b/>
          <w:bCs/>
          <w:sz w:val="26"/>
          <w:szCs w:val="26"/>
        </w:rPr>
        <w:tab/>
      </w:r>
      <w:r w:rsidR="00027552" w:rsidRPr="005322F7">
        <w:rPr>
          <w:rFonts w:ascii="Times New Roman" w:hAnsi="Times New Roman"/>
          <w:bCs/>
          <w:sz w:val="26"/>
          <w:szCs w:val="26"/>
        </w:rPr>
        <w:t xml:space="preserve">Ważną grupę przepisów stanowią </w:t>
      </w:r>
      <w:r w:rsidR="00D01EB1" w:rsidRPr="005322F7">
        <w:rPr>
          <w:rFonts w:ascii="Times New Roman" w:hAnsi="Times New Roman"/>
          <w:bCs/>
          <w:sz w:val="26"/>
          <w:szCs w:val="26"/>
        </w:rPr>
        <w:t xml:space="preserve">art. </w:t>
      </w:r>
      <w:r w:rsidR="001110F0" w:rsidRPr="005322F7">
        <w:rPr>
          <w:rFonts w:ascii="Times New Roman" w:hAnsi="Times New Roman"/>
          <w:bCs/>
          <w:sz w:val="26"/>
          <w:szCs w:val="26"/>
        </w:rPr>
        <w:t>20</w:t>
      </w:r>
      <w:r w:rsidR="00D01EB1" w:rsidRPr="005322F7">
        <w:rPr>
          <w:rFonts w:ascii="Times New Roman" w:hAnsi="Times New Roman"/>
          <w:bCs/>
          <w:sz w:val="26"/>
          <w:szCs w:val="26"/>
        </w:rPr>
        <w:t>-art. 2</w:t>
      </w:r>
      <w:r w:rsidR="001110F0" w:rsidRPr="005322F7">
        <w:rPr>
          <w:rFonts w:ascii="Times New Roman" w:hAnsi="Times New Roman"/>
          <w:bCs/>
          <w:sz w:val="26"/>
          <w:szCs w:val="26"/>
        </w:rPr>
        <w:t>5</w:t>
      </w:r>
      <w:r w:rsidR="00095CEC" w:rsidRPr="005322F7">
        <w:rPr>
          <w:rFonts w:ascii="Times New Roman" w:hAnsi="Times New Roman"/>
          <w:bCs/>
          <w:sz w:val="26"/>
          <w:szCs w:val="26"/>
        </w:rPr>
        <w:t xml:space="preserve"> projektu</w:t>
      </w:r>
      <w:r w:rsidR="00027552" w:rsidRPr="005322F7">
        <w:rPr>
          <w:rFonts w:ascii="Times New Roman" w:hAnsi="Times New Roman"/>
          <w:bCs/>
          <w:sz w:val="26"/>
          <w:szCs w:val="26"/>
        </w:rPr>
        <w:t>, określające takie kwestie jak zakazy dotyczące prowadzenia określonej działalności przez sędziego TK (</w:t>
      </w:r>
      <w:r w:rsidR="001110F0" w:rsidRPr="005322F7">
        <w:rPr>
          <w:rFonts w:ascii="Times New Roman" w:hAnsi="Times New Roman"/>
          <w:bCs/>
          <w:sz w:val="26"/>
          <w:szCs w:val="26"/>
        </w:rPr>
        <w:t>art. 20</w:t>
      </w:r>
      <w:r w:rsidR="00027552" w:rsidRPr="005322F7">
        <w:rPr>
          <w:rFonts w:ascii="Times New Roman" w:hAnsi="Times New Roman"/>
          <w:bCs/>
          <w:sz w:val="26"/>
          <w:szCs w:val="26"/>
        </w:rPr>
        <w:t>), obowiązek złożenia oświadczenia o działalności gospodarczej prowadzonej przez małżonka sędziego (</w:t>
      </w:r>
      <w:r w:rsidR="008311D8" w:rsidRPr="005322F7">
        <w:rPr>
          <w:rFonts w:ascii="Times New Roman" w:hAnsi="Times New Roman"/>
          <w:bCs/>
          <w:sz w:val="26"/>
          <w:szCs w:val="26"/>
        </w:rPr>
        <w:t xml:space="preserve">art. </w:t>
      </w:r>
      <w:r w:rsidR="001110F0" w:rsidRPr="005322F7">
        <w:rPr>
          <w:rFonts w:ascii="Times New Roman" w:hAnsi="Times New Roman"/>
          <w:bCs/>
          <w:sz w:val="26"/>
          <w:szCs w:val="26"/>
        </w:rPr>
        <w:t>21</w:t>
      </w:r>
      <w:r w:rsidR="00027552" w:rsidRPr="005322F7">
        <w:rPr>
          <w:rFonts w:ascii="Times New Roman" w:hAnsi="Times New Roman"/>
          <w:bCs/>
          <w:sz w:val="26"/>
          <w:szCs w:val="26"/>
        </w:rPr>
        <w:t>) czy też obowiązek złożenia oświadczenia o stanie majątkowym (</w:t>
      </w:r>
      <w:r w:rsidR="008311D8" w:rsidRPr="005322F7">
        <w:rPr>
          <w:rFonts w:ascii="Times New Roman" w:hAnsi="Times New Roman"/>
          <w:bCs/>
          <w:sz w:val="26"/>
          <w:szCs w:val="26"/>
        </w:rPr>
        <w:t>art. 2</w:t>
      </w:r>
      <w:r w:rsidR="001110F0" w:rsidRPr="005322F7">
        <w:rPr>
          <w:rFonts w:ascii="Times New Roman" w:hAnsi="Times New Roman"/>
          <w:bCs/>
          <w:sz w:val="26"/>
          <w:szCs w:val="26"/>
        </w:rPr>
        <w:t>3</w:t>
      </w:r>
      <w:r w:rsidR="00027552" w:rsidRPr="005322F7">
        <w:rPr>
          <w:rFonts w:ascii="Times New Roman" w:hAnsi="Times New Roman"/>
          <w:bCs/>
          <w:sz w:val="26"/>
          <w:szCs w:val="26"/>
        </w:rPr>
        <w:t xml:space="preserve">). W </w:t>
      </w:r>
      <w:r w:rsidRPr="005322F7">
        <w:rPr>
          <w:rFonts w:ascii="Times New Roman" w:hAnsi="Times New Roman"/>
          <w:bCs/>
          <w:sz w:val="26"/>
          <w:szCs w:val="26"/>
        </w:rPr>
        <w:t xml:space="preserve">art. </w:t>
      </w:r>
      <w:r w:rsidR="008311D8" w:rsidRPr="005322F7">
        <w:rPr>
          <w:rFonts w:ascii="Times New Roman" w:hAnsi="Times New Roman"/>
          <w:bCs/>
          <w:sz w:val="26"/>
          <w:szCs w:val="26"/>
        </w:rPr>
        <w:t>2</w:t>
      </w:r>
      <w:r w:rsidR="001110F0" w:rsidRPr="005322F7">
        <w:rPr>
          <w:rFonts w:ascii="Times New Roman" w:hAnsi="Times New Roman"/>
          <w:bCs/>
          <w:sz w:val="26"/>
          <w:szCs w:val="26"/>
        </w:rPr>
        <w:t>3</w:t>
      </w:r>
      <w:r w:rsidRPr="005322F7">
        <w:rPr>
          <w:rFonts w:ascii="Times New Roman" w:hAnsi="Times New Roman"/>
          <w:bCs/>
          <w:sz w:val="26"/>
          <w:szCs w:val="26"/>
        </w:rPr>
        <w:t xml:space="preserve"> projektu uregulowano obowiązek </w:t>
      </w:r>
      <w:r w:rsidR="00EC7546" w:rsidRPr="005322F7">
        <w:rPr>
          <w:rFonts w:ascii="Times New Roman" w:hAnsi="Times New Roman"/>
          <w:bCs/>
          <w:sz w:val="26"/>
          <w:szCs w:val="26"/>
        </w:rPr>
        <w:t xml:space="preserve">sędziego TK do </w:t>
      </w:r>
      <w:r w:rsidR="0092333A" w:rsidRPr="005322F7">
        <w:rPr>
          <w:rFonts w:ascii="Times New Roman" w:hAnsi="Times New Roman"/>
          <w:sz w:val="26"/>
          <w:szCs w:val="26"/>
        </w:rPr>
        <w:t>złożenia oświadczenia o swoim stanie majątkowym</w:t>
      </w:r>
      <w:r w:rsidRPr="005322F7">
        <w:rPr>
          <w:rFonts w:ascii="Times New Roman" w:hAnsi="Times New Roman"/>
          <w:sz w:val="26"/>
          <w:szCs w:val="26"/>
        </w:rPr>
        <w:t xml:space="preserve"> i wyznaczono obowiązki Prezesa TK w tym zakresie.</w:t>
      </w:r>
      <w:r w:rsidR="00300733" w:rsidRPr="005322F7">
        <w:rPr>
          <w:rFonts w:ascii="Times New Roman" w:hAnsi="Times New Roman"/>
          <w:sz w:val="26"/>
          <w:szCs w:val="26"/>
        </w:rPr>
        <w:t xml:space="preserve"> Przepis ten zakłada jawność oświadczeń majątkowych sędziów TK i obowiązek ich publikacji w Biuletynie Informacji Publicznej Trybunału Konstytucyjnego.</w:t>
      </w:r>
      <w:r w:rsidR="00946A5B" w:rsidRPr="005322F7">
        <w:rPr>
          <w:rFonts w:ascii="Times New Roman" w:hAnsi="Times New Roman"/>
          <w:sz w:val="26"/>
          <w:szCs w:val="26"/>
        </w:rPr>
        <w:t xml:space="preserve"> </w:t>
      </w:r>
      <w:r w:rsidR="000435F7" w:rsidRPr="005322F7">
        <w:rPr>
          <w:rFonts w:ascii="Times New Roman" w:hAnsi="Times New Roman"/>
          <w:sz w:val="26"/>
          <w:szCs w:val="26"/>
        </w:rPr>
        <w:t>Jest to element preferowania jawności życia osób pełniących wysokie funkcje publiczne.</w:t>
      </w:r>
    </w:p>
    <w:p w:rsidR="008937E5" w:rsidRPr="005322F7" w:rsidRDefault="008937E5" w:rsidP="008937E5">
      <w:pPr>
        <w:shd w:val="clear" w:color="auto" w:fill="FFFFFF"/>
        <w:ind w:firstLine="708"/>
        <w:jc w:val="both"/>
        <w:rPr>
          <w:rFonts w:ascii="Times New Roman" w:hAnsi="Times New Roman"/>
          <w:sz w:val="26"/>
          <w:szCs w:val="26"/>
        </w:rPr>
      </w:pPr>
      <w:r w:rsidRPr="005322F7">
        <w:rPr>
          <w:rFonts w:ascii="Times New Roman" w:hAnsi="Times New Roman"/>
          <w:sz w:val="26"/>
          <w:szCs w:val="26"/>
        </w:rPr>
        <w:t>Proponowane zmiany dotyczące jawności oświadczenia o działalności gospodarczej prowadzonej przez małżonka sędziego TK oraz jawności oświadczeń majątkowych, w tym obejmuj</w:t>
      </w:r>
      <w:r w:rsidR="00DC44FF" w:rsidRPr="005322F7">
        <w:rPr>
          <w:rFonts w:ascii="Times New Roman" w:hAnsi="Times New Roman"/>
          <w:sz w:val="26"/>
          <w:szCs w:val="26"/>
        </w:rPr>
        <w:t>ących własność odrębną sędziego oraz</w:t>
      </w:r>
      <w:r w:rsidRPr="005322F7">
        <w:rPr>
          <w:rFonts w:ascii="Times New Roman" w:hAnsi="Times New Roman"/>
          <w:sz w:val="26"/>
          <w:szCs w:val="26"/>
        </w:rPr>
        <w:t xml:space="preserve"> współwłasność małżeńską mają na celu zapobieganie zjawisku korupcji przez urealnienie i zaostrzenie istniejących już rozwiązań. Jawność oświadczeń</w:t>
      </w:r>
      <w:r w:rsidR="00095CEC" w:rsidRPr="005322F7">
        <w:rPr>
          <w:rFonts w:ascii="Times New Roman" w:hAnsi="Times New Roman"/>
          <w:sz w:val="26"/>
          <w:szCs w:val="26"/>
        </w:rPr>
        <w:t xml:space="preserve"> </w:t>
      </w:r>
      <w:r w:rsidRPr="005322F7">
        <w:rPr>
          <w:rFonts w:ascii="Times New Roman" w:hAnsi="Times New Roman"/>
          <w:sz w:val="26"/>
          <w:szCs w:val="26"/>
        </w:rPr>
        <w:t>majątkowych umożliwia ich skuteczniejszą kontrolę. W konsekwencji ma to zapewniać zgodne z prawem i interesem państwa działania sędziów TK, którzy są osobami pełniącymi funkcje publiczne. Działanie takie odpowiada standardom, które w tej kwestii wyznaczyło orzecznictwo TK.</w:t>
      </w:r>
    </w:p>
    <w:p w:rsidR="008937E5" w:rsidRPr="005322F7" w:rsidRDefault="008937E5" w:rsidP="008937E5">
      <w:pPr>
        <w:shd w:val="clear" w:color="auto" w:fill="FFFFFF"/>
        <w:ind w:firstLine="708"/>
        <w:jc w:val="both"/>
        <w:rPr>
          <w:rFonts w:ascii="Times New Roman" w:hAnsi="Times New Roman"/>
          <w:i/>
          <w:sz w:val="26"/>
          <w:szCs w:val="26"/>
        </w:rPr>
      </w:pPr>
      <w:r w:rsidRPr="005322F7">
        <w:rPr>
          <w:rFonts w:ascii="Times New Roman" w:hAnsi="Times New Roman"/>
          <w:sz w:val="26"/>
          <w:szCs w:val="26"/>
        </w:rPr>
        <w:t>Projektodawca jest świadomy, że obowiązek podania przez sędziów TK informacji o swoim stanie majątkowym i jego upublicznienie ingeruje w prawo do prywatności, obejmujące autonomię informacyjną. Należy jednak pamiętać, że art. 61 ust. 1 Konstytucji RP gwarantuje obywatelom prawo do uzyskiwania informacji o działalności organów władzy publicznej oraz osób pełniących funkcje publiczne. W wyroku z 8 października 2001 r., sygn. K 11/01 T</w:t>
      </w:r>
      <w:r w:rsidR="009C6D41" w:rsidRPr="005322F7">
        <w:rPr>
          <w:rFonts w:ascii="Times New Roman" w:hAnsi="Times New Roman"/>
          <w:sz w:val="26"/>
          <w:szCs w:val="26"/>
        </w:rPr>
        <w:t>rybunał</w:t>
      </w:r>
      <w:r w:rsidRPr="005322F7">
        <w:rPr>
          <w:rFonts w:ascii="Times New Roman" w:hAnsi="Times New Roman"/>
          <w:sz w:val="26"/>
          <w:szCs w:val="26"/>
        </w:rPr>
        <w:t xml:space="preserve"> podkreślił, że: </w:t>
      </w:r>
      <w:r w:rsidRPr="005322F7">
        <w:rPr>
          <w:rFonts w:ascii="Times New Roman" w:hAnsi="Times New Roman"/>
          <w:i/>
          <w:sz w:val="26"/>
          <w:szCs w:val="26"/>
        </w:rPr>
        <w:t>„ […] ustawodawca ma swobodę w ustalaniu zakresu ograniczeń dotyczących osób pełniących funkcje publiczne, które mogą być kształtowane w różnych okresach w odmienny sposób, z uwagi na nasilenie zjawisk korupcji i negatywną reakcję społeczną. Pozostawać one powinny w racjonalnym związku z interesem publicznym, któremu mają służyć, a ich zakres powinien być współmierny do rangi tego interesu. Ograniczeń nakładanych na osoby sprawujące funkcje publiczne nie można zatem rozpatrywać w kategoriach ograniczeń wolności i praw tych osób, lecz należy je traktować jako środek zapewnienia prawidłowego funkcjonowania instytucji publicznych”.</w:t>
      </w:r>
    </w:p>
    <w:p w:rsidR="008937E5" w:rsidRPr="005322F7" w:rsidRDefault="008937E5" w:rsidP="008937E5">
      <w:pPr>
        <w:shd w:val="clear" w:color="auto" w:fill="FFFFFF"/>
        <w:ind w:firstLine="708"/>
        <w:jc w:val="both"/>
        <w:rPr>
          <w:rFonts w:ascii="Times New Roman" w:hAnsi="Times New Roman"/>
          <w:sz w:val="26"/>
          <w:szCs w:val="26"/>
        </w:rPr>
      </w:pPr>
      <w:r w:rsidRPr="005322F7">
        <w:rPr>
          <w:rFonts w:ascii="Times New Roman" w:hAnsi="Times New Roman"/>
          <w:sz w:val="26"/>
          <w:szCs w:val="26"/>
        </w:rPr>
        <w:t>Prawo do prywatności nie ma charakteru absolutnego. Trybunał Konstytucyjny stwierdził, że</w:t>
      </w:r>
      <w:r w:rsidR="00095CEC" w:rsidRPr="005322F7">
        <w:rPr>
          <w:rFonts w:ascii="Times New Roman" w:hAnsi="Times New Roman"/>
          <w:sz w:val="26"/>
          <w:szCs w:val="26"/>
        </w:rPr>
        <w:t>:</w:t>
      </w:r>
      <w:r w:rsidRPr="005322F7">
        <w:rPr>
          <w:rFonts w:ascii="Times New Roman" w:hAnsi="Times New Roman"/>
          <w:sz w:val="26"/>
          <w:szCs w:val="26"/>
        </w:rPr>
        <w:t xml:space="preserve"> „</w:t>
      </w:r>
      <w:r w:rsidRPr="005322F7">
        <w:rPr>
          <w:rFonts w:ascii="Times New Roman" w:hAnsi="Times New Roman"/>
          <w:i/>
          <w:sz w:val="26"/>
          <w:szCs w:val="26"/>
        </w:rPr>
        <w:t>informacje dotyczące majątku i sfera ekonomiczna jednostki są niewątpliwie objęte prywatnością i autonomią informacyjną, jakkolwiek w tej sferze odnotować można łagodniejsze kryteria jej ograniczania, niż w wypadku sfery czysto osobistej”</w:t>
      </w:r>
      <w:r w:rsidRPr="005322F7">
        <w:rPr>
          <w:rFonts w:ascii="Times New Roman" w:hAnsi="Times New Roman"/>
          <w:sz w:val="26"/>
          <w:szCs w:val="26"/>
        </w:rPr>
        <w:t xml:space="preserve"> (wyrok z 20 listopada 2002 r., sygn. K 41/02</w:t>
      </w:r>
      <w:r w:rsidR="0011434F" w:rsidRPr="005322F7">
        <w:rPr>
          <w:rFonts w:ascii="Times New Roman" w:hAnsi="Times New Roman"/>
          <w:sz w:val="26"/>
          <w:szCs w:val="26"/>
        </w:rPr>
        <w:t>)</w:t>
      </w:r>
      <w:r w:rsidRPr="005322F7">
        <w:rPr>
          <w:rFonts w:ascii="Times New Roman" w:hAnsi="Times New Roman"/>
          <w:sz w:val="26"/>
          <w:szCs w:val="26"/>
        </w:rPr>
        <w:t xml:space="preserve">. </w:t>
      </w:r>
    </w:p>
    <w:p w:rsidR="008937E5" w:rsidRPr="005322F7" w:rsidRDefault="008937E5" w:rsidP="008937E5">
      <w:pPr>
        <w:shd w:val="clear" w:color="auto" w:fill="FFFFFF"/>
        <w:ind w:firstLine="708"/>
        <w:jc w:val="both"/>
        <w:rPr>
          <w:rFonts w:ascii="Times New Roman" w:hAnsi="Times New Roman"/>
          <w:sz w:val="26"/>
          <w:szCs w:val="26"/>
        </w:rPr>
      </w:pPr>
      <w:r w:rsidRPr="005322F7">
        <w:rPr>
          <w:rFonts w:ascii="Times New Roman" w:hAnsi="Times New Roman"/>
          <w:sz w:val="26"/>
          <w:szCs w:val="26"/>
        </w:rPr>
        <w:t xml:space="preserve">Przepisy antykorupcyjne mają na celu zapobieganie wikłaniu się osób piastujących funkcje publiczne w różne sytuacje, mogące podważać ich bezstronność i uczciwość, a w konsekwencji – podważać autorytet instytucji, w których pełnią oni funkcje. </w:t>
      </w:r>
      <w:r w:rsidR="0011434F" w:rsidRPr="005322F7">
        <w:rPr>
          <w:rFonts w:ascii="Times New Roman" w:hAnsi="Times New Roman"/>
          <w:sz w:val="26"/>
          <w:szCs w:val="26"/>
        </w:rPr>
        <w:t>Nie inaczej powinno być z sędziami TK.</w:t>
      </w:r>
    </w:p>
    <w:p w:rsidR="008937E5" w:rsidRPr="005322F7" w:rsidRDefault="008937E5" w:rsidP="008937E5">
      <w:pPr>
        <w:shd w:val="clear" w:color="auto" w:fill="FFFFFF"/>
        <w:ind w:firstLine="708"/>
        <w:jc w:val="both"/>
        <w:rPr>
          <w:rFonts w:ascii="Times New Roman" w:hAnsi="Times New Roman"/>
          <w:sz w:val="26"/>
          <w:szCs w:val="26"/>
        </w:rPr>
      </w:pPr>
      <w:r w:rsidRPr="005322F7">
        <w:rPr>
          <w:rFonts w:ascii="Times New Roman" w:hAnsi="Times New Roman"/>
          <w:sz w:val="26"/>
          <w:szCs w:val="26"/>
        </w:rPr>
        <w:t xml:space="preserve">W wyroku </w:t>
      </w:r>
      <w:r w:rsidR="0011434F" w:rsidRPr="005322F7">
        <w:rPr>
          <w:rFonts w:ascii="Times New Roman" w:hAnsi="Times New Roman"/>
          <w:sz w:val="26"/>
          <w:szCs w:val="26"/>
        </w:rPr>
        <w:t>z 13 lipca 2004 r., sy</w:t>
      </w:r>
      <w:r w:rsidRPr="005322F7">
        <w:rPr>
          <w:rFonts w:ascii="Times New Roman" w:hAnsi="Times New Roman"/>
          <w:sz w:val="26"/>
          <w:szCs w:val="26"/>
        </w:rPr>
        <w:t>gn. K 20/03</w:t>
      </w:r>
      <w:r w:rsidR="0011434F" w:rsidRPr="005322F7">
        <w:rPr>
          <w:rFonts w:ascii="Times New Roman" w:hAnsi="Times New Roman"/>
          <w:sz w:val="26"/>
          <w:szCs w:val="26"/>
        </w:rPr>
        <w:t>,</w:t>
      </w:r>
      <w:r w:rsidRPr="005322F7">
        <w:rPr>
          <w:rFonts w:ascii="Times New Roman" w:hAnsi="Times New Roman"/>
          <w:sz w:val="26"/>
          <w:szCs w:val="26"/>
        </w:rPr>
        <w:t xml:space="preserve"> TK uznał, że obowiązek składania oświadczeń o działalności gospodarczej prowadzonej przez małżonka oraz wstępnych, zstępnych i rodzeństwo funkcjonariuszy w zakresie, w jakim dotyczy małżonka, mieści się w granicach zasady proporcjonalności. Chodziło zatem o obowiązek mający konsekwencje dla małżonka funkcjonariusza publicznego.</w:t>
      </w:r>
    </w:p>
    <w:p w:rsidR="008937E5" w:rsidRPr="005322F7" w:rsidRDefault="0011434F" w:rsidP="008937E5">
      <w:pPr>
        <w:shd w:val="clear" w:color="auto" w:fill="FFFFFF"/>
        <w:ind w:firstLine="708"/>
        <w:jc w:val="both"/>
        <w:rPr>
          <w:rFonts w:ascii="Times New Roman" w:hAnsi="Times New Roman"/>
          <w:sz w:val="26"/>
          <w:szCs w:val="26"/>
        </w:rPr>
      </w:pPr>
      <w:r w:rsidRPr="005322F7">
        <w:rPr>
          <w:rFonts w:ascii="Times New Roman" w:hAnsi="Times New Roman"/>
          <w:sz w:val="26"/>
          <w:szCs w:val="26"/>
        </w:rPr>
        <w:t>Z kolei z uzasadnienia w</w:t>
      </w:r>
      <w:r w:rsidR="008937E5" w:rsidRPr="005322F7">
        <w:rPr>
          <w:rFonts w:ascii="Times New Roman" w:hAnsi="Times New Roman"/>
          <w:sz w:val="26"/>
          <w:szCs w:val="26"/>
        </w:rPr>
        <w:t xml:space="preserve">yroku </w:t>
      </w:r>
      <w:r w:rsidRPr="005322F7">
        <w:rPr>
          <w:rFonts w:ascii="Times New Roman" w:hAnsi="Times New Roman"/>
          <w:sz w:val="26"/>
          <w:szCs w:val="26"/>
        </w:rPr>
        <w:t xml:space="preserve">TK </w:t>
      </w:r>
      <w:r w:rsidR="008937E5" w:rsidRPr="005322F7">
        <w:rPr>
          <w:rFonts w:ascii="Times New Roman" w:hAnsi="Times New Roman"/>
          <w:sz w:val="26"/>
          <w:szCs w:val="26"/>
        </w:rPr>
        <w:t xml:space="preserve">z 21 października 1998 r., sygn. K 24/98 </w:t>
      </w:r>
      <w:r w:rsidRPr="005322F7">
        <w:rPr>
          <w:rFonts w:ascii="Times New Roman" w:hAnsi="Times New Roman"/>
          <w:sz w:val="26"/>
          <w:szCs w:val="26"/>
        </w:rPr>
        <w:t>wynika, że</w:t>
      </w:r>
      <w:r w:rsidR="008937E5" w:rsidRPr="005322F7">
        <w:rPr>
          <w:rFonts w:ascii="Times New Roman" w:hAnsi="Times New Roman"/>
          <w:sz w:val="26"/>
          <w:szCs w:val="26"/>
        </w:rPr>
        <w:t xml:space="preserve">: </w:t>
      </w:r>
      <w:r w:rsidR="008937E5" w:rsidRPr="005322F7">
        <w:rPr>
          <w:rFonts w:ascii="Times New Roman" w:hAnsi="Times New Roman"/>
          <w:i/>
          <w:sz w:val="26"/>
          <w:szCs w:val="26"/>
        </w:rPr>
        <w:t>„Żaden obywatel nie jest zobowiązany do ubiegania się ani do pełnienia funkcji publicznej, zaś znając następstwa tego faktu w postaci upublicznienia pewnego zakresu informacji, należących do sfery prywatności, podejmuje on samodzielną i świadomą decyzję, opartą na rachunku pozytywnych i negatywnych konsekwencji, wkalkulowując określone ograniczenia oraz dyskomfort związany z ingerencją w życie prywatne”</w:t>
      </w:r>
      <w:r w:rsidR="008937E5" w:rsidRPr="005322F7">
        <w:rPr>
          <w:rFonts w:ascii="Times New Roman" w:hAnsi="Times New Roman"/>
          <w:sz w:val="26"/>
          <w:szCs w:val="26"/>
        </w:rPr>
        <w:t>.</w:t>
      </w:r>
    </w:p>
    <w:p w:rsidR="008937E5" w:rsidRPr="005322F7" w:rsidRDefault="008937E5" w:rsidP="008937E5">
      <w:pPr>
        <w:shd w:val="clear" w:color="auto" w:fill="FFFFFF"/>
        <w:ind w:firstLine="708"/>
        <w:jc w:val="both"/>
        <w:rPr>
          <w:rFonts w:ascii="Times New Roman" w:hAnsi="Times New Roman"/>
          <w:sz w:val="26"/>
          <w:szCs w:val="26"/>
          <w:shd w:val="clear" w:color="auto" w:fill="FFFFFF"/>
        </w:rPr>
      </w:pPr>
      <w:r w:rsidRPr="005322F7">
        <w:rPr>
          <w:rFonts w:ascii="Times New Roman" w:hAnsi="Times New Roman"/>
          <w:sz w:val="26"/>
          <w:szCs w:val="26"/>
          <w:shd w:val="clear" w:color="auto" w:fill="FFFFFF"/>
        </w:rPr>
        <w:t xml:space="preserve">Stosownie do art. 47 Konstytucji, </w:t>
      </w:r>
      <w:r w:rsidRPr="005322F7">
        <w:rPr>
          <w:rFonts w:ascii="Times New Roman" w:hAnsi="Times New Roman"/>
          <w:i/>
          <w:sz w:val="26"/>
          <w:szCs w:val="26"/>
          <w:shd w:val="clear" w:color="auto" w:fill="FFFFFF"/>
        </w:rPr>
        <w:t>„Każdy ma prawo do ochrony prawnej życia prywatnego, rodzinnego, czci i dobrego imienia oraz do decydowania o swoim życiu osobistym”. Konsekwencją tego prawa jest gwarancja ustanowiona w art. 51 ust. 2 Konstytucji: „Władze publiczne nie mogą pozyskiwać, gromadzić i udostępniać innych informacji o obywatelach niż niezbędne w demokratycznym państwie prawnym”.</w:t>
      </w:r>
      <w:r w:rsidRPr="005322F7">
        <w:rPr>
          <w:rFonts w:ascii="Times New Roman" w:hAnsi="Times New Roman"/>
          <w:sz w:val="26"/>
          <w:szCs w:val="26"/>
          <w:shd w:val="clear" w:color="auto" w:fill="FFFFFF"/>
        </w:rPr>
        <w:t xml:space="preserve"> Przepisy Konstytucji gwarantują więc pewien stan niezależności, w ramach którego jednostka może decydować o zakresie i zasięgu udostępniania innym osobom informacji o swoim życiu.</w:t>
      </w:r>
    </w:p>
    <w:p w:rsidR="008937E5" w:rsidRPr="005322F7" w:rsidRDefault="00DC44FF" w:rsidP="006B26EB">
      <w:pPr>
        <w:spacing w:after="120"/>
        <w:ind w:firstLine="708"/>
        <w:jc w:val="both"/>
        <w:rPr>
          <w:rFonts w:ascii="Times New Roman" w:hAnsi="Times New Roman"/>
          <w:sz w:val="26"/>
          <w:szCs w:val="26"/>
        </w:rPr>
      </w:pPr>
      <w:r w:rsidRPr="005322F7">
        <w:rPr>
          <w:rFonts w:ascii="Times New Roman" w:hAnsi="Times New Roman"/>
          <w:sz w:val="26"/>
          <w:szCs w:val="26"/>
        </w:rPr>
        <w:t>Z</w:t>
      </w:r>
      <w:r w:rsidR="006D6FB7" w:rsidRPr="005322F7">
        <w:rPr>
          <w:rFonts w:ascii="Times New Roman" w:hAnsi="Times New Roman"/>
          <w:sz w:val="26"/>
          <w:szCs w:val="26"/>
        </w:rPr>
        <w:t xml:space="preserve"> powyższego wynika, że</w:t>
      </w:r>
      <w:r w:rsidR="008937E5" w:rsidRPr="005322F7">
        <w:rPr>
          <w:rFonts w:ascii="Times New Roman" w:hAnsi="Times New Roman"/>
          <w:sz w:val="26"/>
          <w:szCs w:val="26"/>
        </w:rPr>
        <w:t xml:space="preserve"> decydując się na kandydowanie na sędziego TK</w:t>
      </w:r>
      <w:r w:rsidR="006D6FB7" w:rsidRPr="005322F7">
        <w:rPr>
          <w:rFonts w:ascii="Times New Roman" w:hAnsi="Times New Roman"/>
          <w:sz w:val="26"/>
          <w:szCs w:val="26"/>
        </w:rPr>
        <w:t>, a następnie pełniąc urząd sędziego</w:t>
      </w:r>
      <w:r w:rsidR="008937E5" w:rsidRPr="005322F7">
        <w:rPr>
          <w:rFonts w:ascii="Times New Roman" w:hAnsi="Times New Roman"/>
          <w:sz w:val="26"/>
          <w:szCs w:val="26"/>
        </w:rPr>
        <w:t xml:space="preserve"> dana osoba godzi się na warunki ograniczające je</w:t>
      </w:r>
      <w:r w:rsidR="006D6FB7" w:rsidRPr="005322F7">
        <w:rPr>
          <w:rFonts w:ascii="Times New Roman" w:hAnsi="Times New Roman"/>
          <w:sz w:val="26"/>
          <w:szCs w:val="26"/>
        </w:rPr>
        <w:t>j</w:t>
      </w:r>
      <w:r w:rsidR="008937E5" w:rsidRPr="005322F7">
        <w:rPr>
          <w:rFonts w:ascii="Times New Roman" w:hAnsi="Times New Roman"/>
          <w:sz w:val="26"/>
          <w:szCs w:val="26"/>
        </w:rPr>
        <w:t xml:space="preserve"> prawo do życia prywatnego i rodzinnego. Przepisy nie nakładają tu arbitralnych obowiązków. Proponowane rozwiązanie jest realizacją takich wartości jak jawność i transparentność życia publicznego. Ma ona gwarantować rzetelne i bezstronne wykonywanie obowiązków </w:t>
      </w:r>
      <w:r w:rsidR="0011434F" w:rsidRPr="005322F7">
        <w:rPr>
          <w:rFonts w:ascii="Times New Roman" w:hAnsi="Times New Roman"/>
          <w:sz w:val="26"/>
          <w:szCs w:val="26"/>
        </w:rPr>
        <w:t>przez sędziów TK, a przez to realizacj</w:t>
      </w:r>
      <w:r w:rsidR="00095CEC" w:rsidRPr="005322F7">
        <w:rPr>
          <w:rFonts w:ascii="Times New Roman" w:hAnsi="Times New Roman"/>
          <w:sz w:val="26"/>
          <w:szCs w:val="26"/>
        </w:rPr>
        <w:t>ę</w:t>
      </w:r>
      <w:r w:rsidR="0011434F" w:rsidRPr="005322F7">
        <w:rPr>
          <w:rFonts w:ascii="Times New Roman" w:hAnsi="Times New Roman"/>
          <w:sz w:val="26"/>
          <w:szCs w:val="26"/>
        </w:rPr>
        <w:t xml:space="preserve"> konstytucyjnych kompetencji Trybunału jako niezależnego organu władzy sądowniczej.</w:t>
      </w:r>
    </w:p>
    <w:p w:rsidR="00A6680E" w:rsidRPr="005322F7" w:rsidRDefault="00A6680E" w:rsidP="006B26EB">
      <w:pPr>
        <w:spacing w:after="120"/>
        <w:ind w:firstLine="708"/>
        <w:jc w:val="both"/>
        <w:rPr>
          <w:rFonts w:ascii="Times New Roman" w:hAnsi="Times New Roman"/>
          <w:sz w:val="26"/>
          <w:szCs w:val="26"/>
        </w:rPr>
      </w:pPr>
      <w:r w:rsidRPr="005322F7">
        <w:rPr>
          <w:rFonts w:ascii="Times New Roman" w:hAnsi="Times New Roman"/>
          <w:sz w:val="26"/>
          <w:szCs w:val="26"/>
        </w:rPr>
        <w:t>Odmowa złożenia wskazanych oświadczeń jest równoznaczna ze zrzeczeniem się funkcji sędziego Trybunału.</w:t>
      </w:r>
      <w:r w:rsidR="00095CEC" w:rsidRPr="005322F7">
        <w:rPr>
          <w:rFonts w:ascii="Times New Roman" w:hAnsi="Times New Roman"/>
          <w:sz w:val="26"/>
          <w:szCs w:val="26"/>
        </w:rPr>
        <w:t xml:space="preserve"> Istnieje wię</w:t>
      </w:r>
      <w:r w:rsidR="003E3BCC" w:rsidRPr="005322F7">
        <w:rPr>
          <w:rFonts w:ascii="Times New Roman" w:hAnsi="Times New Roman"/>
          <w:sz w:val="26"/>
          <w:szCs w:val="26"/>
        </w:rPr>
        <w:t>c wybór.</w:t>
      </w:r>
    </w:p>
    <w:p w:rsidR="00027552" w:rsidRPr="005322F7" w:rsidRDefault="0011434F"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W</w:t>
      </w:r>
      <w:r w:rsidR="00027552" w:rsidRPr="005322F7">
        <w:rPr>
          <w:rFonts w:ascii="Times New Roman" w:hAnsi="Times New Roman"/>
          <w:sz w:val="26"/>
          <w:szCs w:val="26"/>
        </w:rPr>
        <w:t xml:space="preserve"> art. </w:t>
      </w:r>
      <w:r w:rsidR="008311D8" w:rsidRPr="005322F7">
        <w:rPr>
          <w:rFonts w:ascii="Times New Roman" w:hAnsi="Times New Roman"/>
          <w:sz w:val="26"/>
          <w:szCs w:val="26"/>
        </w:rPr>
        <w:t>2</w:t>
      </w:r>
      <w:r w:rsidR="001110F0" w:rsidRPr="005322F7">
        <w:rPr>
          <w:rFonts w:ascii="Times New Roman" w:hAnsi="Times New Roman"/>
          <w:sz w:val="26"/>
          <w:szCs w:val="26"/>
        </w:rPr>
        <w:t>4</w:t>
      </w:r>
      <w:r w:rsidRPr="005322F7">
        <w:rPr>
          <w:rFonts w:ascii="Times New Roman" w:hAnsi="Times New Roman"/>
          <w:sz w:val="26"/>
          <w:szCs w:val="26"/>
        </w:rPr>
        <w:t xml:space="preserve"> projektu</w:t>
      </w:r>
      <w:r w:rsidR="00027552" w:rsidRPr="005322F7">
        <w:rPr>
          <w:rFonts w:ascii="Times New Roman" w:hAnsi="Times New Roman"/>
          <w:sz w:val="26"/>
          <w:szCs w:val="26"/>
        </w:rPr>
        <w:t xml:space="preserve"> zawarto regulację odsyłającą do przepisów wykonawczych określających wzór formularza oświadczenia majątkowego, a w art. </w:t>
      </w:r>
      <w:r w:rsidR="008311D8" w:rsidRPr="005322F7">
        <w:rPr>
          <w:rFonts w:ascii="Times New Roman" w:hAnsi="Times New Roman"/>
          <w:sz w:val="26"/>
          <w:szCs w:val="26"/>
        </w:rPr>
        <w:t>2</w:t>
      </w:r>
      <w:r w:rsidR="001110F0" w:rsidRPr="005322F7">
        <w:rPr>
          <w:rFonts w:ascii="Times New Roman" w:hAnsi="Times New Roman"/>
          <w:sz w:val="26"/>
          <w:szCs w:val="26"/>
        </w:rPr>
        <w:t>5</w:t>
      </w:r>
      <w:r w:rsidR="00027552" w:rsidRPr="005322F7">
        <w:rPr>
          <w:rFonts w:ascii="Times New Roman" w:hAnsi="Times New Roman"/>
          <w:sz w:val="26"/>
          <w:szCs w:val="26"/>
        </w:rPr>
        <w:t xml:space="preserve"> projektu – przepis karny dotyczący odpowiedzialności karnej za złożenie fałsz</w:t>
      </w:r>
      <w:r w:rsidR="00CF57D9" w:rsidRPr="005322F7">
        <w:rPr>
          <w:rFonts w:ascii="Times New Roman" w:hAnsi="Times New Roman"/>
          <w:sz w:val="26"/>
          <w:szCs w:val="26"/>
        </w:rPr>
        <w:t>ywego oświadczenia majątkowego.</w:t>
      </w:r>
    </w:p>
    <w:p w:rsidR="00916679" w:rsidRPr="005322F7" w:rsidRDefault="00027552"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Należy podkreślić, że wyżej wymienione przepisy zostały recypowane z ustawy z 21 sierpnia 1997 r. o ograniczeniu prowadzenia działalności gospodarczej przez osoby pełniące funkcje publiczne. W dotychczasowym stanie prawnym to właśnie ta ustawa regulowała zagadnienia związane z obowiązkami sędziów TK dotyczącymi oświadczeń majątkowych i zakazów prowadzenia działalności gospodarczej. Projektodawca uznał, że w związku z tworzeniem kompleksowej ustawy o statusie sędziów TK, te kwestie również powinny być uregulowane w projektowanej ustawie. Dzięki temu zagadnienia związane z pozycja prawną sędziów TK będą określone w jednym akcie normatywnym i nie będzie konieczności stosowania </w:t>
      </w:r>
      <w:r w:rsidR="008311D8" w:rsidRPr="005322F7">
        <w:rPr>
          <w:rFonts w:ascii="Times New Roman" w:hAnsi="Times New Roman"/>
          <w:sz w:val="26"/>
          <w:szCs w:val="26"/>
        </w:rPr>
        <w:t xml:space="preserve">zbędnych </w:t>
      </w:r>
      <w:r w:rsidRPr="005322F7">
        <w:rPr>
          <w:rFonts w:ascii="Times New Roman" w:hAnsi="Times New Roman"/>
          <w:sz w:val="26"/>
          <w:szCs w:val="26"/>
        </w:rPr>
        <w:t>odesłań. Ma to tym większe znaczenie, że dotychczasowe przepisy ustawy z 21 sierpnia 1997 r. o ograniczeniu prowadzenia działalności gospodarczej przez osoby pełniące funkcje publiczne, które obejmowały także sędziów Trybunału nie uwzględniały charakteru funkcji sędziego konstytucyjnego.</w:t>
      </w:r>
      <w:r w:rsidR="008311D8" w:rsidRPr="005322F7">
        <w:rPr>
          <w:rFonts w:ascii="Times New Roman" w:hAnsi="Times New Roman"/>
          <w:sz w:val="26"/>
          <w:szCs w:val="26"/>
        </w:rPr>
        <w:t xml:space="preserve"> </w:t>
      </w:r>
    </w:p>
    <w:p w:rsidR="003C78A9" w:rsidRPr="005322F7" w:rsidRDefault="008937E5" w:rsidP="003C78A9">
      <w:pPr>
        <w:spacing w:before="120" w:after="120"/>
        <w:ind w:firstLine="708"/>
        <w:jc w:val="both"/>
        <w:rPr>
          <w:rFonts w:ascii="Times New Roman" w:hAnsi="Times New Roman"/>
          <w:sz w:val="26"/>
          <w:szCs w:val="26"/>
        </w:rPr>
      </w:pPr>
      <w:r w:rsidRPr="005322F7">
        <w:rPr>
          <w:rFonts w:ascii="Times New Roman" w:hAnsi="Times New Roman"/>
          <w:sz w:val="26"/>
          <w:szCs w:val="26"/>
        </w:rPr>
        <w:t>Co ciekawe</w:t>
      </w:r>
      <w:r w:rsidR="003C78A9" w:rsidRPr="005322F7">
        <w:rPr>
          <w:rFonts w:ascii="Times New Roman" w:hAnsi="Times New Roman"/>
          <w:sz w:val="26"/>
          <w:szCs w:val="26"/>
        </w:rPr>
        <w:t xml:space="preserve">, ustawa z 21 sierpnia 1997 r. nie objęła swoją regulacją sędziów Sądu Najwyższego. W odniesieniu do tych sędziów ograniczenia dotyczące prowadzania przez nich działalności gospodarczej oraz wymogi związane ze składaniem oświadczeń majątkowych określono w ustawie o Sądzie Najwyższym oraz ustawie – Prawo o ustroju sądów powszechnych. </w:t>
      </w:r>
    </w:p>
    <w:p w:rsidR="003C78A9" w:rsidRPr="005322F7" w:rsidRDefault="003C78A9" w:rsidP="003C78A9">
      <w:pPr>
        <w:spacing w:before="120" w:after="120"/>
        <w:ind w:firstLine="708"/>
        <w:jc w:val="both"/>
        <w:rPr>
          <w:rFonts w:ascii="Times New Roman" w:hAnsi="Times New Roman"/>
          <w:sz w:val="26"/>
          <w:szCs w:val="26"/>
        </w:rPr>
      </w:pPr>
      <w:r w:rsidRPr="005322F7">
        <w:rPr>
          <w:rFonts w:ascii="Times New Roman" w:hAnsi="Times New Roman"/>
          <w:sz w:val="26"/>
          <w:szCs w:val="26"/>
        </w:rPr>
        <w:t>Grupa posłów uznała, że treść przepisów dotyczących określonych zakazów prowadzenia działalności gospodarczej przez sędziów wynikająca z ustawy o Sądzie Najwyższym lepiej uwzględnia charakter statusu tych podmiotów. Z tego względu art. 20 projektu ustawy powtarza rozwiązania zawarte w ustawie o SN w zakresie dotyczącym zakazów prowadzenia działalności gospodarczej przez sędziów. W ten sposób lepiej gwarantowana jest niezawisłość sędziowska.</w:t>
      </w:r>
    </w:p>
    <w:p w:rsidR="008730F8" w:rsidRPr="005322F7" w:rsidRDefault="0011434F" w:rsidP="0011434F">
      <w:pPr>
        <w:spacing w:before="120" w:after="120"/>
        <w:ind w:firstLine="708"/>
        <w:jc w:val="both"/>
        <w:rPr>
          <w:rFonts w:ascii="Times New Roman" w:hAnsi="Times New Roman"/>
          <w:b/>
          <w:bCs/>
          <w:sz w:val="26"/>
          <w:szCs w:val="26"/>
        </w:rPr>
      </w:pPr>
      <w:r w:rsidRPr="005322F7">
        <w:rPr>
          <w:rFonts w:ascii="Times New Roman" w:hAnsi="Times New Roman"/>
          <w:sz w:val="26"/>
          <w:szCs w:val="26"/>
        </w:rPr>
        <w:t>W art. 20 ust. 3 projektu grupa posłów zaproponowała, by zyski z tytułu posiadania akcji lub udziałów w spółce prawa handlowego, sędzia Trybunału przekaz</w:t>
      </w:r>
      <w:r w:rsidR="00D912F2" w:rsidRPr="005322F7">
        <w:rPr>
          <w:rFonts w:ascii="Times New Roman" w:hAnsi="Times New Roman"/>
          <w:sz w:val="26"/>
          <w:szCs w:val="26"/>
        </w:rPr>
        <w:t>ywał</w:t>
      </w:r>
      <w:r w:rsidRPr="005322F7">
        <w:rPr>
          <w:rFonts w:ascii="Times New Roman" w:hAnsi="Times New Roman"/>
          <w:sz w:val="26"/>
          <w:szCs w:val="26"/>
        </w:rPr>
        <w:t xml:space="preserve"> na wskazane przez siebie cele publiczne w terminie do 31 marca roku następującego po roku, w którym je uzyskał. </w:t>
      </w:r>
      <w:r w:rsidR="00D912F2" w:rsidRPr="005322F7">
        <w:rPr>
          <w:rFonts w:ascii="Times New Roman" w:hAnsi="Times New Roman"/>
          <w:sz w:val="26"/>
          <w:szCs w:val="26"/>
        </w:rPr>
        <w:t>B</w:t>
      </w:r>
      <w:r w:rsidRPr="005322F7">
        <w:rPr>
          <w:rFonts w:ascii="Times New Roman" w:hAnsi="Times New Roman"/>
          <w:sz w:val="26"/>
          <w:szCs w:val="26"/>
        </w:rPr>
        <w:t>rak realizacji tego obowiązku jest równoznaczny ze zrzeczeniem się przez sędziego Trybunału urzędu.</w:t>
      </w:r>
      <w:r w:rsidR="008730F8" w:rsidRPr="005322F7">
        <w:rPr>
          <w:rFonts w:ascii="Times New Roman" w:hAnsi="Times New Roman"/>
          <w:sz w:val="26"/>
          <w:szCs w:val="26"/>
        </w:rPr>
        <w:t xml:space="preserve"> Ma to być wyrazem współuczestnictwa sędziów TK w realizacji dobra wspólnego</w:t>
      </w:r>
      <w:r w:rsidR="003F2B3D" w:rsidRPr="005322F7">
        <w:rPr>
          <w:rFonts w:ascii="Times New Roman" w:hAnsi="Times New Roman"/>
          <w:sz w:val="26"/>
          <w:szCs w:val="26"/>
        </w:rPr>
        <w:t>, a także zapobiegać pokusie kierowania się dobrem prywatnym w sytuacji potencjalnej kolizji interesów spółki, której akcje sędzia posiada i interesu państwa i obywateli</w:t>
      </w:r>
      <w:r w:rsidR="008730F8" w:rsidRPr="005322F7">
        <w:rPr>
          <w:rFonts w:ascii="Times New Roman" w:hAnsi="Times New Roman"/>
          <w:sz w:val="26"/>
          <w:szCs w:val="26"/>
        </w:rPr>
        <w:t>.</w:t>
      </w:r>
      <w:r w:rsidR="00AC157A" w:rsidRPr="005322F7">
        <w:rPr>
          <w:rFonts w:ascii="Times New Roman" w:hAnsi="Times New Roman"/>
          <w:sz w:val="26"/>
          <w:szCs w:val="26"/>
        </w:rPr>
        <w:t xml:space="preserve"> Odmowa przekazania oznacza zrzeczenie się urzędu.</w:t>
      </w:r>
    </w:p>
    <w:p w:rsidR="0092333A" w:rsidRPr="005322F7" w:rsidRDefault="00C1625E"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P</w:t>
      </w:r>
      <w:r w:rsidR="00787167" w:rsidRPr="005322F7">
        <w:rPr>
          <w:rFonts w:ascii="Times New Roman" w:hAnsi="Times New Roman"/>
          <w:sz w:val="26"/>
          <w:szCs w:val="26"/>
        </w:rPr>
        <w:t>rojektodawca określił również zasady wygaśnięcia mandatu sędzieg</w:t>
      </w:r>
      <w:r w:rsidR="005D1117" w:rsidRPr="005322F7">
        <w:rPr>
          <w:rFonts w:ascii="Times New Roman" w:hAnsi="Times New Roman"/>
          <w:sz w:val="26"/>
          <w:szCs w:val="26"/>
        </w:rPr>
        <w:t xml:space="preserve">o przed upływem kadencji. Art. </w:t>
      </w:r>
      <w:r w:rsidR="00FC11C3" w:rsidRPr="005322F7">
        <w:rPr>
          <w:rFonts w:ascii="Times New Roman" w:hAnsi="Times New Roman"/>
          <w:sz w:val="26"/>
          <w:szCs w:val="26"/>
        </w:rPr>
        <w:t>2</w:t>
      </w:r>
      <w:r w:rsidR="005E2784" w:rsidRPr="005322F7">
        <w:rPr>
          <w:rFonts w:ascii="Times New Roman" w:hAnsi="Times New Roman"/>
          <w:sz w:val="26"/>
          <w:szCs w:val="26"/>
        </w:rPr>
        <w:t>6</w:t>
      </w:r>
      <w:r w:rsidR="00787167" w:rsidRPr="005322F7">
        <w:rPr>
          <w:rFonts w:ascii="Times New Roman" w:hAnsi="Times New Roman"/>
          <w:sz w:val="26"/>
          <w:szCs w:val="26"/>
        </w:rPr>
        <w:t xml:space="preserve"> ust. 1 projektu s</w:t>
      </w:r>
      <w:r w:rsidR="00300733" w:rsidRPr="005322F7">
        <w:rPr>
          <w:rFonts w:ascii="Times New Roman" w:hAnsi="Times New Roman"/>
          <w:sz w:val="26"/>
          <w:szCs w:val="26"/>
        </w:rPr>
        <w:t xml:space="preserve">tanowi, że </w:t>
      </w:r>
      <w:r w:rsidR="0092333A" w:rsidRPr="005322F7">
        <w:rPr>
          <w:rFonts w:ascii="Times New Roman" w:hAnsi="Times New Roman"/>
          <w:sz w:val="26"/>
          <w:szCs w:val="26"/>
        </w:rPr>
        <w:t xml:space="preserve">następuje </w:t>
      </w:r>
      <w:r w:rsidR="00300733" w:rsidRPr="005322F7">
        <w:rPr>
          <w:rFonts w:ascii="Times New Roman" w:hAnsi="Times New Roman"/>
          <w:sz w:val="26"/>
          <w:szCs w:val="26"/>
        </w:rPr>
        <w:t xml:space="preserve">to </w:t>
      </w:r>
      <w:r w:rsidR="0092333A" w:rsidRPr="005322F7">
        <w:rPr>
          <w:rFonts w:ascii="Times New Roman" w:hAnsi="Times New Roman"/>
          <w:sz w:val="26"/>
          <w:szCs w:val="26"/>
        </w:rPr>
        <w:t>w przypadku:</w:t>
      </w:r>
      <w:r w:rsidR="00787167" w:rsidRPr="005322F7">
        <w:rPr>
          <w:rFonts w:ascii="Times New Roman" w:hAnsi="Times New Roman"/>
          <w:sz w:val="26"/>
          <w:szCs w:val="26"/>
        </w:rPr>
        <w:t xml:space="preserve"> </w:t>
      </w:r>
      <w:r w:rsidR="0092333A" w:rsidRPr="005322F7">
        <w:rPr>
          <w:rFonts w:ascii="Times New Roman" w:hAnsi="Times New Roman"/>
          <w:sz w:val="26"/>
          <w:szCs w:val="26"/>
        </w:rPr>
        <w:t>1)</w:t>
      </w:r>
      <w:r w:rsidR="00787167" w:rsidRPr="005322F7">
        <w:rPr>
          <w:rFonts w:ascii="Times New Roman" w:hAnsi="Times New Roman"/>
          <w:sz w:val="26"/>
          <w:szCs w:val="26"/>
        </w:rPr>
        <w:t xml:space="preserve"> </w:t>
      </w:r>
      <w:r w:rsidR="0092333A" w:rsidRPr="005322F7">
        <w:rPr>
          <w:rFonts w:ascii="Times New Roman" w:hAnsi="Times New Roman"/>
          <w:sz w:val="26"/>
          <w:szCs w:val="26"/>
        </w:rPr>
        <w:t>śmierci sędziego Trybunału;</w:t>
      </w:r>
      <w:r w:rsidR="00787167" w:rsidRPr="005322F7">
        <w:rPr>
          <w:rFonts w:ascii="Times New Roman" w:hAnsi="Times New Roman"/>
          <w:sz w:val="26"/>
          <w:szCs w:val="26"/>
        </w:rPr>
        <w:t xml:space="preserve"> 2) </w:t>
      </w:r>
      <w:r w:rsidR="0092333A" w:rsidRPr="005322F7">
        <w:rPr>
          <w:rFonts w:ascii="Times New Roman" w:hAnsi="Times New Roman"/>
          <w:sz w:val="26"/>
          <w:szCs w:val="26"/>
        </w:rPr>
        <w:t>zrzeczenia się przez sędziego Trybunału urzędu;</w:t>
      </w:r>
      <w:r w:rsidR="00075816" w:rsidRPr="005322F7">
        <w:rPr>
          <w:rFonts w:ascii="Times New Roman" w:hAnsi="Times New Roman"/>
          <w:sz w:val="26"/>
          <w:szCs w:val="26"/>
        </w:rPr>
        <w:t xml:space="preserve"> </w:t>
      </w:r>
      <w:r w:rsidR="00776636" w:rsidRPr="005322F7">
        <w:rPr>
          <w:rFonts w:ascii="Times New Roman" w:hAnsi="Times New Roman"/>
          <w:sz w:val="26"/>
          <w:szCs w:val="26"/>
        </w:rPr>
        <w:t>3</w:t>
      </w:r>
      <w:r w:rsidR="0092333A" w:rsidRPr="005322F7">
        <w:rPr>
          <w:rFonts w:ascii="Times New Roman" w:hAnsi="Times New Roman"/>
          <w:sz w:val="26"/>
          <w:szCs w:val="26"/>
        </w:rPr>
        <w:t>)</w:t>
      </w:r>
      <w:r w:rsidR="00787167" w:rsidRPr="005322F7">
        <w:rPr>
          <w:rFonts w:ascii="Times New Roman" w:hAnsi="Times New Roman"/>
          <w:sz w:val="26"/>
          <w:szCs w:val="26"/>
        </w:rPr>
        <w:t xml:space="preserve"> </w:t>
      </w:r>
      <w:r w:rsidR="0092333A" w:rsidRPr="005322F7">
        <w:rPr>
          <w:rFonts w:ascii="Times New Roman" w:hAnsi="Times New Roman"/>
          <w:sz w:val="26"/>
          <w:szCs w:val="26"/>
        </w:rPr>
        <w:t>skazania sędziego Trybunału prawomocnym wyrokiem sądu za przestępstwo umyślne ścigane z oskarżenia publicznego lub umyślne przestępstwo skarbowe;</w:t>
      </w:r>
      <w:r w:rsidR="00787167" w:rsidRPr="005322F7">
        <w:rPr>
          <w:rFonts w:ascii="Times New Roman" w:hAnsi="Times New Roman"/>
          <w:sz w:val="26"/>
          <w:szCs w:val="26"/>
        </w:rPr>
        <w:t xml:space="preserve"> </w:t>
      </w:r>
      <w:r w:rsidR="00776636" w:rsidRPr="005322F7">
        <w:rPr>
          <w:rFonts w:ascii="Times New Roman" w:hAnsi="Times New Roman"/>
          <w:sz w:val="26"/>
          <w:szCs w:val="26"/>
        </w:rPr>
        <w:t>4</w:t>
      </w:r>
      <w:r w:rsidR="0092333A" w:rsidRPr="005322F7">
        <w:rPr>
          <w:rFonts w:ascii="Times New Roman" w:hAnsi="Times New Roman"/>
          <w:sz w:val="26"/>
          <w:szCs w:val="26"/>
        </w:rPr>
        <w:t>)</w:t>
      </w:r>
      <w:r w:rsidR="00787167" w:rsidRPr="005322F7">
        <w:rPr>
          <w:rFonts w:ascii="Times New Roman" w:hAnsi="Times New Roman"/>
          <w:sz w:val="26"/>
          <w:szCs w:val="26"/>
        </w:rPr>
        <w:t xml:space="preserve"> </w:t>
      </w:r>
      <w:r w:rsidR="0092333A" w:rsidRPr="005322F7">
        <w:rPr>
          <w:rFonts w:ascii="Times New Roman" w:hAnsi="Times New Roman"/>
          <w:sz w:val="26"/>
          <w:szCs w:val="26"/>
        </w:rPr>
        <w:t>prawomocnego orzeczenia o złożeniu sędziego Trybunału z urzędu.</w:t>
      </w:r>
    </w:p>
    <w:p w:rsidR="00787167" w:rsidRPr="005322F7" w:rsidRDefault="005D1117"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W ust. 2 art. 2</w:t>
      </w:r>
      <w:r w:rsidR="005E2784" w:rsidRPr="005322F7">
        <w:rPr>
          <w:rFonts w:ascii="Times New Roman" w:hAnsi="Times New Roman"/>
          <w:sz w:val="26"/>
          <w:szCs w:val="26"/>
        </w:rPr>
        <w:t>6</w:t>
      </w:r>
      <w:r w:rsidR="00776636" w:rsidRPr="005322F7">
        <w:rPr>
          <w:rFonts w:ascii="Times New Roman" w:hAnsi="Times New Roman"/>
          <w:sz w:val="26"/>
          <w:szCs w:val="26"/>
        </w:rPr>
        <w:t xml:space="preserve"> </w:t>
      </w:r>
      <w:r w:rsidR="00787167" w:rsidRPr="005322F7">
        <w:rPr>
          <w:rFonts w:ascii="Times New Roman" w:hAnsi="Times New Roman"/>
          <w:sz w:val="26"/>
          <w:szCs w:val="26"/>
        </w:rPr>
        <w:t>określono organy uprawnione do stwierdzenia wygaśnięcia mandatu.</w:t>
      </w:r>
      <w:r w:rsidR="00FC11C3" w:rsidRPr="005322F7">
        <w:rPr>
          <w:rFonts w:ascii="Times New Roman" w:hAnsi="Times New Roman"/>
          <w:sz w:val="26"/>
          <w:szCs w:val="26"/>
        </w:rPr>
        <w:t xml:space="preserve"> </w:t>
      </w:r>
    </w:p>
    <w:p w:rsidR="002D0FCE" w:rsidRPr="005322F7" w:rsidRDefault="005D1117" w:rsidP="00E177FA">
      <w:pPr>
        <w:spacing w:before="120" w:after="120"/>
        <w:ind w:firstLine="708"/>
        <w:jc w:val="both"/>
        <w:rPr>
          <w:rFonts w:ascii="Times New Roman" w:hAnsi="Times New Roman"/>
          <w:sz w:val="26"/>
          <w:szCs w:val="26"/>
        </w:rPr>
      </w:pPr>
      <w:r w:rsidRPr="005322F7">
        <w:rPr>
          <w:rFonts w:ascii="Times New Roman" w:hAnsi="Times New Roman"/>
          <w:bCs/>
          <w:sz w:val="26"/>
          <w:szCs w:val="26"/>
        </w:rPr>
        <w:t xml:space="preserve">W odrębnym rozdziale (czwartym) projektodawca zaproponował przepisy dotyczące stanu spoczynku. </w:t>
      </w:r>
      <w:r w:rsidR="00AC23EB" w:rsidRPr="005322F7">
        <w:rPr>
          <w:rFonts w:ascii="Times New Roman" w:hAnsi="Times New Roman"/>
          <w:bCs/>
          <w:sz w:val="26"/>
          <w:szCs w:val="26"/>
        </w:rPr>
        <w:t>Utrzymano zasadę, zgodnie z którą s</w:t>
      </w:r>
      <w:r w:rsidR="0092333A" w:rsidRPr="005322F7">
        <w:rPr>
          <w:rFonts w:ascii="Times New Roman" w:hAnsi="Times New Roman"/>
          <w:sz w:val="26"/>
          <w:szCs w:val="26"/>
        </w:rPr>
        <w:t xml:space="preserve">ędzia Trybunału przechodzi w stan spoczynku po zakończeniu kadencji </w:t>
      </w:r>
      <w:r w:rsidR="00AC23EB" w:rsidRPr="005322F7">
        <w:rPr>
          <w:rFonts w:ascii="Times New Roman" w:hAnsi="Times New Roman"/>
          <w:sz w:val="26"/>
          <w:szCs w:val="26"/>
        </w:rPr>
        <w:t xml:space="preserve">(art. </w:t>
      </w:r>
      <w:r w:rsidRPr="005322F7">
        <w:rPr>
          <w:rFonts w:ascii="Times New Roman" w:hAnsi="Times New Roman"/>
          <w:sz w:val="26"/>
          <w:szCs w:val="26"/>
        </w:rPr>
        <w:t>2</w:t>
      </w:r>
      <w:r w:rsidR="001110F0" w:rsidRPr="005322F7">
        <w:rPr>
          <w:rFonts w:ascii="Times New Roman" w:hAnsi="Times New Roman"/>
          <w:sz w:val="26"/>
          <w:szCs w:val="26"/>
        </w:rPr>
        <w:t>7</w:t>
      </w:r>
      <w:r w:rsidR="00AC23EB" w:rsidRPr="005322F7">
        <w:rPr>
          <w:rFonts w:ascii="Times New Roman" w:hAnsi="Times New Roman"/>
          <w:sz w:val="26"/>
          <w:szCs w:val="26"/>
        </w:rPr>
        <w:t xml:space="preserve"> ust. 1). </w:t>
      </w:r>
      <w:r w:rsidR="002D0FCE" w:rsidRPr="005322F7">
        <w:rPr>
          <w:rFonts w:ascii="Times New Roman" w:hAnsi="Times New Roman"/>
          <w:sz w:val="26"/>
          <w:szCs w:val="26"/>
        </w:rPr>
        <w:t>Projektodawca poczynił jednak w tym zakresie dodatkowe zastrzeżenie.</w:t>
      </w:r>
    </w:p>
    <w:p w:rsidR="00F31D46" w:rsidRPr="005322F7" w:rsidRDefault="002D0FCE"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Wzorem rozwiązań z ustawy o Sądzie Najwyższym projektodawca wprowadził wymóg </w:t>
      </w:r>
      <w:r w:rsidRPr="005322F7">
        <w:rPr>
          <w:rFonts w:ascii="Times New Roman" w:hAnsi="Times New Roman"/>
          <w:bCs/>
          <w:sz w:val="26"/>
          <w:szCs w:val="26"/>
        </w:rPr>
        <w:t xml:space="preserve">złożenia Prezesowi Trybunału zaświadczenia na 6 miesięcy przed ukończeniem 70 roku życia przez sędziego TK, że jest on zdolny ze względu na stan zdrowia do pełnienia obowiązków sędziego (art. </w:t>
      </w:r>
      <w:r w:rsidR="005D1117" w:rsidRPr="005322F7">
        <w:rPr>
          <w:rFonts w:ascii="Times New Roman" w:hAnsi="Times New Roman"/>
          <w:bCs/>
          <w:sz w:val="26"/>
          <w:szCs w:val="26"/>
        </w:rPr>
        <w:t>2</w:t>
      </w:r>
      <w:r w:rsidR="001110F0" w:rsidRPr="005322F7">
        <w:rPr>
          <w:rFonts w:ascii="Times New Roman" w:hAnsi="Times New Roman"/>
          <w:bCs/>
          <w:sz w:val="26"/>
          <w:szCs w:val="26"/>
        </w:rPr>
        <w:t>7</w:t>
      </w:r>
      <w:r w:rsidRPr="005322F7">
        <w:rPr>
          <w:rFonts w:ascii="Times New Roman" w:hAnsi="Times New Roman"/>
          <w:bCs/>
          <w:sz w:val="26"/>
          <w:szCs w:val="26"/>
        </w:rPr>
        <w:t xml:space="preserve"> ust. 2). </w:t>
      </w:r>
      <w:r w:rsidRPr="005322F7">
        <w:rPr>
          <w:rFonts w:ascii="Times New Roman" w:hAnsi="Times New Roman"/>
          <w:sz w:val="26"/>
          <w:szCs w:val="26"/>
        </w:rPr>
        <w:t>Zaświadczenie takie sędzia Trybunału po ukończeniu 70 roku życia ma obowiązek przedstawiać Prezesowi Trybunału co roku, do dnia 31 stycznia, do ukończenia kadencji.</w:t>
      </w:r>
      <w:r w:rsidR="00214212" w:rsidRPr="005322F7">
        <w:rPr>
          <w:rFonts w:ascii="Times New Roman" w:hAnsi="Times New Roman"/>
          <w:sz w:val="26"/>
          <w:szCs w:val="26"/>
        </w:rPr>
        <w:t xml:space="preserve"> Jeśli kandydat na sędziego TK ma posiadać właściwości takie jak sędzia SN, to należy uznać, że obowiązek ten dotyczy nie tylko momentu wyboru, ale także całej kadencji. Chodzi tu także o legitymowanie się odpowiednim stanem zdrowia. </w:t>
      </w:r>
    </w:p>
    <w:p w:rsidR="002D0FCE" w:rsidRPr="005322F7" w:rsidRDefault="0000125E"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Projektodawca </w:t>
      </w:r>
      <w:r w:rsidR="00F31D46" w:rsidRPr="005322F7">
        <w:rPr>
          <w:rFonts w:ascii="Times New Roman" w:hAnsi="Times New Roman"/>
          <w:sz w:val="26"/>
          <w:szCs w:val="26"/>
        </w:rPr>
        <w:t>dopuszcza pełnienie funkcji sędziego Trybunału przez osoby w wieku tradycyjnie uznawanym w państwach demokratycznych za wiek emerytalny. Wynika to z faktu, że obok wiedzy prawniczej, cennym elementem dla sędziego Trybunału jest doświadczenie życiowe. Jednak w interesie Państwa Polskiego, Trybunału Konstytucyjnego, jak i samego sędziego Trybunału jest, aby były to osoby zdrowe</w:t>
      </w:r>
      <w:r w:rsidR="00E30CD2" w:rsidRPr="005322F7">
        <w:rPr>
          <w:rFonts w:ascii="Times New Roman" w:hAnsi="Times New Roman"/>
          <w:sz w:val="26"/>
          <w:szCs w:val="26"/>
        </w:rPr>
        <w:t xml:space="preserve">, będące w stanie pełnić swą funkcję. </w:t>
      </w:r>
    </w:p>
    <w:p w:rsidR="00E25E27" w:rsidRPr="005322F7" w:rsidRDefault="00F31D46" w:rsidP="00214212">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Wobec powyższego </w:t>
      </w:r>
      <w:r w:rsidR="0000125E" w:rsidRPr="005322F7">
        <w:rPr>
          <w:rFonts w:ascii="Times New Roman" w:hAnsi="Times New Roman"/>
          <w:sz w:val="26"/>
          <w:szCs w:val="26"/>
        </w:rPr>
        <w:t>projektodawca</w:t>
      </w:r>
      <w:r w:rsidRPr="005322F7">
        <w:rPr>
          <w:rFonts w:ascii="Times New Roman" w:hAnsi="Times New Roman"/>
          <w:sz w:val="26"/>
          <w:szCs w:val="26"/>
        </w:rPr>
        <w:t xml:space="preserve"> </w:t>
      </w:r>
      <w:r w:rsidR="00E30CD2" w:rsidRPr="005322F7">
        <w:rPr>
          <w:rFonts w:ascii="Times New Roman" w:hAnsi="Times New Roman"/>
          <w:sz w:val="26"/>
          <w:szCs w:val="26"/>
        </w:rPr>
        <w:t xml:space="preserve">określa moment, w którym </w:t>
      </w:r>
      <w:r w:rsidRPr="005322F7">
        <w:rPr>
          <w:rFonts w:ascii="Times New Roman" w:hAnsi="Times New Roman"/>
          <w:sz w:val="26"/>
          <w:szCs w:val="26"/>
        </w:rPr>
        <w:t>oczekuje udokumentowania stanu zdrowia. Ponieważ nie może przerwać kadencji wprost w sytuacji</w:t>
      </w:r>
      <w:r w:rsidR="0000125E" w:rsidRPr="005322F7">
        <w:rPr>
          <w:rFonts w:ascii="Times New Roman" w:hAnsi="Times New Roman"/>
          <w:sz w:val="26"/>
          <w:szCs w:val="26"/>
        </w:rPr>
        <w:t>,</w:t>
      </w:r>
      <w:r w:rsidRPr="005322F7">
        <w:rPr>
          <w:rFonts w:ascii="Times New Roman" w:hAnsi="Times New Roman"/>
          <w:sz w:val="26"/>
          <w:szCs w:val="26"/>
        </w:rPr>
        <w:t xml:space="preserve"> jeśli sędzia odmówi złożenia zaświadczenia, musi stworzyć instrument, aby zabezpieczyć to oczekiwanie. Dlatego n</w:t>
      </w:r>
      <w:r w:rsidR="00963FE4" w:rsidRPr="005322F7">
        <w:rPr>
          <w:rFonts w:ascii="Times New Roman" w:hAnsi="Times New Roman"/>
          <w:sz w:val="26"/>
          <w:szCs w:val="26"/>
        </w:rPr>
        <w:t xml:space="preserve">iezłożenie zaświadczenia z </w:t>
      </w:r>
      <w:r w:rsidR="00A6680E" w:rsidRPr="005322F7">
        <w:rPr>
          <w:rFonts w:ascii="Times New Roman" w:hAnsi="Times New Roman"/>
          <w:sz w:val="26"/>
          <w:szCs w:val="26"/>
        </w:rPr>
        <w:t xml:space="preserve">przyczyn leżących po stronie </w:t>
      </w:r>
      <w:r w:rsidR="00963FE4" w:rsidRPr="005322F7">
        <w:rPr>
          <w:rFonts w:ascii="Times New Roman" w:hAnsi="Times New Roman"/>
          <w:sz w:val="26"/>
          <w:szCs w:val="26"/>
        </w:rPr>
        <w:t>sędziego Trybunału</w:t>
      </w:r>
      <w:r w:rsidR="00A6680E" w:rsidRPr="005322F7">
        <w:rPr>
          <w:rFonts w:ascii="Times New Roman" w:hAnsi="Times New Roman"/>
          <w:sz w:val="26"/>
          <w:szCs w:val="26"/>
        </w:rPr>
        <w:t>,</w:t>
      </w:r>
      <w:r w:rsidR="00963FE4" w:rsidRPr="005322F7">
        <w:rPr>
          <w:rFonts w:ascii="Times New Roman" w:hAnsi="Times New Roman"/>
          <w:sz w:val="26"/>
          <w:szCs w:val="26"/>
        </w:rPr>
        <w:t xml:space="preserve"> </w:t>
      </w:r>
      <w:r w:rsidR="00A6680E" w:rsidRPr="005322F7">
        <w:rPr>
          <w:rFonts w:ascii="Times New Roman" w:hAnsi="Times New Roman"/>
          <w:sz w:val="26"/>
          <w:szCs w:val="26"/>
        </w:rPr>
        <w:t>w tym</w:t>
      </w:r>
      <w:r w:rsidR="00963FE4" w:rsidRPr="005322F7">
        <w:rPr>
          <w:rFonts w:ascii="Times New Roman" w:hAnsi="Times New Roman"/>
          <w:sz w:val="26"/>
          <w:szCs w:val="26"/>
        </w:rPr>
        <w:t xml:space="preserve"> odmowa złożenia</w:t>
      </w:r>
      <w:r w:rsidR="00A6680E" w:rsidRPr="005322F7">
        <w:rPr>
          <w:rFonts w:ascii="Times New Roman" w:hAnsi="Times New Roman"/>
          <w:sz w:val="26"/>
          <w:szCs w:val="26"/>
        </w:rPr>
        <w:t>,</w:t>
      </w:r>
      <w:r w:rsidR="00963FE4" w:rsidRPr="005322F7">
        <w:rPr>
          <w:rFonts w:ascii="Times New Roman" w:hAnsi="Times New Roman"/>
          <w:sz w:val="26"/>
          <w:szCs w:val="26"/>
        </w:rPr>
        <w:t xml:space="preserve"> </w:t>
      </w:r>
      <w:r w:rsidR="0061541C" w:rsidRPr="005322F7">
        <w:rPr>
          <w:rFonts w:ascii="Times New Roman" w:hAnsi="Times New Roman"/>
          <w:sz w:val="26"/>
          <w:szCs w:val="26"/>
        </w:rPr>
        <w:t>ma skut</w:t>
      </w:r>
      <w:r w:rsidR="00963FE4" w:rsidRPr="005322F7">
        <w:rPr>
          <w:rFonts w:ascii="Times New Roman" w:hAnsi="Times New Roman"/>
          <w:sz w:val="26"/>
          <w:szCs w:val="26"/>
        </w:rPr>
        <w:t>e</w:t>
      </w:r>
      <w:r w:rsidR="0061541C" w:rsidRPr="005322F7">
        <w:rPr>
          <w:rFonts w:ascii="Times New Roman" w:hAnsi="Times New Roman"/>
          <w:sz w:val="26"/>
          <w:szCs w:val="26"/>
        </w:rPr>
        <w:t>k</w:t>
      </w:r>
      <w:r w:rsidR="00963FE4" w:rsidRPr="005322F7">
        <w:rPr>
          <w:rFonts w:ascii="Times New Roman" w:hAnsi="Times New Roman"/>
          <w:sz w:val="26"/>
          <w:szCs w:val="26"/>
        </w:rPr>
        <w:t xml:space="preserve"> równoznaczny ze zrzeczeniem się przez </w:t>
      </w:r>
      <w:r w:rsidR="0061541C" w:rsidRPr="005322F7">
        <w:rPr>
          <w:rFonts w:ascii="Times New Roman" w:hAnsi="Times New Roman"/>
          <w:sz w:val="26"/>
          <w:szCs w:val="26"/>
        </w:rPr>
        <w:t xml:space="preserve">sędziego </w:t>
      </w:r>
      <w:r w:rsidR="00963FE4" w:rsidRPr="005322F7">
        <w:rPr>
          <w:rFonts w:ascii="Times New Roman" w:hAnsi="Times New Roman"/>
          <w:sz w:val="26"/>
          <w:szCs w:val="26"/>
        </w:rPr>
        <w:t xml:space="preserve">stanowiska. Projektodawca chce w ten sposób zapobiec unikaniu </w:t>
      </w:r>
      <w:r w:rsidR="000B6873" w:rsidRPr="005322F7">
        <w:rPr>
          <w:rFonts w:ascii="Times New Roman" w:hAnsi="Times New Roman"/>
          <w:sz w:val="26"/>
          <w:szCs w:val="26"/>
        </w:rPr>
        <w:t xml:space="preserve">tego ustawowego </w:t>
      </w:r>
      <w:r w:rsidR="00963FE4" w:rsidRPr="005322F7">
        <w:rPr>
          <w:rFonts w:ascii="Times New Roman" w:hAnsi="Times New Roman"/>
          <w:sz w:val="26"/>
          <w:szCs w:val="26"/>
        </w:rPr>
        <w:t xml:space="preserve">obowiązku. </w:t>
      </w:r>
      <w:r w:rsidR="00E30CD2" w:rsidRPr="005322F7">
        <w:rPr>
          <w:rFonts w:ascii="Times New Roman" w:hAnsi="Times New Roman"/>
          <w:sz w:val="26"/>
          <w:szCs w:val="26"/>
        </w:rPr>
        <w:t xml:space="preserve">Dochodząc do wieku 70 lat, sędzia powinien przeprowadzić badania. </w:t>
      </w:r>
      <w:r w:rsidR="00963FE4" w:rsidRPr="005322F7">
        <w:rPr>
          <w:rFonts w:ascii="Times New Roman" w:hAnsi="Times New Roman"/>
          <w:sz w:val="26"/>
          <w:szCs w:val="26"/>
        </w:rPr>
        <w:t>St</w:t>
      </w:r>
      <w:r w:rsidR="00214212" w:rsidRPr="005322F7">
        <w:rPr>
          <w:rFonts w:ascii="Times New Roman" w:hAnsi="Times New Roman"/>
          <w:sz w:val="26"/>
          <w:szCs w:val="26"/>
        </w:rPr>
        <w:t>ą</w:t>
      </w:r>
      <w:r w:rsidR="00963FE4" w:rsidRPr="005322F7">
        <w:rPr>
          <w:rFonts w:ascii="Times New Roman" w:hAnsi="Times New Roman"/>
          <w:sz w:val="26"/>
          <w:szCs w:val="26"/>
        </w:rPr>
        <w:t xml:space="preserve">d projektodawca zdecydował się na </w:t>
      </w:r>
      <w:r w:rsidR="00E30CD2" w:rsidRPr="005322F7">
        <w:rPr>
          <w:rFonts w:ascii="Times New Roman" w:hAnsi="Times New Roman"/>
          <w:sz w:val="26"/>
          <w:szCs w:val="26"/>
        </w:rPr>
        <w:t xml:space="preserve">zaadoptowanie </w:t>
      </w:r>
      <w:r w:rsidR="00E25E27" w:rsidRPr="005322F7">
        <w:rPr>
          <w:rFonts w:ascii="Times New Roman" w:hAnsi="Times New Roman"/>
          <w:sz w:val="26"/>
          <w:szCs w:val="26"/>
        </w:rPr>
        <w:t>mechanizmu z ustawy o Sądzie Najwyższym. Projektodawca nie przerywa w ten sposób kadencji sędziego Trybunału, ale wskazuje na czynnik obiektywny – stan zdrowia, który sędzia powinien udowodnić zaświadczeniem lekarskim. Ta norma koresponduje z art. 2</w:t>
      </w:r>
      <w:r w:rsidR="001110F0" w:rsidRPr="005322F7">
        <w:rPr>
          <w:rFonts w:ascii="Times New Roman" w:hAnsi="Times New Roman"/>
          <w:sz w:val="26"/>
          <w:szCs w:val="26"/>
        </w:rPr>
        <w:t>8</w:t>
      </w:r>
      <w:r w:rsidR="00075816" w:rsidRPr="005322F7">
        <w:rPr>
          <w:rFonts w:ascii="Times New Roman" w:hAnsi="Times New Roman"/>
          <w:sz w:val="26"/>
          <w:szCs w:val="26"/>
        </w:rPr>
        <w:t>, w którym</w:t>
      </w:r>
      <w:r w:rsidR="00E25E27" w:rsidRPr="005322F7">
        <w:rPr>
          <w:rFonts w:ascii="Times New Roman" w:hAnsi="Times New Roman"/>
          <w:sz w:val="26"/>
          <w:szCs w:val="26"/>
        </w:rPr>
        <w:t xml:space="preserve"> odesłanie w stan spoczynku przerywające kadencję wiąże się z chorobą, ułomnością lub utratą sił. Rozwiązanie stanowi tu mechanizm kontrolny państwa.</w:t>
      </w:r>
    </w:p>
    <w:p w:rsidR="00256144" w:rsidRPr="005322F7" w:rsidRDefault="0061541C" w:rsidP="00E177FA">
      <w:pPr>
        <w:spacing w:before="120" w:after="120"/>
        <w:ind w:firstLine="708"/>
        <w:jc w:val="both"/>
        <w:rPr>
          <w:rFonts w:ascii="Times New Roman" w:hAnsi="Times New Roman"/>
          <w:bCs/>
          <w:sz w:val="26"/>
          <w:szCs w:val="26"/>
        </w:rPr>
      </w:pPr>
      <w:r w:rsidRPr="005322F7">
        <w:rPr>
          <w:rFonts w:ascii="Times New Roman" w:hAnsi="Times New Roman"/>
          <w:sz w:val="26"/>
          <w:szCs w:val="26"/>
        </w:rPr>
        <w:t xml:space="preserve">Ponadto projektodawca </w:t>
      </w:r>
      <w:r w:rsidR="007478A1" w:rsidRPr="005322F7">
        <w:rPr>
          <w:rFonts w:ascii="Times New Roman" w:hAnsi="Times New Roman"/>
          <w:sz w:val="26"/>
          <w:szCs w:val="26"/>
        </w:rPr>
        <w:t>wzo</w:t>
      </w:r>
      <w:r w:rsidR="00F54323" w:rsidRPr="005322F7">
        <w:rPr>
          <w:rFonts w:ascii="Times New Roman" w:hAnsi="Times New Roman"/>
          <w:sz w:val="26"/>
          <w:szCs w:val="26"/>
        </w:rPr>
        <w:t xml:space="preserve">rem Sądu Najwyższego </w:t>
      </w:r>
      <w:r w:rsidRPr="005322F7">
        <w:rPr>
          <w:rFonts w:ascii="Times New Roman" w:hAnsi="Times New Roman"/>
          <w:sz w:val="26"/>
          <w:szCs w:val="26"/>
        </w:rPr>
        <w:t xml:space="preserve">zastrzegł, że sędzia TK, który nie przeszedł w stan spoczynku po 70 roku życia </w:t>
      </w:r>
      <w:r w:rsidR="0092333A" w:rsidRPr="005322F7">
        <w:rPr>
          <w:rFonts w:ascii="Times New Roman" w:hAnsi="Times New Roman"/>
          <w:sz w:val="26"/>
          <w:szCs w:val="26"/>
        </w:rPr>
        <w:t xml:space="preserve">nie może pełnić </w:t>
      </w:r>
      <w:r w:rsidR="0092333A" w:rsidRPr="005322F7">
        <w:rPr>
          <w:rFonts w:ascii="Times New Roman" w:hAnsi="Times New Roman"/>
          <w:bCs/>
          <w:sz w:val="26"/>
          <w:szCs w:val="26"/>
        </w:rPr>
        <w:t>funkcji Prezesa lub Wiceprezesa Trybunału</w:t>
      </w:r>
      <w:r w:rsidR="005D1117" w:rsidRPr="005322F7">
        <w:rPr>
          <w:rFonts w:ascii="Times New Roman" w:hAnsi="Times New Roman"/>
          <w:bCs/>
          <w:sz w:val="26"/>
          <w:szCs w:val="26"/>
        </w:rPr>
        <w:t xml:space="preserve"> (art. 2</w:t>
      </w:r>
      <w:r w:rsidR="001110F0" w:rsidRPr="005322F7">
        <w:rPr>
          <w:rFonts w:ascii="Times New Roman" w:hAnsi="Times New Roman"/>
          <w:bCs/>
          <w:sz w:val="26"/>
          <w:szCs w:val="26"/>
        </w:rPr>
        <w:t>7</w:t>
      </w:r>
      <w:r w:rsidRPr="005322F7">
        <w:rPr>
          <w:rFonts w:ascii="Times New Roman" w:hAnsi="Times New Roman"/>
          <w:bCs/>
          <w:sz w:val="26"/>
          <w:szCs w:val="26"/>
        </w:rPr>
        <w:t xml:space="preserve"> ust. 5)</w:t>
      </w:r>
      <w:r w:rsidR="0092333A" w:rsidRPr="005322F7">
        <w:rPr>
          <w:rFonts w:ascii="Times New Roman" w:hAnsi="Times New Roman"/>
          <w:bCs/>
          <w:sz w:val="26"/>
          <w:szCs w:val="26"/>
        </w:rPr>
        <w:t xml:space="preserve">. </w:t>
      </w:r>
      <w:r w:rsidR="00E25E27" w:rsidRPr="005322F7">
        <w:rPr>
          <w:rFonts w:ascii="Times New Roman" w:hAnsi="Times New Roman"/>
          <w:bCs/>
          <w:sz w:val="26"/>
          <w:szCs w:val="26"/>
        </w:rPr>
        <w:t xml:space="preserve">Wynika to z woli odciążenia </w:t>
      </w:r>
      <w:r w:rsidR="00D57198" w:rsidRPr="005322F7">
        <w:rPr>
          <w:rFonts w:ascii="Times New Roman" w:hAnsi="Times New Roman"/>
          <w:bCs/>
          <w:sz w:val="26"/>
          <w:szCs w:val="26"/>
        </w:rPr>
        <w:t xml:space="preserve">tych </w:t>
      </w:r>
      <w:r w:rsidR="00E25E27" w:rsidRPr="005322F7">
        <w:rPr>
          <w:rFonts w:ascii="Times New Roman" w:hAnsi="Times New Roman"/>
          <w:bCs/>
          <w:sz w:val="26"/>
          <w:szCs w:val="26"/>
        </w:rPr>
        <w:t>osób z obowiązków administracyjnych</w:t>
      </w:r>
      <w:r w:rsidR="00256144" w:rsidRPr="005322F7">
        <w:rPr>
          <w:rFonts w:ascii="Times New Roman" w:hAnsi="Times New Roman"/>
          <w:bCs/>
          <w:sz w:val="26"/>
          <w:szCs w:val="26"/>
        </w:rPr>
        <w:t xml:space="preserve"> i umożliwienie im, ze względu na </w:t>
      </w:r>
      <w:r w:rsidR="00256144" w:rsidRPr="005322F7">
        <w:rPr>
          <w:rFonts w:ascii="Times New Roman" w:hAnsi="Times New Roman"/>
          <w:sz w:val="26"/>
          <w:szCs w:val="26"/>
        </w:rPr>
        <w:t>ogromną wiedzę prawniczą oraz doświadczenie</w:t>
      </w:r>
      <w:r w:rsidR="0000125E" w:rsidRPr="005322F7">
        <w:rPr>
          <w:rFonts w:ascii="Times New Roman" w:hAnsi="Times New Roman"/>
          <w:sz w:val="26"/>
          <w:szCs w:val="26"/>
        </w:rPr>
        <w:t>, możliwość</w:t>
      </w:r>
      <w:r w:rsidR="00256144" w:rsidRPr="005322F7">
        <w:rPr>
          <w:rFonts w:ascii="Times New Roman" w:hAnsi="Times New Roman"/>
          <w:sz w:val="26"/>
          <w:szCs w:val="26"/>
        </w:rPr>
        <w:t xml:space="preserve"> pełnienia służby dla dobra Państwa i społeczeństwa.</w:t>
      </w:r>
    </w:p>
    <w:p w:rsidR="0092333A" w:rsidRPr="005322F7" w:rsidRDefault="00D455E4" w:rsidP="00E177FA">
      <w:pPr>
        <w:spacing w:before="120" w:after="120"/>
        <w:ind w:firstLine="708"/>
        <w:jc w:val="both"/>
        <w:rPr>
          <w:rFonts w:ascii="Times New Roman" w:hAnsi="Times New Roman"/>
          <w:sz w:val="26"/>
          <w:szCs w:val="26"/>
        </w:rPr>
      </w:pPr>
      <w:r w:rsidRPr="005322F7">
        <w:rPr>
          <w:rFonts w:ascii="Times New Roman" w:hAnsi="Times New Roman"/>
          <w:bCs/>
          <w:sz w:val="26"/>
          <w:szCs w:val="26"/>
        </w:rPr>
        <w:t>W art. 2</w:t>
      </w:r>
      <w:r w:rsidR="001110F0" w:rsidRPr="005322F7">
        <w:rPr>
          <w:rFonts w:ascii="Times New Roman" w:hAnsi="Times New Roman"/>
          <w:bCs/>
          <w:sz w:val="26"/>
          <w:szCs w:val="26"/>
        </w:rPr>
        <w:t>8</w:t>
      </w:r>
      <w:r w:rsidRPr="005322F7">
        <w:rPr>
          <w:rFonts w:ascii="Times New Roman" w:hAnsi="Times New Roman"/>
          <w:bCs/>
          <w:sz w:val="26"/>
          <w:szCs w:val="26"/>
        </w:rPr>
        <w:t xml:space="preserve"> projektu określono warunki przejścia sędziego TK w stan spoczynku przed upływem kadencji. Przesłanką ku temu ma być c</w:t>
      </w:r>
      <w:r w:rsidR="0092333A" w:rsidRPr="005322F7">
        <w:rPr>
          <w:rFonts w:ascii="Times New Roman" w:hAnsi="Times New Roman"/>
          <w:sz w:val="26"/>
          <w:szCs w:val="26"/>
        </w:rPr>
        <w:t>horob</w:t>
      </w:r>
      <w:r w:rsidRPr="005322F7">
        <w:rPr>
          <w:rFonts w:ascii="Times New Roman" w:hAnsi="Times New Roman"/>
          <w:sz w:val="26"/>
          <w:szCs w:val="26"/>
        </w:rPr>
        <w:t>a, ułomność</w:t>
      </w:r>
      <w:r w:rsidR="0092333A" w:rsidRPr="005322F7">
        <w:rPr>
          <w:rFonts w:ascii="Times New Roman" w:hAnsi="Times New Roman"/>
          <w:sz w:val="26"/>
          <w:szCs w:val="26"/>
        </w:rPr>
        <w:t xml:space="preserve"> lub utrat</w:t>
      </w:r>
      <w:r w:rsidRPr="005322F7">
        <w:rPr>
          <w:rFonts w:ascii="Times New Roman" w:hAnsi="Times New Roman"/>
          <w:sz w:val="26"/>
          <w:szCs w:val="26"/>
        </w:rPr>
        <w:t>a</w:t>
      </w:r>
      <w:r w:rsidR="0092333A" w:rsidRPr="005322F7">
        <w:rPr>
          <w:rFonts w:ascii="Times New Roman" w:hAnsi="Times New Roman"/>
          <w:sz w:val="26"/>
          <w:szCs w:val="26"/>
        </w:rPr>
        <w:t xml:space="preserve"> sił</w:t>
      </w:r>
      <w:r w:rsidRPr="005322F7">
        <w:rPr>
          <w:rFonts w:ascii="Times New Roman" w:hAnsi="Times New Roman"/>
          <w:sz w:val="26"/>
          <w:szCs w:val="26"/>
        </w:rPr>
        <w:t>, na podstawie których lekarz orzecznik</w:t>
      </w:r>
      <w:r w:rsidR="0092333A" w:rsidRPr="005322F7">
        <w:rPr>
          <w:rFonts w:ascii="Times New Roman" w:hAnsi="Times New Roman"/>
          <w:sz w:val="26"/>
          <w:szCs w:val="26"/>
        </w:rPr>
        <w:t xml:space="preserve"> Zakładu Ubezpieczeń Społecznych </w:t>
      </w:r>
      <w:r w:rsidRPr="005322F7">
        <w:rPr>
          <w:rFonts w:ascii="Times New Roman" w:hAnsi="Times New Roman"/>
          <w:sz w:val="26"/>
          <w:szCs w:val="26"/>
        </w:rPr>
        <w:t xml:space="preserve">uznaje sędziego </w:t>
      </w:r>
      <w:r w:rsidR="0092333A" w:rsidRPr="005322F7">
        <w:rPr>
          <w:rFonts w:ascii="Times New Roman" w:hAnsi="Times New Roman"/>
          <w:sz w:val="26"/>
          <w:szCs w:val="26"/>
        </w:rPr>
        <w:t>za trwale niezdolnego do pełnienia obowiązków.</w:t>
      </w:r>
    </w:p>
    <w:p w:rsidR="00CB4E6C" w:rsidRPr="005322F7" w:rsidRDefault="00D455E4" w:rsidP="00CB4E6C">
      <w:pPr>
        <w:spacing w:before="120" w:after="120"/>
        <w:ind w:firstLine="708"/>
        <w:jc w:val="both"/>
        <w:rPr>
          <w:rFonts w:ascii="Times New Roman" w:hAnsi="Times New Roman"/>
          <w:sz w:val="26"/>
          <w:szCs w:val="26"/>
        </w:rPr>
      </w:pPr>
      <w:r w:rsidRPr="005322F7">
        <w:rPr>
          <w:rFonts w:ascii="Times New Roman" w:hAnsi="Times New Roman"/>
          <w:bCs/>
          <w:sz w:val="26"/>
          <w:szCs w:val="26"/>
        </w:rPr>
        <w:t xml:space="preserve">W projekcie wskazano uprawnienia i obowiązki sędziego w stanie spoczynku </w:t>
      </w:r>
      <w:r w:rsidR="00075816" w:rsidRPr="005322F7">
        <w:rPr>
          <w:rFonts w:ascii="Times New Roman" w:hAnsi="Times New Roman"/>
          <w:bCs/>
          <w:sz w:val="26"/>
          <w:szCs w:val="26"/>
        </w:rPr>
        <w:t>(art. 2</w:t>
      </w:r>
      <w:r w:rsidR="001110F0" w:rsidRPr="005322F7">
        <w:rPr>
          <w:rFonts w:ascii="Times New Roman" w:hAnsi="Times New Roman"/>
          <w:bCs/>
          <w:sz w:val="26"/>
          <w:szCs w:val="26"/>
        </w:rPr>
        <w:t>9</w:t>
      </w:r>
      <w:r w:rsidRPr="005322F7">
        <w:rPr>
          <w:rFonts w:ascii="Times New Roman" w:hAnsi="Times New Roman"/>
          <w:bCs/>
          <w:sz w:val="26"/>
          <w:szCs w:val="26"/>
        </w:rPr>
        <w:t xml:space="preserve">, </w:t>
      </w:r>
      <w:r w:rsidR="001110F0" w:rsidRPr="005322F7">
        <w:rPr>
          <w:rFonts w:ascii="Times New Roman" w:hAnsi="Times New Roman"/>
          <w:bCs/>
          <w:sz w:val="26"/>
          <w:szCs w:val="26"/>
        </w:rPr>
        <w:t>30</w:t>
      </w:r>
      <w:r w:rsidRPr="005322F7">
        <w:rPr>
          <w:rFonts w:ascii="Times New Roman" w:hAnsi="Times New Roman"/>
          <w:bCs/>
          <w:sz w:val="26"/>
          <w:szCs w:val="26"/>
        </w:rPr>
        <w:t xml:space="preserve"> i art. </w:t>
      </w:r>
      <w:r w:rsidR="009D0386" w:rsidRPr="005322F7">
        <w:rPr>
          <w:rFonts w:ascii="Times New Roman" w:hAnsi="Times New Roman"/>
          <w:bCs/>
          <w:sz w:val="26"/>
          <w:szCs w:val="26"/>
        </w:rPr>
        <w:t>3</w:t>
      </w:r>
      <w:r w:rsidR="001110F0" w:rsidRPr="005322F7">
        <w:rPr>
          <w:rFonts w:ascii="Times New Roman" w:hAnsi="Times New Roman"/>
          <w:bCs/>
          <w:sz w:val="26"/>
          <w:szCs w:val="26"/>
        </w:rPr>
        <w:t>2</w:t>
      </w:r>
      <w:r w:rsidRPr="005322F7">
        <w:rPr>
          <w:rFonts w:ascii="Times New Roman" w:hAnsi="Times New Roman"/>
          <w:bCs/>
          <w:sz w:val="26"/>
          <w:szCs w:val="26"/>
        </w:rPr>
        <w:t>), oraz konsekwencje naruszenia tych obowiązków.</w:t>
      </w:r>
      <w:r w:rsidR="006B26EB" w:rsidRPr="005322F7">
        <w:rPr>
          <w:rFonts w:ascii="Times New Roman" w:hAnsi="Times New Roman"/>
          <w:bCs/>
          <w:sz w:val="26"/>
          <w:szCs w:val="26"/>
        </w:rPr>
        <w:t xml:space="preserve"> Podkreślono znaczenie apolityczności sędziego w stanie spoczynku, który podobnie jak sędzia urzędujący nie może </w:t>
      </w:r>
      <w:r w:rsidR="00CB4E6C" w:rsidRPr="005322F7">
        <w:rPr>
          <w:rFonts w:ascii="Times New Roman" w:hAnsi="Times New Roman"/>
          <w:sz w:val="26"/>
          <w:szCs w:val="26"/>
        </w:rPr>
        <w:t>należeć do partii politycznej, związku zawodowego ani prowadzić działalności publicznej niedającej się pogodzić z zasadami niezależności sądów i niezawisłości sędziów. Zaznaczono też obowiązek dochowania godności sędziego Trybunału.</w:t>
      </w:r>
    </w:p>
    <w:p w:rsidR="0092333A" w:rsidRPr="005322F7" w:rsidRDefault="005D1117" w:rsidP="00E177FA">
      <w:pPr>
        <w:spacing w:before="120" w:after="120"/>
        <w:ind w:firstLine="708"/>
        <w:jc w:val="both"/>
        <w:rPr>
          <w:rFonts w:ascii="Times New Roman" w:hAnsi="Times New Roman"/>
          <w:sz w:val="26"/>
          <w:szCs w:val="26"/>
        </w:rPr>
      </w:pPr>
      <w:r w:rsidRPr="005322F7">
        <w:rPr>
          <w:rFonts w:ascii="Times New Roman" w:hAnsi="Times New Roman"/>
          <w:bCs/>
          <w:sz w:val="26"/>
          <w:szCs w:val="26"/>
        </w:rPr>
        <w:t xml:space="preserve">Art. </w:t>
      </w:r>
      <w:r w:rsidR="001110F0" w:rsidRPr="005322F7">
        <w:rPr>
          <w:rFonts w:ascii="Times New Roman" w:hAnsi="Times New Roman"/>
          <w:bCs/>
          <w:sz w:val="26"/>
          <w:szCs w:val="26"/>
        </w:rPr>
        <w:t>31</w:t>
      </w:r>
      <w:r w:rsidR="00D455E4" w:rsidRPr="005322F7">
        <w:rPr>
          <w:rFonts w:ascii="Times New Roman" w:hAnsi="Times New Roman"/>
          <w:bCs/>
          <w:sz w:val="26"/>
          <w:szCs w:val="26"/>
        </w:rPr>
        <w:t xml:space="preserve"> projektu wymienia przypadki u</w:t>
      </w:r>
      <w:r w:rsidR="0092333A" w:rsidRPr="005322F7">
        <w:rPr>
          <w:rFonts w:ascii="Times New Roman" w:hAnsi="Times New Roman"/>
          <w:sz w:val="26"/>
          <w:szCs w:val="26"/>
        </w:rPr>
        <w:t>trat</w:t>
      </w:r>
      <w:r w:rsidR="007478A1" w:rsidRPr="005322F7">
        <w:rPr>
          <w:rFonts w:ascii="Times New Roman" w:hAnsi="Times New Roman"/>
          <w:sz w:val="26"/>
          <w:szCs w:val="26"/>
        </w:rPr>
        <w:t>y</w:t>
      </w:r>
      <w:r w:rsidR="0092333A" w:rsidRPr="005322F7">
        <w:rPr>
          <w:rFonts w:ascii="Times New Roman" w:hAnsi="Times New Roman"/>
          <w:sz w:val="26"/>
          <w:szCs w:val="26"/>
        </w:rPr>
        <w:t xml:space="preserve"> statusu sędziego Trybunału w stanie spoczynku</w:t>
      </w:r>
      <w:r w:rsidR="00D455E4" w:rsidRPr="005322F7">
        <w:rPr>
          <w:rFonts w:ascii="Times New Roman" w:hAnsi="Times New Roman"/>
          <w:sz w:val="26"/>
          <w:szCs w:val="26"/>
        </w:rPr>
        <w:t>. Są to</w:t>
      </w:r>
      <w:r w:rsidR="005805CA" w:rsidRPr="005322F7">
        <w:rPr>
          <w:rFonts w:ascii="Times New Roman" w:hAnsi="Times New Roman"/>
          <w:sz w:val="26"/>
          <w:szCs w:val="26"/>
        </w:rPr>
        <w:t>:</w:t>
      </w:r>
      <w:r w:rsidR="00D455E4" w:rsidRPr="005322F7">
        <w:rPr>
          <w:rFonts w:ascii="Times New Roman" w:hAnsi="Times New Roman"/>
          <w:sz w:val="26"/>
          <w:szCs w:val="26"/>
        </w:rPr>
        <w:t xml:space="preserve"> </w:t>
      </w:r>
      <w:r w:rsidR="0092333A" w:rsidRPr="005322F7">
        <w:rPr>
          <w:rFonts w:ascii="Times New Roman" w:hAnsi="Times New Roman"/>
          <w:sz w:val="26"/>
          <w:szCs w:val="26"/>
        </w:rPr>
        <w:t>1)</w:t>
      </w:r>
      <w:r w:rsidR="00D455E4" w:rsidRPr="005322F7">
        <w:rPr>
          <w:rFonts w:ascii="Times New Roman" w:hAnsi="Times New Roman"/>
          <w:sz w:val="26"/>
          <w:szCs w:val="26"/>
        </w:rPr>
        <w:t xml:space="preserve"> </w:t>
      </w:r>
      <w:r w:rsidR="0092333A" w:rsidRPr="005322F7">
        <w:rPr>
          <w:rFonts w:ascii="Times New Roman" w:hAnsi="Times New Roman"/>
          <w:sz w:val="26"/>
          <w:szCs w:val="26"/>
        </w:rPr>
        <w:t>zrzeczeni</w:t>
      </w:r>
      <w:r w:rsidR="00D455E4" w:rsidRPr="005322F7">
        <w:rPr>
          <w:rFonts w:ascii="Times New Roman" w:hAnsi="Times New Roman"/>
          <w:sz w:val="26"/>
          <w:szCs w:val="26"/>
        </w:rPr>
        <w:t>e</w:t>
      </w:r>
      <w:r w:rsidR="0092333A" w:rsidRPr="005322F7">
        <w:rPr>
          <w:rFonts w:ascii="Times New Roman" w:hAnsi="Times New Roman"/>
          <w:sz w:val="26"/>
          <w:szCs w:val="26"/>
        </w:rPr>
        <w:t xml:space="preserve"> się przez sędziego Trybunału w stanie spoczynku tego statusu;</w:t>
      </w:r>
      <w:r w:rsidR="00D455E4" w:rsidRPr="005322F7">
        <w:rPr>
          <w:rFonts w:ascii="Times New Roman" w:hAnsi="Times New Roman"/>
          <w:sz w:val="26"/>
          <w:szCs w:val="26"/>
        </w:rPr>
        <w:t xml:space="preserve"> </w:t>
      </w:r>
      <w:r w:rsidR="0092333A" w:rsidRPr="005322F7">
        <w:rPr>
          <w:rFonts w:ascii="Times New Roman" w:hAnsi="Times New Roman"/>
          <w:sz w:val="26"/>
          <w:szCs w:val="26"/>
        </w:rPr>
        <w:t>2)</w:t>
      </w:r>
      <w:r w:rsidR="00D455E4" w:rsidRPr="005322F7">
        <w:rPr>
          <w:rFonts w:ascii="Times New Roman" w:hAnsi="Times New Roman"/>
          <w:sz w:val="26"/>
          <w:szCs w:val="26"/>
        </w:rPr>
        <w:t xml:space="preserve"> </w:t>
      </w:r>
      <w:r w:rsidR="0092333A" w:rsidRPr="005322F7">
        <w:rPr>
          <w:rFonts w:ascii="Times New Roman" w:hAnsi="Times New Roman"/>
          <w:sz w:val="26"/>
          <w:szCs w:val="26"/>
        </w:rPr>
        <w:t>skazani</w:t>
      </w:r>
      <w:r w:rsidR="00D455E4" w:rsidRPr="005322F7">
        <w:rPr>
          <w:rFonts w:ascii="Times New Roman" w:hAnsi="Times New Roman"/>
          <w:sz w:val="26"/>
          <w:szCs w:val="26"/>
        </w:rPr>
        <w:t>e</w:t>
      </w:r>
      <w:r w:rsidR="0092333A" w:rsidRPr="005322F7">
        <w:rPr>
          <w:rFonts w:ascii="Times New Roman" w:hAnsi="Times New Roman"/>
          <w:sz w:val="26"/>
          <w:szCs w:val="26"/>
        </w:rPr>
        <w:t xml:space="preserve"> sędziego Trybunału w stanie spoczynku prawomocnym wyrokiem sądu za przestępstwo umyślne ścigane z oskarżenia publicznego lub umyślne przestępstwo skarbowe;</w:t>
      </w:r>
      <w:r w:rsidR="00D455E4" w:rsidRPr="005322F7">
        <w:rPr>
          <w:rFonts w:ascii="Times New Roman" w:hAnsi="Times New Roman"/>
          <w:sz w:val="26"/>
          <w:szCs w:val="26"/>
        </w:rPr>
        <w:t xml:space="preserve"> 3) </w:t>
      </w:r>
      <w:r w:rsidR="0092333A" w:rsidRPr="005322F7">
        <w:rPr>
          <w:rFonts w:ascii="Times New Roman" w:hAnsi="Times New Roman"/>
          <w:sz w:val="26"/>
          <w:szCs w:val="26"/>
        </w:rPr>
        <w:t>prawomocne orzeczeni</w:t>
      </w:r>
      <w:r w:rsidR="0000125E" w:rsidRPr="005322F7">
        <w:rPr>
          <w:rFonts w:ascii="Times New Roman" w:hAnsi="Times New Roman"/>
          <w:sz w:val="26"/>
          <w:szCs w:val="26"/>
        </w:rPr>
        <w:t>e</w:t>
      </w:r>
      <w:r w:rsidR="0092333A" w:rsidRPr="005322F7">
        <w:rPr>
          <w:rFonts w:ascii="Times New Roman" w:hAnsi="Times New Roman"/>
          <w:sz w:val="26"/>
          <w:szCs w:val="26"/>
        </w:rPr>
        <w:t xml:space="preserve"> o pozbawieniu sędziego Trybunału w stanie spoczynku tego statusu.</w:t>
      </w:r>
    </w:p>
    <w:p w:rsidR="00F54323" w:rsidRPr="005322F7" w:rsidRDefault="00F54323" w:rsidP="00E177FA">
      <w:pPr>
        <w:spacing w:before="120" w:after="120"/>
        <w:ind w:firstLine="708"/>
        <w:jc w:val="both"/>
        <w:rPr>
          <w:rFonts w:ascii="Times New Roman" w:hAnsi="Times New Roman"/>
          <w:sz w:val="26"/>
          <w:szCs w:val="26"/>
        </w:rPr>
      </w:pPr>
      <w:r w:rsidRPr="005322F7">
        <w:rPr>
          <w:rFonts w:ascii="Times New Roman" w:hAnsi="Times New Roman"/>
          <w:sz w:val="26"/>
          <w:szCs w:val="26"/>
        </w:rPr>
        <w:t xml:space="preserve">W art. </w:t>
      </w:r>
      <w:r w:rsidR="009D0386" w:rsidRPr="005322F7">
        <w:rPr>
          <w:rFonts w:ascii="Times New Roman" w:hAnsi="Times New Roman"/>
          <w:sz w:val="26"/>
          <w:szCs w:val="26"/>
        </w:rPr>
        <w:t>3</w:t>
      </w:r>
      <w:r w:rsidR="001110F0" w:rsidRPr="005322F7">
        <w:rPr>
          <w:rFonts w:ascii="Times New Roman" w:hAnsi="Times New Roman"/>
          <w:sz w:val="26"/>
          <w:szCs w:val="26"/>
        </w:rPr>
        <w:t>2</w:t>
      </w:r>
      <w:r w:rsidRPr="005322F7">
        <w:rPr>
          <w:rFonts w:ascii="Times New Roman" w:hAnsi="Times New Roman"/>
          <w:sz w:val="26"/>
          <w:szCs w:val="26"/>
        </w:rPr>
        <w:t xml:space="preserve"> projektodawca wskazuje, które normy dotyczące czynnych sędziów Trybunału Konstytucyjnego stosuje się do sędziów w stanie spoczynku. W ust. 2 tego artykułu </w:t>
      </w:r>
      <w:r w:rsidR="005E2784" w:rsidRPr="005322F7">
        <w:rPr>
          <w:rFonts w:ascii="Times New Roman" w:hAnsi="Times New Roman"/>
          <w:sz w:val="26"/>
          <w:szCs w:val="26"/>
        </w:rPr>
        <w:t xml:space="preserve">określono </w:t>
      </w:r>
      <w:r w:rsidR="00075816" w:rsidRPr="005322F7">
        <w:rPr>
          <w:rFonts w:ascii="Times New Roman" w:hAnsi="Times New Roman"/>
          <w:sz w:val="26"/>
          <w:szCs w:val="26"/>
        </w:rPr>
        <w:t>początk</w:t>
      </w:r>
      <w:r w:rsidR="000F4C6F" w:rsidRPr="005322F7">
        <w:rPr>
          <w:rFonts w:ascii="Times New Roman" w:hAnsi="Times New Roman"/>
          <w:sz w:val="26"/>
          <w:szCs w:val="26"/>
        </w:rPr>
        <w:t>owy</w:t>
      </w:r>
      <w:r w:rsidR="00256144" w:rsidRPr="005322F7">
        <w:rPr>
          <w:rFonts w:ascii="Times New Roman" w:hAnsi="Times New Roman"/>
          <w:sz w:val="26"/>
          <w:szCs w:val="26"/>
        </w:rPr>
        <w:t xml:space="preserve"> termin</w:t>
      </w:r>
      <w:r w:rsidR="00075816" w:rsidRPr="005322F7">
        <w:rPr>
          <w:rFonts w:ascii="Times New Roman" w:hAnsi="Times New Roman"/>
          <w:sz w:val="26"/>
          <w:szCs w:val="26"/>
        </w:rPr>
        <w:t xml:space="preserve">, od którego </w:t>
      </w:r>
      <w:r w:rsidRPr="005322F7">
        <w:rPr>
          <w:rFonts w:ascii="Times New Roman" w:hAnsi="Times New Roman"/>
          <w:sz w:val="26"/>
          <w:szCs w:val="26"/>
        </w:rPr>
        <w:t>licz</w:t>
      </w:r>
      <w:r w:rsidR="00075816" w:rsidRPr="005322F7">
        <w:rPr>
          <w:rFonts w:ascii="Times New Roman" w:hAnsi="Times New Roman"/>
          <w:sz w:val="26"/>
          <w:szCs w:val="26"/>
        </w:rPr>
        <w:t>y się</w:t>
      </w:r>
      <w:r w:rsidRPr="005322F7">
        <w:rPr>
          <w:rFonts w:ascii="Times New Roman" w:hAnsi="Times New Roman"/>
          <w:sz w:val="26"/>
          <w:szCs w:val="26"/>
        </w:rPr>
        <w:t xml:space="preserve"> </w:t>
      </w:r>
      <w:r w:rsidR="000F4C6F" w:rsidRPr="005322F7">
        <w:rPr>
          <w:rFonts w:ascii="Times New Roman" w:hAnsi="Times New Roman"/>
          <w:sz w:val="26"/>
          <w:szCs w:val="26"/>
        </w:rPr>
        <w:t xml:space="preserve">wypłata uposażenia </w:t>
      </w:r>
      <w:r w:rsidRPr="005322F7">
        <w:rPr>
          <w:rFonts w:ascii="Times New Roman" w:hAnsi="Times New Roman"/>
          <w:sz w:val="26"/>
          <w:szCs w:val="26"/>
        </w:rPr>
        <w:t>sędziego w stanie spoczynku.</w:t>
      </w:r>
    </w:p>
    <w:p w:rsidR="005805CA" w:rsidRPr="005322F7" w:rsidRDefault="00455B84" w:rsidP="00E177FA">
      <w:pPr>
        <w:spacing w:after="120"/>
        <w:ind w:firstLine="708"/>
        <w:jc w:val="both"/>
        <w:rPr>
          <w:rFonts w:ascii="Times New Roman" w:hAnsi="Times New Roman"/>
          <w:bCs/>
          <w:sz w:val="26"/>
          <w:szCs w:val="26"/>
        </w:rPr>
      </w:pPr>
      <w:r w:rsidRPr="005322F7">
        <w:rPr>
          <w:rFonts w:ascii="Times New Roman" w:hAnsi="Times New Roman"/>
          <w:bCs/>
          <w:sz w:val="26"/>
          <w:szCs w:val="26"/>
        </w:rPr>
        <w:t xml:space="preserve">W art. </w:t>
      </w:r>
      <w:r w:rsidR="005D1117" w:rsidRPr="005322F7">
        <w:rPr>
          <w:rFonts w:ascii="Times New Roman" w:hAnsi="Times New Roman"/>
          <w:bCs/>
          <w:sz w:val="26"/>
          <w:szCs w:val="26"/>
        </w:rPr>
        <w:t>3</w:t>
      </w:r>
      <w:r w:rsidR="001110F0" w:rsidRPr="005322F7">
        <w:rPr>
          <w:rFonts w:ascii="Times New Roman" w:hAnsi="Times New Roman"/>
          <w:bCs/>
          <w:sz w:val="26"/>
          <w:szCs w:val="26"/>
        </w:rPr>
        <w:t>3</w:t>
      </w:r>
      <w:r w:rsidRPr="005322F7">
        <w:rPr>
          <w:rFonts w:ascii="Times New Roman" w:hAnsi="Times New Roman"/>
          <w:bCs/>
          <w:sz w:val="26"/>
          <w:szCs w:val="26"/>
        </w:rPr>
        <w:t xml:space="preserve"> projektodawca </w:t>
      </w:r>
      <w:r w:rsidR="005805CA" w:rsidRPr="005322F7">
        <w:rPr>
          <w:rFonts w:ascii="Times New Roman" w:hAnsi="Times New Roman"/>
          <w:bCs/>
          <w:sz w:val="26"/>
          <w:szCs w:val="26"/>
        </w:rPr>
        <w:t>odrębnie uregulował kwestię apolityczności sędziów TK w stanie spoczynku i zakazu prowadzenia przez niego działalności niedającej się pogodzić z zasadami niezależności sądów i niezawisłości sędziów. Określono też zasady podejmowania zatrudnienia na uczelni oraz podległość sędziego TK w stanie spoczynku Kodeksowi Etycznemu Sędziego TK.</w:t>
      </w:r>
    </w:p>
    <w:p w:rsidR="006C745E" w:rsidRPr="001E4C74" w:rsidRDefault="006C745E" w:rsidP="00810668">
      <w:pPr>
        <w:spacing w:before="120" w:after="120"/>
        <w:ind w:firstLine="708"/>
        <w:jc w:val="both"/>
        <w:rPr>
          <w:rFonts w:ascii="Times New Roman" w:hAnsi="Times New Roman"/>
          <w:color w:val="FF0000"/>
          <w:sz w:val="26"/>
          <w:szCs w:val="26"/>
        </w:rPr>
      </w:pPr>
      <w:r w:rsidRPr="005322F7">
        <w:rPr>
          <w:rFonts w:ascii="Times New Roman" w:hAnsi="Times New Roman"/>
          <w:sz w:val="26"/>
          <w:szCs w:val="26"/>
        </w:rPr>
        <w:t>Projektodawca zdecydował, że ze względu na nowy sposób uregulowania materii dotyczącej Trybunału przepisy przejściowe, dostosowujące i końcowe zamieści w odrębnej ustawie – Przepisy wprowadzające. Taki zabieg legislacyjny jest uzasadniony tym, że z dotychczas obowiązującej jednej ustawy, która regulowała różne kwestie związane ze statusem sędziów Trybunału Konstytucyjnego, wyodrębniono, zgodnie z treścią art. 197 Konstytucji, a także w zgodzie z zaleceniami zespołu ekspertów ds. TK, dwa akty prawne. By zape</w:t>
      </w:r>
      <w:r w:rsidR="00256144" w:rsidRPr="005322F7">
        <w:rPr>
          <w:rFonts w:ascii="Times New Roman" w:hAnsi="Times New Roman"/>
          <w:sz w:val="26"/>
          <w:szCs w:val="26"/>
        </w:rPr>
        <w:t xml:space="preserve">wnić spójność regulacji oraz sprawnie </w:t>
      </w:r>
      <w:r w:rsidRPr="005322F7">
        <w:rPr>
          <w:rFonts w:ascii="Times New Roman" w:hAnsi="Times New Roman"/>
          <w:sz w:val="26"/>
          <w:szCs w:val="26"/>
        </w:rPr>
        <w:t>wprowadzić nowe rozwiązania prawne zaprojektowano odrębną ustawę wprowadzającą te przepisy</w:t>
      </w:r>
      <w:r w:rsidRPr="00F90F4D">
        <w:rPr>
          <w:rFonts w:ascii="Times New Roman" w:hAnsi="Times New Roman"/>
          <w:sz w:val="26"/>
          <w:szCs w:val="26"/>
        </w:rPr>
        <w:t>.</w:t>
      </w:r>
      <w:r w:rsidR="00454478" w:rsidRPr="00F90F4D">
        <w:rPr>
          <w:rFonts w:ascii="Times New Roman" w:hAnsi="Times New Roman"/>
          <w:sz w:val="26"/>
          <w:szCs w:val="26"/>
        </w:rPr>
        <w:t xml:space="preserve"> Odesłanie do ustawy wprowadzającej zawarto w rozdziale </w:t>
      </w:r>
      <w:r w:rsidR="005D1117" w:rsidRPr="00F90F4D">
        <w:rPr>
          <w:rFonts w:ascii="Times New Roman" w:hAnsi="Times New Roman"/>
          <w:sz w:val="26"/>
          <w:szCs w:val="26"/>
        </w:rPr>
        <w:t>5</w:t>
      </w:r>
      <w:r w:rsidR="00454478" w:rsidRPr="00F90F4D">
        <w:rPr>
          <w:rFonts w:ascii="Times New Roman" w:hAnsi="Times New Roman"/>
          <w:sz w:val="26"/>
          <w:szCs w:val="26"/>
        </w:rPr>
        <w:t xml:space="preserve"> zatytułowanym </w:t>
      </w:r>
      <w:r w:rsidR="00454478" w:rsidRPr="00F90F4D">
        <w:rPr>
          <w:rFonts w:ascii="Times New Roman" w:hAnsi="Times New Roman"/>
          <w:i/>
          <w:sz w:val="26"/>
          <w:szCs w:val="26"/>
        </w:rPr>
        <w:t>Przepis</w:t>
      </w:r>
      <w:r w:rsidR="00017A64" w:rsidRPr="00F90F4D">
        <w:rPr>
          <w:rFonts w:ascii="Times New Roman" w:hAnsi="Times New Roman"/>
          <w:i/>
          <w:sz w:val="26"/>
          <w:szCs w:val="26"/>
        </w:rPr>
        <w:t>y końcowe</w:t>
      </w:r>
      <w:r w:rsidR="00634244" w:rsidRPr="00F90F4D">
        <w:rPr>
          <w:rFonts w:ascii="Times New Roman" w:hAnsi="Times New Roman"/>
          <w:i/>
          <w:sz w:val="26"/>
          <w:szCs w:val="26"/>
        </w:rPr>
        <w:t xml:space="preserve"> </w:t>
      </w:r>
      <w:r w:rsidR="005D1117" w:rsidRPr="00F90F4D">
        <w:rPr>
          <w:rFonts w:ascii="Times New Roman" w:hAnsi="Times New Roman"/>
          <w:sz w:val="26"/>
          <w:szCs w:val="26"/>
        </w:rPr>
        <w:t>(art. 3</w:t>
      </w:r>
      <w:r w:rsidR="001110F0" w:rsidRPr="00F90F4D">
        <w:rPr>
          <w:rFonts w:ascii="Times New Roman" w:hAnsi="Times New Roman"/>
          <w:sz w:val="26"/>
          <w:szCs w:val="26"/>
        </w:rPr>
        <w:t>5</w:t>
      </w:r>
      <w:r w:rsidR="00634244" w:rsidRPr="00F90F4D">
        <w:rPr>
          <w:rFonts w:ascii="Times New Roman" w:hAnsi="Times New Roman"/>
          <w:sz w:val="26"/>
          <w:szCs w:val="26"/>
        </w:rPr>
        <w:t>)</w:t>
      </w:r>
      <w:r w:rsidR="00017A64" w:rsidRPr="00F90F4D">
        <w:rPr>
          <w:rFonts w:ascii="Times New Roman" w:hAnsi="Times New Roman"/>
          <w:sz w:val="26"/>
          <w:szCs w:val="26"/>
        </w:rPr>
        <w:t xml:space="preserve">. W tym też rozdziale ustrojodawca odesłał do odpowiedniego stosowania </w:t>
      </w:r>
      <w:r w:rsidR="00D57198" w:rsidRPr="00F90F4D">
        <w:rPr>
          <w:rFonts w:ascii="Times New Roman" w:hAnsi="Times New Roman"/>
          <w:sz w:val="26"/>
          <w:szCs w:val="26"/>
        </w:rPr>
        <w:t xml:space="preserve">określonych </w:t>
      </w:r>
      <w:r w:rsidR="00017A64" w:rsidRPr="00F90F4D">
        <w:rPr>
          <w:rFonts w:ascii="Times New Roman" w:hAnsi="Times New Roman"/>
          <w:sz w:val="26"/>
          <w:szCs w:val="26"/>
        </w:rPr>
        <w:t>przepisów ustawy o Sądzie Najwyższym w sprawach nieuregulowanych ustawą</w:t>
      </w:r>
      <w:r w:rsidR="00214212" w:rsidRPr="00F90F4D">
        <w:rPr>
          <w:rFonts w:ascii="Times New Roman" w:hAnsi="Times New Roman"/>
          <w:sz w:val="26"/>
          <w:szCs w:val="26"/>
        </w:rPr>
        <w:t>,</w:t>
      </w:r>
      <w:r w:rsidR="00F879ED" w:rsidRPr="00F90F4D">
        <w:rPr>
          <w:rFonts w:ascii="Times New Roman" w:hAnsi="Times New Roman"/>
          <w:sz w:val="26"/>
          <w:szCs w:val="26"/>
        </w:rPr>
        <w:t xml:space="preserve"> a dotyczących praw i </w:t>
      </w:r>
      <w:r w:rsidR="00017A64" w:rsidRPr="00F90F4D">
        <w:rPr>
          <w:rFonts w:ascii="Times New Roman" w:hAnsi="Times New Roman"/>
          <w:sz w:val="26"/>
          <w:szCs w:val="26"/>
        </w:rPr>
        <w:t xml:space="preserve">obowiązków </w:t>
      </w:r>
      <w:r w:rsidR="001E4C74" w:rsidRPr="00F90F4D">
        <w:rPr>
          <w:rFonts w:ascii="Times New Roman" w:hAnsi="Times New Roman"/>
          <w:sz w:val="26"/>
          <w:szCs w:val="26"/>
        </w:rPr>
        <w:t xml:space="preserve">sędziów </w:t>
      </w:r>
      <w:r w:rsidR="00AA2083" w:rsidRPr="00F90F4D">
        <w:rPr>
          <w:rFonts w:ascii="Times New Roman" w:hAnsi="Times New Roman"/>
          <w:sz w:val="26"/>
          <w:szCs w:val="26"/>
        </w:rPr>
        <w:t>(art. 3</w:t>
      </w:r>
      <w:r w:rsidR="001110F0" w:rsidRPr="00F90F4D">
        <w:rPr>
          <w:rFonts w:ascii="Times New Roman" w:hAnsi="Times New Roman"/>
          <w:sz w:val="26"/>
          <w:szCs w:val="26"/>
        </w:rPr>
        <w:t>4</w:t>
      </w:r>
      <w:r w:rsidR="00AA2083" w:rsidRPr="00F90F4D">
        <w:rPr>
          <w:rFonts w:ascii="Times New Roman" w:hAnsi="Times New Roman"/>
          <w:sz w:val="26"/>
          <w:szCs w:val="26"/>
        </w:rPr>
        <w:t>)</w:t>
      </w:r>
      <w:r w:rsidR="00454478" w:rsidRPr="00F90F4D">
        <w:rPr>
          <w:rFonts w:ascii="Times New Roman" w:hAnsi="Times New Roman"/>
          <w:i/>
          <w:sz w:val="26"/>
          <w:szCs w:val="26"/>
        </w:rPr>
        <w:t>.</w:t>
      </w:r>
      <w:r w:rsidR="00017A64" w:rsidRPr="001E4C74">
        <w:rPr>
          <w:rFonts w:ascii="Times New Roman" w:hAnsi="Times New Roman"/>
          <w:i/>
          <w:color w:val="FF0000"/>
          <w:sz w:val="26"/>
          <w:szCs w:val="26"/>
        </w:rPr>
        <w:t xml:space="preserve"> </w:t>
      </w:r>
      <w:r w:rsidR="00017A64" w:rsidRPr="00F879ED">
        <w:rPr>
          <w:rFonts w:ascii="Times New Roman" w:hAnsi="Times New Roman"/>
          <w:sz w:val="26"/>
          <w:szCs w:val="26"/>
        </w:rPr>
        <w:t>Takie podejście ma zapobiec powstaniu luk w prawie.</w:t>
      </w:r>
    </w:p>
    <w:p w:rsidR="006C745E" w:rsidRPr="005322F7" w:rsidRDefault="006C745E" w:rsidP="00810668">
      <w:pPr>
        <w:spacing w:before="120" w:after="120"/>
        <w:ind w:firstLine="431"/>
        <w:jc w:val="center"/>
        <w:rPr>
          <w:rFonts w:ascii="Times New Roman" w:hAnsi="Times New Roman"/>
          <w:b/>
          <w:sz w:val="26"/>
          <w:szCs w:val="26"/>
        </w:rPr>
      </w:pPr>
    </w:p>
    <w:p w:rsidR="006C745E" w:rsidRPr="005322F7" w:rsidRDefault="006C745E" w:rsidP="00810668">
      <w:pPr>
        <w:spacing w:before="120" w:after="120"/>
        <w:ind w:firstLine="431"/>
        <w:jc w:val="center"/>
        <w:rPr>
          <w:rFonts w:ascii="Times New Roman" w:hAnsi="Times New Roman"/>
          <w:b/>
          <w:sz w:val="26"/>
          <w:szCs w:val="26"/>
        </w:rPr>
      </w:pPr>
      <w:r w:rsidRPr="005322F7">
        <w:rPr>
          <w:rFonts w:ascii="Times New Roman" w:hAnsi="Times New Roman"/>
          <w:b/>
          <w:sz w:val="26"/>
          <w:szCs w:val="26"/>
        </w:rPr>
        <w:t>III</w:t>
      </w:r>
    </w:p>
    <w:p w:rsidR="005805CA" w:rsidRPr="005322F7" w:rsidRDefault="005805CA" w:rsidP="00810668">
      <w:pPr>
        <w:spacing w:before="120" w:after="120"/>
        <w:ind w:firstLine="567"/>
        <w:jc w:val="both"/>
        <w:rPr>
          <w:rFonts w:ascii="Times New Roman" w:hAnsi="Times New Roman"/>
          <w:sz w:val="26"/>
          <w:szCs w:val="26"/>
        </w:rPr>
      </w:pPr>
    </w:p>
    <w:p w:rsidR="005805CA" w:rsidRPr="005322F7" w:rsidRDefault="005805CA" w:rsidP="00810668">
      <w:pPr>
        <w:spacing w:before="120" w:after="120"/>
        <w:ind w:firstLine="567"/>
        <w:jc w:val="both"/>
        <w:rPr>
          <w:rFonts w:ascii="Times New Roman" w:hAnsi="Times New Roman"/>
          <w:sz w:val="26"/>
          <w:szCs w:val="26"/>
        </w:rPr>
      </w:pPr>
      <w:r w:rsidRPr="005322F7">
        <w:rPr>
          <w:rFonts w:ascii="Times New Roman" w:hAnsi="Times New Roman"/>
          <w:sz w:val="26"/>
          <w:szCs w:val="26"/>
        </w:rPr>
        <w:t xml:space="preserve">Ustawa porządkuje i rozwija konstytucyjne regulacje dotyczące statusu sędziów Trybunału Konstytucyjnego. Dzięki nowemu aktowi normatywnemu przepisy dotyczące uprawnień i obowiązków sędziego konstytucyjnego nie będą budzić wątpliwości. </w:t>
      </w:r>
      <w:r w:rsidR="00017A64" w:rsidRPr="005322F7">
        <w:rPr>
          <w:rFonts w:ascii="Times New Roman" w:hAnsi="Times New Roman"/>
          <w:sz w:val="26"/>
          <w:szCs w:val="26"/>
        </w:rPr>
        <w:t xml:space="preserve">Odrębna ustawa o statusie sędziów TK </w:t>
      </w:r>
      <w:r w:rsidR="00C75917" w:rsidRPr="005322F7">
        <w:rPr>
          <w:rFonts w:ascii="Times New Roman" w:hAnsi="Times New Roman"/>
          <w:sz w:val="26"/>
          <w:szCs w:val="26"/>
        </w:rPr>
        <w:t>podkreśli ich rolę jako członków konstytucyjnego organu państwa, jakim jest Trybunał Konstytucyjny.</w:t>
      </w:r>
      <w:r w:rsidR="00017A64" w:rsidRPr="005322F7">
        <w:rPr>
          <w:rFonts w:ascii="Times New Roman" w:hAnsi="Times New Roman"/>
          <w:sz w:val="26"/>
          <w:szCs w:val="26"/>
        </w:rPr>
        <w:t xml:space="preserve"> </w:t>
      </w:r>
    </w:p>
    <w:p w:rsidR="00776636" w:rsidRPr="005322F7" w:rsidRDefault="006C745E" w:rsidP="00776636">
      <w:pPr>
        <w:spacing w:before="120" w:after="120"/>
        <w:ind w:firstLine="567"/>
        <w:jc w:val="both"/>
        <w:rPr>
          <w:rFonts w:ascii="Times New Roman" w:hAnsi="Times New Roman"/>
          <w:sz w:val="26"/>
          <w:szCs w:val="26"/>
        </w:rPr>
      </w:pPr>
      <w:r w:rsidRPr="005322F7">
        <w:rPr>
          <w:rFonts w:ascii="Times New Roman" w:hAnsi="Times New Roman"/>
          <w:sz w:val="26"/>
          <w:szCs w:val="26"/>
        </w:rPr>
        <w:t xml:space="preserve">Wejście w życie ustawy o statusie sędziów Trybunału Konstytucyjnego nie spowoduje co do zasady dodatkowego obciążenia dla budżetu państwa. </w:t>
      </w:r>
    </w:p>
    <w:p w:rsidR="006C745E" w:rsidRPr="005322F7" w:rsidRDefault="006C745E" w:rsidP="00776636">
      <w:pPr>
        <w:spacing w:before="120" w:after="120"/>
        <w:ind w:firstLine="567"/>
        <w:jc w:val="both"/>
        <w:rPr>
          <w:rFonts w:ascii="Times New Roman" w:hAnsi="Times New Roman"/>
          <w:sz w:val="26"/>
          <w:szCs w:val="26"/>
        </w:rPr>
      </w:pPr>
      <w:r w:rsidRPr="005322F7">
        <w:rPr>
          <w:rFonts w:ascii="Times New Roman" w:hAnsi="Times New Roman"/>
          <w:sz w:val="26"/>
          <w:szCs w:val="26"/>
        </w:rPr>
        <w:t>Przedmiot projektowanej ustawy nie jest objęty prawem Unii Europejskiej</w:t>
      </w:r>
    </w:p>
    <w:sectPr w:rsidR="006C745E" w:rsidRPr="005322F7" w:rsidSect="00A11C5E">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19ED" w:rsidRDefault="00AF19ED" w:rsidP="005805CA">
      <w:r>
        <w:separator/>
      </w:r>
    </w:p>
  </w:endnote>
  <w:endnote w:type="continuationSeparator" w:id="0">
    <w:p w:rsidR="00AF19ED" w:rsidRDefault="00AF19ED" w:rsidP="005805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19ED" w:rsidRDefault="00AF19ED" w:rsidP="005805CA">
      <w:r>
        <w:separator/>
      </w:r>
    </w:p>
  </w:footnote>
  <w:footnote w:type="continuationSeparator" w:id="0">
    <w:p w:rsidR="00AF19ED" w:rsidRDefault="00AF19ED" w:rsidP="005805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6906594"/>
      <w:docPartObj>
        <w:docPartGallery w:val="Page Numbers (Top of Page)"/>
        <w:docPartUnique/>
      </w:docPartObj>
    </w:sdtPr>
    <w:sdtEndPr/>
    <w:sdtContent>
      <w:p w:rsidR="00616757" w:rsidRDefault="00AF5640">
        <w:pPr>
          <w:pStyle w:val="Nagwek"/>
          <w:jc w:val="center"/>
        </w:pPr>
        <w:r>
          <w:fldChar w:fldCharType="begin"/>
        </w:r>
        <w:r w:rsidR="003177FB">
          <w:instrText xml:space="preserve"> PAGE   \* MERGEFORMAT </w:instrText>
        </w:r>
        <w:r>
          <w:fldChar w:fldCharType="separate"/>
        </w:r>
        <w:r w:rsidR="00DF3350">
          <w:rPr>
            <w:noProof/>
          </w:rPr>
          <w:t>1</w:t>
        </w:r>
        <w:r>
          <w:rPr>
            <w:noProof/>
          </w:rPr>
          <w:fldChar w:fldCharType="end"/>
        </w:r>
      </w:p>
    </w:sdtContent>
  </w:sdt>
  <w:p w:rsidR="00616757" w:rsidRDefault="00616757">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906A7C"/>
    <w:multiLevelType w:val="hybridMultilevel"/>
    <w:tmpl w:val="89646194"/>
    <w:lvl w:ilvl="0" w:tplc="B6C065B0">
      <w:start w:val="1"/>
      <w:numFmt w:val="decimal"/>
      <w:lvlText w:val="%1)"/>
      <w:lvlJc w:val="left"/>
      <w:pPr>
        <w:ind w:left="791" w:hanging="360"/>
      </w:pPr>
      <w:rPr>
        <w:rFonts w:hint="default"/>
      </w:rPr>
    </w:lvl>
    <w:lvl w:ilvl="1" w:tplc="04150019" w:tentative="1">
      <w:start w:val="1"/>
      <w:numFmt w:val="lowerLetter"/>
      <w:lvlText w:val="%2."/>
      <w:lvlJc w:val="left"/>
      <w:pPr>
        <w:ind w:left="1511" w:hanging="360"/>
      </w:pPr>
    </w:lvl>
    <w:lvl w:ilvl="2" w:tplc="0415001B" w:tentative="1">
      <w:start w:val="1"/>
      <w:numFmt w:val="lowerRoman"/>
      <w:lvlText w:val="%3."/>
      <w:lvlJc w:val="right"/>
      <w:pPr>
        <w:ind w:left="2231" w:hanging="180"/>
      </w:pPr>
    </w:lvl>
    <w:lvl w:ilvl="3" w:tplc="0415000F" w:tentative="1">
      <w:start w:val="1"/>
      <w:numFmt w:val="decimal"/>
      <w:lvlText w:val="%4."/>
      <w:lvlJc w:val="left"/>
      <w:pPr>
        <w:ind w:left="2951" w:hanging="360"/>
      </w:pPr>
    </w:lvl>
    <w:lvl w:ilvl="4" w:tplc="04150019" w:tentative="1">
      <w:start w:val="1"/>
      <w:numFmt w:val="lowerLetter"/>
      <w:lvlText w:val="%5."/>
      <w:lvlJc w:val="left"/>
      <w:pPr>
        <w:ind w:left="3671" w:hanging="360"/>
      </w:pPr>
    </w:lvl>
    <w:lvl w:ilvl="5" w:tplc="0415001B" w:tentative="1">
      <w:start w:val="1"/>
      <w:numFmt w:val="lowerRoman"/>
      <w:lvlText w:val="%6."/>
      <w:lvlJc w:val="right"/>
      <w:pPr>
        <w:ind w:left="4391" w:hanging="180"/>
      </w:pPr>
    </w:lvl>
    <w:lvl w:ilvl="6" w:tplc="0415000F" w:tentative="1">
      <w:start w:val="1"/>
      <w:numFmt w:val="decimal"/>
      <w:lvlText w:val="%7."/>
      <w:lvlJc w:val="left"/>
      <w:pPr>
        <w:ind w:left="5111" w:hanging="360"/>
      </w:pPr>
    </w:lvl>
    <w:lvl w:ilvl="7" w:tplc="04150019" w:tentative="1">
      <w:start w:val="1"/>
      <w:numFmt w:val="lowerLetter"/>
      <w:lvlText w:val="%8."/>
      <w:lvlJc w:val="left"/>
      <w:pPr>
        <w:ind w:left="5831" w:hanging="360"/>
      </w:pPr>
    </w:lvl>
    <w:lvl w:ilvl="8" w:tplc="0415001B" w:tentative="1">
      <w:start w:val="1"/>
      <w:numFmt w:val="lowerRoman"/>
      <w:lvlText w:val="%9."/>
      <w:lvlJc w:val="right"/>
      <w:pPr>
        <w:ind w:left="655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33A"/>
    <w:rsid w:val="0000125E"/>
    <w:rsid w:val="00017A64"/>
    <w:rsid w:val="00027552"/>
    <w:rsid w:val="0003039F"/>
    <w:rsid w:val="000435F7"/>
    <w:rsid w:val="000659B4"/>
    <w:rsid w:val="00075816"/>
    <w:rsid w:val="00095CEC"/>
    <w:rsid w:val="00096FCA"/>
    <w:rsid w:val="000B6873"/>
    <w:rsid w:val="000C5035"/>
    <w:rsid w:val="000E77CE"/>
    <w:rsid w:val="000F4C6F"/>
    <w:rsid w:val="001105E9"/>
    <w:rsid w:val="001110F0"/>
    <w:rsid w:val="0011434F"/>
    <w:rsid w:val="00121EE3"/>
    <w:rsid w:val="00124D7F"/>
    <w:rsid w:val="00136B5D"/>
    <w:rsid w:val="00184304"/>
    <w:rsid w:val="001972B4"/>
    <w:rsid w:val="001A5071"/>
    <w:rsid w:val="001B3471"/>
    <w:rsid w:val="001C1A02"/>
    <w:rsid w:val="001E3532"/>
    <w:rsid w:val="001E4C74"/>
    <w:rsid w:val="001F4569"/>
    <w:rsid w:val="00204F17"/>
    <w:rsid w:val="00210074"/>
    <w:rsid w:val="00214212"/>
    <w:rsid w:val="00256144"/>
    <w:rsid w:val="00293221"/>
    <w:rsid w:val="002A53DC"/>
    <w:rsid w:val="002C3049"/>
    <w:rsid w:val="002D0FCE"/>
    <w:rsid w:val="002D3899"/>
    <w:rsid w:val="002D6455"/>
    <w:rsid w:val="002E5A74"/>
    <w:rsid w:val="002E6481"/>
    <w:rsid w:val="00300733"/>
    <w:rsid w:val="00300FB8"/>
    <w:rsid w:val="003076E8"/>
    <w:rsid w:val="00312CDA"/>
    <w:rsid w:val="003177FB"/>
    <w:rsid w:val="00320D20"/>
    <w:rsid w:val="00323B70"/>
    <w:rsid w:val="0034471A"/>
    <w:rsid w:val="00351A36"/>
    <w:rsid w:val="00356887"/>
    <w:rsid w:val="003A7F72"/>
    <w:rsid w:val="003B37D2"/>
    <w:rsid w:val="003B6A1F"/>
    <w:rsid w:val="003C78A9"/>
    <w:rsid w:val="003E3BCC"/>
    <w:rsid w:val="003F2B3D"/>
    <w:rsid w:val="003F617A"/>
    <w:rsid w:val="00402AB8"/>
    <w:rsid w:val="004438DA"/>
    <w:rsid w:val="00454478"/>
    <w:rsid w:val="00455B84"/>
    <w:rsid w:val="004560EE"/>
    <w:rsid w:val="0048032A"/>
    <w:rsid w:val="004B3F53"/>
    <w:rsid w:val="004B7C7A"/>
    <w:rsid w:val="00522961"/>
    <w:rsid w:val="005322F7"/>
    <w:rsid w:val="005325E7"/>
    <w:rsid w:val="00544F59"/>
    <w:rsid w:val="0055180C"/>
    <w:rsid w:val="005613AB"/>
    <w:rsid w:val="005805CA"/>
    <w:rsid w:val="005A5464"/>
    <w:rsid w:val="005B5570"/>
    <w:rsid w:val="005D1117"/>
    <w:rsid w:val="005E2784"/>
    <w:rsid w:val="0061541C"/>
    <w:rsid w:val="00616757"/>
    <w:rsid w:val="00634244"/>
    <w:rsid w:val="00643F0A"/>
    <w:rsid w:val="00652FCC"/>
    <w:rsid w:val="00653876"/>
    <w:rsid w:val="0069146D"/>
    <w:rsid w:val="006B26EB"/>
    <w:rsid w:val="006C745E"/>
    <w:rsid w:val="006D313E"/>
    <w:rsid w:val="006D6FB7"/>
    <w:rsid w:val="00737D94"/>
    <w:rsid w:val="007478A1"/>
    <w:rsid w:val="00761098"/>
    <w:rsid w:val="00767436"/>
    <w:rsid w:val="0076753A"/>
    <w:rsid w:val="00774B41"/>
    <w:rsid w:val="00774B91"/>
    <w:rsid w:val="00775BDB"/>
    <w:rsid w:val="00776636"/>
    <w:rsid w:val="0078082C"/>
    <w:rsid w:val="00787167"/>
    <w:rsid w:val="007C496B"/>
    <w:rsid w:val="00810668"/>
    <w:rsid w:val="00812F32"/>
    <w:rsid w:val="00820107"/>
    <w:rsid w:val="008311D8"/>
    <w:rsid w:val="0085671B"/>
    <w:rsid w:val="00863003"/>
    <w:rsid w:val="00867B86"/>
    <w:rsid w:val="00871666"/>
    <w:rsid w:val="00871B9E"/>
    <w:rsid w:val="008730F8"/>
    <w:rsid w:val="008937E5"/>
    <w:rsid w:val="008D325C"/>
    <w:rsid w:val="008E079C"/>
    <w:rsid w:val="008F1C73"/>
    <w:rsid w:val="00914123"/>
    <w:rsid w:val="00916679"/>
    <w:rsid w:val="0092333A"/>
    <w:rsid w:val="00925120"/>
    <w:rsid w:val="00946A5B"/>
    <w:rsid w:val="00947AAE"/>
    <w:rsid w:val="0096247B"/>
    <w:rsid w:val="00963FE4"/>
    <w:rsid w:val="0096799C"/>
    <w:rsid w:val="00974B05"/>
    <w:rsid w:val="00996AEB"/>
    <w:rsid w:val="009B5330"/>
    <w:rsid w:val="009B6FD8"/>
    <w:rsid w:val="009C6D41"/>
    <w:rsid w:val="009D0386"/>
    <w:rsid w:val="00A06EE5"/>
    <w:rsid w:val="00A11C5E"/>
    <w:rsid w:val="00A34D3E"/>
    <w:rsid w:val="00A503A3"/>
    <w:rsid w:val="00A6680E"/>
    <w:rsid w:val="00A73742"/>
    <w:rsid w:val="00A941E5"/>
    <w:rsid w:val="00A956E2"/>
    <w:rsid w:val="00AA2083"/>
    <w:rsid w:val="00AA2E70"/>
    <w:rsid w:val="00AA3804"/>
    <w:rsid w:val="00AC157A"/>
    <w:rsid w:val="00AC23EB"/>
    <w:rsid w:val="00AD3BFC"/>
    <w:rsid w:val="00AF19ED"/>
    <w:rsid w:val="00AF34A0"/>
    <w:rsid w:val="00AF5640"/>
    <w:rsid w:val="00B07CB7"/>
    <w:rsid w:val="00B15AD7"/>
    <w:rsid w:val="00B50581"/>
    <w:rsid w:val="00B76572"/>
    <w:rsid w:val="00BC4E05"/>
    <w:rsid w:val="00BC66B1"/>
    <w:rsid w:val="00C1625E"/>
    <w:rsid w:val="00C3187B"/>
    <w:rsid w:val="00C42B44"/>
    <w:rsid w:val="00C55377"/>
    <w:rsid w:val="00C61E60"/>
    <w:rsid w:val="00C75917"/>
    <w:rsid w:val="00C9508D"/>
    <w:rsid w:val="00CB1A04"/>
    <w:rsid w:val="00CB4E6C"/>
    <w:rsid w:val="00CC2C5D"/>
    <w:rsid w:val="00CD58EE"/>
    <w:rsid w:val="00CF57D9"/>
    <w:rsid w:val="00D01EB1"/>
    <w:rsid w:val="00D15119"/>
    <w:rsid w:val="00D20574"/>
    <w:rsid w:val="00D27A6E"/>
    <w:rsid w:val="00D31DE1"/>
    <w:rsid w:val="00D455E4"/>
    <w:rsid w:val="00D57198"/>
    <w:rsid w:val="00D62B83"/>
    <w:rsid w:val="00D75932"/>
    <w:rsid w:val="00D822D9"/>
    <w:rsid w:val="00D912F2"/>
    <w:rsid w:val="00DA7C0E"/>
    <w:rsid w:val="00DB6157"/>
    <w:rsid w:val="00DB7551"/>
    <w:rsid w:val="00DC44FF"/>
    <w:rsid w:val="00DF3350"/>
    <w:rsid w:val="00E177FA"/>
    <w:rsid w:val="00E23943"/>
    <w:rsid w:val="00E25E27"/>
    <w:rsid w:val="00E30CD2"/>
    <w:rsid w:val="00E56242"/>
    <w:rsid w:val="00E81558"/>
    <w:rsid w:val="00E925EA"/>
    <w:rsid w:val="00EC7546"/>
    <w:rsid w:val="00ED3BFC"/>
    <w:rsid w:val="00EE1F6C"/>
    <w:rsid w:val="00F20DC2"/>
    <w:rsid w:val="00F31D46"/>
    <w:rsid w:val="00F45372"/>
    <w:rsid w:val="00F54323"/>
    <w:rsid w:val="00F879ED"/>
    <w:rsid w:val="00F90F4D"/>
    <w:rsid w:val="00FB38A8"/>
    <w:rsid w:val="00FC11C3"/>
    <w:rsid w:val="00FE0DE4"/>
    <w:rsid w:val="00FF61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39D7B2C-E09E-48EC-A81C-BA82C6B83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2333A"/>
    <w:pPr>
      <w:widowControl w:val="0"/>
      <w:autoSpaceDE w:val="0"/>
      <w:autoSpaceDN w:val="0"/>
      <w:adjustRightInd w:val="0"/>
      <w:spacing w:after="0" w:line="240" w:lineRule="auto"/>
    </w:pPr>
    <w:rPr>
      <w:rFonts w:ascii="Verdana" w:eastAsia="Times New Roman" w:hAnsi="Verdana" w:cs="Times New Roman"/>
      <w:sz w:val="20"/>
      <w:szCs w:val="20"/>
      <w:lang w:eastAsia="pl-PL"/>
    </w:rPr>
  </w:style>
  <w:style w:type="paragraph" w:styleId="Nagwek3">
    <w:name w:val="heading 3"/>
    <w:basedOn w:val="Normalny"/>
    <w:next w:val="Normalny"/>
    <w:link w:val="Nagwek3Znak"/>
    <w:qFormat/>
    <w:rsid w:val="00810668"/>
    <w:pPr>
      <w:keepNext/>
      <w:widowControl/>
      <w:autoSpaceDE/>
      <w:autoSpaceDN/>
      <w:adjustRightInd/>
      <w:spacing w:before="240" w:after="60"/>
      <w:outlineLvl w:val="2"/>
    </w:pPr>
    <w:rPr>
      <w:rFonts w:ascii="Arial" w:hAnsi="Arial" w:cs="Arial"/>
      <w:b/>
      <w:bCs/>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92333A"/>
    <w:rPr>
      <w:color w:val="0000FF"/>
      <w:u w:val="single"/>
    </w:rPr>
  </w:style>
  <w:style w:type="character" w:customStyle="1" w:styleId="Nagwek3Znak">
    <w:name w:val="Nagłówek 3 Znak"/>
    <w:basedOn w:val="Domylnaczcionkaakapitu"/>
    <w:link w:val="Nagwek3"/>
    <w:rsid w:val="00810668"/>
    <w:rPr>
      <w:rFonts w:ascii="Arial" w:eastAsia="Times New Roman" w:hAnsi="Arial" w:cs="Arial"/>
      <w:b/>
      <w:bCs/>
      <w:sz w:val="26"/>
      <w:szCs w:val="26"/>
      <w:lang w:eastAsia="pl-PL"/>
    </w:rPr>
  </w:style>
  <w:style w:type="paragraph" w:styleId="Tekstprzypisukocowego">
    <w:name w:val="endnote text"/>
    <w:basedOn w:val="Normalny"/>
    <w:link w:val="TekstprzypisukocowegoZnak"/>
    <w:uiPriority w:val="99"/>
    <w:semiHidden/>
    <w:unhideWhenUsed/>
    <w:rsid w:val="005805CA"/>
  </w:style>
  <w:style w:type="character" w:customStyle="1" w:styleId="TekstprzypisukocowegoZnak">
    <w:name w:val="Tekst przypisu końcowego Znak"/>
    <w:basedOn w:val="Domylnaczcionkaakapitu"/>
    <w:link w:val="Tekstprzypisukocowego"/>
    <w:uiPriority w:val="99"/>
    <w:semiHidden/>
    <w:rsid w:val="005805CA"/>
    <w:rPr>
      <w:rFonts w:ascii="Verdana" w:eastAsia="Times New Roman" w:hAnsi="Verdana" w:cs="Times New Roman"/>
      <w:sz w:val="20"/>
      <w:szCs w:val="20"/>
      <w:lang w:eastAsia="pl-PL"/>
    </w:rPr>
  </w:style>
  <w:style w:type="character" w:styleId="Odwoanieprzypisukocowego">
    <w:name w:val="endnote reference"/>
    <w:basedOn w:val="Domylnaczcionkaakapitu"/>
    <w:uiPriority w:val="99"/>
    <w:semiHidden/>
    <w:unhideWhenUsed/>
    <w:rsid w:val="005805CA"/>
    <w:rPr>
      <w:vertAlign w:val="superscript"/>
    </w:rPr>
  </w:style>
  <w:style w:type="paragraph" w:styleId="Nagwek">
    <w:name w:val="header"/>
    <w:basedOn w:val="Normalny"/>
    <w:link w:val="NagwekZnak"/>
    <w:uiPriority w:val="99"/>
    <w:unhideWhenUsed/>
    <w:rsid w:val="00616757"/>
    <w:pPr>
      <w:tabs>
        <w:tab w:val="center" w:pos="4536"/>
        <w:tab w:val="right" w:pos="9072"/>
      </w:tabs>
    </w:pPr>
  </w:style>
  <w:style w:type="character" w:customStyle="1" w:styleId="NagwekZnak">
    <w:name w:val="Nagłówek Znak"/>
    <w:basedOn w:val="Domylnaczcionkaakapitu"/>
    <w:link w:val="Nagwek"/>
    <w:uiPriority w:val="99"/>
    <w:rsid w:val="00616757"/>
    <w:rPr>
      <w:rFonts w:ascii="Verdana" w:eastAsia="Times New Roman" w:hAnsi="Verdana" w:cs="Times New Roman"/>
      <w:sz w:val="20"/>
      <w:szCs w:val="20"/>
      <w:lang w:eastAsia="pl-PL"/>
    </w:rPr>
  </w:style>
  <w:style w:type="paragraph" w:styleId="Stopka">
    <w:name w:val="footer"/>
    <w:basedOn w:val="Normalny"/>
    <w:link w:val="StopkaZnak"/>
    <w:uiPriority w:val="99"/>
    <w:semiHidden/>
    <w:unhideWhenUsed/>
    <w:rsid w:val="00616757"/>
    <w:pPr>
      <w:tabs>
        <w:tab w:val="center" w:pos="4536"/>
        <w:tab w:val="right" w:pos="9072"/>
      </w:tabs>
    </w:pPr>
  </w:style>
  <w:style w:type="character" w:customStyle="1" w:styleId="StopkaZnak">
    <w:name w:val="Stopka Znak"/>
    <w:basedOn w:val="Domylnaczcionkaakapitu"/>
    <w:link w:val="Stopka"/>
    <w:uiPriority w:val="99"/>
    <w:semiHidden/>
    <w:rsid w:val="00616757"/>
    <w:rPr>
      <w:rFonts w:ascii="Verdana" w:eastAsia="Times New Roman" w:hAnsi="Verdana" w:cs="Times New Roman"/>
      <w:sz w:val="20"/>
      <w:szCs w:val="20"/>
      <w:lang w:eastAsia="pl-PL"/>
    </w:rPr>
  </w:style>
  <w:style w:type="paragraph" w:styleId="Akapitzlist">
    <w:name w:val="List Paragraph"/>
    <w:basedOn w:val="Normalny"/>
    <w:uiPriority w:val="34"/>
    <w:qFormat/>
    <w:rsid w:val="008F1C73"/>
    <w:pPr>
      <w:ind w:left="720"/>
      <w:contextualSpacing/>
    </w:pPr>
  </w:style>
  <w:style w:type="paragraph" w:styleId="NormalnyWeb">
    <w:name w:val="Normal (Web)"/>
    <w:basedOn w:val="Normalny"/>
    <w:uiPriority w:val="99"/>
    <w:semiHidden/>
    <w:unhideWhenUsed/>
    <w:rsid w:val="0048032A"/>
    <w:pPr>
      <w:widowControl/>
      <w:autoSpaceDE/>
      <w:autoSpaceDN/>
      <w:adjustRightInd/>
      <w:spacing w:before="100" w:beforeAutospacing="1" w:after="100" w:afterAutospacing="1"/>
    </w:pPr>
    <w:rPr>
      <w:rFonts w:ascii="Times New Roman" w:hAnsi="Times New Roman"/>
      <w:sz w:val="24"/>
      <w:szCs w:val="24"/>
    </w:rPr>
  </w:style>
  <w:style w:type="paragraph" w:customStyle="1" w:styleId="xmsonormal">
    <w:name w:val="x_msonormal"/>
    <w:basedOn w:val="Normalny"/>
    <w:rsid w:val="00767436"/>
    <w:pPr>
      <w:widowControl/>
      <w:autoSpaceDE/>
      <w:autoSpaceDN/>
      <w:adjustRightInd/>
      <w:spacing w:before="100" w:beforeAutospacing="1" w:after="100" w:afterAutospacing="1"/>
    </w:pPr>
    <w:rPr>
      <w:rFonts w:ascii="Times New Roman" w:hAnsi="Times New Roman"/>
      <w:sz w:val="24"/>
      <w:szCs w:val="24"/>
    </w:rPr>
  </w:style>
  <w:style w:type="paragraph" w:styleId="Tekstdymka">
    <w:name w:val="Balloon Text"/>
    <w:basedOn w:val="Normalny"/>
    <w:link w:val="TekstdymkaZnak"/>
    <w:uiPriority w:val="99"/>
    <w:semiHidden/>
    <w:unhideWhenUsed/>
    <w:rsid w:val="00914123"/>
    <w:rPr>
      <w:rFonts w:ascii="Segoe UI" w:hAnsi="Segoe UI" w:cs="Segoe UI"/>
      <w:sz w:val="18"/>
      <w:szCs w:val="18"/>
    </w:rPr>
  </w:style>
  <w:style w:type="character" w:customStyle="1" w:styleId="TekstdymkaZnak">
    <w:name w:val="Tekst dymka Znak"/>
    <w:basedOn w:val="Domylnaczcionkaakapitu"/>
    <w:link w:val="Tekstdymka"/>
    <w:uiPriority w:val="99"/>
    <w:semiHidden/>
    <w:rsid w:val="00914123"/>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1733661">
      <w:bodyDiv w:val="1"/>
      <w:marLeft w:val="0"/>
      <w:marRight w:val="0"/>
      <w:marTop w:val="0"/>
      <w:marBottom w:val="0"/>
      <w:divBdr>
        <w:top w:val="none" w:sz="0" w:space="0" w:color="auto"/>
        <w:left w:val="none" w:sz="0" w:space="0" w:color="auto"/>
        <w:bottom w:val="none" w:sz="0" w:space="0" w:color="auto"/>
        <w:right w:val="none" w:sz="0" w:space="0" w:color="auto"/>
      </w:divBdr>
    </w:div>
    <w:div w:id="513299416">
      <w:bodyDiv w:val="1"/>
      <w:marLeft w:val="0"/>
      <w:marRight w:val="0"/>
      <w:marTop w:val="0"/>
      <w:marBottom w:val="0"/>
      <w:divBdr>
        <w:top w:val="none" w:sz="0" w:space="0" w:color="auto"/>
        <w:left w:val="none" w:sz="0" w:space="0" w:color="auto"/>
        <w:bottom w:val="none" w:sz="0" w:space="0" w:color="auto"/>
        <w:right w:val="none" w:sz="0" w:space="0" w:color="auto"/>
      </w:divBdr>
    </w:div>
    <w:div w:id="1669483319">
      <w:bodyDiv w:val="1"/>
      <w:marLeft w:val="0"/>
      <w:marRight w:val="0"/>
      <w:marTop w:val="0"/>
      <w:marBottom w:val="0"/>
      <w:divBdr>
        <w:top w:val="none" w:sz="0" w:space="0" w:color="auto"/>
        <w:left w:val="none" w:sz="0" w:space="0" w:color="auto"/>
        <w:bottom w:val="none" w:sz="0" w:space="0" w:color="auto"/>
        <w:right w:val="none" w:sz="0" w:space="0" w:color="auto"/>
      </w:divBdr>
      <w:divsChild>
        <w:div w:id="258104022">
          <w:marLeft w:val="0"/>
          <w:marRight w:val="0"/>
          <w:marTop w:val="0"/>
          <w:marBottom w:val="0"/>
          <w:divBdr>
            <w:top w:val="none" w:sz="0" w:space="0" w:color="auto"/>
            <w:left w:val="none" w:sz="0" w:space="0" w:color="auto"/>
            <w:bottom w:val="none" w:sz="0" w:space="0" w:color="auto"/>
            <w:right w:val="none" w:sz="0" w:space="0" w:color="auto"/>
          </w:divBdr>
          <w:divsChild>
            <w:div w:id="1800147679">
              <w:marLeft w:val="0"/>
              <w:marRight w:val="0"/>
              <w:marTop w:val="0"/>
              <w:marBottom w:val="0"/>
              <w:divBdr>
                <w:top w:val="none" w:sz="0" w:space="0" w:color="auto"/>
                <w:left w:val="none" w:sz="0" w:space="0" w:color="auto"/>
                <w:bottom w:val="none" w:sz="0" w:space="0" w:color="auto"/>
                <w:right w:val="none" w:sz="0" w:space="0" w:color="auto"/>
              </w:divBdr>
              <w:divsChild>
                <w:div w:id="642542225">
                  <w:marLeft w:val="0"/>
                  <w:marRight w:val="0"/>
                  <w:marTop w:val="0"/>
                  <w:marBottom w:val="0"/>
                  <w:divBdr>
                    <w:top w:val="none" w:sz="0" w:space="0" w:color="auto"/>
                    <w:left w:val="none" w:sz="0" w:space="0" w:color="auto"/>
                    <w:bottom w:val="none" w:sz="0" w:space="0" w:color="auto"/>
                    <w:right w:val="none" w:sz="0" w:space="0" w:color="auto"/>
                  </w:divBdr>
                  <w:divsChild>
                    <w:div w:id="1939485544">
                      <w:marLeft w:val="0"/>
                      <w:marRight w:val="0"/>
                      <w:marTop w:val="0"/>
                      <w:marBottom w:val="0"/>
                      <w:divBdr>
                        <w:top w:val="none" w:sz="0" w:space="0" w:color="auto"/>
                        <w:left w:val="none" w:sz="0" w:space="0" w:color="auto"/>
                        <w:bottom w:val="none" w:sz="0" w:space="0" w:color="auto"/>
                        <w:right w:val="none" w:sz="0" w:space="0" w:color="auto"/>
                      </w:divBdr>
                      <w:divsChild>
                        <w:div w:id="656762533">
                          <w:marLeft w:val="0"/>
                          <w:marRight w:val="0"/>
                          <w:marTop w:val="0"/>
                          <w:marBottom w:val="0"/>
                          <w:divBdr>
                            <w:top w:val="none" w:sz="0" w:space="0" w:color="auto"/>
                            <w:left w:val="none" w:sz="0" w:space="0" w:color="auto"/>
                            <w:bottom w:val="none" w:sz="0" w:space="0" w:color="auto"/>
                            <w:right w:val="none" w:sz="0" w:space="0" w:color="auto"/>
                          </w:divBdr>
                          <w:divsChild>
                            <w:div w:id="1148397812">
                              <w:marLeft w:val="0"/>
                              <w:marRight w:val="0"/>
                              <w:marTop w:val="0"/>
                              <w:marBottom w:val="0"/>
                              <w:divBdr>
                                <w:top w:val="none" w:sz="0" w:space="0" w:color="auto"/>
                                <w:left w:val="none" w:sz="0" w:space="0" w:color="auto"/>
                                <w:bottom w:val="none" w:sz="0" w:space="0" w:color="auto"/>
                                <w:right w:val="none" w:sz="0" w:space="0" w:color="auto"/>
                              </w:divBdr>
                              <w:divsChild>
                                <w:div w:id="243537433">
                                  <w:marLeft w:val="0"/>
                                  <w:marRight w:val="0"/>
                                  <w:marTop w:val="0"/>
                                  <w:marBottom w:val="0"/>
                                  <w:divBdr>
                                    <w:top w:val="none" w:sz="0" w:space="0" w:color="auto"/>
                                    <w:left w:val="none" w:sz="0" w:space="0" w:color="auto"/>
                                    <w:bottom w:val="none" w:sz="0" w:space="0" w:color="auto"/>
                                    <w:right w:val="none" w:sz="0" w:space="0" w:color="auto"/>
                                  </w:divBdr>
                                  <w:divsChild>
                                    <w:div w:id="753479964">
                                      <w:marLeft w:val="0"/>
                                      <w:marRight w:val="0"/>
                                      <w:marTop w:val="0"/>
                                      <w:marBottom w:val="0"/>
                                      <w:divBdr>
                                        <w:top w:val="none" w:sz="0" w:space="0" w:color="auto"/>
                                        <w:left w:val="none" w:sz="0" w:space="0" w:color="auto"/>
                                        <w:bottom w:val="none" w:sz="0" w:space="0" w:color="auto"/>
                                        <w:right w:val="none" w:sz="0" w:space="0" w:color="auto"/>
                                      </w:divBdr>
                                      <w:divsChild>
                                        <w:div w:id="1550146851">
                                          <w:marLeft w:val="0"/>
                                          <w:marRight w:val="0"/>
                                          <w:marTop w:val="0"/>
                                          <w:marBottom w:val="0"/>
                                          <w:divBdr>
                                            <w:top w:val="none" w:sz="0" w:space="0" w:color="auto"/>
                                            <w:left w:val="none" w:sz="0" w:space="0" w:color="auto"/>
                                            <w:bottom w:val="none" w:sz="0" w:space="0" w:color="auto"/>
                                            <w:right w:val="none" w:sz="0" w:space="0" w:color="auto"/>
                                          </w:divBdr>
                                          <w:divsChild>
                                            <w:div w:id="1027751285">
                                              <w:marLeft w:val="0"/>
                                              <w:marRight w:val="0"/>
                                              <w:marTop w:val="0"/>
                                              <w:marBottom w:val="0"/>
                                              <w:divBdr>
                                                <w:top w:val="none" w:sz="0" w:space="0" w:color="auto"/>
                                                <w:left w:val="none" w:sz="0" w:space="0" w:color="auto"/>
                                                <w:bottom w:val="none" w:sz="0" w:space="0" w:color="auto"/>
                                                <w:right w:val="none" w:sz="0" w:space="0" w:color="auto"/>
                                              </w:divBdr>
                                              <w:divsChild>
                                                <w:div w:id="650721472">
                                                  <w:marLeft w:val="0"/>
                                                  <w:marRight w:val="0"/>
                                                  <w:marTop w:val="0"/>
                                                  <w:marBottom w:val="0"/>
                                                  <w:divBdr>
                                                    <w:top w:val="none" w:sz="0" w:space="0" w:color="auto"/>
                                                    <w:left w:val="none" w:sz="0" w:space="0" w:color="auto"/>
                                                    <w:bottom w:val="none" w:sz="0" w:space="0" w:color="auto"/>
                                                    <w:right w:val="none" w:sz="0" w:space="0" w:color="auto"/>
                                                  </w:divBdr>
                                                  <w:divsChild>
                                                    <w:div w:id="1708867973">
                                                      <w:marLeft w:val="0"/>
                                                      <w:marRight w:val="0"/>
                                                      <w:marTop w:val="0"/>
                                                      <w:marBottom w:val="0"/>
                                                      <w:divBdr>
                                                        <w:top w:val="none" w:sz="0" w:space="0" w:color="auto"/>
                                                        <w:left w:val="none" w:sz="0" w:space="0" w:color="auto"/>
                                                        <w:bottom w:val="none" w:sz="0" w:space="0" w:color="auto"/>
                                                        <w:right w:val="none" w:sz="0" w:space="0" w:color="auto"/>
                                                      </w:divBdr>
                                                      <w:divsChild>
                                                        <w:div w:id="990907999">
                                                          <w:marLeft w:val="0"/>
                                                          <w:marRight w:val="0"/>
                                                          <w:marTop w:val="0"/>
                                                          <w:marBottom w:val="0"/>
                                                          <w:divBdr>
                                                            <w:top w:val="none" w:sz="0" w:space="0" w:color="auto"/>
                                                            <w:left w:val="none" w:sz="0" w:space="0" w:color="auto"/>
                                                            <w:bottom w:val="none" w:sz="0" w:space="0" w:color="auto"/>
                                                            <w:right w:val="none" w:sz="0" w:space="0" w:color="auto"/>
                                                          </w:divBdr>
                                                          <w:divsChild>
                                                            <w:div w:id="284311434">
                                                              <w:marLeft w:val="0"/>
                                                              <w:marRight w:val="0"/>
                                                              <w:marTop w:val="0"/>
                                                              <w:marBottom w:val="0"/>
                                                              <w:divBdr>
                                                                <w:top w:val="none" w:sz="0" w:space="0" w:color="auto"/>
                                                                <w:left w:val="none" w:sz="0" w:space="0" w:color="auto"/>
                                                                <w:bottom w:val="none" w:sz="0" w:space="0" w:color="auto"/>
                                                                <w:right w:val="none" w:sz="0" w:space="0" w:color="auto"/>
                                                              </w:divBdr>
                                                              <w:divsChild>
                                                                <w:div w:id="1782530106">
                                                                  <w:marLeft w:val="405"/>
                                                                  <w:marRight w:val="0"/>
                                                                  <w:marTop w:val="0"/>
                                                                  <w:marBottom w:val="0"/>
                                                                  <w:divBdr>
                                                                    <w:top w:val="none" w:sz="0" w:space="0" w:color="auto"/>
                                                                    <w:left w:val="none" w:sz="0" w:space="0" w:color="auto"/>
                                                                    <w:bottom w:val="none" w:sz="0" w:space="0" w:color="auto"/>
                                                                    <w:right w:val="none" w:sz="0" w:space="0" w:color="auto"/>
                                                                  </w:divBdr>
                                                                  <w:divsChild>
                                                                    <w:div w:id="608974341">
                                                                      <w:marLeft w:val="0"/>
                                                                      <w:marRight w:val="0"/>
                                                                      <w:marTop w:val="0"/>
                                                                      <w:marBottom w:val="0"/>
                                                                      <w:divBdr>
                                                                        <w:top w:val="none" w:sz="0" w:space="0" w:color="auto"/>
                                                                        <w:left w:val="none" w:sz="0" w:space="0" w:color="auto"/>
                                                                        <w:bottom w:val="none" w:sz="0" w:space="0" w:color="auto"/>
                                                                        <w:right w:val="none" w:sz="0" w:space="0" w:color="auto"/>
                                                                      </w:divBdr>
                                                                      <w:divsChild>
                                                                        <w:div w:id="1061059096">
                                                                          <w:marLeft w:val="0"/>
                                                                          <w:marRight w:val="0"/>
                                                                          <w:marTop w:val="0"/>
                                                                          <w:marBottom w:val="0"/>
                                                                          <w:divBdr>
                                                                            <w:top w:val="none" w:sz="0" w:space="0" w:color="auto"/>
                                                                            <w:left w:val="none" w:sz="0" w:space="0" w:color="auto"/>
                                                                            <w:bottom w:val="none" w:sz="0" w:space="0" w:color="auto"/>
                                                                            <w:right w:val="none" w:sz="0" w:space="0" w:color="auto"/>
                                                                          </w:divBdr>
                                                                          <w:divsChild>
                                                                            <w:div w:id="961811012">
                                                                              <w:marLeft w:val="0"/>
                                                                              <w:marRight w:val="0"/>
                                                                              <w:marTop w:val="60"/>
                                                                              <w:marBottom w:val="0"/>
                                                                              <w:divBdr>
                                                                                <w:top w:val="none" w:sz="0" w:space="0" w:color="auto"/>
                                                                                <w:left w:val="none" w:sz="0" w:space="0" w:color="auto"/>
                                                                                <w:bottom w:val="none" w:sz="0" w:space="0" w:color="auto"/>
                                                                                <w:right w:val="none" w:sz="0" w:space="0" w:color="auto"/>
                                                                              </w:divBdr>
                                                                              <w:divsChild>
                                                                                <w:div w:id="1104695083">
                                                                                  <w:marLeft w:val="0"/>
                                                                                  <w:marRight w:val="0"/>
                                                                                  <w:marTop w:val="0"/>
                                                                                  <w:marBottom w:val="0"/>
                                                                                  <w:divBdr>
                                                                                    <w:top w:val="none" w:sz="0" w:space="0" w:color="auto"/>
                                                                                    <w:left w:val="none" w:sz="0" w:space="0" w:color="auto"/>
                                                                                    <w:bottom w:val="none" w:sz="0" w:space="0" w:color="auto"/>
                                                                                    <w:right w:val="none" w:sz="0" w:space="0" w:color="auto"/>
                                                                                  </w:divBdr>
                                                                                  <w:divsChild>
                                                                                    <w:div w:id="1275671654">
                                                                                      <w:marLeft w:val="0"/>
                                                                                      <w:marRight w:val="0"/>
                                                                                      <w:marTop w:val="0"/>
                                                                                      <w:marBottom w:val="0"/>
                                                                                      <w:divBdr>
                                                                                        <w:top w:val="none" w:sz="0" w:space="0" w:color="auto"/>
                                                                                        <w:left w:val="none" w:sz="0" w:space="0" w:color="auto"/>
                                                                                        <w:bottom w:val="none" w:sz="0" w:space="0" w:color="auto"/>
                                                                                        <w:right w:val="none" w:sz="0" w:space="0" w:color="auto"/>
                                                                                      </w:divBdr>
                                                                                      <w:divsChild>
                                                                                        <w:div w:id="452017975">
                                                                                          <w:marLeft w:val="0"/>
                                                                                          <w:marRight w:val="0"/>
                                                                                          <w:marTop w:val="0"/>
                                                                                          <w:marBottom w:val="0"/>
                                                                                          <w:divBdr>
                                                                                            <w:top w:val="none" w:sz="0" w:space="0" w:color="auto"/>
                                                                                            <w:left w:val="none" w:sz="0" w:space="0" w:color="auto"/>
                                                                                            <w:bottom w:val="none" w:sz="0" w:space="0" w:color="auto"/>
                                                                                            <w:right w:val="none" w:sz="0" w:space="0" w:color="auto"/>
                                                                                          </w:divBdr>
                                                                                          <w:divsChild>
                                                                                            <w:div w:id="1790657982">
                                                                                              <w:marLeft w:val="0"/>
                                                                                              <w:marRight w:val="0"/>
                                                                                              <w:marTop w:val="0"/>
                                                                                              <w:marBottom w:val="0"/>
                                                                                              <w:divBdr>
                                                                                                <w:top w:val="none" w:sz="0" w:space="0" w:color="auto"/>
                                                                                                <w:left w:val="none" w:sz="0" w:space="0" w:color="auto"/>
                                                                                                <w:bottom w:val="none" w:sz="0" w:space="0" w:color="auto"/>
                                                                                                <w:right w:val="none" w:sz="0" w:space="0" w:color="auto"/>
                                                                                              </w:divBdr>
                                                                                              <w:divsChild>
                                                                                                <w:div w:id="388303195">
                                                                                                  <w:marLeft w:val="0"/>
                                                                                                  <w:marRight w:val="0"/>
                                                                                                  <w:marTop w:val="0"/>
                                                                                                  <w:marBottom w:val="0"/>
                                                                                                  <w:divBdr>
                                                                                                    <w:top w:val="none" w:sz="0" w:space="0" w:color="auto"/>
                                                                                                    <w:left w:val="none" w:sz="0" w:space="0" w:color="auto"/>
                                                                                                    <w:bottom w:val="none" w:sz="0" w:space="0" w:color="auto"/>
                                                                                                    <w:right w:val="none" w:sz="0" w:space="0" w:color="auto"/>
                                                                                                  </w:divBdr>
                                                                                                  <w:divsChild>
                                                                                                    <w:div w:id="1916619919">
                                                                                                      <w:marLeft w:val="0"/>
                                                                                                      <w:marRight w:val="0"/>
                                                                                                      <w:marTop w:val="0"/>
                                                                                                      <w:marBottom w:val="0"/>
                                                                                                      <w:divBdr>
                                                                                                        <w:top w:val="none" w:sz="0" w:space="0" w:color="auto"/>
                                                                                                        <w:left w:val="none" w:sz="0" w:space="0" w:color="auto"/>
                                                                                                        <w:bottom w:val="none" w:sz="0" w:space="0" w:color="auto"/>
                                                                                                        <w:right w:val="none" w:sz="0" w:space="0" w:color="auto"/>
                                                                                                      </w:divBdr>
                                                                                                      <w:divsChild>
                                                                                                        <w:div w:id="1392389059">
                                                                                                          <w:marLeft w:val="0"/>
                                                                                                          <w:marRight w:val="0"/>
                                                                                                          <w:marTop w:val="0"/>
                                                                                                          <w:marBottom w:val="0"/>
                                                                                                          <w:divBdr>
                                                                                                            <w:top w:val="none" w:sz="0" w:space="0" w:color="auto"/>
                                                                                                            <w:left w:val="none" w:sz="0" w:space="0" w:color="auto"/>
                                                                                                            <w:bottom w:val="none" w:sz="0" w:space="0" w:color="auto"/>
                                                                                                            <w:right w:val="none" w:sz="0" w:space="0" w:color="auto"/>
                                                                                                          </w:divBdr>
                                                                                                          <w:divsChild>
                                                                                                            <w:div w:id="138944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5439</Words>
  <Characters>32639</Characters>
  <Application>Microsoft Office Word</Application>
  <DocSecurity>0</DocSecurity>
  <Lines>271</Lines>
  <Paragraphs>76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 PiS</dc:creator>
  <cp:lastModifiedBy>Grażyna D. Grabowska</cp:lastModifiedBy>
  <cp:revision>2</cp:revision>
  <cp:lastPrinted>2016-09-30T06:19:00Z</cp:lastPrinted>
  <dcterms:created xsi:type="dcterms:W3CDTF">2016-09-30T14:07:00Z</dcterms:created>
  <dcterms:modified xsi:type="dcterms:W3CDTF">2016-09-30T14:07:00Z</dcterms:modified>
</cp:coreProperties>
</file>