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DF3" w:rsidRPr="00D35DF3" w:rsidRDefault="00D35DF3" w:rsidP="00D35DF3">
      <w:pPr>
        <w:pStyle w:val="TYTUAKTUprzedmiotregulacjiustawylubrozporzdzenia"/>
        <w:spacing w:before="0" w:after="240"/>
        <w:rPr>
          <w:rFonts w:ascii="Times New Roman" w:hAnsi="Times New Roman" w:cs="Times New Roman"/>
          <w:b w:val="0"/>
          <w:caps/>
        </w:rPr>
      </w:pPr>
      <w:bookmarkStart w:id="0" w:name="_GoBack"/>
      <w:bookmarkEnd w:id="0"/>
      <w:r w:rsidRPr="00D35DF3">
        <w:rPr>
          <w:rFonts w:ascii="Times New Roman" w:hAnsi="Times New Roman" w:cs="Times New Roman"/>
          <w:b w:val="0"/>
          <w:caps/>
        </w:rPr>
        <w:t>Uzasadnienie</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Do rozmiarów poważnego problemu natury ekonomicznej i społecznej urosło zjawisko wyłudzenia podatku od towarów i usług (VAT). W wyniku podejmowanych w tym kierunku działań, najczęściej przez zorganizowane grupy przestępcze, budżet państwa ponosi straty liczone nawet w dziesiątkach miliardów złotych rocznie.</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 xml:space="preserve">Metody wyłudzenia VAT należy podzielić na dwa rodzaje: dotyczące podatku należnego oraz dotyczące podatku naliczonego i zwrotu podatku. W tym zakresie można wskazać na najczęstsze sposoby dokonywania wyłudzeń: </w:t>
      </w:r>
    </w:p>
    <w:p w:rsidR="00D35DF3" w:rsidRPr="00D35DF3" w:rsidRDefault="00D35DF3" w:rsidP="00D35DF3">
      <w:pPr>
        <w:pStyle w:val="ARTartustawynprozporzdzenia"/>
        <w:numPr>
          <w:ilvl w:val="0"/>
          <w:numId w:val="1"/>
        </w:numPr>
        <w:rPr>
          <w:rFonts w:ascii="Times New Roman" w:hAnsi="Times New Roman" w:cs="Times New Roman"/>
        </w:rPr>
      </w:pPr>
      <w:r w:rsidRPr="00D35DF3">
        <w:rPr>
          <w:rFonts w:ascii="Times New Roman" w:hAnsi="Times New Roman" w:cs="Times New Roman"/>
        </w:rPr>
        <w:t xml:space="preserve">wystawianie faktur przez podmiot rzeczywiście istniejący, który nie wykonał czynności, która to czynność miała w rzeczywistości miejsce, lecz podatnikiem był ktoś inny, </w:t>
      </w:r>
    </w:p>
    <w:p w:rsidR="00D35DF3" w:rsidRPr="00D35DF3" w:rsidRDefault="00D35DF3" w:rsidP="00D35DF3">
      <w:pPr>
        <w:pStyle w:val="ARTartustawynprozporzdzenia"/>
        <w:numPr>
          <w:ilvl w:val="0"/>
          <w:numId w:val="1"/>
        </w:numPr>
        <w:rPr>
          <w:rFonts w:ascii="Times New Roman" w:hAnsi="Times New Roman" w:cs="Times New Roman"/>
        </w:rPr>
      </w:pPr>
      <w:r w:rsidRPr="00D35DF3">
        <w:rPr>
          <w:rFonts w:ascii="Times New Roman" w:hAnsi="Times New Roman" w:cs="Times New Roman"/>
        </w:rPr>
        <w:t xml:space="preserve">wystawianie faktur z tytułu czynności, które obiektywnie w ogóle nie miały miejsca, </w:t>
      </w:r>
    </w:p>
    <w:p w:rsidR="00D35DF3" w:rsidRPr="00D35DF3" w:rsidRDefault="00D35DF3" w:rsidP="00D35DF3">
      <w:pPr>
        <w:pStyle w:val="ARTartustawynprozporzdzenia"/>
        <w:numPr>
          <w:ilvl w:val="0"/>
          <w:numId w:val="1"/>
        </w:numPr>
        <w:rPr>
          <w:rFonts w:ascii="Times New Roman" w:hAnsi="Times New Roman" w:cs="Times New Roman"/>
        </w:rPr>
      </w:pPr>
      <w:r w:rsidRPr="00D35DF3">
        <w:rPr>
          <w:rFonts w:ascii="Times New Roman" w:hAnsi="Times New Roman" w:cs="Times New Roman"/>
        </w:rPr>
        <w:t>wystawianie faktur przez podmiot całkiem fikcyjny, który powstał tylko po to, aby wystawić te dokumenty,</w:t>
      </w:r>
    </w:p>
    <w:p w:rsidR="00D35DF3" w:rsidRPr="00D35DF3" w:rsidRDefault="00D35DF3" w:rsidP="00D35DF3">
      <w:pPr>
        <w:pStyle w:val="ARTartustawynprozporzdzenia"/>
        <w:numPr>
          <w:ilvl w:val="0"/>
          <w:numId w:val="1"/>
        </w:numPr>
        <w:rPr>
          <w:rFonts w:ascii="Times New Roman" w:hAnsi="Times New Roman" w:cs="Times New Roman"/>
        </w:rPr>
      </w:pPr>
      <w:r w:rsidRPr="00D35DF3">
        <w:rPr>
          <w:rFonts w:ascii="Times New Roman" w:hAnsi="Times New Roman" w:cs="Times New Roman"/>
        </w:rPr>
        <w:t>wystawianie faktur i dokumentów celnych na czynność pozorną, czyli obiektywnie istniejącą, ale ukrywającą inne zdarzenie, które było w rzeczywistości inną transakcją,</w:t>
      </w:r>
    </w:p>
    <w:p w:rsidR="00D35DF3" w:rsidRPr="00D35DF3" w:rsidRDefault="00D35DF3" w:rsidP="00D35DF3">
      <w:pPr>
        <w:pStyle w:val="ARTartustawynprozporzdzenia"/>
        <w:numPr>
          <w:ilvl w:val="0"/>
          <w:numId w:val="1"/>
        </w:numPr>
        <w:rPr>
          <w:rFonts w:ascii="Times New Roman" w:hAnsi="Times New Roman" w:cs="Times New Roman"/>
        </w:rPr>
      </w:pPr>
      <w:r w:rsidRPr="00D35DF3">
        <w:rPr>
          <w:rFonts w:ascii="Times New Roman" w:hAnsi="Times New Roman" w:cs="Times New Roman"/>
        </w:rPr>
        <w:t>dostawa towaru, który faktycznie nie opuszcza kraju, jest deklarowana jako dostawa wewnątrzwspólnotowa towarów lub eksport (fikcyjny wywóz),</w:t>
      </w:r>
    </w:p>
    <w:p w:rsidR="00D35DF3" w:rsidRPr="00D35DF3" w:rsidRDefault="00D35DF3" w:rsidP="00D35DF3">
      <w:pPr>
        <w:pStyle w:val="ARTartustawynprozporzdzenia"/>
        <w:numPr>
          <w:ilvl w:val="0"/>
          <w:numId w:val="1"/>
        </w:numPr>
        <w:rPr>
          <w:rFonts w:ascii="Times New Roman" w:hAnsi="Times New Roman" w:cs="Times New Roman"/>
        </w:rPr>
      </w:pPr>
      <w:r w:rsidRPr="00D35DF3">
        <w:rPr>
          <w:rFonts w:ascii="Times New Roman" w:hAnsi="Times New Roman" w:cs="Times New Roman"/>
        </w:rPr>
        <w:t>usługi świadczone na terytorium kraju są opodatkowane stawką podstawową, lecz fikcyjne jest deklarowanie jako czynność opodatkowania stawką 0% lub stawką obniżoną (zaniżenie podatku należnego),</w:t>
      </w:r>
    </w:p>
    <w:p w:rsidR="00D35DF3" w:rsidRPr="00D35DF3" w:rsidRDefault="00D35DF3" w:rsidP="00D35DF3">
      <w:pPr>
        <w:pStyle w:val="ARTartustawynprozporzdzenia"/>
        <w:numPr>
          <w:ilvl w:val="0"/>
          <w:numId w:val="1"/>
        </w:numPr>
        <w:rPr>
          <w:rFonts w:ascii="Times New Roman" w:hAnsi="Times New Roman" w:cs="Times New Roman"/>
        </w:rPr>
      </w:pPr>
      <w:r w:rsidRPr="00D35DF3">
        <w:rPr>
          <w:rFonts w:ascii="Times New Roman" w:hAnsi="Times New Roman" w:cs="Times New Roman"/>
        </w:rPr>
        <w:t xml:space="preserve">usługi mają miejsce świadczenia na terytorium kraju, lecz są fikcyjne deklarowane jako wykonane poza terytorium kraju (fikcyjne miejsce świadczenia), </w:t>
      </w:r>
    </w:p>
    <w:p w:rsidR="00D35DF3" w:rsidRPr="00D35DF3" w:rsidRDefault="00D35DF3" w:rsidP="00D35DF3">
      <w:pPr>
        <w:pStyle w:val="ARTartustawynprozporzdzenia"/>
        <w:numPr>
          <w:ilvl w:val="0"/>
          <w:numId w:val="1"/>
        </w:numPr>
        <w:rPr>
          <w:rFonts w:ascii="Times New Roman" w:hAnsi="Times New Roman" w:cs="Times New Roman"/>
        </w:rPr>
      </w:pPr>
      <w:r w:rsidRPr="00D35DF3">
        <w:rPr>
          <w:rFonts w:ascii="Times New Roman" w:hAnsi="Times New Roman" w:cs="Times New Roman"/>
        </w:rPr>
        <w:t>deklarowanie dostawy towarów niewymienionych</w:t>
      </w:r>
      <w:r>
        <w:rPr>
          <w:rFonts w:ascii="Times New Roman" w:hAnsi="Times New Roman" w:cs="Times New Roman"/>
        </w:rPr>
        <w:t xml:space="preserve"> w załączniku nr 11 do ustawy o </w:t>
      </w:r>
      <w:r w:rsidRPr="00D35DF3">
        <w:rPr>
          <w:rFonts w:ascii="Times New Roman" w:hAnsi="Times New Roman" w:cs="Times New Roman"/>
        </w:rPr>
        <w:t>podatku od towarów i usług jako objętych „krajowym” odwrotnym obciążeniem (fikcyjny brak podmiotowości).</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 xml:space="preserve">Niezależnie od konieczności przeciwdziałania takim praktykom poprzez nowelizacje unormowań podatkowych i z zakresu postępowań administracyjnych oraz karno-skarbowych, projektodawca uznaje również za niezbędne zwalczanie zjawiska wyłudzenia podatku VAT przy użyciu instrumentów prawnokarnych. Chodzi bowiem o to, by tego typu zachowania </w:t>
      </w:r>
      <w:r w:rsidRPr="00D35DF3">
        <w:rPr>
          <w:rFonts w:ascii="Times New Roman" w:hAnsi="Times New Roman" w:cs="Times New Roman"/>
        </w:rPr>
        <w:lastRenderedPageBreak/>
        <w:t>zmierzające do nielegalnego uzyskania środków finansowych kosztem budżetu państwa stały się nieopłacalne, a odpowiednio surowa sankcja karna miała walor odstraszający potencjalnych sprawców. Jest bowiem oczywiste, że osoby popełniające przestępstwa karno-</w:t>
      </w:r>
      <w:r>
        <w:rPr>
          <w:rFonts w:ascii="Times New Roman" w:hAnsi="Times New Roman" w:cs="Times New Roman"/>
        </w:rPr>
        <w:br/>
        <w:t>-</w:t>
      </w:r>
      <w:r w:rsidRPr="00D35DF3">
        <w:rPr>
          <w:rFonts w:ascii="Times New Roman" w:hAnsi="Times New Roman" w:cs="Times New Roman"/>
        </w:rPr>
        <w:t xml:space="preserve">skarbowe w większym stopniu niż sprawcy przestępstw kryminalnych planują swe działania, dokonując swoistego rachunku zysków i strat związanych z ich popełnianiem. Zagrożenie tych czynów jedynie sankcjami wynikającymi z Kodeksu karnego skarbowego trudno uznać za wystarczające, szczególnie w sytuacji, gdy powodują one znaczne uszczuplenia dochodów budżetowych. Co do zasady zgodnie z Kodeksem karnym skarbowym kara pozbawienia wolności trwa najkrócej 5 dni, a najdłużej </w:t>
      </w:r>
      <w:r>
        <w:rPr>
          <w:rFonts w:ascii="Times New Roman" w:hAnsi="Times New Roman" w:cs="Times New Roman"/>
        </w:rPr>
        <w:t>–</w:t>
      </w:r>
      <w:r w:rsidRPr="00D35DF3">
        <w:rPr>
          <w:rFonts w:ascii="Times New Roman" w:hAnsi="Times New Roman" w:cs="Times New Roman"/>
        </w:rPr>
        <w:t xml:space="preserve"> 5 lat (art. 27 § 1 k.k.s.). Nawet jednak kara nadzwyczajnie obostrzona</w:t>
      </w:r>
      <w:r>
        <w:rPr>
          <w:rFonts w:ascii="Times New Roman" w:hAnsi="Times New Roman" w:cs="Times New Roman"/>
        </w:rPr>
        <w:t xml:space="preserve"> </w:t>
      </w:r>
      <w:r w:rsidRPr="00D35DF3">
        <w:rPr>
          <w:rFonts w:ascii="Times New Roman" w:hAnsi="Times New Roman" w:cs="Times New Roman"/>
        </w:rPr>
        <w:t>w trybie</w:t>
      </w:r>
      <w:r>
        <w:rPr>
          <w:rFonts w:ascii="Times New Roman" w:hAnsi="Times New Roman" w:cs="Times New Roman"/>
        </w:rPr>
        <w:t xml:space="preserve"> </w:t>
      </w:r>
      <w:r w:rsidRPr="00D35DF3">
        <w:rPr>
          <w:rFonts w:ascii="Times New Roman" w:hAnsi="Times New Roman" w:cs="Times New Roman"/>
        </w:rPr>
        <w:t>art. 38 § 2 k.k.s. nie może</w:t>
      </w:r>
      <w:r>
        <w:rPr>
          <w:rFonts w:ascii="Times New Roman" w:hAnsi="Times New Roman" w:cs="Times New Roman"/>
        </w:rPr>
        <w:t xml:space="preserve"> </w:t>
      </w:r>
      <w:r w:rsidRPr="00D35DF3">
        <w:rPr>
          <w:rFonts w:ascii="Times New Roman" w:hAnsi="Times New Roman" w:cs="Times New Roman"/>
        </w:rPr>
        <w:t>jednak</w:t>
      </w:r>
      <w:r>
        <w:rPr>
          <w:rFonts w:ascii="Times New Roman" w:hAnsi="Times New Roman" w:cs="Times New Roman"/>
        </w:rPr>
        <w:t xml:space="preserve"> </w:t>
      </w:r>
      <w:r w:rsidRPr="00D35DF3">
        <w:rPr>
          <w:rFonts w:ascii="Times New Roman" w:hAnsi="Times New Roman" w:cs="Times New Roman"/>
        </w:rPr>
        <w:t>przekroczyć</w:t>
      </w:r>
      <w:r>
        <w:rPr>
          <w:rFonts w:ascii="Times New Roman" w:hAnsi="Times New Roman" w:cs="Times New Roman"/>
        </w:rPr>
        <w:t xml:space="preserve"> </w:t>
      </w:r>
      <w:r w:rsidRPr="00D35DF3">
        <w:rPr>
          <w:rFonts w:ascii="Times New Roman" w:hAnsi="Times New Roman" w:cs="Times New Roman"/>
        </w:rPr>
        <w:t>10 lat kary pozbawienia wolności (art. 28 § 2 k.k.s.).</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 xml:space="preserve">Dla zilustrowania dotychczasowej praktyki wystarczy wskazać, że w okresie </w:t>
      </w:r>
      <w:r>
        <w:rPr>
          <w:rFonts w:ascii="Times New Roman" w:hAnsi="Times New Roman" w:cs="Times New Roman"/>
        </w:rPr>
        <w:br/>
      </w:r>
      <w:r w:rsidRPr="00D35DF3">
        <w:rPr>
          <w:rFonts w:ascii="Times New Roman" w:hAnsi="Times New Roman" w:cs="Times New Roman"/>
        </w:rPr>
        <w:t>2014</w:t>
      </w:r>
      <w:r>
        <w:rPr>
          <w:rFonts w:ascii="Times New Roman" w:hAnsi="Times New Roman" w:cs="Times New Roman"/>
        </w:rPr>
        <w:t>–</w:t>
      </w:r>
      <w:r w:rsidRPr="00D35DF3">
        <w:rPr>
          <w:rFonts w:ascii="Times New Roman" w:hAnsi="Times New Roman" w:cs="Times New Roman"/>
        </w:rPr>
        <w:t>2016, w sprawach, których przedmiotem były wyłudzenia nienależnego zwrotu podatku VAT co najmniej dużej wartości, zapadły wyroki wobec 253 osób, z czego jedynie 31 osób skazanych zostało na kary pozbawienia wolności bez warunkowego zawieszenia ich wykonania. Tylko w latach 2014</w:t>
      </w:r>
      <w:r w:rsidR="00CD78E2">
        <w:rPr>
          <w:rFonts w:ascii="Times New Roman" w:hAnsi="Times New Roman" w:cs="Times New Roman"/>
        </w:rPr>
        <w:t xml:space="preserve"> i </w:t>
      </w:r>
      <w:r w:rsidRPr="00D35DF3">
        <w:rPr>
          <w:rFonts w:ascii="Times New Roman" w:hAnsi="Times New Roman" w:cs="Times New Roman"/>
        </w:rPr>
        <w:t>2015 prowadzono postępowania przygotowawcze, których przedmiotem były wyłudzenia nienależnego zwrotu podatku VAT co najmniej dużej wartości w rozumieniu art. 53 § 15 k.k.s., w 360 sprawach, w których łączna kwota wyłudzonego podatku VAT wyniosła 9,9 mld zł (dane Prokuratury Krajowej).</w:t>
      </w:r>
      <w:r w:rsidRPr="00D35DF3">
        <w:rPr>
          <w:rFonts w:ascii="Times New Roman" w:hAnsi="Times New Roman" w:cs="Times New Roman"/>
          <w:color w:val="000000"/>
          <w:sz w:val="23"/>
          <w:szCs w:val="23"/>
        </w:rPr>
        <w:t xml:space="preserve"> </w:t>
      </w:r>
      <w:r w:rsidRPr="00D35DF3">
        <w:rPr>
          <w:rFonts w:ascii="Times New Roman" w:hAnsi="Times New Roman" w:cs="Times New Roman"/>
        </w:rPr>
        <w:t>Dzieje się tak pomimo alarmujących informacji o skali zjawiska, wręcz zagrażającej</w:t>
      </w:r>
      <w:r>
        <w:rPr>
          <w:rFonts w:ascii="Times New Roman" w:hAnsi="Times New Roman" w:cs="Times New Roman"/>
        </w:rPr>
        <w:t xml:space="preserve"> stabilności budżetu państwa. Z </w:t>
      </w:r>
      <w:r w:rsidRPr="00D35DF3">
        <w:rPr>
          <w:rFonts w:ascii="Times New Roman" w:hAnsi="Times New Roman" w:cs="Times New Roman"/>
        </w:rPr>
        <w:t>danych Najwyższ</w:t>
      </w:r>
      <w:r w:rsidR="00AE6681">
        <w:rPr>
          <w:rFonts w:ascii="Times New Roman" w:hAnsi="Times New Roman" w:cs="Times New Roman"/>
        </w:rPr>
        <w:t>ej</w:t>
      </w:r>
      <w:r w:rsidRPr="00D35DF3">
        <w:rPr>
          <w:rFonts w:ascii="Times New Roman" w:hAnsi="Times New Roman" w:cs="Times New Roman"/>
        </w:rPr>
        <w:t xml:space="preserve"> Izb</w:t>
      </w:r>
      <w:r w:rsidR="00AE6681">
        <w:rPr>
          <w:rFonts w:ascii="Times New Roman" w:hAnsi="Times New Roman" w:cs="Times New Roman"/>
        </w:rPr>
        <w:t>y</w:t>
      </w:r>
      <w:r w:rsidRPr="00D35DF3">
        <w:rPr>
          <w:rFonts w:ascii="Times New Roman" w:hAnsi="Times New Roman" w:cs="Times New Roman"/>
        </w:rPr>
        <w:t xml:space="preserve"> Kontroli (opublikowanych na stronie internetowej https://www.nik.gov.pl/aktualnosci/nik-o-przeciwdzialaniu-wyludzaniu-vat.html) wynika, że systematycznie wzrasta, liczona przede wszystkim kwotowo, wielkość wykrytych przez organy kontroli skarbowej czynności fikcyjnych. W</w:t>
      </w:r>
      <w:r w:rsidR="00CD78E2">
        <w:rPr>
          <w:rFonts w:ascii="Times New Roman" w:hAnsi="Times New Roman" w:cs="Times New Roman"/>
        </w:rPr>
        <w:t> </w:t>
      </w:r>
      <w:r w:rsidRPr="00D35DF3">
        <w:rPr>
          <w:rFonts w:ascii="Times New Roman" w:hAnsi="Times New Roman" w:cs="Times New Roman"/>
        </w:rPr>
        <w:t>2013 r. organy kontroli skarbowej wykryły fikcyjne faktury na kwotę 19,7 mld zł, w </w:t>
      </w:r>
      <w:r>
        <w:rPr>
          <w:rFonts w:ascii="Times New Roman" w:hAnsi="Times New Roman" w:cs="Times New Roman"/>
        </w:rPr>
        <w:t>2014 r. na kwotę 33,7 mld zł, a </w:t>
      </w:r>
      <w:r w:rsidRPr="00D35DF3">
        <w:rPr>
          <w:rFonts w:ascii="Times New Roman" w:hAnsi="Times New Roman" w:cs="Times New Roman"/>
        </w:rPr>
        <w:t>w 2015 r. już na kwotę 81,9 mld zł. </w:t>
      </w:r>
    </w:p>
    <w:p w:rsidR="00AE6681" w:rsidRPr="00AE6681" w:rsidRDefault="00D35DF3" w:rsidP="00AE6681">
      <w:pPr>
        <w:pStyle w:val="ARTartustawynprozporzdzenia"/>
        <w:rPr>
          <w:rFonts w:ascii="Times New Roman" w:hAnsi="Times New Roman" w:cs="Times New Roman"/>
        </w:rPr>
      </w:pPr>
      <w:r w:rsidRPr="00D35DF3">
        <w:rPr>
          <w:rFonts w:ascii="Times New Roman" w:hAnsi="Times New Roman" w:cs="Times New Roman"/>
        </w:rPr>
        <w:t>Powyższe dane przekonują, że istniejący stan prawny i praktyka organów wymiaru sprawiedliwości na gruncie stosowania przepisów Kodeksu karnego skarbowego są daleko niewystarczające i niezapewniające ochrony podstawowych interesów majątkowych Skarbu Państwa.</w:t>
      </w:r>
      <w:r w:rsidR="00AE6681">
        <w:rPr>
          <w:rFonts w:ascii="Times New Roman" w:hAnsi="Times New Roman" w:cs="Times New Roman"/>
        </w:rPr>
        <w:t xml:space="preserve"> </w:t>
      </w:r>
      <w:r w:rsidR="00AE6681" w:rsidRPr="00AE6681">
        <w:rPr>
          <w:rFonts w:ascii="Times New Roman" w:hAnsi="Times New Roman" w:cs="Times New Roman"/>
        </w:rPr>
        <w:t>Przykładem rozzuchwalenia osób wyłudzających VAT i organizujących karuzele VAT może być wręcz używanie w firmach podmiotów gospodarczych służących do tego procederu wyrażeń wprost wsk</w:t>
      </w:r>
      <w:r w:rsidR="00AE6681">
        <w:rPr>
          <w:rFonts w:ascii="Times New Roman" w:hAnsi="Times New Roman" w:cs="Times New Roman"/>
        </w:rPr>
        <w:t>azujących na taki ich charakter,</w:t>
      </w:r>
      <w:r w:rsidR="00AE6681" w:rsidRPr="00AE6681">
        <w:rPr>
          <w:rFonts w:ascii="Times New Roman" w:hAnsi="Times New Roman" w:cs="Times New Roman"/>
        </w:rPr>
        <w:t xml:space="preserve"> np. „Karuzel…”.</w:t>
      </w:r>
    </w:p>
    <w:p w:rsidR="00D35DF3" w:rsidRPr="00D35DF3" w:rsidRDefault="00AE6681" w:rsidP="00AE6681">
      <w:pPr>
        <w:pStyle w:val="ARTartustawynprozporzdzenia"/>
        <w:rPr>
          <w:rFonts w:ascii="Times New Roman" w:hAnsi="Times New Roman" w:cs="Times New Roman"/>
        </w:rPr>
      </w:pPr>
      <w:r w:rsidRPr="00AE6681">
        <w:rPr>
          <w:rFonts w:ascii="Times New Roman" w:hAnsi="Times New Roman" w:cs="Times New Roman"/>
        </w:rPr>
        <w:lastRenderedPageBreak/>
        <w:t>Z propozycją wprowadzenia dalej idącej ochrony prawnokarnej przed wyłudzeniami związanymi z podatkiem VAT występowali sami przedsiębiorcy, wskazując</w:t>
      </w:r>
      <w:r>
        <w:rPr>
          <w:rFonts w:ascii="Times New Roman" w:hAnsi="Times New Roman" w:cs="Times New Roman"/>
        </w:rPr>
        <w:t>,</w:t>
      </w:r>
      <w:r w:rsidRPr="00AE6681">
        <w:rPr>
          <w:rFonts w:ascii="Times New Roman" w:hAnsi="Times New Roman" w:cs="Times New Roman"/>
        </w:rPr>
        <w:t xml:space="preserve"> że działalność taka nie tylko zaburza w sposób istotny konkurencję i zasady wolnego rynku</w:t>
      </w:r>
      <w:r>
        <w:rPr>
          <w:rFonts w:ascii="Times New Roman" w:hAnsi="Times New Roman" w:cs="Times New Roman"/>
        </w:rPr>
        <w:t>,</w:t>
      </w:r>
      <w:r w:rsidRPr="00AE6681">
        <w:rPr>
          <w:rFonts w:ascii="Times New Roman" w:hAnsi="Times New Roman" w:cs="Times New Roman"/>
        </w:rPr>
        <w:t xml:space="preserve"> ale jest również swoistym zaproszeniem do przeniesienia działalności w całości do „czarnej strefy”. Opinie takie były zgłaszane Ministerstwu Sprawiedliwości m.in. przez firmy związane z handlem paliwami płynnymi, przemysłem tytoniowym czy spirytusowym. Na celowość takich działań wskazywała również organizacja działająca w ramach struktury ONZ – Global Compact Network Poland.</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Biorąc powyższe pod uwagę</w:t>
      </w:r>
      <w:r w:rsidR="00CD78E2">
        <w:rPr>
          <w:rFonts w:ascii="Times New Roman" w:hAnsi="Times New Roman" w:cs="Times New Roman"/>
        </w:rPr>
        <w:t>,</w:t>
      </w:r>
      <w:r w:rsidRPr="00D35DF3">
        <w:rPr>
          <w:rFonts w:ascii="Times New Roman" w:hAnsi="Times New Roman" w:cs="Times New Roman"/>
        </w:rPr>
        <w:t xml:space="preserve"> proponuje się objęcie c</w:t>
      </w:r>
      <w:r>
        <w:rPr>
          <w:rFonts w:ascii="Times New Roman" w:hAnsi="Times New Roman" w:cs="Times New Roman"/>
        </w:rPr>
        <w:t>zynów zabronionych związanych z </w:t>
      </w:r>
      <w:r w:rsidRPr="00D35DF3">
        <w:rPr>
          <w:rFonts w:ascii="Times New Roman" w:hAnsi="Times New Roman" w:cs="Times New Roman"/>
        </w:rPr>
        <w:t>wyłudzaniem podatku VAT szczególnymi regulacjam</w:t>
      </w:r>
      <w:r>
        <w:rPr>
          <w:rFonts w:ascii="Times New Roman" w:hAnsi="Times New Roman" w:cs="Times New Roman"/>
        </w:rPr>
        <w:t>i prawa karnego powszechnego, z </w:t>
      </w:r>
      <w:r w:rsidRPr="00D35DF3">
        <w:rPr>
          <w:rFonts w:ascii="Times New Roman" w:hAnsi="Times New Roman" w:cs="Times New Roman"/>
        </w:rPr>
        <w:t>zachowaniem możliwości kwalifikowania zachowań o mniejszej społecznej szkodliwości czynu (zwłaszcza jeżeli ich skutkiem będzie uszczuplenie dochodów budżetowych w niższej wysokości) z przepisów Kodeksu karnego skarbowego, w szczególności z jego art. 62 § 1 i 2. Istnieje oczywiście możliwość zbiegu kwalifikacji prawn</w:t>
      </w:r>
      <w:r>
        <w:rPr>
          <w:rFonts w:ascii="Times New Roman" w:hAnsi="Times New Roman" w:cs="Times New Roman"/>
        </w:rPr>
        <w:t>ych ustawy karnej powszechnej i </w:t>
      </w:r>
      <w:r w:rsidRPr="00D35DF3">
        <w:rPr>
          <w:rFonts w:ascii="Times New Roman" w:hAnsi="Times New Roman" w:cs="Times New Roman"/>
        </w:rPr>
        <w:t>skarbowej w odniesieniu do tego samego czynu zabronionego. Należy ją wówczas rozstrzygnąć w oparciu o dyspozycję art. 8 § 1 k.k.s., wedle której</w:t>
      </w:r>
      <w:r w:rsidR="00CD78E2">
        <w:rPr>
          <w:rFonts w:ascii="Times New Roman" w:hAnsi="Times New Roman" w:cs="Times New Roman"/>
        </w:rPr>
        <w:t>,</w:t>
      </w:r>
      <w:r w:rsidRPr="00D35DF3">
        <w:rPr>
          <w:rFonts w:ascii="Times New Roman" w:hAnsi="Times New Roman" w:cs="Times New Roman"/>
        </w:rPr>
        <w:t xml:space="preserve"> jeżeli ten sam czyn będący przestępstwem skarbowym lub wykroczeniem skarbowym wyczerpuje zarazem znamiona przestępstwa lub wykroczenia określonego w przepisach karnych innej ustawy, stosuje się każdy z tych przepisów. Wykonaniu podlega tylko najsurowsza z kar, co nie stoi na przeszkodzie wykonaniu środków karnych lub innych środków orzeczonych na podstawie wszystkich zbiegających się przepisów. Środki karne i środki zabezpieczające oraz dozór stosuje się, chociażby je orzeczono tylko na podstawie jednego ze zbiegających się przepisów; w razie orzeczenia za zbiegające się czyny zabronione zakazów tego samego rodzaju lub pozbawienia praw publicznych, sąd stosuje odpowiednio przepisy o karze łącznej. Jeżeli obok kary najsurowszej, która podlega wykonaniu, orzeczono także karę grzywny, również ta kara podlega łącznemu wykonaniu; w razie orzeczenia obok kary najsurowszej kilku kar grzywny, łącznemu wykonaniu podlega tylko najsurowsza kara grzywny (por. art. 8 § 2 i 3 k.k.s.). Konstrukcja określona w art. 8 k.k.s. oparta jest zatem w całości na odrzuceniu zasady, obowiązującej w sferze prawa karnego powszechnego, w zakresie zbiegu wewnętrznego przepisów kodeksu karnego skarbowego oraz w zakresie zbiegu przepisów określających wykroczenia powszechne, wedle której dla przyjęcia wielości przestępstw lub wykroczeń konieczna jest wielość czynów. W wyniku zas</w:t>
      </w:r>
      <w:r>
        <w:rPr>
          <w:rFonts w:ascii="Times New Roman" w:hAnsi="Times New Roman" w:cs="Times New Roman"/>
        </w:rPr>
        <w:t>tosowania dyrektywy wyrażonej w </w:t>
      </w:r>
      <w:r w:rsidRPr="00D35DF3">
        <w:rPr>
          <w:rFonts w:ascii="Times New Roman" w:hAnsi="Times New Roman" w:cs="Times New Roman"/>
        </w:rPr>
        <w:t xml:space="preserve">art. 8 k.k.s. sprawcy zostaje przypisanych tyle przestępstw lub wykroczeń, ile znamion typu </w:t>
      </w:r>
      <w:r w:rsidRPr="00D35DF3">
        <w:rPr>
          <w:rFonts w:ascii="Times New Roman" w:hAnsi="Times New Roman" w:cs="Times New Roman"/>
        </w:rPr>
        <w:lastRenderedPageBreak/>
        <w:t>czynu zabronionego określonych w zakresie zastosowania norm sankcjonujących zdekodowanych ze zbiegających się przepisów określających znamiona przestępstwa lub wykroczenia skarbowego oraz przestępstwa powszechnego lub wykroczenia powszechnego realizuje stanowiący podstawę prawnokarnej oceny ten sam</w:t>
      </w:r>
      <w:r>
        <w:rPr>
          <w:rFonts w:ascii="Times New Roman" w:hAnsi="Times New Roman" w:cs="Times New Roman"/>
        </w:rPr>
        <w:t xml:space="preserve"> czyn tego samego sprawcy (por. </w:t>
      </w:r>
      <w:r w:rsidRPr="00D35DF3">
        <w:rPr>
          <w:rFonts w:ascii="Times New Roman" w:hAnsi="Times New Roman" w:cs="Times New Roman"/>
        </w:rPr>
        <w:t>uzasadnienie wyroku SN z dnia 27 sierpnia 2008 r., IV KK 46/08, LEX nr 447300). Zagadnienie zbiegu norm prawa karnego powszechnego i skarbowego jest gruntownie omówione w literaturze i poddane analizie orzeczniczej, a przedmiotowy projekt nie wprowadza do tej dyskusji żadnych nowych elementów konstrukcyjnych.</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Założeniem projektowanych regulacji jest skoncentro</w:t>
      </w:r>
      <w:r>
        <w:rPr>
          <w:rFonts w:ascii="Times New Roman" w:hAnsi="Times New Roman" w:cs="Times New Roman"/>
        </w:rPr>
        <w:t>wanie się na przeciwdziałaniu i </w:t>
      </w:r>
      <w:r w:rsidRPr="00D35DF3">
        <w:rPr>
          <w:rFonts w:ascii="Times New Roman" w:hAnsi="Times New Roman" w:cs="Times New Roman"/>
        </w:rPr>
        <w:t>zwalczaniu przestępczości polegającej na tworzeniu nieprawdziwych, nierzetelnych dokumentów, które dotyczą okoliczności faktycznych mogących mieć znaczenie dla określenia należności publicznoprawnej. Sytuacja taka wprost prowadzi do wyłudzeń podatku VAT o bardzo rozległej dla finansów państwa skali. Takie ujęcie przedmiotu karalności jest bardziej właściwe dla prawa karnego powszechnego, gdyż represja skierowana przeciwko sprawcom uszczupleń należności publicznoprawnych jest domeną prawa karnego skarbowego. Z kolei</w:t>
      </w:r>
      <w:r w:rsidR="00CD78E2">
        <w:rPr>
          <w:rFonts w:ascii="Times New Roman" w:hAnsi="Times New Roman" w:cs="Times New Roman"/>
        </w:rPr>
        <w:t>,</w:t>
      </w:r>
      <w:r w:rsidRPr="00D35DF3">
        <w:rPr>
          <w:rFonts w:ascii="Times New Roman" w:hAnsi="Times New Roman" w:cs="Times New Roman"/>
        </w:rPr>
        <w:t xml:space="preserve"> koncentrując się na penalizacji przestępstw przeciwko dokumentom (wiarygodności faktur)</w:t>
      </w:r>
      <w:r w:rsidR="00CD78E2">
        <w:rPr>
          <w:rFonts w:ascii="Times New Roman" w:hAnsi="Times New Roman" w:cs="Times New Roman"/>
        </w:rPr>
        <w:t>,</w:t>
      </w:r>
      <w:r w:rsidRPr="00D35DF3">
        <w:rPr>
          <w:rFonts w:ascii="Times New Roman" w:hAnsi="Times New Roman" w:cs="Times New Roman"/>
        </w:rPr>
        <w:t xml:space="preserve"> można osiągnąć skutek w postaci unicestwienia najważniejszego instrumentu służącego wyłudzeniom podatku VAT. Ze wskazanych założeń wynika również formuła przyjęcia gradacji typów czynów zabronionych – podstawowego i kwalifikowanego. Są one uzależnione od wysokości kwoty należności ogółem, uwidocznionej na fakturze. Przyjąć trzeba bowiem, że przestępne działania w odniesieniu do faktur opiewających na wyższe kwoty należności mają prowadzić również do uzyskania nienależnych </w:t>
      </w:r>
      <w:r>
        <w:rPr>
          <w:rFonts w:ascii="Times New Roman" w:hAnsi="Times New Roman" w:cs="Times New Roman"/>
        </w:rPr>
        <w:t>zysków w </w:t>
      </w:r>
      <w:r w:rsidRPr="00D35DF3">
        <w:rPr>
          <w:rFonts w:ascii="Times New Roman" w:hAnsi="Times New Roman" w:cs="Times New Roman"/>
        </w:rPr>
        <w:t xml:space="preserve">większym rozmiarze. Biorąc pod uwagę to, że dobrem </w:t>
      </w:r>
      <w:r>
        <w:rPr>
          <w:rFonts w:ascii="Times New Roman" w:hAnsi="Times New Roman" w:cs="Times New Roman"/>
        </w:rPr>
        <w:t>chronionym prawem karnym jest w </w:t>
      </w:r>
      <w:r w:rsidRPr="00D35DF3">
        <w:rPr>
          <w:rFonts w:ascii="Times New Roman" w:hAnsi="Times New Roman" w:cs="Times New Roman"/>
        </w:rPr>
        <w:t>tym wypadku wiarygodność dokumentów, może się jednak w konkretnych wypadkach zdarzyć, że pomimo odniesienia się w fakturze do kwoty należności ogółem o znacznej lub wielkiej wartości, bezprawna korzyść majątkowa osiągnięta w ten sposób będzie relatywnie niewysoka. Wówczas, w takiej atypowej sytuacji</w:t>
      </w:r>
      <w:r w:rsidR="00CD78E2">
        <w:rPr>
          <w:rFonts w:ascii="Times New Roman" w:hAnsi="Times New Roman" w:cs="Times New Roman"/>
        </w:rPr>
        <w:t>,</w:t>
      </w:r>
      <w:r w:rsidRPr="00D35DF3">
        <w:rPr>
          <w:rFonts w:ascii="Times New Roman" w:hAnsi="Times New Roman" w:cs="Times New Roman"/>
        </w:rPr>
        <w:t xml:space="preserve"> będzie można skorzystać z przepisu statuującego uprzywilejowany typ czynu – wypadek mniejszej wagi (projektowane art. 2</w:t>
      </w:r>
      <w:r>
        <w:rPr>
          <w:rFonts w:ascii="Times New Roman" w:hAnsi="Times New Roman" w:cs="Times New Roman"/>
        </w:rPr>
        <w:t>70a § </w:t>
      </w:r>
      <w:r w:rsidRPr="00D35DF3">
        <w:rPr>
          <w:rFonts w:ascii="Times New Roman" w:hAnsi="Times New Roman" w:cs="Times New Roman"/>
        </w:rPr>
        <w:t xml:space="preserve">3, art. 271a § 3 k.k.). </w:t>
      </w:r>
      <w:r w:rsidR="008A0AF3">
        <w:t xml:space="preserve">Zastosowanie kwalifikacji związanej z wypadkiem mniejszej wagi może nastąpić niezależnie od kwoty wyszczególnionej na fakturze, bowiem możliwe są do przewidzenia również sytuacje, w których wystawienie faktury nawet na wielomilionowe kwoty nie wywoła istotnych negatywnych skutków. Przyjęcie kwalifikacji czynu jako wypadku mniejszej wagi z art. 270a § 3 lub art. 271a § 3 k.k. powoduje, że niezależnie od </w:t>
      </w:r>
      <w:r w:rsidR="008A0AF3">
        <w:lastRenderedPageBreak/>
        <w:t>wysokości należności wykazanej na fakturze czyn ten nie będzie podlegał kwalifikacji z art. 270a § 2 i art. 271a § 2 oraz art. 277a § 1 k.k. w myśl zasady specjalności wyłączania wielości ocen karnoprawnych.</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Projektodawca zdaje sobie sprawę, że proponowane zagrożenia karne czynów związanych z przestępstwami dotyczącymi należności wielkich wartości ogółem wskazanych w fakturach sytuują te czyny wśród przestępstw zagrożonych najsur</w:t>
      </w:r>
      <w:r>
        <w:rPr>
          <w:rFonts w:ascii="Times New Roman" w:hAnsi="Times New Roman" w:cs="Times New Roman"/>
        </w:rPr>
        <w:t>owszymi karami w </w:t>
      </w:r>
      <w:r w:rsidRPr="00D35DF3">
        <w:rPr>
          <w:rFonts w:ascii="Times New Roman" w:hAnsi="Times New Roman" w:cs="Times New Roman"/>
        </w:rPr>
        <w:t>systemie prawa polskiego, takimi jak zabójstwo (art. 148 § 1 i 2 k.k.), przestępstwa przeciwko pokojowi lub ludzkości oraz przestępstwa wojenne (np. art. 118 § 2 k.k., art. 122 k.k.). Zgodnie z zasadą proporcjonalności</w:t>
      </w:r>
      <w:r w:rsidR="003B465E">
        <w:rPr>
          <w:rFonts w:ascii="Times New Roman" w:hAnsi="Times New Roman" w:cs="Times New Roman"/>
        </w:rPr>
        <w:t>,</w:t>
      </w:r>
      <w:r w:rsidRPr="00D35DF3">
        <w:rPr>
          <w:rFonts w:ascii="Times New Roman" w:hAnsi="Times New Roman" w:cs="Times New Roman"/>
        </w:rPr>
        <w:t xml:space="preserve"> wyrażoną w art. 31 ust. 3 Konstytucji RP</w:t>
      </w:r>
      <w:r w:rsidR="003B465E">
        <w:rPr>
          <w:rFonts w:ascii="Times New Roman" w:hAnsi="Times New Roman" w:cs="Times New Roman"/>
        </w:rPr>
        <w:t>,</w:t>
      </w:r>
      <w:r w:rsidRPr="00D35DF3">
        <w:rPr>
          <w:rFonts w:ascii="Times New Roman" w:hAnsi="Times New Roman" w:cs="Times New Roman"/>
        </w:rPr>
        <w:t xml:space="preserve"> ograniczenia w zakresie korzystania z konstytucyjnych wolności i praw mogą być ustanawiane tylko w ustawie i tylko wtedy, gdy są konieczne w demokratycznym państwie dla jego bezpieczeństwa lub porządku publicznego bądź dla ochrony śro</w:t>
      </w:r>
      <w:r>
        <w:rPr>
          <w:rFonts w:ascii="Times New Roman" w:hAnsi="Times New Roman" w:cs="Times New Roman"/>
        </w:rPr>
        <w:t>dowiska, zdrowia i </w:t>
      </w:r>
      <w:r w:rsidRPr="00D35DF3">
        <w:rPr>
          <w:rFonts w:ascii="Times New Roman" w:hAnsi="Times New Roman" w:cs="Times New Roman"/>
        </w:rPr>
        <w:t>moralności publicznej albo wolności i praw innych osób. Z zasady tej wynika, że prawodawca</w:t>
      </w:r>
      <w:r w:rsidR="00CD78E2">
        <w:rPr>
          <w:rFonts w:ascii="Times New Roman" w:hAnsi="Times New Roman" w:cs="Times New Roman"/>
        </w:rPr>
        <w:t>,</w:t>
      </w:r>
      <w:r w:rsidRPr="00D35DF3">
        <w:rPr>
          <w:rFonts w:ascii="Times New Roman" w:hAnsi="Times New Roman" w:cs="Times New Roman"/>
        </w:rPr>
        <w:t xml:space="preserve"> wprowadzając ograniczenia w zakresie korzystan</w:t>
      </w:r>
      <w:r>
        <w:rPr>
          <w:rFonts w:ascii="Times New Roman" w:hAnsi="Times New Roman" w:cs="Times New Roman"/>
        </w:rPr>
        <w:t>ia z konstytucyjnych wolności i </w:t>
      </w:r>
      <w:r w:rsidRPr="00D35DF3">
        <w:rPr>
          <w:rFonts w:ascii="Times New Roman" w:hAnsi="Times New Roman" w:cs="Times New Roman"/>
        </w:rPr>
        <w:t>praw</w:t>
      </w:r>
      <w:r w:rsidR="00CD78E2">
        <w:rPr>
          <w:rFonts w:ascii="Times New Roman" w:hAnsi="Times New Roman" w:cs="Times New Roman"/>
        </w:rPr>
        <w:t>,</w:t>
      </w:r>
      <w:r w:rsidRPr="00D35DF3">
        <w:rPr>
          <w:rFonts w:ascii="Times New Roman" w:hAnsi="Times New Roman" w:cs="Times New Roman"/>
        </w:rPr>
        <w:t xml:space="preserve"> musi stwierdzić istnienie rzeczywistej potrzeby dokonania tej ingerencji, zaś z drugiej strony zasada ta winna być rozumiana jako wymóg stosowania takich środków prawnych, które będą skuteczne, a więc rzeczywiście służące realizacji zamierzonych przez prawodawcę celów. Niezbędność przyjętych przez ustawodawcę środków wyraża się w tym, że będą one chronić </w:t>
      </w:r>
      <w:r w:rsidR="007E0BA2">
        <w:rPr>
          <w:rFonts w:ascii="Times New Roman" w:hAnsi="Times New Roman" w:cs="Times New Roman"/>
        </w:rPr>
        <w:t xml:space="preserve">określone wartości w sposób </w:t>
      </w:r>
      <w:r w:rsidRPr="00D35DF3">
        <w:rPr>
          <w:rFonts w:ascii="Times New Roman" w:hAnsi="Times New Roman" w:cs="Times New Roman"/>
        </w:rPr>
        <w:t>bądź w stopniu, który nie mógłby być osiągnięty przez zastosowani</w:t>
      </w:r>
      <w:r w:rsidR="00CD78E2">
        <w:rPr>
          <w:rFonts w:ascii="Times New Roman" w:hAnsi="Times New Roman" w:cs="Times New Roman"/>
        </w:rPr>
        <w:t>e</w:t>
      </w:r>
      <w:r w:rsidRPr="00D35DF3">
        <w:rPr>
          <w:rFonts w:ascii="Times New Roman" w:hAnsi="Times New Roman" w:cs="Times New Roman"/>
        </w:rPr>
        <w:t xml:space="preserve"> innych środków (orzeczenia Trybunału Konstytucyjnego: z 26 stycznia 1993 r., U 10/92, OTK 1993, z. 1, poz. 2; z 26 kwietnia 1995 r., K 11/94, OTK 1995, z. 1, poz. 12). Podstawowym zagadnieniem jest unaocznienie, że straty Skarbu Państwa spowodowane wyłudzeniami związanymi z podatkiem VAT są bardzo </w:t>
      </w:r>
      <w:r>
        <w:rPr>
          <w:rFonts w:ascii="Times New Roman" w:hAnsi="Times New Roman" w:cs="Times New Roman"/>
        </w:rPr>
        <w:t>wysokie i znacząco odczuwalne w </w:t>
      </w:r>
      <w:r w:rsidRPr="00D35DF3">
        <w:rPr>
          <w:rFonts w:ascii="Times New Roman" w:hAnsi="Times New Roman" w:cs="Times New Roman"/>
        </w:rPr>
        <w:t xml:space="preserve">systemie budżetowym państwa – należności, które nie wpływają do budżetu </w:t>
      </w:r>
      <w:r w:rsidR="00CD78E2">
        <w:rPr>
          <w:rFonts w:ascii="Times New Roman" w:hAnsi="Times New Roman" w:cs="Times New Roman"/>
        </w:rPr>
        <w:t>p</w:t>
      </w:r>
      <w:r w:rsidRPr="00D35DF3">
        <w:rPr>
          <w:rFonts w:ascii="Times New Roman" w:hAnsi="Times New Roman" w:cs="Times New Roman"/>
        </w:rPr>
        <w:t>aństwa</w:t>
      </w:r>
      <w:r w:rsidR="00CD78E2">
        <w:rPr>
          <w:rFonts w:ascii="Times New Roman" w:hAnsi="Times New Roman" w:cs="Times New Roman"/>
        </w:rPr>
        <w:t>,</w:t>
      </w:r>
      <w:r w:rsidRPr="00D35DF3">
        <w:rPr>
          <w:rFonts w:ascii="Times New Roman" w:hAnsi="Times New Roman" w:cs="Times New Roman"/>
        </w:rPr>
        <w:t xml:space="preserve"> można liczyć w dziesiątkach miliardów złotych. Zwrócić trzeba w związku z tym uwagę, że zachowania związane z wyłudzeniami podatku VAT były również uprzednio zagrożone sankcjami karnymi. Zarówno jednak zagrożenia przewidziane w systemie prawa karnego skarbowego, jak i ujęcie znamion tych czynów – ściśle związane z koniecznością ustalenia uszczuplenia należności – powodowało, że ściganie tych czynów oraz orzekane kary nie zapewniały skutecznej walki z tą przestępczością. Środki o charakterze administracyjnoprawnym nie mogą być uznan</w:t>
      </w:r>
      <w:r w:rsidR="00CD78E2">
        <w:rPr>
          <w:rFonts w:ascii="Times New Roman" w:hAnsi="Times New Roman" w:cs="Times New Roman"/>
        </w:rPr>
        <w:t>e</w:t>
      </w:r>
      <w:r w:rsidRPr="00D35DF3">
        <w:rPr>
          <w:rFonts w:ascii="Times New Roman" w:hAnsi="Times New Roman" w:cs="Times New Roman"/>
        </w:rPr>
        <w:t xml:space="preserve"> w tym zakresie za skuteczne, gdyż ich dolegliwość nie przystaje w żadnym stopniu do rozmiarów szkód ogólnospołecznych spowodowanych tymi zachowaniami. Jeżeli chodzi o projektowaną wysokość kar za </w:t>
      </w:r>
      <w:r w:rsidRPr="00D35DF3">
        <w:rPr>
          <w:rFonts w:ascii="Times New Roman" w:hAnsi="Times New Roman" w:cs="Times New Roman"/>
        </w:rPr>
        <w:lastRenderedPageBreak/>
        <w:t xml:space="preserve">przestępstwa wskazane w projekcie, uzasadnione jest przyjęcie, że działalność polegająca na wyłudzeniu podatku VAT, ze względu na jej rozmiary, mogące wręcz zagrażać – z uwagi na dynamikę wzrostu uszczupleń – stabilności budżetu </w:t>
      </w:r>
      <w:r w:rsidR="00CD78E2">
        <w:rPr>
          <w:rFonts w:ascii="Times New Roman" w:hAnsi="Times New Roman" w:cs="Times New Roman"/>
        </w:rPr>
        <w:t>p</w:t>
      </w:r>
      <w:r w:rsidRPr="00D35DF3">
        <w:rPr>
          <w:rFonts w:ascii="Times New Roman" w:hAnsi="Times New Roman" w:cs="Times New Roman"/>
        </w:rPr>
        <w:t xml:space="preserve">aństwa, sytuują te czyny w jednym rzędzie z najpoważniejszymi przestępstwami przeciwko Rzeczypospolitej Polskiej. Ze względu na rozmiar tej przestępczej działalności, dotyka ona wprost społeczeństwa jako całości i każdego z jego członków z osobna. Budżet </w:t>
      </w:r>
      <w:r w:rsidR="00CD78E2">
        <w:rPr>
          <w:rFonts w:ascii="Times New Roman" w:hAnsi="Times New Roman" w:cs="Times New Roman"/>
        </w:rPr>
        <w:t>p</w:t>
      </w:r>
      <w:r w:rsidRPr="00D35DF3">
        <w:rPr>
          <w:rFonts w:ascii="Times New Roman" w:hAnsi="Times New Roman" w:cs="Times New Roman"/>
        </w:rPr>
        <w:t>aństwa w daleko mniejszym stopniu jest bowiem w stanie podołać potrzebom redystrybucyjnym.</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Konkludując, w ocenie projektodawcy zaproponowane rozwiązania prawnokarne spełniają zasadę proporcjonalności wyrażoną w art. 31 ust. 3 Konstytucji RP.</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Fakturą w rozumieniu projektu jest dokument, o który</w:t>
      </w:r>
      <w:r>
        <w:rPr>
          <w:rFonts w:ascii="Times New Roman" w:hAnsi="Times New Roman" w:cs="Times New Roman"/>
        </w:rPr>
        <w:t>m mowa w art. 2 pkt 31 ustawy z </w:t>
      </w:r>
      <w:r w:rsidRPr="00D35DF3">
        <w:rPr>
          <w:rFonts w:ascii="Times New Roman" w:hAnsi="Times New Roman" w:cs="Times New Roman"/>
        </w:rPr>
        <w:t xml:space="preserve">dnia 11 marca 2004 r. o podatku od towarów i usług (Dz. </w:t>
      </w:r>
      <w:r w:rsidR="002B65CE">
        <w:rPr>
          <w:rFonts w:ascii="Times New Roman" w:hAnsi="Times New Roman" w:cs="Times New Roman"/>
        </w:rPr>
        <w:t>U. z 2016 r. poz. 710, z późn. zm.</w:t>
      </w:r>
      <w:r w:rsidRPr="00D35DF3">
        <w:rPr>
          <w:rFonts w:ascii="Times New Roman" w:hAnsi="Times New Roman" w:cs="Times New Roman"/>
        </w:rPr>
        <w:t>). Należy mieć przy tym na względzie, że zgodnie z art. 2 pkt 32 tej ustawy fakturą jest również faktura elektroniczna, czyli faktura w formie elektron</w:t>
      </w:r>
      <w:r>
        <w:rPr>
          <w:rFonts w:ascii="Times New Roman" w:hAnsi="Times New Roman" w:cs="Times New Roman"/>
        </w:rPr>
        <w:t>icznej wystawiona i otrzymana w </w:t>
      </w:r>
      <w:r w:rsidRPr="00D35DF3">
        <w:rPr>
          <w:rFonts w:ascii="Times New Roman" w:hAnsi="Times New Roman" w:cs="Times New Roman"/>
        </w:rPr>
        <w:t>dowolnym formacie elektronicznym.</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Projekt ustawy przewiduje dodanie do Kodeksu karnego szczególnej postaci tzw. fałszu materialnego dokumentu w postaci faktury w zakresie okoliczności faktycznych mogących mieć znaczenie dla określenia wysokości należności publicznoprawnej lub jej zwrotu</w:t>
      </w:r>
      <w:r w:rsidR="008A0AF3">
        <w:rPr>
          <w:rFonts w:ascii="Times New Roman" w:hAnsi="Times New Roman" w:cs="Times New Roman"/>
        </w:rPr>
        <w:t xml:space="preserve"> </w:t>
      </w:r>
      <w:r w:rsidR="008A0AF3" w:rsidRPr="006158D2">
        <w:t>albo zwrotu innej należności o charakterze podatkowym</w:t>
      </w:r>
      <w:r w:rsidRPr="00D35DF3">
        <w:rPr>
          <w:rFonts w:ascii="Times New Roman" w:hAnsi="Times New Roman" w:cs="Times New Roman"/>
        </w:rPr>
        <w:t>. Zgodnie z projektowanym art. 270a k.k. karalne byłoby podrabianie lub przerabianie w celu użycia za autentyczną faktur</w:t>
      </w:r>
      <w:r w:rsidR="00CD78E2">
        <w:rPr>
          <w:rFonts w:ascii="Times New Roman" w:hAnsi="Times New Roman" w:cs="Times New Roman"/>
        </w:rPr>
        <w:t>y</w:t>
      </w:r>
      <w:r w:rsidRPr="00D35DF3">
        <w:rPr>
          <w:rFonts w:ascii="Times New Roman" w:hAnsi="Times New Roman" w:cs="Times New Roman"/>
        </w:rPr>
        <w:t xml:space="preserve"> w zakresie okoliczności faktycznych mogących mieć znaczenie dla określenia wysokości należności publicznoprawnej lub jej zwrotu </w:t>
      </w:r>
      <w:r w:rsidR="008A0AF3" w:rsidRPr="006158D2">
        <w:t>albo zwrotu innej należności o charakterze podatkowym</w:t>
      </w:r>
      <w:r w:rsidR="008A0AF3" w:rsidRPr="00D35DF3">
        <w:rPr>
          <w:rFonts w:ascii="Times New Roman" w:hAnsi="Times New Roman" w:cs="Times New Roman"/>
        </w:rPr>
        <w:t xml:space="preserve"> </w:t>
      </w:r>
      <w:r w:rsidRPr="00D35DF3">
        <w:rPr>
          <w:rFonts w:ascii="Times New Roman" w:hAnsi="Times New Roman" w:cs="Times New Roman"/>
        </w:rPr>
        <w:t>lub używanie takiej faktury jako autentycznej. Podstawowe zagrożenie karne tego</w:t>
      </w:r>
      <w:r>
        <w:rPr>
          <w:rFonts w:ascii="Times New Roman" w:hAnsi="Times New Roman" w:cs="Times New Roman"/>
        </w:rPr>
        <w:t xml:space="preserve"> czynu byłoby wyższe niż w art. </w:t>
      </w:r>
      <w:r w:rsidRPr="00D35DF3">
        <w:rPr>
          <w:rFonts w:ascii="Times New Roman" w:hAnsi="Times New Roman" w:cs="Times New Roman"/>
        </w:rPr>
        <w:t>270</w:t>
      </w:r>
      <w:r w:rsidR="003B465E">
        <w:rPr>
          <w:rFonts w:ascii="Times New Roman" w:hAnsi="Times New Roman" w:cs="Times New Roman"/>
        </w:rPr>
        <w:t xml:space="preserve"> k.k.</w:t>
      </w:r>
      <w:r w:rsidRPr="00D35DF3">
        <w:rPr>
          <w:rFonts w:ascii="Times New Roman" w:hAnsi="Times New Roman" w:cs="Times New Roman"/>
        </w:rPr>
        <w:t xml:space="preserve">, </w:t>
      </w:r>
      <w:r w:rsidR="008A0AF3">
        <w:rPr>
          <w:rFonts w:ascii="Times New Roman" w:hAnsi="Times New Roman" w:cs="Times New Roman"/>
        </w:rPr>
        <w:t>statuującym</w:t>
      </w:r>
      <w:r w:rsidRPr="00D35DF3">
        <w:rPr>
          <w:rFonts w:ascii="Times New Roman" w:hAnsi="Times New Roman" w:cs="Times New Roman"/>
        </w:rPr>
        <w:t xml:space="preserve"> podstawowy typ fałszu materialnego dokumentu, w postaci kary pozbawienia wolności od 6 miesięcy do lat 8. Przewidziano również typ kwalifikowany (ze względu na wielką wartość kwoty należności ogółem, które zawiera faktura, albo uczynienie z popełnienia przestępstwa stałego źródła dochodu), będący zbrodnią, oraz uprzywilejowany tego przestępstwa. W dyspozycji przepisu art. 270a § 1 k.k. jest mowa o pojedynczej fakturze, gdyż dla popełnienia tego czynu nie jest istotna kwota należności ogółem, na które opiewa faktura. Inaczej jest w odniesieniu do § 2 tego artykułu, który do takiej należności się odnosi, a może ona wynikać z jednej lub łącznie z więcej niż jedna faktur.</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 xml:space="preserve">Jeżeli chodzi o tzw. fałsz intelektualny, to podstawowym założeniem konstrukcji projektowanego art. 271a k.k. jest powiązanie karalności tego przestępstwa z ogólną </w:t>
      </w:r>
      <w:r w:rsidRPr="00D35DF3">
        <w:rPr>
          <w:rFonts w:ascii="Times New Roman" w:hAnsi="Times New Roman" w:cs="Times New Roman"/>
        </w:rPr>
        <w:lastRenderedPageBreak/>
        <w:t>wartością kwoty należności ogółem, którą zawiera faktura lub faktury, nie zaś z kwotą wartości uszczuplenia należności publicznoprawnej, która jest zamierzonym celem takiego przestępnego działania. Zabieg ten ma uprościć i zracjonalizować dowodzenie znamion tego czynu zabronionego, zwłaszcza poprzez rezygnac</w:t>
      </w:r>
      <w:r>
        <w:rPr>
          <w:rFonts w:ascii="Times New Roman" w:hAnsi="Times New Roman" w:cs="Times New Roman"/>
        </w:rPr>
        <w:t>ję z konieczności korzystania w </w:t>
      </w:r>
      <w:r w:rsidRPr="00D35DF3">
        <w:rPr>
          <w:rFonts w:ascii="Times New Roman" w:hAnsi="Times New Roman" w:cs="Times New Roman"/>
        </w:rPr>
        <w:t>postępowaniu przygotowawczym z wyników postępowania podatkowego, mającego na celu ustalenie kwoty uszczuplenia. Penalizowane ma być podanie w fakturze nieprawdy co do okoliczności mogących mieć znaczenie dla określenia wysokości należności publicznoprawnej lub używanie takiej faktury lub faktur. Odpowiedzialność na podstawie prawa karnego powszechnego z art. 271a k.k. ma odnosić się jedynie do faktury lub faktur, zawierających kwotę należności ogółem, której wartość lub łączna wartość jest znaczna lub wielka; w pozostałym zakresie czynów zabronionych o niższej abstrakcyjnej społecznej szkodliwości pozostaje odpowiedzialność na gruncie art. 62 k.k.s. lub art. 271 k.k. Przewidziano także uprzywilejowany typ przestępstwa fa</w:t>
      </w:r>
      <w:r>
        <w:rPr>
          <w:rFonts w:ascii="Times New Roman" w:hAnsi="Times New Roman" w:cs="Times New Roman"/>
        </w:rPr>
        <w:t>łszu intelektualnego faktury, w </w:t>
      </w:r>
      <w:r w:rsidRPr="00D35DF3">
        <w:rPr>
          <w:rFonts w:ascii="Times New Roman" w:hAnsi="Times New Roman" w:cs="Times New Roman"/>
        </w:rPr>
        <w:t xml:space="preserve">szczególności ze względu na niewielki rozmiar negatywnych następstw dla interesów majątkowych Skarbu Państwa. </w:t>
      </w:r>
    </w:p>
    <w:p w:rsid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 xml:space="preserve">Projekt </w:t>
      </w:r>
      <w:r w:rsidR="008A0AF3">
        <w:rPr>
          <w:rFonts w:ascii="Times New Roman" w:hAnsi="Times New Roman" w:cs="Times New Roman"/>
        </w:rPr>
        <w:t>wprowadza</w:t>
      </w:r>
      <w:r w:rsidRPr="00D35DF3">
        <w:rPr>
          <w:rFonts w:ascii="Times New Roman" w:hAnsi="Times New Roman" w:cs="Times New Roman"/>
        </w:rPr>
        <w:t xml:space="preserve"> także postać kwalifikowaną przestępstw określonych w art. 270a § 1 </w:t>
      </w:r>
      <w:r w:rsidR="008A0AF3">
        <w:rPr>
          <w:rFonts w:ascii="Times New Roman" w:hAnsi="Times New Roman" w:cs="Times New Roman"/>
        </w:rPr>
        <w:t>i</w:t>
      </w:r>
      <w:r w:rsidRPr="00D35DF3">
        <w:rPr>
          <w:rFonts w:ascii="Times New Roman" w:hAnsi="Times New Roman" w:cs="Times New Roman"/>
        </w:rPr>
        <w:t xml:space="preserve"> art. 271a § 1 k.k. w stosunku do faktury lub faktur, zawierających kwotę należności ogółem, której wartość lub łączna wartość jest większa niż pięciokrotność kwoty określającej mienie wielkiej wartości. Ten typ czynu miałby odnosić się w założeniu do członków największych zorganizowanych grup przestępczych, których działalność powoduje najpoważniejsze negatywne konsekwencje dla interesów majątkowych Skarbu Państwa, i być zbrodnią z zagrożeniem karą pozbawienia wolności na czas nie</w:t>
      </w:r>
      <w:r>
        <w:rPr>
          <w:rFonts w:ascii="Times New Roman" w:hAnsi="Times New Roman" w:cs="Times New Roman"/>
        </w:rPr>
        <w:t xml:space="preserve"> krótszy od lat 5 albo karze 25 </w:t>
      </w:r>
      <w:r w:rsidRPr="00D35DF3">
        <w:rPr>
          <w:rFonts w:ascii="Times New Roman" w:hAnsi="Times New Roman" w:cs="Times New Roman"/>
        </w:rPr>
        <w:t xml:space="preserve">lat pozbawienia wolności. W celu dalej idącego powiązania majątkowych konsekwencji skazania z wyrządzoną przez sprawców szkodą proponowany przepis art. 277b k.k. w razie skazania za przestępstwo </w:t>
      </w:r>
      <w:r w:rsidR="002B65CE">
        <w:rPr>
          <w:rFonts w:ascii="Times New Roman" w:hAnsi="Times New Roman" w:cs="Times New Roman"/>
        </w:rPr>
        <w:t xml:space="preserve">określone w art. 270a § 1 lub 2, art. 271a § 1 lub </w:t>
      </w:r>
      <w:r w:rsidRPr="00D35DF3">
        <w:rPr>
          <w:rFonts w:ascii="Times New Roman" w:hAnsi="Times New Roman" w:cs="Times New Roman"/>
        </w:rPr>
        <w:t>2 albo art. 277a k.k. przewiduje możliwość wymierzenia grzywny orzeczonej obok kary pozbawienia wolności w wysokości do 3000 stawek dziennych.</w:t>
      </w:r>
    </w:p>
    <w:p w:rsidR="008A0AF3" w:rsidRPr="008A0AF3" w:rsidRDefault="008A0AF3" w:rsidP="008A0AF3">
      <w:pPr>
        <w:widowControl/>
        <w:suppressAutoHyphens/>
        <w:spacing w:before="120"/>
        <w:ind w:firstLine="510"/>
        <w:jc w:val="both"/>
        <w:rPr>
          <w:rFonts w:ascii="Times" w:eastAsia="Times New Roman" w:hAnsi="Times"/>
          <w:lang w:val="pl"/>
        </w:rPr>
      </w:pPr>
      <w:r w:rsidRPr="008A0AF3">
        <w:rPr>
          <w:rFonts w:ascii="Times" w:eastAsia="Times New Roman" w:hAnsi="Times"/>
          <w:lang w:val="pl"/>
        </w:rPr>
        <w:t>Zastosowanie tego rodzaju sankcji jak kara pozbawienia wolności</w:t>
      </w:r>
      <w:r w:rsidRPr="00C91CB7">
        <w:rPr>
          <w:rFonts w:ascii="Times" w:eastAsia="Times New Roman" w:hAnsi="Times"/>
          <w:color w:val="000000" w:themeColor="text1"/>
          <w:lang w:val="pl"/>
        </w:rPr>
        <w:t xml:space="preserve"> do lat 15 i k</w:t>
      </w:r>
      <w:r w:rsidRPr="008A0AF3">
        <w:rPr>
          <w:rFonts w:ascii="Times" w:eastAsia="Times New Roman" w:hAnsi="Times"/>
          <w:lang w:val="pl"/>
        </w:rPr>
        <w:t>ara 25 lat pozbawienia wolności jest celowe ze względu na rozmiar szkód</w:t>
      </w:r>
      <w:r>
        <w:rPr>
          <w:rFonts w:ascii="Times" w:eastAsia="Times New Roman" w:hAnsi="Times"/>
          <w:lang w:val="pl"/>
        </w:rPr>
        <w:t>,</w:t>
      </w:r>
      <w:r w:rsidRPr="008A0AF3">
        <w:rPr>
          <w:rFonts w:ascii="Times" w:eastAsia="Times New Roman" w:hAnsi="Times"/>
          <w:lang w:val="pl"/>
        </w:rPr>
        <w:t xml:space="preserve"> jakie może wyrządzić masowe wyłudzanie podatku VAT. W odniesieniu do tego procederu dobrem chronionym przestaje być sam budżet państwa, a staje się wręcz bezpieczeństwo wewnętrzne i fundamenty funkcjonowania państwa. Tym samym czyny opisane w projektowanych przepisach stwarzają zagrożenie dla dóbr prawnych</w:t>
      </w:r>
      <w:r>
        <w:rPr>
          <w:rFonts w:ascii="Times" w:eastAsia="Times New Roman" w:hAnsi="Times"/>
          <w:lang w:val="pl"/>
        </w:rPr>
        <w:t>,</w:t>
      </w:r>
      <w:r w:rsidRPr="008A0AF3">
        <w:rPr>
          <w:rFonts w:ascii="Times" w:eastAsia="Times New Roman" w:hAnsi="Times"/>
          <w:lang w:val="pl"/>
        </w:rPr>
        <w:t xml:space="preserve"> takie jak niegdyś miało miejsce w odniesieniu do fałszowania </w:t>
      </w:r>
      <w:r w:rsidRPr="008A0AF3">
        <w:rPr>
          <w:rFonts w:ascii="Times" w:eastAsia="Times New Roman" w:hAnsi="Times"/>
          <w:lang w:val="pl"/>
        </w:rPr>
        <w:lastRenderedPageBreak/>
        <w:t>pieniędzy, a które obecnie zostało zmniejszone przez zastosowanie różnych zaawansowanych technologicznie sposobów zabezpieczania banknotów. Z tego względu zagrożenie karne powinno nawiązywać do przewidzianego w art. 310 § 1 k.k.</w:t>
      </w:r>
    </w:p>
    <w:p w:rsidR="008A0AF3" w:rsidRPr="008A0AF3" w:rsidRDefault="008A0AF3" w:rsidP="008A0AF3">
      <w:pPr>
        <w:widowControl/>
        <w:suppressAutoHyphens/>
        <w:spacing w:before="120"/>
        <w:ind w:firstLine="510"/>
        <w:jc w:val="both"/>
        <w:rPr>
          <w:rFonts w:ascii="Times" w:eastAsia="Times New Roman" w:hAnsi="Times" w:cs="Times New Roman"/>
          <w:szCs w:val="24"/>
        </w:rPr>
      </w:pPr>
      <w:r w:rsidRPr="008A0AF3">
        <w:rPr>
          <w:rFonts w:ascii="Times" w:eastAsia="Times New Roman" w:hAnsi="Times"/>
          <w:lang w:val="pl"/>
        </w:rPr>
        <w:t>Zagrożenia takie za przestępstwa natury gospodarczej znane są również innym porządkom prawnym. Przykładowo w Wielkiej Brytanii z</w:t>
      </w:r>
      <w:r w:rsidRPr="008A0AF3">
        <w:rPr>
          <w:rFonts w:ascii="Times" w:eastAsia="Times New Roman" w:hAnsi="Times" w:cs="Times New Roman"/>
          <w:szCs w:val="24"/>
        </w:rPr>
        <w:t xml:space="preserve">a przestępstwa dotyczące podatku VAT, co do zasady, przewidziane jest zagrożenie karą do 7 lat pozbawienia wolności. Orzekana jest również kara grzywny, która nie ma oznaczonej górnej granicy. Jednakże wyłudzenia podatku VAT znacznych rozmiarów traktowane są jako tzw. spisek w celu oszukania publicznego budżetu, który jest przestępstwem </w:t>
      </w:r>
      <w:r w:rsidRPr="008A0AF3">
        <w:rPr>
          <w:rFonts w:ascii="Times" w:eastAsia="Times New Roman" w:hAnsi="Times"/>
          <w:i/>
        </w:rPr>
        <w:t>common law</w:t>
      </w:r>
      <w:r w:rsidRPr="008A0AF3">
        <w:rPr>
          <w:rFonts w:ascii="Times" w:eastAsia="Times New Roman" w:hAnsi="Times" w:cs="Times New Roman"/>
          <w:szCs w:val="24"/>
        </w:rPr>
        <w:t xml:space="preserve"> i teoretycznie może za nie grozić nawet dożywocie. W praktyce najwyższą karę za udział w tzw. karuzeli VAT w</w:t>
      </w:r>
      <w:r>
        <w:rPr>
          <w:rFonts w:ascii="Times" w:eastAsia="Times New Roman" w:hAnsi="Times" w:cs="Times New Roman"/>
          <w:szCs w:val="24"/>
        </w:rPr>
        <w:t> </w:t>
      </w:r>
      <w:r w:rsidRPr="008A0AF3">
        <w:rPr>
          <w:rFonts w:ascii="Times" w:eastAsia="Times New Roman" w:hAnsi="Times" w:cs="Times New Roman"/>
          <w:szCs w:val="24"/>
          <w:lang w:val="pl"/>
        </w:rPr>
        <w:t>Wielkiej Brytanii orzeczono w stosunku do</w:t>
      </w:r>
      <w:r w:rsidRPr="008A0AF3">
        <w:rPr>
          <w:rFonts w:ascii="Times" w:eastAsia="Times New Roman" w:hAnsi="Times" w:cs="Times New Roman"/>
          <w:szCs w:val="24"/>
        </w:rPr>
        <w:t xml:space="preserve"> przedsiębiorcy Dilawar Ravjani i wynosiła ona 17 lat pozbawienia wolności, właśnie za tzw. spisek w celu oszukania publicznego budżetu.</w:t>
      </w:r>
      <w:r>
        <w:rPr>
          <w:rFonts w:ascii="Times" w:eastAsia="Times New Roman" w:hAnsi="Times" w:cs="Times New Roman"/>
          <w:szCs w:val="24"/>
        </w:rPr>
        <w:t xml:space="preserve"> </w:t>
      </w:r>
      <w:r w:rsidRPr="008A0AF3">
        <w:rPr>
          <w:rFonts w:ascii="Times" w:eastAsia="Times New Roman" w:hAnsi="Times" w:cs="Times New Roman"/>
          <w:szCs w:val="24"/>
        </w:rPr>
        <w:t>Nawet jednak kary wymierzane z obowiązującej w Wielkiej Brytanii ustawy o VAT, a więc do 7 lat pozbawienia wolności, są znacznie surowsze i zazwyczaj mają charakter bezwzględnego pozbawienia wolności.</w:t>
      </w:r>
    </w:p>
    <w:p w:rsidR="008A0AF3" w:rsidRPr="008A0AF3" w:rsidRDefault="008A0AF3" w:rsidP="008A0AF3">
      <w:pPr>
        <w:widowControl/>
        <w:suppressAutoHyphens/>
        <w:spacing w:before="120"/>
        <w:ind w:firstLine="510"/>
        <w:jc w:val="both"/>
        <w:rPr>
          <w:rFonts w:ascii="Times" w:eastAsia="Times New Roman" w:hAnsi="Times" w:cs="Times New Roman"/>
          <w:szCs w:val="24"/>
        </w:rPr>
      </w:pPr>
      <w:r w:rsidRPr="008A0AF3">
        <w:rPr>
          <w:rFonts w:ascii="Times" w:eastAsia="Times New Roman" w:hAnsi="Times" w:cs="Times New Roman"/>
          <w:szCs w:val="24"/>
        </w:rPr>
        <w:t>Kolejnym przykładem stosowania surowych kar jest prawodawstwo federalne i</w:t>
      </w:r>
      <w:r>
        <w:rPr>
          <w:rFonts w:ascii="Times" w:eastAsia="Times New Roman" w:hAnsi="Times" w:cs="Times New Roman"/>
          <w:szCs w:val="24"/>
        </w:rPr>
        <w:t> </w:t>
      </w:r>
      <w:r w:rsidRPr="008A0AF3">
        <w:rPr>
          <w:rFonts w:ascii="Times" w:eastAsia="Times New Roman" w:hAnsi="Times" w:cs="Times New Roman"/>
          <w:szCs w:val="24"/>
        </w:rPr>
        <w:t>prawodawstwo poszczególnych stanów USA, gdzie za przestępstwa skarbowe lub gospodarcze można być skazanym nawet na 150 lat pozbawienia wolności jak w przypadku znanego przedsiębiorcy Bernarda Madoffa.</w:t>
      </w:r>
    </w:p>
    <w:p w:rsid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Z uwagi</w:t>
      </w:r>
      <w:r w:rsidR="008A0AF3">
        <w:rPr>
          <w:rFonts w:ascii="Times New Roman" w:hAnsi="Times New Roman" w:cs="Times New Roman"/>
        </w:rPr>
        <w:t xml:space="preserve"> na to</w:t>
      </w:r>
      <w:r w:rsidRPr="00D35DF3">
        <w:rPr>
          <w:rFonts w:ascii="Times New Roman" w:hAnsi="Times New Roman" w:cs="Times New Roman"/>
        </w:rPr>
        <w:t xml:space="preserve">, że z formalnego punktu widzenia przestępstwa przeciwko wiarygodności dokumentów – faktur oderwane są od widocznej w perspektywie </w:t>
      </w:r>
      <w:r w:rsidR="008A0AF3">
        <w:rPr>
          <w:rFonts w:ascii="Times New Roman" w:hAnsi="Times New Roman" w:cs="Times New Roman"/>
        </w:rPr>
        <w:t xml:space="preserve">od ich </w:t>
      </w:r>
      <w:r w:rsidRPr="00D35DF3">
        <w:rPr>
          <w:rFonts w:ascii="Times New Roman" w:hAnsi="Times New Roman" w:cs="Times New Roman"/>
        </w:rPr>
        <w:t>konsekwencji w</w:t>
      </w:r>
      <w:r w:rsidR="008A0AF3">
        <w:rPr>
          <w:rFonts w:ascii="Times New Roman" w:hAnsi="Times New Roman" w:cs="Times New Roman"/>
        </w:rPr>
        <w:t> </w:t>
      </w:r>
      <w:r w:rsidRPr="00D35DF3">
        <w:rPr>
          <w:rFonts w:ascii="Times New Roman" w:hAnsi="Times New Roman" w:cs="Times New Roman"/>
        </w:rPr>
        <w:t>postaci uszczupleń należności podatkowych, wskazane w typach czynów kwoty dotyczą wyszczególnionych w fakturze lub fakturach, nie podlega więc badaniu faktyczna wartość towarów lub usług, o ile oczywiście towary te lub usługi rzeczywiście istnieją (faktura może stwierdzać fikcyjną operację handlową). Kwota należności ogółem jest sumą wartości netto towaru lub usługi oraz kwoty podatku (por. art. 106e ust. 1 pkt 11</w:t>
      </w:r>
      <w:r w:rsidR="00CD78E2">
        <w:rPr>
          <w:rFonts w:ascii="Times New Roman" w:hAnsi="Times New Roman" w:cs="Times New Roman"/>
        </w:rPr>
        <w:t>–</w:t>
      </w:r>
      <w:r w:rsidRPr="00D35DF3">
        <w:rPr>
          <w:rFonts w:ascii="Times New Roman" w:hAnsi="Times New Roman" w:cs="Times New Roman"/>
        </w:rPr>
        <w:t>15 ustawy z dnia 11 marca 2004 r. o podatku od towarów i usług).</w:t>
      </w:r>
    </w:p>
    <w:p w:rsidR="008A0AF3" w:rsidRPr="008A0AF3" w:rsidRDefault="008A0AF3" w:rsidP="008A0AF3">
      <w:pPr>
        <w:widowControl/>
        <w:suppressAutoHyphens/>
        <w:spacing w:before="120"/>
        <w:ind w:firstLine="510"/>
        <w:jc w:val="both"/>
        <w:rPr>
          <w:rFonts w:ascii="Times" w:eastAsia="Times New Roman" w:hAnsi="Times"/>
        </w:rPr>
      </w:pPr>
      <w:r w:rsidRPr="008A0AF3">
        <w:rPr>
          <w:rFonts w:ascii="Times" w:eastAsia="Times New Roman" w:hAnsi="Times"/>
        </w:rPr>
        <w:t>Proponowany kształt znamion typów przestępstw przeciwko dokumentom ma zapewnić stosowanie sankcji karnych jedynie wobec osób, często działających w większej grupie, które dopuszczają się fałszu materialnego i intelektualnego w odniesieniu do faktur VAT w</w:t>
      </w:r>
      <w:r>
        <w:rPr>
          <w:rFonts w:ascii="Times" w:eastAsia="Times New Roman" w:hAnsi="Times"/>
        </w:rPr>
        <w:t> </w:t>
      </w:r>
      <w:r w:rsidRPr="008A0AF3">
        <w:rPr>
          <w:rFonts w:ascii="Times" w:eastAsia="Times New Roman" w:hAnsi="Times"/>
        </w:rPr>
        <w:t xml:space="preserve">zakresie okoliczności faktycznych mogących mieć znaczenie dla określenia wysokości należności publicznoprawnej, działając umyślnie. Nie będą podlegały tej odpowiedzialności osoby, które przypadkowo popełnią błąd przy wystawieniu faktury, nawet jeżeli powstanie on </w:t>
      </w:r>
      <w:r w:rsidRPr="008A0AF3">
        <w:rPr>
          <w:rFonts w:ascii="Times" w:eastAsia="Times New Roman" w:hAnsi="Times"/>
        </w:rPr>
        <w:lastRenderedPageBreak/>
        <w:t>w wyniku niedbalstwa, a nawet lekkomyślności. Przestępstwa te bowiem mają charakter umyślny i dla zastosowania odpowiedzialności karnej konieczne będzie nie tylko wykazanie znamion przedmiotowych typu czynu w postaci fałszu materialnego lub intelektualnego, ale także znamion podmiotowych, czyli zamiaru sprawcy popełnienia tego czynu. Sprawca musi mieć zatem pełną świadomość, że podrabia lub przerabia fakturę, używa t</w:t>
      </w:r>
      <w:r>
        <w:rPr>
          <w:rFonts w:ascii="Times" w:eastAsia="Times New Roman" w:hAnsi="Times"/>
        </w:rPr>
        <w:t>akiej faktury jako autentycznej</w:t>
      </w:r>
      <w:r w:rsidRPr="008A0AF3">
        <w:rPr>
          <w:rFonts w:ascii="Times" w:eastAsia="Times New Roman" w:hAnsi="Times"/>
        </w:rPr>
        <w:t xml:space="preserve"> bądź też wystawia fakturę lub faktury, podając nieprawdę co do okoliczności faktycznych mogących mieć znaczenie dla określenia wysokości należności publicznoprawnej lub jej zwrotu albo zwrotu innej należności o charakterze podatkowym.</w:t>
      </w:r>
      <w:r>
        <w:rPr>
          <w:rFonts w:ascii="Times" w:eastAsia="Times New Roman" w:hAnsi="Times"/>
        </w:rPr>
        <w:t xml:space="preserve"> I </w:t>
      </w:r>
      <w:r w:rsidRPr="008A0AF3">
        <w:rPr>
          <w:rFonts w:ascii="Times" w:eastAsia="Times New Roman" w:hAnsi="Times"/>
        </w:rPr>
        <w:t>tak, w odniesieniu do fałszu intelektualnego, dla zaistnienia przesłanek odpowiedzialności karnej nie będzie wystarczające ustalenie, że sprawca np. wystawia fakturę zawierającą kwotę należności ogółem, której wartość lub łączna wartość jest znaczna, podając nieprawdę co do okoliczności faktycznych mogących mieć znaczenie dla określenia wysokości należności publicznoprawnej. Takie zachowanie może bowiem wynikać z chęci wystawienia nieprawdziwej faktury, jak i ze zwykłej pomyłki. Sprawca dopuszcza się fałszu intelektualnego z zamiarem bezpośrednim, jeżeli ma świadomość, że poświadczana przez niego okoliczność prawnie znacząca jest niezgodna z prawdą i chce tego – albo z zamiarem ewentualnym, jeśli taką możliwość przewiduje i godzi się z nią (por. Joanna Piórkowska-Flieger (w:)</w:t>
      </w:r>
      <w:r w:rsidRPr="008A0AF3">
        <w:rPr>
          <w:rFonts w:ascii="Times" w:eastAsia="Times New Roman" w:hAnsi="Times"/>
          <w:i/>
          <w:iCs/>
        </w:rPr>
        <w:t xml:space="preserve"> </w:t>
      </w:r>
      <w:r w:rsidRPr="008A0AF3">
        <w:rPr>
          <w:rFonts w:ascii="Times" w:eastAsia="Times New Roman" w:hAnsi="Times"/>
        </w:rPr>
        <w:t xml:space="preserve"> </w:t>
      </w:r>
      <w:r w:rsidRPr="008A0AF3">
        <w:rPr>
          <w:rFonts w:ascii="Times" w:eastAsia="Times New Roman" w:hAnsi="Times"/>
          <w:i/>
        </w:rPr>
        <w:t xml:space="preserve">System Prawa Karnego. Tom 8, </w:t>
      </w:r>
      <w:r w:rsidRPr="008A0AF3">
        <w:rPr>
          <w:rFonts w:ascii="Times" w:eastAsia="Times New Roman" w:hAnsi="Times"/>
        </w:rPr>
        <w:t>pod red. L. Gardockiego, Warszawa 2013, s.</w:t>
      </w:r>
      <w:r>
        <w:rPr>
          <w:rFonts w:ascii="Times" w:eastAsia="Times New Roman" w:hAnsi="Times"/>
        </w:rPr>
        <w:t> </w:t>
      </w:r>
      <w:r w:rsidRPr="008A0AF3">
        <w:rPr>
          <w:rFonts w:ascii="Times" w:eastAsia="Times New Roman" w:hAnsi="Times"/>
        </w:rPr>
        <w:t>1039). Zamiar ten musi być udowodniony przez organy procesowe, nie można stosować w</w:t>
      </w:r>
      <w:r>
        <w:rPr>
          <w:rFonts w:ascii="Times" w:eastAsia="Times New Roman" w:hAnsi="Times"/>
        </w:rPr>
        <w:t> </w:t>
      </w:r>
      <w:r w:rsidRPr="008A0AF3">
        <w:rPr>
          <w:rFonts w:ascii="Times" w:eastAsia="Times New Roman" w:hAnsi="Times"/>
        </w:rPr>
        <w:t xml:space="preserve">tym zakresie domniemań faktycznych wynikających z samego wystawienia fałszywej faktury. W tym celu można np. wykazać za pomocą zeznań lub dokumentów, że sprawca wiedział, iż towar w rzeczywistości nie istnieje albo nie zgadza się co do ilości. Ważne w tym względzie jest zwłaszcza rozbicie solidarności grupy przestępczej i uzyskanie zeznań lub wyjaśnień wprost wskazujących na stan świadomości sprawcy w postaci woli popełnienia tego czynu, można się też posłużyć w tym celu zabezpieczonymi u niego dokumentami, notatkami, treścią korespondencji elektronicznej itd. Bez udowodnienia umyślności działania sprawcy nie jest możliwe pociągnięcie go do odpowiedzialności karnej. W przeciwnym razie, stosując w razie konieczności regułę </w:t>
      </w:r>
      <w:r w:rsidRPr="008A0AF3">
        <w:rPr>
          <w:rFonts w:ascii="Times" w:eastAsia="Times New Roman" w:hAnsi="Times"/>
          <w:i/>
        </w:rPr>
        <w:t xml:space="preserve">in dubio pro reo, </w:t>
      </w:r>
      <w:r w:rsidRPr="008A0AF3">
        <w:rPr>
          <w:rFonts w:ascii="Times" w:eastAsia="Times New Roman" w:hAnsi="Times"/>
        </w:rPr>
        <w:t>zachowanie sprawcy należy uznać za pomyłkę, która nie stanowi czynu przestępnego z uwagi na brak umyślności. Nie wchodzi zatem w rachubę możność karania przedsiębiorców popełniających błędy, działających bez zamiaru wytworzenia nieprawdziwej faktury lub użycia takiej faktury ze świadomością, że nie odzwierciedla ona faktycznych zdarzeń gospodarczych. Umieszczenie tych przepisów w</w:t>
      </w:r>
      <w:r>
        <w:rPr>
          <w:rFonts w:ascii="Times" w:eastAsia="Times New Roman" w:hAnsi="Times"/>
        </w:rPr>
        <w:t> </w:t>
      </w:r>
      <w:r w:rsidRPr="008A0AF3">
        <w:rPr>
          <w:rFonts w:ascii="Times" w:eastAsia="Times New Roman" w:hAnsi="Times"/>
        </w:rPr>
        <w:t xml:space="preserve">Kodeksie karnym wywołuje również ten skutek, że postępowania karne, co do zasady, będą prowadzić nie organy skarbowe, ale Policja i prokuratura. Powierzenie nadzoru lub </w:t>
      </w:r>
      <w:r w:rsidRPr="008A0AF3">
        <w:rPr>
          <w:rFonts w:ascii="Times" w:eastAsia="Times New Roman" w:hAnsi="Times"/>
        </w:rPr>
        <w:lastRenderedPageBreak/>
        <w:t>prowadzenia postępowania wyspecjalizowanym prokuratorom daje gwarancje prawidłowej oceny strony podmiotowej przestępstwa. W sprawach dotyczących podejrzenia popełnienia projektowanych przestępstw postępowanie przygotowawcze będzie prowadzone w formie śledztwa, co wynika z art. 309 pkt 4 k.p.k. w zw. z art. 325b k.p.k. (są to występki  przeciwko wiarygodności dokumentów zagrożone karą powyżej 5 lat pozbawienia wolności). Prokuratorzy dokonają oceny zamiaru popełnienia czynu zabronionego</w:t>
      </w:r>
      <w:r>
        <w:rPr>
          <w:rFonts w:ascii="Times" w:eastAsia="Times New Roman" w:hAnsi="Times"/>
        </w:rPr>
        <w:t>,</w:t>
      </w:r>
      <w:r w:rsidRPr="008A0AF3">
        <w:rPr>
          <w:rFonts w:ascii="Times" w:eastAsia="Times New Roman" w:hAnsi="Times"/>
        </w:rPr>
        <w:t xml:space="preserve"> kierując się dotychczasową praktyką i orzecznictwem w sprawach karnych dotyczących winy umyślnej, a </w:t>
      </w:r>
      <w:r>
        <w:rPr>
          <w:rFonts w:ascii="Times" w:eastAsia="Times New Roman" w:hAnsi="Times"/>
        </w:rPr>
        <w:t> </w:t>
      </w:r>
      <w:r w:rsidRPr="008A0AF3">
        <w:rPr>
          <w:rFonts w:ascii="Times" w:eastAsia="Times New Roman" w:hAnsi="Times"/>
        </w:rPr>
        <w:t xml:space="preserve">nie poprzez pryzmat różnych interpretacji przepisów podatkowych i ewentualnej odpowiedzialności bazującej na Kodeksie karnym skarbowym. W tym drugim wypadku organy skarbowe często uznają czyn za popełniony umyślnie tylko przez to, że podatnik zastosował odmienną interpretację przepisów podatkowych niż organ. </w:t>
      </w:r>
    </w:p>
    <w:p w:rsidR="008A0AF3" w:rsidRPr="008A0AF3" w:rsidRDefault="008A0AF3" w:rsidP="008A0AF3">
      <w:pPr>
        <w:widowControl/>
        <w:suppressAutoHyphens/>
        <w:spacing w:before="120"/>
        <w:ind w:firstLine="510"/>
        <w:jc w:val="both"/>
        <w:rPr>
          <w:rFonts w:ascii="Times" w:eastAsia="Times New Roman" w:hAnsi="Times"/>
        </w:rPr>
      </w:pPr>
      <w:r w:rsidRPr="008A0AF3">
        <w:rPr>
          <w:rFonts w:ascii="Times" w:eastAsia="Times New Roman" w:hAnsi="Times"/>
        </w:rPr>
        <w:t>W konsekwencji na gruncie projektowanych przepisów konieczne będzie dowiedzenie sprawcy przez prokuratora przed sądem zamiaru w podaniu nieprawdy na fakturze lub celowe przerobienie lub podrobienie faktury. Osoba, która wykorzystała inną interpretacje przepisu</w:t>
      </w:r>
      <w:r>
        <w:rPr>
          <w:rFonts w:ascii="Times" w:eastAsia="Times New Roman" w:hAnsi="Times"/>
        </w:rPr>
        <w:t>,</w:t>
      </w:r>
      <w:r w:rsidRPr="008A0AF3">
        <w:rPr>
          <w:rFonts w:ascii="Times" w:eastAsia="Times New Roman" w:hAnsi="Times"/>
        </w:rPr>
        <w:t xml:space="preserve"> albo osoba nieświadomie uczestnicząca w tzw. karuzeli VAT takiego zamiaru w sposób oczywisty nigdy nie miała.</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Proponowane regulacje art. 277c i art. 277d k.k. mają na celu rozbicie solidarności grup przestępczych, działających w celu dokonywania wyłudzeń. Biorąc pod uwagę wzajemnie istniejące powiązania interpersonalne i współzależność działań tych osób</w:t>
      </w:r>
      <w:r w:rsidR="003B465E">
        <w:rPr>
          <w:rFonts w:ascii="Times New Roman" w:hAnsi="Times New Roman" w:cs="Times New Roman"/>
        </w:rPr>
        <w:t>,</w:t>
      </w:r>
      <w:r w:rsidRPr="00D35DF3">
        <w:rPr>
          <w:rFonts w:ascii="Times New Roman" w:hAnsi="Times New Roman" w:cs="Times New Roman"/>
        </w:rPr>
        <w:t xml:space="preserve"> ukierunkowaną na dokonanie wyłudzenia podatkowego</w:t>
      </w:r>
      <w:r w:rsidR="00CD78E2">
        <w:rPr>
          <w:rFonts w:ascii="Times New Roman" w:hAnsi="Times New Roman" w:cs="Times New Roman"/>
        </w:rPr>
        <w:t>,</w:t>
      </w:r>
      <w:r w:rsidRPr="00D35DF3">
        <w:rPr>
          <w:rFonts w:ascii="Times New Roman" w:hAnsi="Times New Roman" w:cs="Times New Roman"/>
        </w:rPr>
        <w:t xml:space="preserve"> pożądane jest zinstytucjonalizowane przyznanie możliwości określonego złagodzenia represji karnej w odniesieniu do tych, któr</w:t>
      </w:r>
      <w:r w:rsidR="003B465E">
        <w:rPr>
          <w:rFonts w:ascii="Times New Roman" w:hAnsi="Times New Roman" w:cs="Times New Roman"/>
        </w:rPr>
        <w:t>zy</w:t>
      </w:r>
      <w:r w:rsidRPr="00D35DF3">
        <w:rPr>
          <w:rFonts w:ascii="Times New Roman" w:hAnsi="Times New Roman" w:cs="Times New Roman"/>
        </w:rPr>
        <w:t xml:space="preserve"> zdecydują się na wyrażenie tzw. czynnego żalu w określonej formie lub też zwrócą bezprawnie osiągniętą korzyść majątkową. Ten </w:t>
      </w:r>
      <w:r>
        <w:rPr>
          <w:rFonts w:ascii="Times New Roman" w:hAnsi="Times New Roman" w:cs="Times New Roman"/>
        </w:rPr>
        <w:t>ostatni warunek związany jest z</w:t>
      </w:r>
      <w:r w:rsidR="003C1447">
        <w:rPr>
          <w:rFonts w:ascii="Times New Roman" w:hAnsi="Times New Roman" w:cs="Times New Roman"/>
        </w:rPr>
        <w:t xml:space="preserve"> </w:t>
      </w:r>
      <w:r w:rsidRPr="00D35DF3">
        <w:rPr>
          <w:rFonts w:ascii="Times New Roman" w:hAnsi="Times New Roman" w:cs="Times New Roman"/>
        </w:rPr>
        <w:t>koniecznością ustalenia przez organ procesowy wysokości osiągniętej przez sprawcę korzyści majątkowej. Zdając sobie sprawę z praktycznych trudności z tym związanych, wynikających z faktu, że przedmiotem kognicji organu procesowego nie jest ustalenie wysokości szkody, projektodawca przewidział możliwość poprzestania na zwróceniu przez sprawcę jedynie istotnej części tej korzyści – w zakresie uzależnionym od możliwości dokonania samodzielnych ustaleń (art. 8 § 1 k.p.k.) w danym postępowaniu karnym.</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 xml:space="preserve">Na gruncie procesowym proponuje się uwzględnić najpoważniejsze typy czynów zabronionych wprowadzone niniejszym projektem w katalogu przestępstw, co do których jest możliwe zarządzenie procesowej kontroli i utrwalania treści </w:t>
      </w:r>
      <w:r>
        <w:rPr>
          <w:rFonts w:ascii="Times New Roman" w:hAnsi="Times New Roman" w:cs="Times New Roman"/>
        </w:rPr>
        <w:t>rozmów telefonicznych (art. 237 </w:t>
      </w:r>
      <w:r w:rsidRPr="00D35DF3">
        <w:rPr>
          <w:rFonts w:ascii="Times New Roman" w:hAnsi="Times New Roman" w:cs="Times New Roman"/>
        </w:rPr>
        <w:t xml:space="preserve">k.p.k.). Podobne rozwiązania należałoby odnieść do możliwości przeprowadzania </w:t>
      </w:r>
      <w:r w:rsidRPr="00D35DF3">
        <w:rPr>
          <w:rFonts w:ascii="Times New Roman" w:hAnsi="Times New Roman" w:cs="Times New Roman"/>
        </w:rPr>
        <w:lastRenderedPageBreak/>
        <w:t xml:space="preserve">czynności operacyjno-rozpoznawczych, stąd propozycja wprowadzenia tych typów czynów zabronionych do katalogów określonych w ustawach przewidujących przeprowadzanie takich czynności przez Policję, Centralne Biuro Antykorupcyjne, </w:t>
      </w:r>
      <w:r w:rsidR="003B465E">
        <w:rPr>
          <w:rFonts w:ascii="Times New Roman" w:hAnsi="Times New Roman" w:cs="Times New Roman"/>
        </w:rPr>
        <w:t>wywiad skarbowy</w:t>
      </w:r>
      <w:r w:rsidR="00F129BA">
        <w:rPr>
          <w:rFonts w:ascii="Times New Roman" w:hAnsi="Times New Roman" w:cs="Times New Roman"/>
        </w:rPr>
        <w:t>, Straż</w:t>
      </w:r>
      <w:r w:rsidRPr="00D35DF3">
        <w:rPr>
          <w:rFonts w:ascii="Times New Roman" w:hAnsi="Times New Roman" w:cs="Times New Roman"/>
        </w:rPr>
        <w:t xml:space="preserve"> Graniczn</w:t>
      </w:r>
      <w:r w:rsidR="00F129BA">
        <w:rPr>
          <w:rFonts w:ascii="Times New Roman" w:hAnsi="Times New Roman" w:cs="Times New Roman"/>
        </w:rPr>
        <w:t>ą</w:t>
      </w:r>
      <w:r w:rsidRPr="00D35DF3">
        <w:rPr>
          <w:rFonts w:ascii="Times New Roman" w:hAnsi="Times New Roman" w:cs="Times New Roman"/>
        </w:rPr>
        <w:t xml:space="preserve"> i Żandarmeri</w:t>
      </w:r>
      <w:r w:rsidR="00F129BA">
        <w:rPr>
          <w:rFonts w:ascii="Times New Roman" w:hAnsi="Times New Roman" w:cs="Times New Roman"/>
        </w:rPr>
        <w:t>ę</w:t>
      </w:r>
      <w:r w:rsidR="00CE5C1B">
        <w:rPr>
          <w:rFonts w:ascii="Times New Roman" w:hAnsi="Times New Roman" w:cs="Times New Roman"/>
        </w:rPr>
        <w:t xml:space="preserve"> Wojskową</w:t>
      </w:r>
      <w:r w:rsidRPr="00D35DF3">
        <w:rPr>
          <w:rFonts w:ascii="Times New Roman" w:hAnsi="Times New Roman" w:cs="Times New Roman"/>
        </w:rPr>
        <w:t>. Uregulowania powyższe mają na celu zwiększenie skuteczności wykrywania i ścigania wyłudzeń podatkowych.</w:t>
      </w:r>
    </w:p>
    <w:p w:rsid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Projektodawca uznał, że rozszerzenie katalogu przestępstw, co do których jest możliwe zarządzenie procesowej kontroli i utrwalania treści rozmów telefonicznych oraz przeprowadzania czynności operacyjno-rozpoznawczych, o p</w:t>
      </w:r>
      <w:r>
        <w:rPr>
          <w:rFonts w:ascii="Times New Roman" w:hAnsi="Times New Roman" w:cs="Times New Roman"/>
        </w:rPr>
        <w:t>rojektowane czyny z art. 270a § </w:t>
      </w:r>
      <w:r w:rsidRPr="00D35DF3">
        <w:rPr>
          <w:rFonts w:ascii="Times New Roman" w:hAnsi="Times New Roman" w:cs="Times New Roman"/>
        </w:rPr>
        <w:t xml:space="preserve">1 i 2, art. 271a § 1 i 2 oraz art. 277a k.k. jest konieczne. Przemawia za tym waga przestępstw, których dotyczą – popełnianie przestępstw godzących w wiarygodność faktur pociąga za sobą w dalszej perspektywie wielomiliardowe wręcz straty dla budżetu państwa. Poza tym skuteczna walka z tym procederem nie jest wręcz możliwa bez wykorzystania instrumentów procesowej kontroli i utrwalania treści rozmów telefonicznych oraz przeprowadzania czynności operacyjno-rozpoznawczych. Najczęściej bowiem przestępstwa te są popełniane w przemyślany, skoordynowany sposób, przez zorganizowane grupy, które posługują się osobami trzecimi, tzw. „słupami”, którzy w założeniu w razie wykrycia całej operacji mają być jedynymi, którzy będą ponosić odpowiedzialność karną. Te ostatnie osoby nierzadko w ogóle nie wiedzą o swych rzeczywistych zleceniodawcach. Zorganizowane grupy działające w zakresie oszustw podatkowych charakteryzują się często tym, że ich struktura nie jest tak ściśle powiązana, nie wszyscy członkowie grupy muszą się znać osobiście – specyfika ich działalności polega na </w:t>
      </w:r>
      <w:r w:rsidR="003B465E">
        <w:rPr>
          <w:lang w:val="pl"/>
        </w:rPr>
        <w:t>precyzyjnie ustalonym</w:t>
      </w:r>
      <w:r w:rsidRPr="00D35DF3">
        <w:rPr>
          <w:rFonts w:ascii="Times New Roman" w:hAnsi="Times New Roman" w:cs="Times New Roman"/>
        </w:rPr>
        <w:t xml:space="preserve"> podziale pracy, które</w:t>
      </w:r>
      <w:r w:rsidR="003B465E">
        <w:rPr>
          <w:rFonts w:ascii="Times New Roman" w:hAnsi="Times New Roman" w:cs="Times New Roman"/>
        </w:rPr>
        <w:t>go</w:t>
      </w:r>
      <w:r w:rsidRPr="00D35DF3">
        <w:rPr>
          <w:rFonts w:ascii="Times New Roman" w:hAnsi="Times New Roman" w:cs="Times New Roman"/>
        </w:rPr>
        <w:t xml:space="preserve"> efekty dopiero w ogólnym rezultacie sprowadzają się do wielkich strat budżetowych. Z tego względu niejednokrotnie zawodzą tradycyjne metody prowadzenia</w:t>
      </w:r>
      <w:r>
        <w:rPr>
          <w:rFonts w:ascii="Times New Roman" w:hAnsi="Times New Roman" w:cs="Times New Roman"/>
        </w:rPr>
        <w:t xml:space="preserve"> postępowań przygotowawczych, w</w:t>
      </w:r>
      <w:r w:rsidR="003B465E">
        <w:rPr>
          <w:rFonts w:ascii="Times New Roman" w:hAnsi="Times New Roman" w:cs="Times New Roman"/>
        </w:rPr>
        <w:t xml:space="preserve"> </w:t>
      </w:r>
      <w:r w:rsidRPr="00D35DF3">
        <w:rPr>
          <w:rFonts w:ascii="Times New Roman" w:hAnsi="Times New Roman" w:cs="Times New Roman"/>
        </w:rPr>
        <w:t>wyniku których dokonuje się tylko niektórych ustaleń obrazujący</w:t>
      </w:r>
      <w:r w:rsidR="00CD78E2">
        <w:rPr>
          <w:rFonts w:ascii="Times New Roman" w:hAnsi="Times New Roman" w:cs="Times New Roman"/>
        </w:rPr>
        <w:t>ch</w:t>
      </w:r>
      <w:r w:rsidRPr="00D35DF3">
        <w:rPr>
          <w:rFonts w:ascii="Times New Roman" w:hAnsi="Times New Roman" w:cs="Times New Roman"/>
        </w:rPr>
        <w:t xml:space="preserve"> przestępczą działalność. Natomiast możliwość uchwycenia kontaktów między tymi osobami, rozeznania skomplikowanego mechanizmu nakierowanego na dokonywanie oszustw podatkowych oraz śledzenia obiegu faktur będących przedmiotem fałszu materialnego lub intelektualnego determinuje konieczność umożliwienia stosowania procesowej kontroli i utrwalania treści rozmów telefonicznych oraz przeprowadzania czynno</w:t>
      </w:r>
      <w:r>
        <w:rPr>
          <w:rFonts w:ascii="Times New Roman" w:hAnsi="Times New Roman" w:cs="Times New Roman"/>
        </w:rPr>
        <w:t>ści operacyjno-rozpoznawczych w </w:t>
      </w:r>
      <w:r w:rsidRPr="00D35DF3">
        <w:rPr>
          <w:rFonts w:ascii="Times New Roman" w:hAnsi="Times New Roman" w:cs="Times New Roman"/>
        </w:rPr>
        <w:t xml:space="preserve">odniesieniu do tych przestępstw. </w:t>
      </w:r>
    </w:p>
    <w:p w:rsidR="003B465E" w:rsidRPr="003B465E" w:rsidRDefault="003B465E" w:rsidP="003B465E">
      <w:pPr>
        <w:widowControl/>
        <w:suppressAutoHyphens/>
        <w:spacing w:before="120"/>
        <w:ind w:firstLine="510"/>
        <w:jc w:val="both"/>
        <w:rPr>
          <w:rFonts w:ascii="Times" w:eastAsia="Times New Roman" w:hAnsi="Times"/>
        </w:rPr>
      </w:pPr>
      <w:r w:rsidRPr="003B465E">
        <w:rPr>
          <w:rFonts w:ascii="Times" w:eastAsia="Times New Roman" w:hAnsi="Times"/>
        </w:rPr>
        <w:t>W projekcie zawarta jest również propozycja poszerzenia katalogu przestępstw, w</w:t>
      </w:r>
      <w:r>
        <w:rPr>
          <w:rFonts w:ascii="Times" w:eastAsia="Times New Roman" w:hAnsi="Times"/>
        </w:rPr>
        <w:t> </w:t>
      </w:r>
      <w:r w:rsidRPr="003B465E">
        <w:rPr>
          <w:rFonts w:ascii="Times" w:eastAsia="Times New Roman" w:hAnsi="Times"/>
        </w:rPr>
        <w:t xml:space="preserve">odniesieniu do których Policja i Żandarmeria Wojskowa mogą podejmować kontrolę operacyjną, o przestępstwa przeciwko wymiarowi sprawiedliwości, o których mowa </w:t>
      </w:r>
      <w:r w:rsidRPr="003B465E">
        <w:rPr>
          <w:rFonts w:ascii="Times" w:eastAsia="Times New Roman" w:hAnsi="Times"/>
        </w:rPr>
        <w:lastRenderedPageBreak/>
        <w:t>w</w:t>
      </w:r>
      <w:r>
        <w:rPr>
          <w:rFonts w:ascii="Times" w:eastAsia="Times New Roman" w:hAnsi="Times"/>
        </w:rPr>
        <w:t> </w:t>
      </w:r>
      <w:r w:rsidRPr="003B465E">
        <w:rPr>
          <w:rFonts w:ascii="Times" w:eastAsia="Times New Roman" w:hAnsi="Times"/>
        </w:rPr>
        <w:t>art.</w:t>
      </w:r>
      <w:r>
        <w:rPr>
          <w:rFonts w:ascii="Times" w:eastAsia="Times New Roman" w:hAnsi="Times"/>
        </w:rPr>
        <w:t> </w:t>
      </w:r>
      <w:r w:rsidRPr="003B465E">
        <w:rPr>
          <w:rFonts w:ascii="Times" w:eastAsia="Times New Roman" w:hAnsi="Times"/>
        </w:rPr>
        <w:t>233</w:t>
      </w:r>
      <w:r>
        <w:rPr>
          <w:rFonts w:ascii="Times" w:eastAsia="Times New Roman" w:hAnsi="Times"/>
        </w:rPr>
        <w:t>–</w:t>
      </w:r>
      <w:r w:rsidRPr="003B465E">
        <w:rPr>
          <w:rFonts w:ascii="Times" w:eastAsia="Times New Roman" w:hAnsi="Times"/>
        </w:rPr>
        <w:t>240 k.k. Umożliwienie przeprowadzania kontroli operacyjnej w odniesieniu do wyżej wskazanych przestępstw przeciwko wymiarowi sprawiedliwości ma ścisły związek z</w:t>
      </w:r>
      <w:r>
        <w:rPr>
          <w:rFonts w:ascii="Times" w:eastAsia="Times New Roman" w:hAnsi="Times"/>
        </w:rPr>
        <w:t> </w:t>
      </w:r>
      <w:r w:rsidRPr="003B465E">
        <w:rPr>
          <w:rFonts w:ascii="Times" w:eastAsia="Times New Roman" w:hAnsi="Times"/>
        </w:rPr>
        <w:t>kontrolą operacyjną dotyczącą zapobieżenia, wykrycia, ustalenia sprawców, a także uzyskania i utrwalenia dowodów przestępstw szeroko rozumianego fałszu faktur. Należy bowiem mieć na względzie, że w przeważającej większości wypadków przestępstw związanych z wyłudzeniami podatku VAT dopuszczają się członkowie zorganizowanych grup o skomplikowanej strukturze, z góry ustalonym podziale ról poszczególnych członków oraz ścisłych wzajemnych powiązaniach. Dodatkowo niezbędne jest wykazanie każdemu z</w:t>
      </w:r>
      <w:r>
        <w:rPr>
          <w:rFonts w:ascii="Times" w:eastAsia="Times New Roman" w:hAnsi="Times"/>
        </w:rPr>
        <w:t> </w:t>
      </w:r>
      <w:r w:rsidRPr="003B465E">
        <w:rPr>
          <w:rFonts w:ascii="Times" w:eastAsia="Times New Roman" w:hAnsi="Times"/>
        </w:rPr>
        <w:t xml:space="preserve">popełniających przestępstwo w ramach tzw. karuzeli VAT działania umyślnego, czyli zamiaru dokonania fałszu, tak </w:t>
      </w:r>
      <w:r>
        <w:rPr>
          <w:rFonts w:ascii="Times" w:eastAsia="Times New Roman" w:hAnsi="Times"/>
        </w:rPr>
        <w:t>a</w:t>
      </w:r>
      <w:r w:rsidRPr="003B465E">
        <w:rPr>
          <w:rFonts w:ascii="Times" w:eastAsia="Times New Roman" w:hAnsi="Times"/>
        </w:rPr>
        <w:t>by wyłączyć spod odpowiedzialności karnej działania przypadkowe i niezawinione błędy. Są to sprawy dowodowo trudne, gdyż oprócz ustalenia dokonania samego fałszu faktury organy ścigania muszą wykazać działanie umyślne, co wiąże się najczęściej z koniecznością uzyskania dowodów osobowych. Szczególnie ważne dla dokonania tych ustaleń i wykrywania przedmiotowych przestępstw jest więc przeciwdziałanie zmowom wśród członków grup przestępczych, przekazywaniu organom procesowym fałszywych dowodów (w szczególności treści składanych zeznań), wzajemnego uzgadniania stanowisk przed składaniem zeznań, składania fałszywych zawiadomień w celu skierowania postępowania przygotowawczego na niewłaściwe tory, bezprawnego utrudniania postępowania karnego (tzw. poplecznictwa) – zwłaszcza zacierania śladów przestępstwa. Tylko kompleksowe stosowanie kontroli operacyjnej w stosunku do członków grup przestępczych organizujących tzw. karuzelę VAT, dotyczącej zarówno fałszowania faktur, jak i przestępstw przeciwko wymiarowi sprawiedliwości związanych z legitymizowaniem tych faktur, pozwoli na skuteczne zapobieganie, wykrywanie, ustalenie sprawców, a także uzyskanie i utrwalenie dowodów tych przestępstw, a w konsekwencji likwidację działalności całej grupy. Ograniczenie się w odniesieniu do przedmiotu kontroli operacyjnej jedynie do samych konkretnych przestępstw związanych z fałszem faktur często nie będzie wystarczające dla zwalczania całych zorganizowanych grup przestępczych, poprzestając jedynie na ujawnieniu jej poszczególnych członków i ich roli w dokonywaniu oszustw podatkowych poprzez fałszowanie faktur. Byliby oni zastępowani innymi osobami, w ramach istniejącej w dalszym ciągu tzw. karuzeli VAT, działania organów ścigania nie byłyby więc skuteczne. Z tych względów niezbędne jest rozszerzenie katalogu przestępstw, w odniesieniu do których Policja i Żandarmeria Wojskowa mogą podejmować kontrolę operacyjną, o</w:t>
      </w:r>
      <w:r>
        <w:rPr>
          <w:rFonts w:ascii="Times" w:eastAsia="Times New Roman" w:hAnsi="Times"/>
        </w:rPr>
        <w:t> </w:t>
      </w:r>
      <w:r w:rsidRPr="003B465E">
        <w:rPr>
          <w:rFonts w:ascii="Times" w:eastAsia="Times New Roman" w:hAnsi="Times"/>
        </w:rPr>
        <w:t>przestępstwa przeciwko wymiarowi sprawiedliwości, o których mowa w art. 233</w:t>
      </w:r>
      <w:r>
        <w:rPr>
          <w:rFonts w:ascii="Times" w:eastAsia="Times New Roman" w:hAnsi="Times"/>
        </w:rPr>
        <w:t>–</w:t>
      </w:r>
      <w:r w:rsidRPr="003B465E">
        <w:rPr>
          <w:rFonts w:ascii="Times" w:eastAsia="Times New Roman" w:hAnsi="Times"/>
        </w:rPr>
        <w:t>240 k.k.</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lastRenderedPageBreak/>
        <w:t xml:space="preserve">Proponuje się, </w:t>
      </w:r>
      <w:r w:rsidR="00CD78E2">
        <w:rPr>
          <w:rFonts w:ascii="Times New Roman" w:hAnsi="Times New Roman" w:cs="Times New Roman"/>
        </w:rPr>
        <w:t>a</w:t>
      </w:r>
      <w:r w:rsidRPr="00D35DF3">
        <w:rPr>
          <w:rFonts w:ascii="Times New Roman" w:hAnsi="Times New Roman" w:cs="Times New Roman"/>
        </w:rPr>
        <w:t>by ustawa weszła w życie po upływie 14 dni od dnia ogłoszenia. Waga rozwiązywanego problemu wymaga bowiem jak najszybszego wprowadzenia skutecznych instrumentów przeciwdziałania wyłudzeniom związanym z podatkiem VAT</w:t>
      </w:r>
      <w:r w:rsidR="00CD78E2">
        <w:rPr>
          <w:rFonts w:ascii="Times New Roman" w:hAnsi="Times New Roman" w:cs="Times New Roman"/>
        </w:rPr>
        <w:t>.</w:t>
      </w:r>
    </w:p>
    <w:p w:rsidR="00D35DF3"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Zakres projektu ustawy nie jest objęty prawem Unii Europejskiej.</w:t>
      </w:r>
    </w:p>
    <w:p w:rsidR="004E339B" w:rsidRPr="00D35DF3" w:rsidRDefault="00D35DF3" w:rsidP="00D35DF3">
      <w:pPr>
        <w:pStyle w:val="ARTartustawynprozporzdzenia"/>
        <w:rPr>
          <w:rFonts w:ascii="Times New Roman" w:hAnsi="Times New Roman" w:cs="Times New Roman"/>
        </w:rPr>
      </w:pPr>
      <w:r w:rsidRPr="00D35DF3">
        <w:rPr>
          <w:rFonts w:ascii="Times New Roman" w:hAnsi="Times New Roman" w:cs="Times New Roman"/>
        </w:rPr>
        <w:t>Zgodnie z § 4 rozporządzenia Rady Ministrów z dnia 23 grudnia 2002 r. w sprawie sposobu funkcjonowania krajowego systemu notyfikacji nor</w:t>
      </w:r>
      <w:r>
        <w:rPr>
          <w:rFonts w:ascii="Times New Roman" w:hAnsi="Times New Roman" w:cs="Times New Roman"/>
        </w:rPr>
        <w:t>m i aktów prawnych (Dz. U. poz. </w:t>
      </w:r>
      <w:r w:rsidRPr="00D35DF3">
        <w:rPr>
          <w:rFonts w:ascii="Times New Roman" w:hAnsi="Times New Roman" w:cs="Times New Roman"/>
        </w:rPr>
        <w:t>2039, z późn. zm.) projektowana ustawa nie podlega notyfikacji Komisji Europejskiej.</w:t>
      </w:r>
    </w:p>
    <w:sectPr w:rsidR="004E339B" w:rsidRPr="00D35DF3" w:rsidSect="00D35DF3">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DF3" w:rsidRDefault="00D35DF3" w:rsidP="00D35DF3">
      <w:pPr>
        <w:spacing w:line="240" w:lineRule="auto"/>
      </w:pPr>
      <w:r>
        <w:separator/>
      </w:r>
    </w:p>
  </w:endnote>
  <w:endnote w:type="continuationSeparator" w:id="0">
    <w:p w:rsidR="00D35DF3" w:rsidRDefault="00D35DF3" w:rsidP="00D35D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0655348"/>
      <w:docPartObj>
        <w:docPartGallery w:val="Page Numbers (Bottom of Page)"/>
        <w:docPartUnique/>
      </w:docPartObj>
    </w:sdtPr>
    <w:sdtEndPr/>
    <w:sdtContent>
      <w:p w:rsidR="00D35DF3" w:rsidRDefault="00D35DF3" w:rsidP="00D35DF3">
        <w:pPr>
          <w:pStyle w:val="Stopka"/>
          <w:jc w:val="center"/>
        </w:pPr>
        <w:r>
          <w:fldChar w:fldCharType="begin"/>
        </w:r>
        <w:r>
          <w:instrText>PAGE   \* MERGEFORMAT</w:instrText>
        </w:r>
        <w:r>
          <w:fldChar w:fldCharType="separate"/>
        </w:r>
        <w:r w:rsidR="00F57435">
          <w:rPr>
            <w:noProof/>
          </w:rPr>
          <w:t>13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DF3" w:rsidRDefault="00D35DF3" w:rsidP="00D35DF3">
      <w:pPr>
        <w:spacing w:line="240" w:lineRule="auto"/>
      </w:pPr>
      <w:r>
        <w:separator/>
      </w:r>
    </w:p>
  </w:footnote>
  <w:footnote w:type="continuationSeparator" w:id="0">
    <w:p w:rsidR="00D35DF3" w:rsidRDefault="00D35DF3" w:rsidP="00D35DF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C00965"/>
    <w:multiLevelType w:val="hybridMultilevel"/>
    <w:tmpl w:val="15ACD5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DF3"/>
    <w:rsid w:val="000F3AAA"/>
    <w:rsid w:val="001F2593"/>
    <w:rsid w:val="002B65CE"/>
    <w:rsid w:val="003B465E"/>
    <w:rsid w:val="003C1447"/>
    <w:rsid w:val="004E339B"/>
    <w:rsid w:val="0071522B"/>
    <w:rsid w:val="007E0BA2"/>
    <w:rsid w:val="008A0AF3"/>
    <w:rsid w:val="009458A1"/>
    <w:rsid w:val="00AE6681"/>
    <w:rsid w:val="00C91CB7"/>
    <w:rsid w:val="00CD78E2"/>
    <w:rsid w:val="00CE5C1B"/>
    <w:rsid w:val="00D35DF3"/>
    <w:rsid w:val="00F129BA"/>
    <w:rsid w:val="00F574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27CD99-1DE8-4F8F-852F-636021DFC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35DF3"/>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D35DF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D35DF3"/>
    <w:pPr>
      <w:keepNext/>
      <w:suppressAutoHyphens/>
      <w:spacing w:before="120" w:after="360" w:line="360" w:lineRule="auto"/>
      <w:jc w:val="center"/>
    </w:pPr>
    <w:rPr>
      <w:rFonts w:ascii="Times" w:eastAsiaTheme="minorEastAsia" w:hAnsi="Times" w:cs="Arial"/>
      <w:b/>
      <w:bCs/>
      <w:sz w:val="24"/>
      <w:szCs w:val="24"/>
      <w:lang w:eastAsia="pl-PL"/>
    </w:rPr>
  </w:style>
  <w:style w:type="character" w:styleId="Hipercze">
    <w:name w:val="Hyperlink"/>
    <w:basedOn w:val="Domylnaczcionkaakapitu"/>
    <w:uiPriority w:val="99"/>
    <w:semiHidden/>
    <w:unhideWhenUsed/>
    <w:rsid w:val="00D35DF3"/>
    <w:rPr>
      <w:color w:val="0000FF"/>
      <w:u w:val="single"/>
    </w:rPr>
  </w:style>
  <w:style w:type="paragraph" w:styleId="Nagwek">
    <w:name w:val="header"/>
    <w:basedOn w:val="Normalny"/>
    <w:link w:val="NagwekZnak"/>
    <w:uiPriority w:val="99"/>
    <w:unhideWhenUsed/>
    <w:rsid w:val="00D35DF3"/>
    <w:pPr>
      <w:tabs>
        <w:tab w:val="center" w:pos="4536"/>
        <w:tab w:val="right" w:pos="9072"/>
      </w:tabs>
      <w:spacing w:line="240" w:lineRule="auto"/>
    </w:pPr>
  </w:style>
  <w:style w:type="character" w:customStyle="1" w:styleId="NagwekZnak">
    <w:name w:val="Nagłówek Znak"/>
    <w:basedOn w:val="Domylnaczcionkaakapitu"/>
    <w:link w:val="Nagwek"/>
    <w:uiPriority w:val="99"/>
    <w:rsid w:val="00D35DF3"/>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D35DF3"/>
    <w:pPr>
      <w:tabs>
        <w:tab w:val="center" w:pos="4536"/>
        <w:tab w:val="right" w:pos="9072"/>
      </w:tabs>
      <w:spacing w:line="240" w:lineRule="auto"/>
    </w:pPr>
  </w:style>
  <w:style w:type="character" w:customStyle="1" w:styleId="StopkaZnak">
    <w:name w:val="Stopka Znak"/>
    <w:basedOn w:val="Domylnaczcionkaakapitu"/>
    <w:link w:val="Stopka"/>
    <w:uiPriority w:val="99"/>
    <w:rsid w:val="00D35DF3"/>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CD78E2"/>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D78E2"/>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70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4671</Words>
  <Characters>28029</Characters>
  <Application>Microsoft Office Word</Application>
  <DocSecurity>0</DocSecurity>
  <Lines>233</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Grażyna D. Grabowska</cp:lastModifiedBy>
  <cp:revision>2</cp:revision>
  <dcterms:created xsi:type="dcterms:W3CDTF">2016-10-04T09:57:00Z</dcterms:created>
  <dcterms:modified xsi:type="dcterms:W3CDTF">2016-10-04T09:57:00Z</dcterms:modified>
</cp:coreProperties>
</file>