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6AC" w:rsidRDefault="007E26CA" w:rsidP="007E26CA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UZASADNIENIE</w:t>
      </w:r>
    </w:p>
    <w:p w:rsidR="009044F7" w:rsidRDefault="009044F7" w:rsidP="009044F7">
      <w:pPr>
        <w:pStyle w:val="NIEARTTEKSTtekstnieartykuowanynppodstprawnarozplubpreambua"/>
      </w:pPr>
      <w:r>
        <w:t xml:space="preserve">Niniejszy projekt wraz projektem ustawy o zmianie ustawy – Kodeks karny wykonawczy stanowi pakiet zmian, których nadrzędnym celem jest zwiększenie zatrudnienia wśród osób osadzonych w jednostkach penitencjarnych. W przekonaniu projektodawcy praca powinna stanowić istotny element odbywania kary pozbawienia wolności, ponieważ wpływa pozytywnie tak na skazanych (resocjalizacja, rozwój umiejętności zawodowych, możliwość zarobkowania), jak i na porządek w jednostkach penitencjarnych. </w:t>
      </w:r>
    </w:p>
    <w:p w:rsidR="009044F7" w:rsidRDefault="009044F7" w:rsidP="009044F7">
      <w:pPr>
        <w:pStyle w:val="NIEARTTEKSTtekstnieartykuowanynppodstprawnarozplubpreambua"/>
      </w:pPr>
      <w:r>
        <w:t>Projekt ustawy o zmianie ustawy – Kodeks karny wykonawczy zmierza m.in. do zwiększenia możliwości finansowych Funduszu Aktywizacji Zawodowej Skazanych oraz Rozwoju Przywięziennych Zakładów Pracy poprzez podniesienie potrącenia na ten cel z przysługującego skazanym wynagrodzenia za pracę. Niniejszy projekt ma zaś na celu dokonanie zmian w sposobie wydatkowania środków zgromadzonych w Funduszu poprzez zwiększenie ryczałtu przysługujące</w:t>
      </w:r>
      <w:r w:rsidR="00B24557">
        <w:t>go</w:t>
      </w:r>
      <w:r>
        <w:t xml:space="preserve"> przedsiębiorcom z tytułu zwiększonych kosztów zatrudnienia osób pozbawionych wolności. Obecnie ryczałt ten wynosi 20% wartości wynagrodzeń przysługujących zatrudnionym osobom pozbawionym wolności, po zmianach zostanie on podniesiony do 40% wartości wynagrodzeń. </w:t>
      </w:r>
    </w:p>
    <w:p w:rsidR="009044F7" w:rsidRDefault="009044F7" w:rsidP="009044F7">
      <w:pPr>
        <w:pStyle w:val="NIEARTTEKSTtekstnieartykuowanynppodstprawnarozplubpreambua"/>
      </w:pPr>
      <w:r>
        <w:t>Orzeczenie Trybunału Konstytucyjnego z dnia 23 lutego 2010 r. (sygn. akt P 20/09) zmusiło ustawodawcę do znowelizowania przepisów Kodeksu karnego wykonawczego umożliwiających przed tą datą zatrudnianie skazanych za wynagrodzeniem w wysokości połowy minimalnego wynagrodzenia w danym roku. Wzrost wynagrodzeń skazanych do poziomu co najmniej minimalnego wynagrodzenia doprowadził do spadku odsetka zatrudnionych odpłatnie wśród wszystkich osadzonych zatrudnionych (68% w 2010 r., 49% w 2011 r. i 40% w 2012 r. – por. tabela nr 1). Pomimo wprowadzenia mechanizmów potrącających, w szczególności na rzecz utworzonego Funduszu Aktywizacji, zatrudnienie skazanych nadal pozostaje na znacznie niższym poziomie niż przed zmianami normatywnymi będącymi skutkiem ww. orzeczenia Trybunału. W opinii projektodawcy obecne regulacje pozostawiają znaczne pole do zwiększenia udziału potrąceń w wynagrodzeniu skazanego, a w efekcie, poprzez Fundusz Aktywizacji, do stworzenia bardziej atrakcyjnych zachęt finansowych skierowanych do potencjalnych pracodawców.</w:t>
      </w:r>
    </w:p>
    <w:p w:rsidR="009044F7" w:rsidRDefault="009044F7" w:rsidP="009044F7">
      <w:pPr>
        <w:pStyle w:val="USTustnpkodeksu"/>
        <w:keepNext/>
      </w:pPr>
      <w:r>
        <w:lastRenderedPageBreak/>
        <w:t>Tabela 1. Odpłatne zatrudnienie osadzonych w latach 2010–2015</w:t>
      </w:r>
    </w:p>
    <w:tbl>
      <w:tblPr>
        <w:tblW w:w="883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851"/>
        <w:gridCol w:w="992"/>
        <w:gridCol w:w="851"/>
        <w:gridCol w:w="850"/>
        <w:gridCol w:w="992"/>
        <w:gridCol w:w="2031"/>
      </w:tblGrid>
      <w:tr w:rsidR="009044F7" w:rsidRPr="009044F7" w:rsidTr="009044F7">
        <w:trPr>
          <w:trHeight w:val="113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44F7" w:rsidRPr="009044F7" w:rsidRDefault="009044F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EastAsia" w:hAnsi="Times New Roman" w:cs="Times New Roman"/>
                <w:sz w:val="24"/>
              </w:rPr>
            </w:pPr>
            <w:r w:rsidRPr="009044F7">
              <w:rPr>
                <w:rFonts w:ascii="Times New Roman" w:hAnsi="Times New Roman" w:cs="Times New Roman"/>
              </w:rPr>
              <w:t>Zatrudnienie odpłatne skazanych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44F7" w:rsidRPr="009044F7" w:rsidRDefault="009044F7" w:rsidP="009044F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9044F7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44F7" w:rsidRPr="009044F7" w:rsidRDefault="009044F7" w:rsidP="009044F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9044F7"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44F7" w:rsidRPr="009044F7" w:rsidRDefault="009044F7" w:rsidP="009044F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9044F7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44F7" w:rsidRPr="009044F7" w:rsidRDefault="009044F7" w:rsidP="009044F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9044F7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44F7" w:rsidRPr="009044F7" w:rsidRDefault="009044F7" w:rsidP="009044F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9044F7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44F7" w:rsidRPr="009044F7" w:rsidRDefault="009044F7" w:rsidP="009044F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9044F7">
              <w:rPr>
                <w:rFonts w:ascii="Times New Roman" w:hAnsi="Times New Roman" w:cs="Times New Roman"/>
              </w:rPr>
              <w:t>2015 (stan na 31.10)</w:t>
            </w:r>
          </w:p>
        </w:tc>
      </w:tr>
      <w:tr w:rsidR="009044F7" w:rsidRPr="009044F7" w:rsidTr="009044F7">
        <w:trPr>
          <w:trHeight w:val="134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44F7" w:rsidRPr="009044F7" w:rsidRDefault="009044F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EastAsia" w:hAnsi="Times New Roman" w:cs="Times New Roman"/>
                <w:sz w:val="24"/>
              </w:rPr>
            </w:pPr>
            <w:r w:rsidRPr="009044F7">
              <w:rPr>
                <w:rFonts w:ascii="Times New Roman" w:hAnsi="Times New Roman" w:cs="Times New Roman"/>
              </w:rPr>
              <w:t>Średniomiesięczne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44F7" w:rsidRPr="009044F7" w:rsidRDefault="009044F7" w:rsidP="009044F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113"/>
              <w:jc w:val="right"/>
              <w:rPr>
                <w:rFonts w:ascii="Times New Roman" w:eastAsiaTheme="minorEastAsia" w:hAnsi="Times New Roman" w:cs="Times New Roman"/>
                <w:sz w:val="24"/>
              </w:rPr>
            </w:pPr>
            <w:r w:rsidRPr="009044F7">
              <w:rPr>
                <w:rFonts w:ascii="Times New Roman" w:hAnsi="Times New Roman" w:cs="Times New Roman"/>
              </w:rPr>
              <w:t>17 107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44F7" w:rsidRPr="009044F7" w:rsidRDefault="009044F7" w:rsidP="009044F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113"/>
              <w:jc w:val="right"/>
              <w:rPr>
                <w:rFonts w:ascii="Times New Roman" w:eastAsiaTheme="minorEastAsia" w:hAnsi="Times New Roman" w:cs="Times New Roman"/>
                <w:sz w:val="24"/>
              </w:rPr>
            </w:pPr>
            <w:r w:rsidRPr="009044F7">
              <w:rPr>
                <w:rFonts w:ascii="Times New Roman" w:hAnsi="Times New Roman" w:cs="Times New Roman"/>
              </w:rPr>
              <w:t>11 683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44F7" w:rsidRPr="009044F7" w:rsidRDefault="009044F7" w:rsidP="009044F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113"/>
              <w:jc w:val="right"/>
              <w:rPr>
                <w:rFonts w:ascii="Times New Roman" w:eastAsiaTheme="minorEastAsia" w:hAnsi="Times New Roman" w:cs="Times New Roman"/>
                <w:sz w:val="24"/>
              </w:rPr>
            </w:pPr>
            <w:r w:rsidRPr="009044F7">
              <w:rPr>
                <w:rFonts w:ascii="Times New Roman" w:hAnsi="Times New Roman" w:cs="Times New Roman"/>
              </w:rPr>
              <w:t>9 428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44F7" w:rsidRPr="009044F7" w:rsidRDefault="009044F7" w:rsidP="009044F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113"/>
              <w:jc w:val="right"/>
              <w:rPr>
                <w:rFonts w:ascii="Times New Roman" w:eastAsiaTheme="minorEastAsia" w:hAnsi="Times New Roman" w:cs="Times New Roman"/>
                <w:sz w:val="24"/>
              </w:rPr>
            </w:pPr>
            <w:r w:rsidRPr="009044F7">
              <w:rPr>
                <w:rFonts w:ascii="Times New Roman" w:hAnsi="Times New Roman" w:cs="Times New Roman"/>
              </w:rPr>
              <w:t>9 133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44F7" w:rsidRPr="009044F7" w:rsidRDefault="009044F7" w:rsidP="009044F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113"/>
              <w:jc w:val="right"/>
              <w:rPr>
                <w:rFonts w:ascii="Times New Roman" w:eastAsiaTheme="minorEastAsia" w:hAnsi="Times New Roman" w:cs="Times New Roman"/>
                <w:sz w:val="24"/>
              </w:rPr>
            </w:pPr>
            <w:r w:rsidRPr="009044F7">
              <w:rPr>
                <w:rFonts w:ascii="Times New Roman" w:hAnsi="Times New Roman" w:cs="Times New Roman"/>
              </w:rPr>
              <w:t>10 037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44F7" w:rsidRPr="009044F7" w:rsidRDefault="009044F7" w:rsidP="009044F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113"/>
              <w:jc w:val="right"/>
              <w:rPr>
                <w:rFonts w:ascii="Times New Roman" w:eastAsiaTheme="minorEastAsia" w:hAnsi="Times New Roman" w:cs="Times New Roman"/>
                <w:sz w:val="24"/>
              </w:rPr>
            </w:pPr>
            <w:r w:rsidRPr="009044F7">
              <w:rPr>
                <w:rFonts w:ascii="Times New Roman" w:hAnsi="Times New Roman" w:cs="Times New Roman"/>
              </w:rPr>
              <w:t>10 004</w:t>
            </w:r>
          </w:p>
        </w:tc>
      </w:tr>
      <w:tr w:rsidR="009044F7" w:rsidRPr="009044F7" w:rsidTr="009044F7">
        <w:trPr>
          <w:trHeight w:val="146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044F7" w:rsidRPr="009044F7" w:rsidRDefault="009044F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EastAsia" w:hAnsi="Times New Roman" w:cs="Times New Roman"/>
                <w:sz w:val="24"/>
              </w:rPr>
            </w:pPr>
            <w:r w:rsidRPr="009044F7">
              <w:rPr>
                <w:rFonts w:ascii="Times New Roman" w:hAnsi="Times New Roman" w:cs="Times New Roman"/>
              </w:rPr>
              <w:t>Procentowy udział w ogólnej liczbie skazanych zatrudnionych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44F7" w:rsidRPr="009044F7" w:rsidRDefault="009044F7" w:rsidP="009044F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113"/>
              <w:jc w:val="right"/>
              <w:rPr>
                <w:rFonts w:ascii="Times New Roman" w:eastAsiaTheme="minorEastAsia" w:hAnsi="Times New Roman" w:cs="Times New Roman"/>
                <w:sz w:val="24"/>
              </w:rPr>
            </w:pPr>
            <w:r w:rsidRPr="009044F7">
              <w:rPr>
                <w:rFonts w:ascii="Times New Roman" w:hAnsi="Times New Roman" w:cs="Times New Roman"/>
              </w:rPr>
              <w:t>68%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44F7" w:rsidRPr="009044F7" w:rsidRDefault="009044F7" w:rsidP="009044F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113"/>
              <w:jc w:val="right"/>
              <w:rPr>
                <w:rFonts w:ascii="Times New Roman" w:eastAsiaTheme="minorEastAsia" w:hAnsi="Times New Roman" w:cs="Times New Roman"/>
                <w:sz w:val="24"/>
              </w:rPr>
            </w:pPr>
            <w:r w:rsidRPr="009044F7">
              <w:rPr>
                <w:rFonts w:ascii="Times New Roman" w:hAnsi="Times New Roman" w:cs="Times New Roman"/>
              </w:rPr>
              <w:t>49%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44F7" w:rsidRPr="009044F7" w:rsidRDefault="009044F7" w:rsidP="009044F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113"/>
              <w:jc w:val="right"/>
              <w:rPr>
                <w:rFonts w:ascii="Times New Roman" w:eastAsiaTheme="minorEastAsia" w:hAnsi="Times New Roman" w:cs="Times New Roman"/>
                <w:sz w:val="24"/>
              </w:rPr>
            </w:pPr>
            <w:r w:rsidRPr="009044F7">
              <w:rPr>
                <w:rFonts w:ascii="Times New Roman" w:hAnsi="Times New Roman" w:cs="Times New Roman"/>
              </w:rPr>
              <w:t>40%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44F7" w:rsidRPr="009044F7" w:rsidRDefault="009044F7" w:rsidP="009044F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113"/>
              <w:jc w:val="right"/>
              <w:rPr>
                <w:rFonts w:ascii="Times New Roman" w:eastAsiaTheme="minorEastAsia" w:hAnsi="Times New Roman" w:cs="Times New Roman"/>
                <w:sz w:val="24"/>
              </w:rPr>
            </w:pPr>
            <w:r w:rsidRPr="009044F7">
              <w:rPr>
                <w:rFonts w:ascii="Times New Roman" w:hAnsi="Times New Roman" w:cs="Times New Roman"/>
              </w:rPr>
              <w:t>37%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44F7" w:rsidRPr="009044F7" w:rsidRDefault="009044F7" w:rsidP="009044F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113"/>
              <w:jc w:val="right"/>
              <w:rPr>
                <w:rFonts w:ascii="Times New Roman" w:eastAsiaTheme="minorEastAsia" w:hAnsi="Times New Roman" w:cs="Times New Roman"/>
                <w:sz w:val="24"/>
              </w:rPr>
            </w:pPr>
            <w:r w:rsidRPr="009044F7">
              <w:rPr>
                <w:rFonts w:ascii="Times New Roman" w:hAnsi="Times New Roman" w:cs="Times New Roman"/>
              </w:rPr>
              <w:t>40%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44F7" w:rsidRPr="009044F7" w:rsidRDefault="009044F7" w:rsidP="009044F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113"/>
              <w:jc w:val="right"/>
              <w:rPr>
                <w:rFonts w:ascii="Times New Roman" w:eastAsiaTheme="minorEastAsia" w:hAnsi="Times New Roman" w:cs="Times New Roman"/>
                <w:sz w:val="24"/>
              </w:rPr>
            </w:pPr>
            <w:r w:rsidRPr="009044F7">
              <w:rPr>
                <w:rFonts w:ascii="Times New Roman" w:hAnsi="Times New Roman" w:cs="Times New Roman"/>
              </w:rPr>
              <w:t>40%</w:t>
            </w:r>
          </w:p>
        </w:tc>
      </w:tr>
    </w:tbl>
    <w:p w:rsidR="009044F7" w:rsidRDefault="009044F7" w:rsidP="009044F7">
      <w:pPr>
        <w:pStyle w:val="ARTartustawynprozporzdzenia"/>
      </w:pPr>
    </w:p>
    <w:p w:rsidR="009044F7" w:rsidRDefault="009044F7" w:rsidP="009044F7">
      <w:pPr>
        <w:pStyle w:val="NIEARTTEKSTtekstnieartykuowanynppodstprawnarozplubpreambua"/>
      </w:pPr>
      <w:r>
        <w:t>Proponowana zmiana w postaci wzrostu ryczałtu przysługujące</w:t>
      </w:r>
      <w:r w:rsidR="00B24557">
        <w:t>go</w:t>
      </w:r>
      <w:r>
        <w:t xml:space="preserve"> przedsiębiorcom ma na celu zbliżenie obecnie ponoszonych przez pracodawców kosztów do tych, które wynikały z przepisów w 2010 r. W ocenie projektodawcy zwiększone koszty pracy nie są obecnie w wystarczającym stopniu rekompensowane, co stanowi główny powód niskiego i utrzymującego się od kilku lat poziomu zatrudnienia skazanych. Zatrudnienie osadzonych z punktu widzenia przedsiębiorcy powinno być znacznie bardziej atrakcyjnym w wyniku redukcji kosztów pracy osadzonych do poziomu 60% wynagrodzenia pracowników. Obniżenie tych kosztów powinno przełożyć się na zwiększenie zatrudnienia osób pozbawionych wolności.</w:t>
      </w:r>
    </w:p>
    <w:p w:rsidR="009044F7" w:rsidRDefault="009044F7" w:rsidP="009044F7">
      <w:pPr>
        <w:pStyle w:val="NIEARTTEKSTtekstnieartykuowanynppodstprawnarozplubpreambua"/>
      </w:pPr>
      <w:r>
        <w:t>Ze środków Funduszu</w:t>
      </w:r>
      <w:r w:rsidR="00697B65">
        <w:t xml:space="preserve"> </w:t>
      </w:r>
      <w:r>
        <w:t xml:space="preserve">podmiotom zatrudniającym osoby pozbawione wolności mogą być udzielane pożyczki i dotacje. </w:t>
      </w:r>
    </w:p>
    <w:p w:rsidR="009044F7" w:rsidRDefault="009044F7" w:rsidP="009044F7">
      <w:pPr>
        <w:pStyle w:val="ARTartustawynprozporzdzenia"/>
      </w:pPr>
      <w:r>
        <w:t xml:space="preserve">Zakres projektu </w:t>
      </w:r>
      <w:r w:rsidR="00B24557">
        <w:t>ustawy</w:t>
      </w:r>
      <w:r>
        <w:t xml:space="preserve"> nie jest objęty prawem Unii Europejskiej.</w:t>
      </w:r>
    </w:p>
    <w:p w:rsidR="009044F7" w:rsidRDefault="009044F7" w:rsidP="009044F7">
      <w:pPr>
        <w:pStyle w:val="ARTartustawynprozporzdzenia"/>
      </w:pPr>
      <w:r>
        <w:t>Ocena Skutków Regulacji została uzgodniona z koordynatorem OSR, o którym mowa w § 32 uchwały nr 190 Rady Ministrów z dnia 29 p</w:t>
      </w:r>
      <w:r w:rsidR="00B24557">
        <w:t>aździernika 2013 r. – Regulamin</w:t>
      </w:r>
      <w:r>
        <w:t xml:space="preserve"> pracy Rady Ministrów (M.P. poz. 979, z późn. zm.)</w:t>
      </w:r>
      <w:r w:rsidR="00B24557">
        <w:t>.</w:t>
      </w:r>
    </w:p>
    <w:p w:rsidR="009044F7" w:rsidRDefault="009044F7" w:rsidP="009044F7">
      <w:pPr>
        <w:pStyle w:val="ARTartustawynprozporzdzenia"/>
      </w:pPr>
      <w:r>
        <w:t>Projektowana ustawa nie podlega notyfikacji zgodnie z przepisami dotyczącymi funkcjonowania krajowego systemu notyfikacji norm i aktów prawnych.</w:t>
      </w:r>
    </w:p>
    <w:p w:rsidR="00392C21" w:rsidRPr="009044F7" w:rsidRDefault="009044F7" w:rsidP="009044F7">
      <w:pPr>
        <w:pStyle w:val="ARTartustawynprozporzdzenia"/>
      </w:pPr>
      <w:r>
        <w:t xml:space="preserve">Zgodnie z art. 5 ustawy z dnia 7 lipca 2005 r. o działalności lobbingowej w procesie stanowienia prawa (Dz. U. poz. 1414, z późn. zm.) projekt został udostępniony w Biuletynie Informacji Publicznej na stronie podmiotowej Rządowego Centrum Legislacji oraz na </w:t>
      </w:r>
      <w:r>
        <w:lastRenderedPageBreak/>
        <w:t>stronach internetowych Ministerstwa Sprawiedliwości w zakładce „Projekty aktów prawnych – prawo karne”. Po udostępnieniu projektu na stronach BIP RCL i BIP MS nie zgłosiły się podmioty zainteresowane pracami nad nim.</w:t>
      </w:r>
    </w:p>
    <w:sectPr w:rsidR="00392C21" w:rsidRPr="009044F7" w:rsidSect="00727934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8F2" w:rsidRDefault="00CF08F2" w:rsidP="009D78F9">
      <w:pPr>
        <w:spacing w:after="0" w:line="240" w:lineRule="auto"/>
      </w:pPr>
      <w:r>
        <w:separator/>
      </w:r>
    </w:p>
  </w:endnote>
  <w:endnote w:type="continuationSeparator" w:id="0">
    <w:p w:rsidR="00CF08F2" w:rsidRDefault="00CF08F2" w:rsidP="009D7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94411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92C21" w:rsidRPr="00392C21" w:rsidRDefault="00392C21" w:rsidP="00392C21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92C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92C2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92C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97F9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92C2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8F2" w:rsidRDefault="00CF08F2" w:rsidP="009D78F9">
      <w:pPr>
        <w:spacing w:after="0" w:line="240" w:lineRule="auto"/>
      </w:pPr>
      <w:r>
        <w:separator/>
      </w:r>
    </w:p>
  </w:footnote>
  <w:footnote w:type="continuationSeparator" w:id="0">
    <w:p w:rsidR="00CF08F2" w:rsidRDefault="00CF08F2" w:rsidP="009D78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41EA2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4EE4F79"/>
    <w:multiLevelType w:val="hybridMultilevel"/>
    <w:tmpl w:val="5E823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9E2B58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6254F"/>
    <w:multiLevelType w:val="hybridMultilevel"/>
    <w:tmpl w:val="20CA30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7869C6"/>
    <w:multiLevelType w:val="hybridMultilevel"/>
    <w:tmpl w:val="4E9AD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292349"/>
    <w:multiLevelType w:val="hybridMultilevel"/>
    <w:tmpl w:val="F1FC0650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2610BC42">
      <w:start w:val="1"/>
      <w:numFmt w:val="bullet"/>
      <w:lvlText w:val=""/>
      <w:lvlJc w:val="left"/>
      <w:pPr>
        <w:tabs>
          <w:tab w:val="num" w:pos="1767"/>
        </w:tabs>
        <w:ind w:left="1767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6">
    <w:nsid w:val="1E3D318B"/>
    <w:multiLevelType w:val="hybridMultilevel"/>
    <w:tmpl w:val="0D7E1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A23D91"/>
    <w:multiLevelType w:val="hybridMultilevel"/>
    <w:tmpl w:val="29A04C7E"/>
    <w:lvl w:ilvl="0" w:tplc="A31018B0">
      <w:start w:val="1"/>
      <w:numFmt w:val="decimal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4D263FF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FEE2A02"/>
    <w:multiLevelType w:val="multilevel"/>
    <w:tmpl w:val="3EE2E83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21CD007E"/>
    <w:multiLevelType w:val="hybridMultilevel"/>
    <w:tmpl w:val="FC0C11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2DF723B"/>
    <w:multiLevelType w:val="multilevel"/>
    <w:tmpl w:val="42ECDCCE"/>
    <w:lvl w:ilvl="0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11">
    <w:nsid w:val="245A51BA"/>
    <w:multiLevelType w:val="hybridMultilevel"/>
    <w:tmpl w:val="4970AB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79D6C8D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C23FD6"/>
    <w:multiLevelType w:val="hybridMultilevel"/>
    <w:tmpl w:val="8048DF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8B1EDD"/>
    <w:multiLevelType w:val="hybridMultilevel"/>
    <w:tmpl w:val="95FA285E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67"/>
        </w:tabs>
        <w:ind w:left="176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16">
    <w:nsid w:val="3B65511A"/>
    <w:multiLevelType w:val="hybridMultilevel"/>
    <w:tmpl w:val="4CAA9CB6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7">
    <w:nsid w:val="3F4C0EBE"/>
    <w:multiLevelType w:val="multilevel"/>
    <w:tmpl w:val="7C6E0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12B5719"/>
    <w:multiLevelType w:val="hybridMultilevel"/>
    <w:tmpl w:val="5CD61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E5730E"/>
    <w:multiLevelType w:val="hybridMultilevel"/>
    <w:tmpl w:val="3C7829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BE361A"/>
    <w:multiLevelType w:val="hybridMultilevel"/>
    <w:tmpl w:val="3AE85FAA"/>
    <w:lvl w:ilvl="0" w:tplc="04150011">
      <w:start w:val="1"/>
      <w:numFmt w:val="decimal"/>
      <w:lvlText w:val="%1)"/>
      <w:lvlJc w:val="left"/>
      <w:pPr>
        <w:tabs>
          <w:tab w:val="num" w:pos="1047"/>
        </w:tabs>
        <w:ind w:left="104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21">
    <w:nsid w:val="51461DEA"/>
    <w:multiLevelType w:val="hybridMultilevel"/>
    <w:tmpl w:val="80049DC2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2">
    <w:nsid w:val="57D5579E"/>
    <w:multiLevelType w:val="hybridMultilevel"/>
    <w:tmpl w:val="0AD26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863083"/>
    <w:multiLevelType w:val="hybridMultilevel"/>
    <w:tmpl w:val="B28ADCD0"/>
    <w:lvl w:ilvl="0" w:tplc="69624922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4">
    <w:nsid w:val="5DBB20EB"/>
    <w:multiLevelType w:val="hybridMultilevel"/>
    <w:tmpl w:val="10E6B354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60417BAC"/>
    <w:multiLevelType w:val="hybridMultilevel"/>
    <w:tmpl w:val="7ACED012"/>
    <w:lvl w:ilvl="0" w:tplc="69624922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6">
    <w:nsid w:val="605729A9"/>
    <w:multiLevelType w:val="hybridMultilevel"/>
    <w:tmpl w:val="E06E7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DD2B62"/>
    <w:multiLevelType w:val="hybridMultilevel"/>
    <w:tmpl w:val="9CBC53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C56F97"/>
    <w:multiLevelType w:val="hybridMultilevel"/>
    <w:tmpl w:val="07FCC90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9">
    <w:nsid w:val="6FFD0546"/>
    <w:multiLevelType w:val="hybridMultilevel"/>
    <w:tmpl w:val="EFCC1B3A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70CF7D78"/>
    <w:multiLevelType w:val="hybridMultilevel"/>
    <w:tmpl w:val="EC5C07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164B50"/>
    <w:multiLevelType w:val="hybridMultilevel"/>
    <w:tmpl w:val="16C045B8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7"/>
  </w:num>
  <w:num w:numId="4">
    <w:abstractNumId w:val="1"/>
  </w:num>
  <w:num w:numId="5">
    <w:abstractNumId w:val="27"/>
  </w:num>
  <w:num w:numId="6">
    <w:abstractNumId w:val="2"/>
  </w:num>
  <w:num w:numId="7">
    <w:abstractNumId w:val="12"/>
  </w:num>
  <w:num w:numId="8">
    <w:abstractNumId w:val="19"/>
  </w:num>
  <w:num w:numId="9">
    <w:abstractNumId w:val="8"/>
  </w:num>
  <w:num w:numId="10">
    <w:abstractNumId w:val="21"/>
  </w:num>
  <w:num w:numId="11">
    <w:abstractNumId w:val="16"/>
  </w:num>
  <w:num w:numId="12">
    <w:abstractNumId w:val="20"/>
  </w:num>
  <w:num w:numId="13">
    <w:abstractNumId w:val="5"/>
  </w:num>
  <w:num w:numId="14">
    <w:abstractNumId w:val="15"/>
  </w:num>
  <w:num w:numId="15">
    <w:abstractNumId w:val="28"/>
  </w:num>
  <w:num w:numId="16">
    <w:abstractNumId w:val="23"/>
  </w:num>
  <w:num w:numId="17">
    <w:abstractNumId w:val="25"/>
  </w:num>
  <w:num w:numId="18">
    <w:abstractNumId w:val="9"/>
  </w:num>
  <w:num w:numId="19">
    <w:abstractNumId w:val="29"/>
  </w:num>
  <w:num w:numId="20">
    <w:abstractNumId w:val="31"/>
  </w:num>
  <w:num w:numId="21">
    <w:abstractNumId w:val="24"/>
  </w:num>
  <w:num w:numId="22">
    <w:abstractNumId w:val="10"/>
  </w:num>
  <w:num w:numId="23">
    <w:abstractNumId w:val="17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3"/>
  </w:num>
  <w:num w:numId="27">
    <w:abstractNumId w:val="11"/>
  </w:num>
  <w:num w:numId="28">
    <w:abstractNumId w:val="26"/>
  </w:num>
  <w:num w:numId="29">
    <w:abstractNumId w:val="4"/>
  </w:num>
  <w:num w:numId="30">
    <w:abstractNumId w:val="6"/>
  </w:num>
  <w:num w:numId="31">
    <w:abstractNumId w:val="30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895"/>
    <w:rsid w:val="00056E79"/>
    <w:rsid w:val="002D3299"/>
    <w:rsid w:val="00392C21"/>
    <w:rsid w:val="003938F7"/>
    <w:rsid w:val="003F6C95"/>
    <w:rsid w:val="00453BA3"/>
    <w:rsid w:val="004E0A95"/>
    <w:rsid w:val="004F3862"/>
    <w:rsid w:val="005F4005"/>
    <w:rsid w:val="006466AC"/>
    <w:rsid w:val="00697B65"/>
    <w:rsid w:val="00725B90"/>
    <w:rsid w:val="00726F0A"/>
    <w:rsid w:val="00727934"/>
    <w:rsid w:val="007455B5"/>
    <w:rsid w:val="007E26CA"/>
    <w:rsid w:val="00874676"/>
    <w:rsid w:val="00882207"/>
    <w:rsid w:val="008D1573"/>
    <w:rsid w:val="008F6235"/>
    <w:rsid w:val="009044F7"/>
    <w:rsid w:val="009D78F9"/>
    <w:rsid w:val="009E788D"/>
    <w:rsid w:val="009F03C5"/>
    <w:rsid w:val="00AB053F"/>
    <w:rsid w:val="00B24557"/>
    <w:rsid w:val="00CF08F2"/>
    <w:rsid w:val="00D033A0"/>
    <w:rsid w:val="00D03895"/>
    <w:rsid w:val="00D866D5"/>
    <w:rsid w:val="00DF4048"/>
    <w:rsid w:val="00E97F94"/>
    <w:rsid w:val="00F7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F08F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F08F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F08F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2C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5F400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F4005"/>
    <w:rPr>
      <w:bCs/>
    </w:rPr>
  </w:style>
  <w:style w:type="paragraph" w:customStyle="1" w:styleId="PKTpunkt">
    <w:name w:val="PKT – punkt"/>
    <w:uiPriority w:val="13"/>
    <w:qFormat/>
    <w:rsid w:val="005F400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78F9"/>
  </w:style>
  <w:style w:type="paragraph" w:styleId="Stopka">
    <w:name w:val="footer"/>
    <w:basedOn w:val="Normalny"/>
    <w:link w:val="Stopka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78F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08F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08F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F08F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CF08F2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CF08F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CF08F2"/>
    <w:rPr>
      <w:rFonts w:ascii="Arial" w:eastAsia="Times New Roman" w:hAnsi="Arial" w:cs="Arial"/>
      <w:b/>
      <w:bCs/>
      <w:sz w:val="26"/>
      <w:szCs w:val="26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CF08F2"/>
  </w:style>
  <w:style w:type="table" w:styleId="Tabela-Siatka">
    <w:name w:val="Table Grid"/>
    <w:basedOn w:val="Standardowy"/>
    <w:uiPriority w:val="99"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CF08F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8F2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CF08F2"/>
    <w:rPr>
      <w:vertAlign w:val="superscript"/>
    </w:rPr>
  </w:style>
  <w:style w:type="paragraph" w:styleId="Akapitzlist">
    <w:name w:val="List Paragraph"/>
    <w:basedOn w:val="Normalny"/>
    <w:uiPriority w:val="34"/>
    <w:qFormat/>
    <w:rsid w:val="00CF08F2"/>
    <w:pPr>
      <w:spacing w:after="0"/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CF08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8F2"/>
    <w:pPr>
      <w:spacing w:after="0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8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08F2"/>
    <w:rPr>
      <w:rFonts w:ascii="Calibri" w:eastAsia="Calibri" w:hAnsi="Calibri" w:cs="Times New Roman"/>
      <w:b/>
      <w:bCs/>
      <w:sz w:val="20"/>
      <w:szCs w:val="20"/>
    </w:rPr>
  </w:style>
  <w:style w:type="character" w:styleId="Hipercze">
    <w:name w:val="Hyperlink"/>
    <w:uiPriority w:val="99"/>
    <w:unhideWhenUsed/>
    <w:rsid w:val="00CF08F2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CF08F2"/>
    <w:rPr>
      <w:color w:val="8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CF0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uiPriority w:val="22"/>
    <w:qFormat/>
    <w:rsid w:val="00CF08F2"/>
    <w:rPr>
      <w:b/>
      <w:bCs/>
    </w:rPr>
  </w:style>
  <w:style w:type="table" w:styleId="Jasnecieniowanieakcent1">
    <w:name w:val="Light Shading Accent 1"/>
    <w:basedOn w:val="Standardowy"/>
    <w:uiPriority w:val="60"/>
    <w:rsid w:val="00CF08F2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hps">
    <w:name w:val="hps"/>
    <w:rsid w:val="00CF08F2"/>
  </w:style>
  <w:style w:type="character" w:customStyle="1" w:styleId="Nagwek6Znak">
    <w:name w:val="Nagłówek 6 Znak"/>
    <w:basedOn w:val="Domylnaczcionkaakapitu"/>
    <w:link w:val="Nagwek6"/>
    <w:uiPriority w:val="9"/>
    <w:semiHidden/>
    <w:rsid w:val="00392C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9044F7"/>
    <w:pPr>
      <w:spacing w:before="0"/>
    </w:pPr>
    <w:rPr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F08F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F08F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F08F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2C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5F400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F4005"/>
    <w:rPr>
      <w:bCs/>
    </w:rPr>
  </w:style>
  <w:style w:type="paragraph" w:customStyle="1" w:styleId="PKTpunkt">
    <w:name w:val="PKT – punkt"/>
    <w:uiPriority w:val="13"/>
    <w:qFormat/>
    <w:rsid w:val="005F400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78F9"/>
  </w:style>
  <w:style w:type="paragraph" w:styleId="Stopka">
    <w:name w:val="footer"/>
    <w:basedOn w:val="Normalny"/>
    <w:link w:val="Stopka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78F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08F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08F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F08F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CF08F2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CF08F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CF08F2"/>
    <w:rPr>
      <w:rFonts w:ascii="Arial" w:eastAsia="Times New Roman" w:hAnsi="Arial" w:cs="Arial"/>
      <w:b/>
      <w:bCs/>
      <w:sz w:val="26"/>
      <w:szCs w:val="26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CF08F2"/>
  </w:style>
  <w:style w:type="table" w:styleId="Tabela-Siatka">
    <w:name w:val="Table Grid"/>
    <w:basedOn w:val="Standardowy"/>
    <w:uiPriority w:val="99"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CF08F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8F2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CF08F2"/>
    <w:rPr>
      <w:vertAlign w:val="superscript"/>
    </w:rPr>
  </w:style>
  <w:style w:type="paragraph" w:styleId="Akapitzlist">
    <w:name w:val="List Paragraph"/>
    <w:basedOn w:val="Normalny"/>
    <w:uiPriority w:val="34"/>
    <w:qFormat/>
    <w:rsid w:val="00CF08F2"/>
    <w:pPr>
      <w:spacing w:after="0"/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CF08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8F2"/>
    <w:pPr>
      <w:spacing w:after="0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8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08F2"/>
    <w:rPr>
      <w:rFonts w:ascii="Calibri" w:eastAsia="Calibri" w:hAnsi="Calibri" w:cs="Times New Roman"/>
      <w:b/>
      <w:bCs/>
      <w:sz w:val="20"/>
      <w:szCs w:val="20"/>
    </w:rPr>
  </w:style>
  <w:style w:type="character" w:styleId="Hipercze">
    <w:name w:val="Hyperlink"/>
    <w:uiPriority w:val="99"/>
    <w:unhideWhenUsed/>
    <w:rsid w:val="00CF08F2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CF08F2"/>
    <w:rPr>
      <w:color w:val="8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CF0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uiPriority w:val="22"/>
    <w:qFormat/>
    <w:rsid w:val="00CF08F2"/>
    <w:rPr>
      <w:b/>
      <w:bCs/>
    </w:rPr>
  </w:style>
  <w:style w:type="table" w:styleId="Jasnecieniowanieakcent1">
    <w:name w:val="Light Shading Accent 1"/>
    <w:basedOn w:val="Standardowy"/>
    <w:uiPriority w:val="60"/>
    <w:rsid w:val="00CF08F2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hps">
    <w:name w:val="hps"/>
    <w:rsid w:val="00CF08F2"/>
  </w:style>
  <w:style w:type="character" w:customStyle="1" w:styleId="Nagwek6Znak">
    <w:name w:val="Nagłówek 6 Znak"/>
    <w:basedOn w:val="Domylnaczcionkaakapitu"/>
    <w:link w:val="Nagwek6"/>
    <w:uiPriority w:val="9"/>
    <w:semiHidden/>
    <w:rsid w:val="00392C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9044F7"/>
    <w:pPr>
      <w:spacing w:before="0"/>
    </w:pPr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Binkowska Joanna</dc:creator>
  <cp:lastModifiedBy>Ewa A. Genert</cp:lastModifiedBy>
  <cp:revision>2</cp:revision>
  <cp:lastPrinted>2016-10-03T08:53:00Z</cp:lastPrinted>
  <dcterms:created xsi:type="dcterms:W3CDTF">2016-10-19T09:22:00Z</dcterms:created>
  <dcterms:modified xsi:type="dcterms:W3CDTF">2016-10-19T09:22:00Z</dcterms:modified>
</cp:coreProperties>
</file>