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BBC" w:rsidRDefault="00CB3512" w:rsidP="00CB3512">
      <w:pPr>
        <w:spacing w:before="120" w:line="360" w:lineRule="auto"/>
        <w:jc w:val="center"/>
      </w:pPr>
      <w:bookmarkStart w:id="0" w:name="_GoBack"/>
      <w:bookmarkEnd w:id="0"/>
      <w:r w:rsidRPr="00CB3512">
        <w:t>UZASADNIENIE</w:t>
      </w:r>
    </w:p>
    <w:p w:rsidR="00FC3EF0" w:rsidRPr="00FA15D0" w:rsidRDefault="00FC3EF0" w:rsidP="00CB3512">
      <w:pPr>
        <w:tabs>
          <w:tab w:val="left" w:pos="0"/>
        </w:tabs>
        <w:spacing w:before="240" w:line="360" w:lineRule="auto"/>
      </w:pPr>
      <w:r w:rsidRPr="00FA15D0">
        <w:t xml:space="preserve">Ustawą z dnia 6 lipca 2016 r. o podatku od sprzedaży detalicznej (Dz. U. poz. 1155) wprowadzono do polskiego systemu podatkowego nową daninę, podatek od sprzedaży detalicznej. Przepisy ustawy weszły w życie z dniem 1 września 2016 r. i mają zastosowanie do przychodów ze sprzedaży detalicznej osiągniętych od tego dnia. </w:t>
      </w:r>
    </w:p>
    <w:p w:rsidR="00ED5C7C" w:rsidRPr="00FA15D0" w:rsidRDefault="0004752A" w:rsidP="00CB3512">
      <w:pPr>
        <w:tabs>
          <w:tab w:val="left" w:pos="0"/>
        </w:tabs>
        <w:spacing w:before="120" w:line="360" w:lineRule="auto"/>
      </w:pPr>
      <w:r w:rsidRPr="00FA15D0">
        <w:t xml:space="preserve">Stosownie do zapisów ustawy, podatnicy podatku od sprzedaży detalicznej, którzy </w:t>
      </w:r>
      <w:r w:rsidR="00FF18F2" w:rsidRPr="00FA15D0">
        <w:t xml:space="preserve">osiągnęli w danym miesiącu przychód ze sprzedaży detalicznej ponad kwotę 17 mln zł, są zobowiązani do złożenia </w:t>
      </w:r>
      <w:r w:rsidR="00FC3EF0" w:rsidRPr="00FA15D0">
        <w:t xml:space="preserve">deklaracji podatkowej o wysokości </w:t>
      </w:r>
      <w:r w:rsidR="00FC3EF0" w:rsidRPr="00FA15D0">
        <w:rPr>
          <w:rStyle w:val="Uwydatnienie"/>
          <w:i w:val="0"/>
        </w:rPr>
        <w:t>podatku</w:t>
      </w:r>
      <w:r w:rsidR="00FF18F2" w:rsidRPr="00FA15D0">
        <w:rPr>
          <w:rStyle w:val="Uwydatnienie"/>
          <w:i w:val="0"/>
        </w:rPr>
        <w:t xml:space="preserve"> oraz</w:t>
      </w:r>
      <w:r w:rsidR="00FC3EF0" w:rsidRPr="00FA15D0">
        <w:t xml:space="preserve"> obliczenia i wpłacenia </w:t>
      </w:r>
      <w:r w:rsidR="00FC3EF0" w:rsidRPr="00FA15D0">
        <w:rPr>
          <w:rStyle w:val="Uwydatnienie"/>
          <w:i w:val="0"/>
        </w:rPr>
        <w:t>podatku</w:t>
      </w:r>
      <w:r w:rsidR="00FC3EF0" w:rsidRPr="00FA15D0">
        <w:rPr>
          <w:i/>
        </w:rPr>
        <w:t xml:space="preserve"> </w:t>
      </w:r>
      <w:r w:rsidR="00FC3EF0" w:rsidRPr="00FA15D0">
        <w:t>na rachunek urzędu skarbowego</w:t>
      </w:r>
      <w:r w:rsidR="00FF18F2" w:rsidRPr="00FA15D0">
        <w:t xml:space="preserve">. Obowiązek ten powstanie po raz pierwszy za miesiąc wrzesień – w terminie do </w:t>
      </w:r>
      <w:r w:rsidR="00FC3EF0" w:rsidRPr="00FA15D0">
        <w:t xml:space="preserve">25 </w:t>
      </w:r>
      <w:r w:rsidR="001162C3">
        <w:t>p</w:t>
      </w:r>
      <w:r w:rsidR="00FC3EF0" w:rsidRPr="00FA15D0">
        <w:t>aździernika</w:t>
      </w:r>
      <w:r w:rsidR="00225574" w:rsidRPr="00FA15D0">
        <w:t xml:space="preserve"> br</w:t>
      </w:r>
      <w:r w:rsidR="00FC3EF0" w:rsidRPr="00FA15D0">
        <w:t>.</w:t>
      </w:r>
      <w:r w:rsidR="00FF18F2" w:rsidRPr="00FA15D0">
        <w:t xml:space="preserve"> </w:t>
      </w:r>
    </w:p>
    <w:p w:rsidR="00ED5C7C" w:rsidRPr="00FA15D0" w:rsidRDefault="00FF18F2" w:rsidP="00CB3512">
      <w:pPr>
        <w:spacing w:before="120" w:line="360" w:lineRule="auto"/>
      </w:pPr>
      <w:r w:rsidRPr="00FA15D0">
        <w:t>Na mocy decyzji z</w:t>
      </w:r>
      <w:r w:rsidR="00FC3EF0" w:rsidRPr="00FA15D0">
        <w:t xml:space="preserve"> dnia 19 września 2016 r., </w:t>
      </w:r>
      <w:r w:rsidR="00ED5C7C" w:rsidRPr="00FA15D0">
        <w:t xml:space="preserve">Komisja Europejska wszczęła szczegółowe postępowanie wyjaśniające w sprawie polskiego podatku od sprzedaży detalicznej. Komisja obawia się, że progresywne stawki oparte na wielkości przychodów przyznają przedsiębiorstwom o niskich przychodach selektywną przewagę nad ich konkurentami, z naruszeniem unijnych zasad pomocy państwa. </w:t>
      </w:r>
    </w:p>
    <w:p w:rsidR="00ED5C7C" w:rsidRPr="00FA15D0" w:rsidRDefault="00ED5C7C" w:rsidP="00CB3512">
      <w:pPr>
        <w:spacing w:before="120" w:line="360" w:lineRule="auto"/>
      </w:pPr>
      <w:r w:rsidRPr="00FA15D0">
        <w:t xml:space="preserve">Jednocześnie </w:t>
      </w:r>
      <w:r w:rsidR="00F459BD" w:rsidRPr="00FA15D0">
        <w:t>Komisja Europejska wydała nakaz zobowiązujący Polskę do zawieszenia stosowania tego podatku do czasu zakończenia jego analizy przez Komisję (tzw. nakaz zawieszenia).</w:t>
      </w:r>
      <w:r w:rsidRPr="00FA15D0">
        <w:t xml:space="preserve"> </w:t>
      </w:r>
    </w:p>
    <w:p w:rsidR="00F459BD" w:rsidRPr="00FA15D0" w:rsidRDefault="00F459BD" w:rsidP="00CB3512">
      <w:pPr>
        <w:spacing w:before="120" w:line="360" w:lineRule="auto"/>
      </w:pPr>
      <w:r w:rsidRPr="00FA15D0">
        <w:t>Zgodnie z komunikatem Komisji Europejskiej, Komisja nie kwestionuje prawa Polski do decydowania o poziomie opodatkowania ani celów poszczególnych podatków i</w:t>
      </w:r>
      <w:r w:rsidR="00CB3512">
        <w:t> </w:t>
      </w:r>
      <w:r w:rsidRPr="00FA15D0">
        <w:t>opłat. Wskazuje jednakże, iż system podatkowy powinien być zgodny z prawem Unii, w tym z zasadami pomocy państwa.</w:t>
      </w:r>
    </w:p>
    <w:p w:rsidR="00EF0AD2" w:rsidRPr="00FA15D0" w:rsidRDefault="00EF0AD2" w:rsidP="00CB3512">
      <w:pPr>
        <w:spacing w:before="120" w:line="360" w:lineRule="auto"/>
      </w:pPr>
      <w:r w:rsidRPr="00FA15D0">
        <w:t>Według wstępnej oceny Komisji progresywna stawka nie jest uzasadniona logiką systemu podatkowego w Polsce, która zakłada gromadzenie środków finansowych w</w:t>
      </w:r>
      <w:r w:rsidR="00CB3512">
        <w:t> </w:t>
      </w:r>
      <w:r w:rsidRPr="00FA15D0">
        <w:t>celu zasilenia budżetu ogólnego. Oznacza to</w:t>
      </w:r>
      <w:r w:rsidR="00225574" w:rsidRPr="00FA15D0">
        <w:t>,</w:t>
      </w:r>
      <w:r w:rsidRPr="00FA15D0">
        <w:t xml:space="preserve"> że istnieje możliwość </w:t>
      </w:r>
      <w:r w:rsidR="00FC3EF0" w:rsidRPr="00FA15D0">
        <w:t>podjęcia przez Komisję Europejską ostatecznej decyzji uznającej, iż przepisy ustawy o podatku od sprzedaży detalicznej są niezgodne z regułami pomocy publicznej</w:t>
      </w:r>
      <w:r w:rsidRPr="00FA15D0">
        <w:t xml:space="preserve">. W konsekwencji może </w:t>
      </w:r>
      <w:r w:rsidR="00FC3EF0" w:rsidRPr="00FA15D0">
        <w:t>zaistnie</w:t>
      </w:r>
      <w:r w:rsidRPr="00FA15D0">
        <w:t>ć konieczność zwrotu tej pomocy wraz z odsetkami. Takie post</w:t>
      </w:r>
      <w:r w:rsidR="00CF5466">
        <w:t>ę</w:t>
      </w:r>
      <w:r w:rsidRPr="00FA15D0">
        <w:t>powanie m</w:t>
      </w:r>
      <w:r w:rsidR="001162C3">
        <w:t>ogło</w:t>
      </w:r>
      <w:r w:rsidR="00FC3EF0" w:rsidRPr="00FA15D0">
        <w:t xml:space="preserve">by </w:t>
      </w:r>
      <w:r w:rsidR="00F459BD" w:rsidRPr="00FA15D0">
        <w:t>narazić Skarb Państwa na stratę.</w:t>
      </w:r>
      <w:r w:rsidR="00FC3EF0" w:rsidRPr="00FA15D0">
        <w:t xml:space="preserve"> </w:t>
      </w:r>
    </w:p>
    <w:p w:rsidR="00EF0AD2" w:rsidRPr="00FA15D0" w:rsidRDefault="00EF0AD2" w:rsidP="00CB3512">
      <w:pPr>
        <w:spacing w:before="120" w:line="360" w:lineRule="auto"/>
      </w:pPr>
      <w:r w:rsidRPr="00FA15D0">
        <w:t>Dlatego</w:t>
      </w:r>
      <w:r w:rsidR="00F06F1A" w:rsidRPr="00FA15D0">
        <w:t>,</w:t>
      </w:r>
      <w:r w:rsidRPr="00FA15D0">
        <w:t xml:space="preserve"> aby zapobiec </w:t>
      </w:r>
      <w:r w:rsidR="00FC3EF0" w:rsidRPr="00FA15D0">
        <w:t>potencjalnym negatywnym konsekwencjom</w:t>
      </w:r>
      <w:r w:rsidR="00F06F1A" w:rsidRPr="00FA15D0">
        <w:t>,</w:t>
      </w:r>
      <w:r w:rsidR="00FC3EF0" w:rsidRPr="00FA15D0">
        <w:t xml:space="preserve"> proponuje się</w:t>
      </w:r>
      <w:r w:rsidRPr="00FA15D0">
        <w:t xml:space="preserve"> żeby przepisy ustawy </w:t>
      </w:r>
      <w:r w:rsidR="00F06F1A" w:rsidRPr="00FA15D0">
        <w:t>z dnia 6 lipca 2016 r.</w:t>
      </w:r>
      <w:r w:rsidR="00D47166">
        <w:t xml:space="preserve"> o </w:t>
      </w:r>
      <w:r w:rsidR="008A5044">
        <w:t xml:space="preserve">podatku od </w:t>
      </w:r>
      <w:r w:rsidR="00D47166">
        <w:t xml:space="preserve">sprzedaży detalicznej były </w:t>
      </w:r>
      <w:r w:rsidR="00D47166">
        <w:lastRenderedPageBreak/>
        <w:t>stosowane do przychodów ze sprzedaży osią</w:t>
      </w:r>
      <w:r w:rsidR="00E0585E">
        <w:t>gniętych od dnia 1 stycznia 2018</w:t>
      </w:r>
      <w:r w:rsidR="00D47166">
        <w:t xml:space="preserve"> r., a</w:t>
      </w:r>
      <w:r w:rsidR="00D44434">
        <w:t> </w:t>
      </w:r>
      <w:r w:rsidR="00D47166">
        <w:t>w</w:t>
      </w:r>
      <w:r w:rsidR="00D44434">
        <w:t> </w:t>
      </w:r>
      <w:r w:rsidR="00D47166">
        <w:t xml:space="preserve">konsekwencji </w:t>
      </w:r>
      <w:r w:rsidRPr="00FA15D0">
        <w:t xml:space="preserve">nie miały zastosowania do przychodów ze sprzedaży detalicznej osiągniętych w okresie wrzesień </w:t>
      </w:r>
      <w:r w:rsidR="00E0585E">
        <w:t>2016 r. – grudzień 2017</w:t>
      </w:r>
      <w:r w:rsidRPr="00FA15D0">
        <w:t xml:space="preserve"> r. Oznacza to, że</w:t>
      </w:r>
      <w:r w:rsidR="00F06F1A" w:rsidRPr="00FA15D0">
        <w:t xml:space="preserve"> nastąpi wstrzymanie stosowania ustawy, a potencjalni</w:t>
      </w:r>
      <w:r w:rsidRPr="00FA15D0">
        <w:t xml:space="preserve"> podatnicy podatku od sprzedaży detalicznej nie będą zobowiązani do </w:t>
      </w:r>
      <w:r w:rsidR="00F06F1A" w:rsidRPr="00FA15D0">
        <w:t>składania deklaracji podatkowych o wysokości podatku oraz do obliczania i</w:t>
      </w:r>
      <w:r w:rsidR="00CB3512">
        <w:t> </w:t>
      </w:r>
      <w:r w:rsidR="00F06F1A" w:rsidRPr="00FA15D0">
        <w:t xml:space="preserve">wpłacania podatku od sprzedaży detalicznej </w:t>
      </w:r>
      <w:r w:rsidR="00E0585E">
        <w:t>do końca 2017</w:t>
      </w:r>
      <w:r w:rsidR="00D44434">
        <w:t> </w:t>
      </w:r>
      <w:r w:rsidR="00D47166">
        <w:t>r.</w:t>
      </w:r>
      <w:r w:rsidR="00CB3512">
        <w:t xml:space="preserve"> </w:t>
      </w:r>
    </w:p>
    <w:p w:rsidR="00FC3EF0" w:rsidRPr="00FA15D0" w:rsidRDefault="00F06F1A" w:rsidP="00CB3512">
      <w:pPr>
        <w:spacing w:before="120" w:line="360" w:lineRule="auto"/>
      </w:pPr>
      <w:r w:rsidRPr="00FA15D0">
        <w:t>Proponowany</w:t>
      </w:r>
      <w:r w:rsidR="00FC3EF0" w:rsidRPr="00FA15D0">
        <w:t xml:space="preserve"> </w:t>
      </w:r>
      <w:r w:rsidRPr="00FA15D0">
        <w:t>okres</w:t>
      </w:r>
      <w:r w:rsidR="00FC3EF0" w:rsidRPr="00FA15D0">
        <w:t xml:space="preserve">, w którym </w:t>
      </w:r>
      <w:r w:rsidRPr="00FA15D0">
        <w:t>przepisy ustawy nie będą stosowane do osiągniętych przychodów ze sprzedaży detalicznej</w:t>
      </w:r>
      <w:r w:rsidR="00FC3EF0" w:rsidRPr="00FA15D0">
        <w:t>, powinien pozwolić Komisji Europejs</w:t>
      </w:r>
      <w:r w:rsidR="00CB3512">
        <w:t xml:space="preserve">kiej wydać ostateczną decyzję. </w:t>
      </w:r>
    </w:p>
    <w:p w:rsidR="00FC3EF0" w:rsidRPr="00FA15D0" w:rsidRDefault="00F06F1A" w:rsidP="00CB3512">
      <w:pPr>
        <w:pStyle w:val="Tekstkomentarza"/>
        <w:spacing w:before="120" w:line="360" w:lineRule="auto"/>
        <w:jc w:val="both"/>
        <w:rPr>
          <w:sz w:val="24"/>
          <w:szCs w:val="24"/>
        </w:rPr>
      </w:pPr>
      <w:r w:rsidRPr="00FA15D0">
        <w:rPr>
          <w:sz w:val="24"/>
          <w:szCs w:val="24"/>
        </w:rPr>
        <w:t>W art. 2 ustawy</w:t>
      </w:r>
      <w:r w:rsidR="00FC3EF0" w:rsidRPr="00FA15D0">
        <w:rPr>
          <w:sz w:val="24"/>
          <w:szCs w:val="24"/>
        </w:rPr>
        <w:t xml:space="preserve"> proponuje się, aby weszł</w:t>
      </w:r>
      <w:r w:rsidRPr="00FA15D0">
        <w:rPr>
          <w:sz w:val="24"/>
          <w:szCs w:val="24"/>
        </w:rPr>
        <w:t>a ona</w:t>
      </w:r>
      <w:r w:rsidR="00FC3EF0" w:rsidRPr="00FA15D0">
        <w:rPr>
          <w:sz w:val="24"/>
          <w:szCs w:val="24"/>
        </w:rPr>
        <w:t xml:space="preserve"> w życie z dniem </w:t>
      </w:r>
      <w:r w:rsidR="00D47166">
        <w:rPr>
          <w:sz w:val="24"/>
          <w:szCs w:val="24"/>
        </w:rPr>
        <w:t xml:space="preserve">następującym po dniu </w:t>
      </w:r>
      <w:r w:rsidR="00FC3EF0" w:rsidRPr="00FA15D0">
        <w:rPr>
          <w:sz w:val="24"/>
          <w:szCs w:val="24"/>
        </w:rPr>
        <w:t xml:space="preserve">ogłoszenia z uwagi na </w:t>
      </w:r>
      <w:r w:rsidR="00225574" w:rsidRPr="00FA15D0">
        <w:rPr>
          <w:sz w:val="24"/>
          <w:szCs w:val="24"/>
        </w:rPr>
        <w:t>s</w:t>
      </w:r>
      <w:r w:rsidR="00FC3EF0" w:rsidRPr="00FA15D0">
        <w:rPr>
          <w:sz w:val="24"/>
          <w:szCs w:val="24"/>
        </w:rPr>
        <w:t>tosowanie regulacji począwszy od dnia 1 września 2016</w:t>
      </w:r>
      <w:r w:rsidR="00CB3512">
        <w:rPr>
          <w:sz w:val="24"/>
          <w:szCs w:val="24"/>
        </w:rPr>
        <w:t xml:space="preserve"> </w:t>
      </w:r>
      <w:r w:rsidR="00FC3EF0" w:rsidRPr="00FA15D0">
        <w:rPr>
          <w:sz w:val="24"/>
          <w:szCs w:val="24"/>
        </w:rPr>
        <w:t>r.</w:t>
      </w:r>
      <w:r w:rsidR="00FA15D0">
        <w:rPr>
          <w:sz w:val="24"/>
          <w:szCs w:val="24"/>
        </w:rPr>
        <w:t xml:space="preserve"> i</w:t>
      </w:r>
      <w:r w:rsidR="00CB3512">
        <w:rPr>
          <w:sz w:val="24"/>
          <w:szCs w:val="24"/>
        </w:rPr>
        <w:t> </w:t>
      </w:r>
      <w:r w:rsidR="00FA15D0">
        <w:rPr>
          <w:sz w:val="24"/>
          <w:szCs w:val="24"/>
        </w:rPr>
        <w:t>konieczność szybkiego wstrzymania działania ustawy.</w:t>
      </w:r>
    </w:p>
    <w:p w:rsidR="00FC3EF0" w:rsidRPr="001C6D4D" w:rsidRDefault="00FC3EF0" w:rsidP="00CB3512">
      <w:pPr>
        <w:spacing w:before="120" w:line="360" w:lineRule="auto"/>
        <w:rPr>
          <w:rFonts w:eastAsia="Calibri"/>
        </w:rPr>
      </w:pPr>
      <w:r w:rsidRPr="001C6D4D">
        <w:rPr>
          <w:rFonts w:eastAsia="Calibri"/>
        </w:rPr>
        <w:t>Zgodnie z art. 4 ust. 1 ustawy z dnia 20 lipca 2000 r. o ogłaszaniu aktów normatywnych i niektórych innych aktów prawnych (Dz. U. z 2016 r. poz. 296</w:t>
      </w:r>
      <w:r w:rsidR="00CF5466">
        <w:rPr>
          <w:rFonts w:eastAsia="Calibri"/>
        </w:rPr>
        <w:t xml:space="preserve"> i 1579</w:t>
      </w:r>
      <w:r w:rsidRPr="001C6D4D">
        <w:rPr>
          <w:rFonts w:eastAsia="Calibri"/>
        </w:rPr>
        <w:t>), akty normatywne, zawierające przepisy powszechnie obowiązujące, ogłaszane w dziennikach urzędowych wchodzą w życie po upływie czternastu dni od dnia ich ogłoszenia, chyba że dany akt normatywny określi termin dłuższy. W uzasadnionych przypadkach (stosownie do ust.</w:t>
      </w:r>
      <w:r w:rsidR="00CB3512">
        <w:rPr>
          <w:rFonts w:eastAsia="Calibri"/>
        </w:rPr>
        <w:t> </w:t>
      </w:r>
      <w:r w:rsidRPr="001C6D4D">
        <w:rPr>
          <w:rFonts w:eastAsia="Calibri"/>
        </w:rPr>
        <w:t>2 art. 4 ustawy) akty normatywne mogą wchodzić w życie w terminie krótszym niż czternaście dni, a jeżeli ważny interes państwa wymaga natychmiastowego wejścia w</w:t>
      </w:r>
      <w:r w:rsidR="00CB3512">
        <w:rPr>
          <w:rFonts w:eastAsia="Calibri"/>
        </w:rPr>
        <w:t> </w:t>
      </w:r>
      <w:r w:rsidRPr="001C6D4D">
        <w:rPr>
          <w:rFonts w:eastAsia="Calibri"/>
        </w:rPr>
        <w:t>życie aktu normatywnego i zasady demokratycznego państwa prawnego nie stoją temu na przeszkodzie, dniem wejścia w życie może być dzień ogłoszenia tego aktu w</w:t>
      </w:r>
      <w:r w:rsidR="00CB3512">
        <w:rPr>
          <w:rFonts w:eastAsia="Calibri"/>
        </w:rPr>
        <w:t> </w:t>
      </w:r>
      <w:r w:rsidRPr="001C6D4D">
        <w:rPr>
          <w:rFonts w:eastAsia="Calibri"/>
        </w:rPr>
        <w:t>dzienniku urzędowym.</w:t>
      </w:r>
    </w:p>
    <w:p w:rsidR="00FC3EF0" w:rsidRPr="001C6D4D" w:rsidRDefault="00FC3EF0" w:rsidP="00CB3512">
      <w:pPr>
        <w:autoSpaceDE w:val="0"/>
        <w:autoSpaceDN w:val="0"/>
        <w:adjustRightInd w:val="0"/>
        <w:spacing w:before="120" w:line="360" w:lineRule="auto"/>
        <w:rPr>
          <w:rFonts w:eastAsia="Calibri"/>
        </w:rPr>
      </w:pPr>
      <w:r w:rsidRPr="001C6D4D">
        <w:rPr>
          <w:rFonts w:eastAsia="Calibri"/>
        </w:rPr>
        <w:t>Proponowany termin wejścia w życie przepisów jest niezbędny d</w:t>
      </w:r>
      <w:r w:rsidR="00CF5466">
        <w:rPr>
          <w:rFonts w:eastAsia="Calibri"/>
        </w:rPr>
        <w:t>o</w:t>
      </w:r>
      <w:r w:rsidRPr="001C6D4D">
        <w:rPr>
          <w:rFonts w:eastAsia="Calibri"/>
        </w:rPr>
        <w:t xml:space="preserve"> zapewnienia skuteczności i szybkości wykonania nakazu zawieszenia. Ważnym inter</w:t>
      </w:r>
      <w:r w:rsidR="00954E90" w:rsidRPr="001C6D4D">
        <w:rPr>
          <w:rFonts w:eastAsia="Calibri"/>
        </w:rPr>
        <w:t>esem państwa jest konieczność niepobierania</w:t>
      </w:r>
      <w:r w:rsidRPr="001C6D4D">
        <w:rPr>
          <w:rFonts w:eastAsia="Calibri"/>
        </w:rPr>
        <w:t xml:space="preserve"> podatku od sprzedaży detalicznej już od początku jego obowiązywania, tj. od września 2016 r. </w:t>
      </w:r>
      <w:r w:rsidRPr="00FA15D0">
        <w:t xml:space="preserve">Skróceniu </w:t>
      </w:r>
      <w:r w:rsidRPr="001C6D4D">
        <w:rPr>
          <w:rFonts w:eastAsia="Calibri"/>
        </w:rPr>
        <w:t xml:space="preserve">14-dniowego </w:t>
      </w:r>
      <w:r w:rsidRPr="001C6D4D">
        <w:rPr>
          <w:rFonts w:eastAsia="Calibri"/>
          <w:i/>
        </w:rPr>
        <w:t>vacatio legis</w:t>
      </w:r>
      <w:r w:rsidRPr="001C6D4D">
        <w:rPr>
          <w:rFonts w:eastAsia="Calibri"/>
        </w:rPr>
        <w:t xml:space="preserve"> dla </w:t>
      </w:r>
      <w:r w:rsidR="00F06F1A" w:rsidRPr="001C6D4D">
        <w:rPr>
          <w:rFonts w:eastAsia="Calibri"/>
        </w:rPr>
        <w:t>ustawy</w:t>
      </w:r>
      <w:r w:rsidRPr="001C6D4D">
        <w:rPr>
          <w:rFonts w:eastAsia="Calibri"/>
        </w:rPr>
        <w:t xml:space="preserve"> nie stoją na przeszkodzie także zasady demokratycznego państwa prawa, o</w:t>
      </w:r>
      <w:r w:rsidR="00CB3512">
        <w:rPr>
          <w:rFonts w:eastAsia="Calibri"/>
        </w:rPr>
        <w:t> </w:t>
      </w:r>
      <w:r w:rsidRPr="001C6D4D">
        <w:rPr>
          <w:rFonts w:eastAsia="Calibri"/>
        </w:rPr>
        <w:t xml:space="preserve">których mowa w art. 4 ust. 2 ww. ustawy. </w:t>
      </w:r>
    </w:p>
    <w:p w:rsidR="00FC3EF0" w:rsidRDefault="00FC3EF0" w:rsidP="00CB3512">
      <w:pPr>
        <w:spacing w:before="120" w:line="360" w:lineRule="auto"/>
      </w:pPr>
      <w:r w:rsidRPr="00FA15D0">
        <w:t xml:space="preserve">W konsekwencji w przypadku stwierdzenia przez Komisję Europejską, iż przepisy ustawy o podatku od sprzedaży detalicznej </w:t>
      </w:r>
      <w:r w:rsidRPr="00FA15D0">
        <w:rPr>
          <w:rStyle w:val="Pogrubienie"/>
          <w:b w:val="0"/>
          <w:color w:val="000000"/>
        </w:rPr>
        <w:t>są niezgodne z</w:t>
      </w:r>
      <w:r w:rsidRPr="00FA15D0">
        <w:rPr>
          <w:b/>
        </w:rPr>
        <w:t xml:space="preserve"> </w:t>
      </w:r>
      <w:r w:rsidRPr="00FA15D0">
        <w:t xml:space="preserve">rynkiem wewnętrznym, nie </w:t>
      </w:r>
      <w:r w:rsidRPr="00FA15D0">
        <w:lastRenderedPageBreak/>
        <w:t>dojdzie do udzielenia pomocy publicznej, którą trzeba będzie zwrócić wraz z</w:t>
      </w:r>
      <w:r w:rsidR="00CB3512">
        <w:t> </w:t>
      </w:r>
      <w:r w:rsidRPr="00FA15D0">
        <w:t>odsetkami.</w:t>
      </w:r>
    </w:p>
    <w:p w:rsidR="00FA15D0" w:rsidRPr="00FA15D0" w:rsidRDefault="00FA15D0" w:rsidP="00CB3512">
      <w:pPr>
        <w:spacing w:before="120" w:line="360" w:lineRule="auto"/>
      </w:pPr>
      <w:r>
        <w:t>Jednocześnie należy zaznaczyć, że obecnie nie ma potrz</w:t>
      </w:r>
      <w:r w:rsidR="00954E90">
        <w:t>eby uchylania w całości ustawy, j</w:t>
      </w:r>
      <w:r>
        <w:t>edynie przejściowo należy wstrzymać funkcjonowanie podatku.</w:t>
      </w:r>
    </w:p>
    <w:p w:rsidR="00B15F98" w:rsidRPr="00FA15D0" w:rsidRDefault="00B15F98" w:rsidP="00CB3512">
      <w:pPr>
        <w:pStyle w:val="Default"/>
        <w:spacing w:before="120" w:line="360" w:lineRule="auto"/>
        <w:jc w:val="both"/>
        <w:rPr>
          <w:rFonts w:eastAsia="Cambria"/>
        </w:rPr>
      </w:pPr>
      <w:r w:rsidRPr="00FA15D0">
        <w:t xml:space="preserve">Projektowane rozwiązanie legislacyjne oznaczać będzie </w:t>
      </w:r>
      <w:r w:rsidRPr="00FA15D0">
        <w:rPr>
          <w:rFonts w:eastAsia="Cambria"/>
        </w:rPr>
        <w:t xml:space="preserve">brak wpływów </w:t>
      </w:r>
      <w:r w:rsidR="002A0A44" w:rsidRPr="00FA15D0">
        <w:rPr>
          <w:rFonts w:eastAsia="Cambria"/>
        </w:rPr>
        <w:t xml:space="preserve">do budżetu państwa </w:t>
      </w:r>
      <w:r w:rsidR="00195B56" w:rsidRPr="00FA15D0">
        <w:rPr>
          <w:rFonts w:eastAsia="Cambria"/>
        </w:rPr>
        <w:t xml:space="preserve">z </w:t>
      </w:r>
      <w:r w:rsidR="002A0A44" w:rsidRPr="00FA15D0">
        <w:rPr>
          <w:rFonts w:eastAsia="Cambria"/>
        </w:rPr>
        <w:t xml:space="preserve">tytułu </w:t>
      </w:r>
      <w:r w:rsidRPr="00FA15D0">
        <w:rPr>
          <w:rFonts w:eastAsia="Cambria"/>
        </w:rPr>
        <w:t xml:space="preserve">podatku od sprzedaży detalicznej za okres wrzesień </w:t>
      </w:r>
      <w:r w:rsidR="00954E90">
        <w:rPr>
          <w:rFonts w:eastAsia="Cambria"/>
        </w:rPr>
        <w:t xml:space="preserve">2016 r. </w:t>
      </w:r>
      <w:r w:rsidR="00CB3512">
        <w:rPr>
          <w:rFonts w:eastAsia="Cambria"/>
        </w:rPr>
        <w:t>–</w:t>
      </w:r>
      <w:r w:rsidR="002A0A44" w:rsidRPr="00FA15D0">
        <w:rPr>
          <w:rFonts w:eastAsia="Cambria"/>
        </w:rPr>
        <w:t xml:space="preserve"> </w:t>
      </w:r>
      <w:r w:rsidRPr="00FA15D0">
        <w:rPr>
          <w:rFonts w:eastAsia="Cambria"/>
        </w:rPr>
        <w:t>grudzień</w:t>
      </w:r>
      <w:r w:rsidR="00A24C7D">
        <w:rPr>
          <w:rFonts w:eastAsia="Cambria"/>
        </w:rPr>
        <w:t xml:space="preserve"> 2017</w:t>
      </w:r>
      <w:r w:rsidR="00344CF0" w:rsidRPr="00FA15D0">
        <w:rPr>
          <w:rFonts w:eastAsia="Cambria"/>
        </w:rPr>
        <w:t xml:space="preserve"> r.</w:t>
      </w:r>
      <w:r w:rsidR="002A0A44" w:rsidRPr="00FA15D0">
        <w:rPr>
          <w:rFonts w:eastAsia="Cambria"/>
        </w:rPr>
        <w:t xml:space="preserve"> W 2016 r. będzie to kwota 472,6 mln zł,</w:t>
      </w:r>
      <w:r w:rsidR="00954E90">
        <w:rPr>
          <w:rFonts w:eastAsia="Cambria"/>
        </w:rPr>
        <w:t xml:space="preserve"> natomiast w 2017 r. kwota 1590,6</w:t>
      </w:r>
      <w:r w:rsidR="00CB3512">
        <w:rPr>
          <w:rFonts w:eastAsia="Cambria"/>
        </w:rPr>
        <w:t> </w:t>
      </w:r>
      <w:r w:rsidR="00954E90">
        <w:rPr>
          <w:rFonts w:eastAsia="Cambria"/>
        </w:rPr>
        <w:t>mln</w:t>
      </w:r>
      <w:r w:rsidR="00CB3512">
        <w:rPr>
          <w:rFonts w:eastAsia="Cambria"/>
        </w:rPr>
        <w:t> </w:t>
      </w:r>
      <w:r w:rsidR="00954E90">
        <w:rPr>
          <w:rFonts w:eastAsia="Cambria"/>
        </w:rPr>
        <w:t>zł.</w:t>
      </w:r>
      <w:r w:rsidR="002A0A44" w:rsidRPr="00FA15D0">
        <w:rPr>
          <w:rFonts w:eastAsia="Cambria"/>
        </w:rPr>
        <w:t xml:space="preserve"> </w:t>
      </w:r>
    </w:p>
    <w:p w:rsidR="00A24C7D" w:rsidRDefault="00BE23CA" w:rsidP="00CB3512">
      <w:pPr>
        <w:spacing w:before="120" w:line="360" w:lineRule="auto"/>
        <w:rPr>
          <w:bCs/>
        </w:rPr>
      </w:pPr>
      <w:r w:rsidRPr="00FA15D0">
        <w:rPr>
          <w:bCs/>
        </w:rPr>
        <w:t>Projekt ustawy nie jest sprzeczny z prawem Unii Europejskiej.</w:t>
      </w:r>
    </w:p>
    <w:p w:rsidR="00954E90" w:rsidRPr="001C6D4D" w:rsidRDefault="00954E90" w:rsidP="00CB3512">
      <w:pPr>
        <w:spacing w:before="120" w:line="360" w:lineRule="auto"/>
        <w:rPr>
          <w:rFonts w:eastAsia="Calibri"/>
          <w:lang w:eastAsia="pl-PL"/>
        </w:rPr>
      </w:pPr>
      <w:r w:rsidRPr="001C6D4D">
        <w:rPr>
          <w:rFonts w:eastAsia="Calibri"/>
          <w:lang w:eastAsia="pl-PL"/>
        </w:rPr>
        <w:t>Zgodnie z art. 5 ustawy z dnia 7 lipca 2005 r. o działalności lobbingowej w procesie stanowienia prawa (Dz. U. poz. 1414, z późn. zm.) oraz § 4 i § 52 uchwały nr</w:t>
      </w:r>
      <w:r w:rsidR="00CB3512">
        <w:rPr>
          <w:rFonts w:eastAsia="Calibri"/>
          <w:lang w:eastAsia="pl-PL"/>
        </w:rPr>
        <w:t> </w:t>
      </w:r>
      <w:r w:rsidRPr="001C6D4D">
        <w:rPr>
          <w:rFonts w:eastAsia="Calibri"/>
          <w:lang w:eastAsia="pl-PL"/>
        </w:rPr>
        <w:t>190 Rady Ministrów z dnia 29 października 2013 r. – Reg</w:t>
      </w:r>
      <w:r w:rsidR="00CB3512">
        <w:rPr>
          <w:rFonts w:eastAsia="Calibri"/>
          <w:lang w:eastAsia="pl-PL"/>
        </w:rPr>
        <w:t>ulamin pracy Rady Ministrów (M.</w:t>
      </w:r>
      <w:r w:rsidRPr="001C6D4D">
        <w:rPr>
          <w:rFonts w:eastAsia="Calibri"/>
          <w:lang w:eastAsia="pl-PL"/>
        </w:rPr>
        <w:t>P. poz. 979</w:t>
      </w:r>
      <w:r w:rsidR="00CF5466">
        <w:rPr>
          <w:rFonts w:eastAsia="Calibri"/>
          <w:lang w:eastAsia="pl-PL"/>
        </w:rPr>
        <w:t>, z późn. zm.</w:t>
      </w:r>
      <w:r w:rsidRPr="001C6D4D">
        <w:rPr>
          <w:rFonts w:eastAsia="Calibri"/>
          <w:lang w:eastAsia="pl-PL"/>
        </w:rPr>
        <w:t>), projekt ustawy zosta</w:t>
      </w:r>
      <w:r w:rsidR="00CF5466">
        <w:rPr>
          <w:rFonts w:eastAsia="Calibri"/>
          <w:lang w:eastAsia="pl-PL"/>
        </w:rPr>
        <w:t>ł</w:t>
      </w:r>
      <w:r w:rsidRPr="001C6D4D">
        <w:rPr>
          <w:rFonts w:eastAsia="Calibri"/>
          <w:lang w:eastAsia="pl-PL"/>
        </w:rPr>
        <w:t xml:space="preserve"> udostępniony w Biuletynie Informacji Publicznej Rządowego Centrum Legislacji na stronie podmiotowej Rządowego Centrum Legislacji, w serwisie Rządowy Proces Legislacyjny.</w:t>
      </w:r>
      <w:r w:rsidR="00CB3512">
        <w:rPr>
          <w:rFonts w:eastAsia="Calibri"/>
          <w:lang w:eastAsia="pl-PL"/>
        </w:rPr>
        <w:t xml:space="preserve"> </w:t>
      </w:r>
      <w:r w:rsidRPr="001C6D4D">
        <w:rPr>
          <w:rFonts w:eastAsia="Calibri"/>
          <w:lang w:eastAsia="pl-PL"/>
        </w:rPr>
        <w:t xml:space="preserve"> </w:t>
      </w:r>
    </w:p>
    <w:p w:rsidR="00A24C7D" w:rsidRPr="001C6D4D" w:rsidRDefault="00A24C7D" w:rsidP="00CB3512">
      <w:pPr>
        <w:spacing w:before="120" w:line="360" w:lineRule="auto"/>
        <w:rPr>
          <w:rFonts w:eastAsia="Calibri"/>
        </w:rPr>
      </w:pPr>
      <w:r w:rsidRPr="001C6D4D">
        <w:rPr>
          <w:rFonts w:eastAsia="Calibri"/>
        </w:rPr>
        <w:t>Projekt nie zawiera przepisów technicznych wymagających notyfikacji w rozumieniu rozporządzenia Rady Ministrów z dnia 23 grudnia 2002 r. w sprawie sposobu funkcjonowania krajowego systemu notyfikacji norm i aktów prawnych (Dz. U. poz.</w:t>
      </w:r>
      <w:r w:rsidR="00CF5466">
        <w:rPr>
          <w:rFonts w:eastAsia="Calibri"/>
        </w:rPr>
        <w:t> </w:t>
      </w:r>
      <w:r w:rsidRPr="001C6D4D">
        <w:rPr>
          <w:rFonts w:eastAsia="Calibri"/>
        </w:rPr>
        <w:t>2039, z późn. zm.) oraz nie podlega notyfikacji na zasadach przewidzianych w tym rozporządzeniu.</w:t>
      </w:r>
    </w:p>
    <w:p w:rsidR="00A24C7D" w:rsidRPr="001C6D4D" w:rsidRDefault="00A24C7D" w:rsidP="00CB3512">
      <w:pPr>
        <w:autoSpaceDE w:val="0"/>
        <w:autoSpaceDN w:val="0"/>
        <w:adjustRightInd w:val="0"/>
        <w:spacing w:before="120" w:line="360" w:lineRule="auto"/>
        <w:rPr>
          <w:rFonts w:eastAsia="Calibri"/>
        </w:rPr>
      </w:pPr>
      <w:r w:rsidRPr="001C6D4D">
        <w:rPr>
          <w:rFonts w:eastAsia="Calibri"/>
        </w:rPr>
        <w:t xml:space="preserve">Projekt ustawy nie wymaga przedstawienia właściwym instytucjom i organom Unii Europejskiej lub Europejskiemu Bankowi Centralnemu celem uzyskania opinii, dokonania konsultacji albo uzgodnienia. </w:t>
      </w:r>
    </w:p>
    <w:sectPr w:rsidR="00A24C7D" w:rsidRPr="001C6D4D" w:rsidSect="00CB3512">
      <w:footerReference w:type="default" r:id="rId6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3EF" w:rsidRDefault="00C903EF" w:rsidP="00CB3512">
      <w:r>
        <w:separator/>
      </w:r>
    </w:p>
  </w:endnote>
  <w:endnote w:type="continuationSeparator" w:id="0">
    <w:p w:rsidR="00C903EF" w:rsidRDefault="00C903EF" w:rsidP="00CB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8350363"/>
      <w:docPartObj>
        <w:docPartGallery w:val="Page Numbers (Bottom of Page)"/>
        <w:docPartUnique/>
      </w:docPartObj>
    </w:sdtPr>
    <w:sdtEndPr/>
    <w:sdtContent>
      <w:p w:rsidR="00CB3512" w:rsidRDefault="00CB3512" w:rsidP="00CB35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59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3EF" w:rsidRDefault="00C903EF" w:rsidP="00CB3512">
      <w:r>
        <w:separator/>
      </w:r>
    </w:p>
  </w:footnote>
  <w:footnote w:type="continuationSeparator" w:id="0">
    <w:p w:rsidR="00C903EF" w:rsidRDefault="00C903EF" w:rsidP="00CB3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BC"/>
    <w:rsid w:val="00010593"/>
    <w:rsid w:val="0004752A"/>
    <w:rsid w:val="001162C3"/>
    <w:rsid w:val="00195B56"/>
    <w:rsid w:val="001C6D4D"/>
    <w:rsid w:val="002017B5"/>
    <w:rsid w:val="00225574"/>
    <w:rsid w:val="002A0A44"/>
    <w:rsid w:val="002D3C59"/>
    <w:rsid w:val="00344CF0"/>
    <w:rsid w:val="004053B6"/>
    <w:rsid w:val="00460271"/>
    <w:rsid w:val="004D6D81"/>
    <w:rsid w:val="005326A3"/>
    <w:rsid w:val="00662296"/>
    <w:rsid w:val="00680BBC"/>
    <w:rsid w:val="006A08F3"/>
    <w:rsid w:val="007C2453"/>
    <w:rsid w:val="008A5044"/>
    <w:rsid w:val="00921394"/>
    <w:rsid w:val="00954E90"/>
    <w:rsid w:val="00A24C7D"/>
    <w:rsid w:val="00A93484"/>
    <w:rsid w:val="00A96159"/>
    <w:rsid w:val="00AF2081"/>
    <w:rsid w:val="00AF5F76"/>
    <w:rsid w:val="00B15F98"/>
    <w:rsid w:val="00BE23CA"/>
    <w:rsid w:val="00C903EF"/>
    <w:rsid w:val="00C93E08"/>
    <w:rsid w:val="00CB3512"/>
    <w:rsid w:val="00CF5466"/>
    <w:rsid w:val="00D14467"/>
    <w:rsid w:val="00D220D9"/>
    <w:rsid w:val="00D44434"/>
    <w:rsid w:val="00D47166"/>
    <w:rsid w:val="00DB522A"/>
    <w:rsid w:val="00E0585E"/>
    <w:rsid w:val="00ED2B4C"/>
    <w:rsid w:val="00ED5C7C"/>
    <w:rsid w:val="00EF0AD2"/>
    <w:rsid w:val="00F06F1A"/>
    <w:rsid w:val="00F459BD"/>
    <w:rsid w:val="00F56502"/>
    <w:rsid w:val="00FA15D0"/>
    <w:rsid w:val="00FC3EF0"/>
    <w:rsid w:val="00FF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C1CEF-765A-4EF3-9F5D-4E9E1C7B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mbria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MÓJ"/>
    <w:qFormat/>
    <w:rsid w:val="00F56502"/>
    <w:pPr>
      <w:jc w:val="both"/>
    </w:pPr>
    <w:rPr>
      <w:rFonts w:ascii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Mój styl"/>
    <w:autoRedefine/>
    <w:uiPriority w:val="1"/>
    <w:qFormat/>
    <w:rsid w:val="00D220D9"/>
    <w:pPr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FC3EF0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FC3EF0"/>
    <w:rPr>
      <w:i/>
      <w:iCs/>
    </w:rPr>
  </w:style>
  <w:style w:type="character" w:styleId="Pogrubienie">
    <w:name w:val="Strong"/>
    <w:uiPriority w:val="22"/>
    <w:qFormat/>
    <w:rsid w:val="00FC3EF0"/>
    <w:rPr>
      <w:b/>
      <w:b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3EF0"/>
    <w:pPr>
      <w:jc w:val="left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FC3EF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B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5B5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35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3512"/>
    <w:rPr>
      <w:rFonts w:ascii="Times New Roman" w:hAnsi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B35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3512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Wyglądacz Marcin</dc:creator>
  <cp:lastModifiedBy>Grażyna D. Grabowska</cp:lastModifiedBy>
  <cp:revision>2</cp:revision>
  <cp:lastPrinted>2016-10-19T10:24:00Z</cp:lastPrinted>
  <dcterms:created xsi:type="dcterms:W3CDTF">2016-10-20T13:01:00Z</dcterms:created>
  <dcterms:modified xsi:type="dcterms:W3CDTF">2016-10-20T13:01:00Z</dcterms:modified>
</cp:coreProperties>
</file>