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CE6" w:rsidRPr="00CE3CE6" w:rsidRDefault="00CE3CE6" w:rsidP="00233A0B">
      <w:pPr>
        <w:spacing w:after="0" w:line="360" w:lineRule="auto"/>
        <w:jc w:val="center"/>
        <w:rPr>
          <w:rFonts w:ascii="Times New Roman" w:hAnsi="Times New Roman" w:cs="Times New Roman"/>
          <w:bCs/>
          <w:sz w:val="24"/>
          <w:szCs w:val="24"/>
        </w:rPr>
      </w:pPr>
      <w:bookmarkStart w:id="0" w:name="_GoBack"/>
      <w:bookmarkEnd w:id="0"/>
      <w:r w:rsidRPr="00CE3CE6">
        <w:rPr>
          <w:rFonts w:ascii="Times New Roman" w:hAnsi="Times New Roman" w:cs="Times New Roman"/>
          <w:bCs/>
          <w:sz w:val="24"/>
          <w:szCs w:val="24"/>
        </w:rPr>
        <w:t>UZASADNIENIE</w:t>
      </w:r>
    </w:p>
    <w:p w:rsidR="00CE3CE6" w:rsidRPr="00C003EC" w:rsidRDefault="00CE3CE6" w:rsidP="00233A0B">
      <w:pPr>
        <w:spacing w:before="120" w:after="0" w:line="360" w:lineRule="auto"/>
        <w:jc w:val="both"/>
        <w:rPr>
          <w:rFonts w:ascii="Times New Roman" w:hAnsi="Times New Roman" w:cs="Times New Roman"/>
          <w:b/>
          <w:bCs/>
          <w:sz w:val="24"/>
          <w:szCs w:val="24"/>
        </w:rPr>
      </w:pPr>
      <w:r w:rsidRPr="00C003EC">
        <w:rPr>
          <w:rFonts w:ascii="Times New Roman" w:hAnsi="Times New Roman" w:cs="Times New Roman"/>
          <w:b/>
          <w:bCs/>
          <w:sz w:val="24"/>
          <w:szCs w:val="24"/>
        </w:rPr>
        <w:t>Potrzeba i cel ustawy</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Zmiana sytuacji geopolitycznej oraz geostrategicznej Polski postawiła przed nami ponownie pytanie o bezpieczeństwo Rzeczypospolitej Polskiej, w tym szczególnie o jej bezpieczeństwo militarne.</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Należy zauważyć, że budowa Wojsk Obrony Terytorialnej (WOT) jest w aktualnej sytuacji Rzeczypospolitej Polskiej jedynym w miarę szybkim, tanim i skutecznym sposobem odbudowy naszego bezpieczeństwa militarnego. Pierwszym krokiem w tym procesie byłaby ponowna redefinicja celów i zadań, które będą realizowane przez Wojska Obrony Terytorialnej. Celowe jest zatem uzyskanie przez WOT zdolności operacyjnych do prowadzenia działań antykryzysowych i</w:t>
      </w:r>
      <w:r w:rsidR="005D49F5">
        <w:rPr>
          <w:rFonts w:ascii="Times New Roman" w:hAnsi="Times New Roman" w:cs="Times New Roman"/>
          <w:sz w:val="24"/>
          <w:szCs w:val="24"/>
        </w:rPr>
        <w:t xml:space="preserve"> antyterrorystycznych w </w:t>
      </w:r>
      <w:r w:rsidRPr="00CE3CE6">
        <w:rPr>
          <w:rFonts w:ascii="Times New Roman" w:hAnsi="Times New Roman" w:cs="Times New Roman"/>
          <w:sz w:val="24"/>
          <w:szCs w:val="24"/>
        </w:rPr>
        <w:t>obronie bezpieczeństwa cywilnego oraz dziedzictwa kulturowego narodu polskiego. Jednocześnie jest konieczna budowa zdolności operacyjnych WOT do prowadzenia typowych działań zbrojnych w</w:t>
      </w:r>
      <w:r w:rsidR="00DC1FF6">
        <w:rPr>
          <w:rFonts w:ascii="Times New Roman" w:hAnsi="Times New Roman" w:cs="Times New Roman"/>
          <w:sz w:val="24"/>
          <w:szCs w:val="24"/>
        </w:rPr>
        <w:t> </w:t>
      </w:r>
      <w:r w:rsidRPr="00CE3CE6">
        <w:rPr>
          <w:rFonts w:ascii="Times New Roman" w:hAnsi="Times New Roman" w:cs="Times New Roman"/>
          <w:sz w:val="24"/>
          <w:szCs w:val="24"/>
        </w:rPr>
        <w:t>wymiarze lądowo</w:t>
      </w:r>
      <w:r w:rsidR="005D49F5">
        <w:rPr>
          <w:rFonts w:ascii="Times New Roman" w:hAnsi="Times New Roman" w:cs="Times New Roman"/>
          <w:sz w:val="24"/>
          <w:szCs w:val="24"/>
        </w:rPr>
        <w:t>-militarnym we współdziałaniu z</w:t>
      </w:r>
      <w:r w:rsidR="00DC1FF6">
        <w:rPr>
          <w:rFonts w:ascii="Times New Roman" w:hAnsi="Times New Roman" w:cs="Times New Roman"/>
          <w:sz w:val="24"/>
          <w:szCs w:val="24"/>
        </w:rPr>
        <w:t xml:space="preserve"> </w:t>
      </w:r>
      <w:r w:rsidRPr="00CE3CE6">
        <w:rPr>
          <w:rFonts w:ascii="Times New Roman" w:hAnsi="Times New Roman" w:cs="Times New Roman"/>
          <w:sz w:val="24"/>
          <w:szCs w:val="24"/>
        </w:rPr>
        <w:t xml:space="preserve">wojskami operacyjnymi. </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Należy wskazać, że WOT będą mogły skutecznie realizować swoje zadania tylko w</w:t>
      </w:r>
      <w:r w:rsidR="005D49F5">
        <w:rPr>
          <w:rFonts w:ascii="Times New Roman" w:hAnsi="Times New Roman" w:cs="Times New Roman"/>
          <w:sz w:val="24"/>
          <w:szCs w:val="24"/>
        </w:rPr>
        <w:t> </w:t>
      </w:r>
      <w:r w:rsidRPr="00CE3CE6">
        <w:rPr>
          <w:rFonts w:ascii="Times New Roman" w:hAnsi="Times New Roman" w:cs="Times New Roman"/>
          <w:sz w:val="24"/>
          <w:szCs w:val="24"/>
        </w:rPr>
        <w:t>warunkach sprawnej współpracy z administracją publiczną oraz systemem obronnym państwa. Dlatego też jest niezbędne przeprowadzenie zmian zmierzających do stworzenia WOT dostosowanych do funkcjonowania w obrębie systemu obronnego państwa. Tylko struktura odpowiednio zintegrowana z otaczającym ją środowiskiem jest w stanie właściwie funkcjonować i realizować postawione cele.</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eastAsia="Times New Roman" w:hAnsi="Times New Roman" w:cs="Times New Roman"/>
          <w:sz w:val="24"/>
          <w:szCs w:val="20"/>
          <w:lang w:eastAsia="pl-PL"/>
        </w:rPr>
        <w:t>Współcześnie coraz większego znaczenia nabiera zwalczanie</w:t>
      </w:r>
      <w:r w:rsidR="00C003EC">
        <w:rPr>
          <w:rFonts w:ascii="Times New Roman" w:eastAsia="Times New Roman" w:hAnsi="Times New Roman" w:cs="Times New Roman"/>
          <w:sz w:val="24"/>
          <w:szCs w:val="20"/>
          <w:lang w:eastAsia="pl-PL"/>
        </w:rPr>
        <w:t xml:space="preserve"> dotychczas lekceważonych tzw. </w:t>
      </w:r>
      <w:r w:rsidRPr="00CE3CE6">
        <w:rPr>
          <w:rFonts w:ascii="Times New Roman" w:eastAsia="Times New Roman" w:hAnsi="Times New Roman" w:cs="Times New Roman"/>
          <w:sz w:val="24"/>
          <w:szCs w:val="20"/>
          <w:lang w:eastAsia="pl-PL"/>
        </w:rPr>
        <w:t>zagrożeń niemilitarnych</w:t>
      </w:r>
      <w:r w:rsidR="005D49F5">
        <w:rPr>
          <w:rFonts w:ascii="Times New Roman" w:hAnsi="Times New Roman" w:cs="Times New Roman"/>
          <w:sz w:val="24"/>
          <w:szCs w:val="24"/>
        </w:rPr>
        <w:t>. W tej sytuacji WOT mogą z </w:t>
      </w:r>
      <w:r w:rsidRPr="00CE3CE6">
        <w:rPr>
          <w:rFonts w:ascii="Times New Roman" w:hAnsi="Times New Roman" w:cs="Times New Roman"/>
          <w:sz w:val="24"/>
          <w:szCs w:val="24"/>
        </w:rPr>
        <w:t>powodzeniem prowadzić działania w zakresie ich zwalczania poprzez prowadzenie skutecznych działań w</w:t>
      </w:r>
      <w:r w:rsidR="00753EB0">
        <w:rPr>
          <w:rFonts w:ascii="Times New Roman" w:hAnsi="Times New Roman" w:cs="Times New Roman"/>
          <w:sz w:val="24"/>
          <w:szCs w:val="24"/>
        </w:rPr>
        <w:t xml:space="preserve"> </w:t>
      </w:r>
      <w:r w:rsidRPr="00CE3CE6">
        <w:rPr>
          <w:rFonts w:ascii="Times New Roman" w:hAnsi="Times New Roman" w:cs="Times New Roman"/>
          <w:sz w:val="24"/>
          <w:szCs w:val="24"/>
        </w:rPr>
        <w:t>wymiarze informacyjnym oraz edukacyjnym.</w:t>
      </w:r>
    </w:p>
    <w:p w:rsidR="00CE3CE6" w:rsidRPr="00CE3CE6" w:rsidRDefault="006F1531" w:rsidP="00233A0B">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Należy </w:t>
      </w:r>
      <w:r w:rsidR="00B96FF4">
        <w:rPr>
          <w:rFonts w:ascii="Times New Roman" w:hAnsi="Times New Roman" w:cs="Times New Roman"/>
          <w:sz w:val="24"/>
          <w:szCs w:val="24"/>
        </w:rPr>
        <w:t>również</w:t>
      </w:r>
      <w:r w:rsidR="00CE3CE6" w:rsidRPr="00CE3CE6">
        <w:rPr>
          <w:rFonts w:ascii="Times New Roman" w:hAnsi="Times New Roman" w:cs="Times New Roman"/>
          <w:sz w:val="24"/>
          <w:szCs w:val="24"/>
        </w:rPr>
        <w:t xml:space="preserve"> zauważyć, że istniejące aktualnie systemy zarządzania kryzysowego oraz obrony cywilnej potrzebują wsparcia ze strony sił zbrojnych, ponieważ nie są w stanie zmobilizować do tego celu odpowiednich zasobów ludzkich. Jedynie WOT mogą wypełnić tę lukę</w:t>
      </w:r>
      <w:r>
        <w:rPr>
          <w:rFonts w:ascii="Times New Roman" w:hAnsi="Times New Roman" w:cs="Times New Roman"/>
          <w:sz w:val="24"/>
          <w:szCs w:val="24"/>
        </w:rPr>
        <w:t>,</w:t>
      </w:r>
      <w:r w:rsidR="00CE3CE6" w:rsidRPr="00CE3CE6">
        <w:rPr>
          <w:rFonts w:ascii="Times New Roman" w:hAnsi="Times New Roman" w:cs="Times New Roman"/>
          <w:sz w:val="24"/>
          <w:szCs w:val="24"/>
        </w:rPr>
        <w:t xml:space="preserve"> przygotowując w każdym powiecie kilkuset odpowiednio wyposażonych i</w:t>
      </w:r>
      <w:r w:rsidR="00C003EC">
        <w:rPr>
          <w:rFonts w:ascii="Times New Roman" w:hAnsi="Times New Roman" w:cs="Times New Roman"/>
          <w:sz w:val="24"/>
          <w:szCs w:val="24"/>
        </w:rPr>
        <w:t> </w:t>
      </w:r>
      <w:r w:rsidR="00CE3CE6" w:rsidRPr="00CE3CE6">
        <w:rPr>
          <w:rFonts w:ascii="Times New Roman" w:hAnsi="Times New Roman" w:cs="Times New Roman"/>
          <w:sz w:val="24"/>
          <w:szCs w:val="24"/>
        </w:rPr>
        <w:t>wyszkolonych żołnierzy-ochotników.</w:t>
      </w:r>
    </w:p>
    <w:p w:rsidR="00CE3CE6" w:rsidRPr="00CE3CE6" w:rsidRDefault="00CE3CE6" w:rsidP="00233A0B">
      <w:pPr>
        <w:spacing w:before="120" w:after="0" w:line="360" w:lineRule="auto"/>
        <w:jc w:val="both"/>
        <w:rPr>
          <w:rFonts w:ascii="Times New Roman" w:hAnsi="Times New Roman" w:cs="Times New Roman"/>
          <w:i/>
          <w:sz w:val="24"/>
          <w:szCs w:val="24"/>
        </w:rPr>
      </w:pPr>
      <w:r w:rsidRPr="00CE3CE6">
        <w:rPr>
          <w:rFonts w:ascii="Times New Roman" w:hAnsi="Times New Roman" w:cs="Times New Roman"/>
          <w:sz w:val="24"/>
          <w:szCs w:val="24"/>
        </w:rPr>
        <w:t>Należy również zwrócić uwagę, że dotychczasowa formuła zagospodarowania żołnierzy rezerwy w postaci Narodowych Sił Rezerwowych,</w:t>
      </w:r>
      <w:r w:rsidR="005D49F5">
        <w:rPr>
          <w:rFonts w:ascii="Times New Roman" w:hAnsi="Times New Roman" w:cs="Times New Roman"/>
          <w:sz w:val="24"/>
          <w:szCs w:val="24"/>
        </w:rPr>
        <w:t xml:space="preserve"> w przypadku specyfiki służby w</w:t>
      </w:r>
      <w:r w:rsidR="00DC1FF6">
        <w:rPr>
          <w:rFonts w:ascii="Times New Roman" w:hAnsi="Times New Roman" w:cs="Times New Roman"/>
          <w:sz w:val="24"/>
          <w:szCs w:val="24"/>
        </w:rPr>
        <w:t xml:space="preserve"> </w:t>
      </w:r>
      <w:r w:rsidRPr="00CE3CE6">
        <w:rPr>
          <w:rFonts w:ascii="Times New Roman" w:hAnsi="Times New Roman" w:cs="Times New Roman"/>
          <w:sz w:val="24"/>
          <w:szCs w:val="24"/>
        </w:rPr>
        <w:t xml:space="preserve">Wojskach Obrony Terytorialnej, nie spełniłaby swojej roli, dlatego też koncepcja powołania do istnienia </w:t>
      </w:r>
      <w:r w:rsidRPr="00CE3CE6">
        <w:rPr>
          <w:rFonts w:ascii="Times New Roman" w:hAnsi="Times New Roman" w:cs="Times New Roman"/>
          <w:sz w:val="24"/>
          <w:szCs w:val="24"/>
        </w:rPr>
        <w:lastRenderedPageBreak/>
        <w:t>innej formacji, mającej powszechny charakter, akcentującej terytorialność swoich pododdziałów, jest nieodzowna. Wydaje się, że kilkadziesiąt tysięcy wyszkolonych żołnierzy o</w:t>
      </w:r>
      <w:r w:rsidR="00753EB0">
        <w:rPr>
          <w:rFonts w:ascii="Times New Roman" w:hAnsi="Times New Roman" w:cs="Times New Roman"/>
          <w:sz w:val="24"/>
          <w:szCs w:val="24"/>
        </w:rPr>
        <w:t xml:space="preserve"> </w:t>
      </w:r>
      <w:r w:rsidRPr="00CE3CE6">
        <w:rPr>
          <w:rFonts w:ascii="Times New Roman" w:hAnsi="Times New Roman" w:cs="Times New Roman"/>
          <w:sz w:val="24"/>
          <w:szCs w:val="24"/>
        </w:rPr>
        <w:t>dużym zasobie patriotyzmu (również patriotyzmu lokalnego) i poświęcenia może wnieść niemały potencjał i w sposób istotny wzmocnić funkcjonowanie całego systemu obronnego państwa oraz sił zbrojnych</w:t>
      </w:r>
      <w:r w:rsidRPr="00CE3CE6">
        <w:rPr>
          <w:rFonts w:ascii="Times New Roman" w:hAnsi="Times New Roman" w:cs="Times New Roman"/>
          <w:i/>
          <w:sz w:val="24"/>
          <w:szCs w:val="24"/>
        </w:rPr>
        <w:t>.</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Zasadniczym celem proponowanej nowelizacji jest utworzenie kolejnego, samodzielnego rodzaju Sił Zbrojnych Rzeczypospolitej Polskiej – wojsk obrony terytorialnej (WOT) wraz z powołaniem dowódcy tych wojsk, mającym wykonywać swoje zadania przy pomocy Dowództwa Wojsk Obrony Terytorialnej. Nowo</w:t>
      </w:r>
      <w:r w:rsidR="00B96FF4">
        <w:rPr>
          <w:rFonts w:ascii="Times New Roman" w:hAnsi="Times New Roman" w:cs="Times New Roman"/>
          <w:sz w:val="24"/>
          <w:szCs w:val="24"/>
        </w:rPr>
        <w:t xml:space="preserve"> </w:t>
      </w:r>
      <w:r w:rsidRPr="00CE3CE6">
        <w:rPr>
          <w:rFonts w:ascii="Times New Roman" w:hAnsi="Times New Roman" w:cs="Times New Roman"/>
          <w:sz w:val="24"/>
          <w:szCs w:val="24"/>
        </w:rPr>
        <w:t>utworzone WOT w sposób znaczący powiększyłyby Siły Zbrojne Rzeczypospolitej Polskiej, natomiast Dowódca Wojsk Obrony Terytorialnej byłby właściwy w</w:t>
      </w:r>
      <w:r w:rsidR="00753EB0">
        <w:rPr>
          <w:rFonts w:ascii="Times New Roman" w:hAnsi="Times New Roman" w:cs="Times New Roman"/>
          <w:sz w:val="24"/>
          <w:szCs w:val="24"/>
        </w:rPr>
        <w:t xml:space="preserve"> </w:t>
      </w:r>
      <w:r w:rsidRPr="00CE3CE6">
        <w:rPr>
          <w:rFonts w:ascii="Times New Roman" w:hAnsi="Times New Roman" w:cs="Times New Roman"/>
          <w:sz w:val="24"/>
          <w:szCs w:val="24"/>
        </w:rPr>
        <w:t>zakresie dowodzenia jednostkami wojskowymi i związkami organizacyjnymi tych wojsk.</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eastAsia="Times New Roman" w:hAnsi="Times New Roman" w:cs="Times New Roman"/>
          <w:sz w:val="24"/>
          <w:szCs w:val="20"/>
          <w:lang w:eastAsia="pl-PL"/>
        </w:rPr>
        <w:t>Zamierza się wprowadzić nowy rodzaj czynnej służby wojskowej – Terytorialną Służbę Wojskową (TSW).</w:t>
      </w:r>
      <w:r w:rsidRPr="00CE3CE6">
        <w:rPr>
          <w:rFonts w:ascii="Times New Roman" w:hAnsi="Times New Roman" w:cs="Times New Roman"/>
          <w:sz w:val="24"/>
          <w:szCs w:val="24"/>
        </w:rPr>
        <w:t xml:space="preserve"> W realizacji tego przedsięwzięcia, w ustawie o powszechnym obowiązku obrony Rzecz</w:t>
      </w:r>
      <w:r w:rsidR="00B96FF4">
        <w:rPr>
          <w:rFonts w:ascii="Times New Roman" w:hAnsi="Times New Roman" w:cs="Times New Roman"/>
          <w:sz w:val="24"/>
          <w:szCs w:val="24"/>
        </w:rPr>
        <w:t>y</w:t>
      </w:r>
      <w:r w:rsidRPr="00CE3CE6">
        <w:rPr>
          <w:rFonts w:ascii="Times New Roman" w:hAnsi="Times New Roman" w:cs="Times New Roman"/>
          <w:sz w:val="24"/>
          <w:szCs w:val="24"/>
        </w:rPr>
        <w:t>pospolitej Polskiej dodano nowy rozdział dotyczący TSW, co daje przejrzystość, zrozumiałość unormowań i ogniskuje przepi</w:t>
      </w:r>
      <w:r w:rsidR="00F16A80">
        <w:rPr>
          <w:rFonts w:ascii="Times New Roman" w:hAnsi="Times New Roman" w:cs="Times New Roman"/>
          <w:sz w:val="24"/>
          <w:szCs w:val="24"/>
        </w:rPr>
        <w:t>sy wokół tematu – nowa służba w </w:t>
      </w:r>
      <w:r w:rsidRPr="00CE3CE6">
        <w:rPr>
          <w:rFonts w:ascii="Times New Roman" w:hAnsi="Times New Roman" w:cs="Times New Roman"/>
          <w:sz w:val="24"/>
          <w:szCs w:val="24"/>
        </w:rPr>
        <w:t>obronie terytorialnej. W rozdziale tym zawarta została cała pragmatyka służby – od powołania, po przebieg służby i zwolnienie z niej, zaś unormowania szczegółowe znajdą się w aktach wykonawczych do ustawy. Wprowadza się również tytuł „żołnierz OT”, zaś TSW będzie służbą pełnioną stale, jako czynna służba wojskowa, w tym jako służba rotacyjna, określona w planie dowó</w:t>
      </w:r>
      <w:r w:rsidR="005D49F5">
        <w:rPr>
          <w:rFonts w:ascii="Times New Roman" w:hAnsi="Times New Roman" w:cs="Times New Roman"/>
          <w:sz w:val="24"/>
          <w:szCs w:val="24"/>
        </w:rPr>
        <w:t>dcy JW (minimum jeden weekend w </w:t>
      </w:r>
      <w:r w:rsidRPr="00CE3CE6">
        <w:rPr>
          <w:rFonts w:ascii="Times New Roman" w:hAnsi="Times New Roman" w:cs="Times New Roman"/>
          <w:sz w:val="24"/>
          <w:szCs w:val="24"/>
        </w:rPr>
        <w:t>miesiącu) i dyspozycyjna w</w:t>
      </w:r>
      <w:r w:rsidR="00DC1FF6">
        <w:rPr>
          <w:rFonts w:ascii="Times New Roman" w:hAnsi="Times New Roman" w:cs="Times New Roman"/>
          <w:sz w:val="24"/>
          <w:szCs w:val="24"/>
        </w:rPr>
        <w:t> </w:t>
      </w:r>
      <w:r w:rsidRPr="00CE3CE6">
        <w:rPr>
          <w:rFonts w:ascii="Times New Roman" w:hAnsi="Times New Roman" w:cs="Times New Roman"/>
          <w:sz w:val="24"/>
          <w:szCs w:val="24"/>
        </w:rPr>
        <w:t>pozostałym zakresie. Okres służby rotacyjnej bę</w:t>
      </w:r>
      <w:r w:rsidR="00C003EC">
        <w:rPr>
          <w:rFonts w:ascii="Times New Roman" w:hAnsi="Times New Roman" w:cs="Times New Roman"/>
          <w:sz w:val="24"/>
          <w:szCs w:val="24"/>
        </w:rPr>
        <w:t>dzie okresem służby pełnionej w </w:t>
      </w:r>
      <w:r w:rsidRPr="00CE3CE6">
        <w:rPr>
          <w:rFonts w:ascii="Times New Roman" w:hAnsi="Times New Roman" w:cs="Times New Roman"/>
          <w:sz w:val="24"/>
          <w:szCs w:val="24"/>
        </w:rPr>
        <w:t>strukturach jednostki wojskowej i na stanowisku służbowym. W zakresie świadczeń znaczenie miałby głównie okres służby rotacyjnej – uposażenie, świadczenia, ubezpieczenie itp. Okres dyspozycji to samokształcenie, doskonalenie zawodowe, możliwość pracy i</w:t>
      </w:r>
      <w:r w:rsidR="00DC1FF6">
        <w:rPr>
          <w:rFonts w:ascii="Times New Roman" w:hAnsi="Times New Roman" w:cs="Times New Roman"/>
          <w:sz w:val="24"/>
          <w:szCs w:val="24"/>
        </w:rPr>
        <w:t> </w:t>
      </w:r>
      <w:r w:rsidRPr="00CE3CE6">
        <w:rPr>
          <w:rFonts w:ascii="Times New Roman" w:hAnsi="Times New Roman" w:cs="Times New Roman"/>
          <w:sz w:val="24"/>
          <w:szCs w:val="24"/>
        </w:rPr>
        <w:t>prowadzenia działalności gospodarczej na zasadach ogólnych. Żołnierze powoływani po raz pierwszy do służby, kierowani będą na szkolenie podstawowe wynoszące 16 dni, po którym składać będą przysięgę wojskową. Będą mieli oni możliwość dalszego szkolenia, awansowania oraz otrzymywania odznaczeń. Pierwszeństwo służby w WOT posiadać będą członkowie organizacji proobronnych i absolwenci klas wojskowych. Następnie żołn</w:t>
      </w:r>
      <w:r w:rsidR="005D49F5">
        <w:rPr>
          <w:rFonts w:ascii="Times New Roman" w:hAnsi="Times New Roman" w:cs="Times New Roman"/>
          <w:sz w:val="24"/>
          <w:szCs w:val="24"/>
        </w:rPr>
        <w:t>ierze ci po 3 </w:t>
      </w:r>
      <w:r w:rsidRPr="00CE3CE6">
        <w:rPr>
          <w:rFonts w:ascii="Times New Roman" w:hAnsi="Times New Roman" w:cs="Times New Roman"/>
          <w:sz w:val="24"/>
          <w:szCs w:val="24"/>
        </w:rPr>
        <w:t>latach służby w WOT nabywaliby pierwszeństwo w powołaniu do służby kandydackiej i</w:t>
      </w:r>
      <w:r w:rsidR="00DC1FF6">
        <w:rPr>
          <w:rFonts w:ascii="Times New Roman" w:hAnsi="Times New Roman" w:cs="Times New Roman"/>
          <w:sz w:val="24"/>
          <w:szCs w:val="24"/>
        </w:rPr>
        <w:t> </w:t>
      </w:r>
      <w:r w:rsidRPr="00CE3CE6">
        <w:rPr>
          <w:rFonts w:ascii="Times New Roman" w:hAnsi="Times New Roman" w:cs="Times New Roman"/>
          <w:sz w:val="24"/>
          <w:szCs w:val="24"/>
        </w:rPr>
        <w:t xml:space="preserve">zawodowej służby wojskowej. TSW byłaby możliwa do pełnienia przez osoby posiadające również kategorię zdrowia D. Takie rozwiązanie pozwoliłoby rekrutować zarówno osoby </w:t>
      </w:r>
      <w:r w:rsidRPr="00CE3CE6">
        <w:rPr>
          <w:rFonts w:ascii="Times New Roman" w:hAnsi="Times New Roman" w:cs="Times New Roman"/>
          <w:sz w:val="24"/>
          <w:szCs w:val="24"/>
        </w:rPr>
        <w:lastRenderedPageBreak/>
        <w:t>z</w:t>
      </w:r>
      <w:r w:rsidR="00DC1FF6">
        <w:rPr>
          <w:rFonts w:ascii="Times New Roman" w:hAnsi="Times New Roman" w:cs="Times New Roman"/>
          <w:sz w:val="24"/>
          <w:szCs w:val="24"/>
        </w:rPr>
        <w:t> </w:t>
      </w:r>
      <w:r w:rsidRPr="00CE3CE6">
        <w:rPr>
          <w:rFonts w:ascii="Times New Roman" w:hAnsi="Times New Roman" w:cs="Times New Roman"/>
          <w:sz w:val="24"/>
          <w:szCs w:val="24"/>
        </w:rPr>
        <w:t>kat. A</w:t>
      </w:r>
      <w:r w:rsidR="00B96FF4">
        <w:rPr>
          <w:rFonts w:ascii="Times New Roman" w:hAnsi="Times New Roman" w:cs="Times New Roman"/>
          <w:sz w:val="24"/>
          <w:szCs w:val="24"/>
        </w:rPr>
        <w:t>,</w:t>
      </w:r>
      <w:r w:rsidRPr="00CE3CE6">
        <w:rPr>
          <w:rFonts w:ascii="Times New Roman" w:hAnsi="Times New Roman" w:cs="Times New Roman"/>
          <w:sz w:val="24"/>
          <w:szCs w:val="24"/>
        </w:rPr>
        <w:t xml:space="preserve"> jak i ochotników posiadających wiedze specjalistyczną przydatną w tego rodzaju wojsk np. informatyków, którzy posiadają inną niż wymienioną wyżej kategorię. Czas służby żołnierza wynosiłby od 12 miesięcy do 6 lat (dwa pełne okresy szkoleniowe), z możliwością przedłużenia na kolejny okres. </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 xml:space="preserve">Służba w WOT w jak najmniejszym stopniu zakłócać miałaby dotychczasowy tryb życia (rodzinnego i zawodowego) zainteresowanym. Ze względu na wskazaną wyżej okoliczność służba pełniona byłaby w czasie wolnym od pracy, właśnie z uwagi na fakt, że żołnierze OT będą na co dzień pełnić służbę w dyspozycji, w której będą wykonywać swoją pracę lub inne obowiązki. </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Jednocześnie projekt ustawy zakłada przyznanie żołnierzom OT comiesięcznego dodatku do uposażenia zasadniczego z tytułu pełnienia terytorialnej służby wojskowej, w tym podnoszenia sprawności i kwalifikacji zawodowych oraz utrzymywania zdolności do natychmiastowego stawiennictwa do tej służby pełnionej rotacyjnie – dodatku „za gotowość bojową”. Jest to swego rodzaju zachęta do pilnej służby i</w:t>
      </w:r>
      <w:r w:rsidR="005D49F5">
        <w:rPr>
          <w:rFonts w:ascii="Times New Roman" w:hAnsi="Times New Roman" w:cs="Times New Roman"/>
          <w:sz w:val="24"/>
          <w:szCs w:val="24"/>
        </w:rPr>
        <w:t> </w:t>
      </w:r>
      <w:r w:rsidRPr="00CE3CE6">
        <w:rPr>
          <w:rFonts w:ascii="Times New Roman" w:hAnsi="Times New Roman" w:cs="Times New Roman"/>
          <w:sz w:val="24"/>
          <w:szCs w:val="24"/>
        </w:rPr>
        <w:t>wyróżnienie żołnierzy OT. Ponadto podczas terytorialnej służby wojskowej, w tym pełnionej dyspozycyjnie, żołnierz OT podlegałby określonym rygorom w zakresie ograniczenia praw i</w:t>
      </w:r>
      <w:r w:rsidR="00753EB0">
        <w:rPr>
          <w:rFonts w:ascii="Times New Roman" w:hAnsi="Times New Roman" w:cs="Times New Roman"/>
          <w:sz w:val="24"/>
          <w:szCs w:val="24"/>
        </w:rPr>
        <w:t xml:space="preserve"> </w:t>
      </w:r>
      <w:r w:rsidRPr="00CE3CE6">
        <w:rPr>
          <w:rFonts w:ascii="Times New Roman" w:hAnsi="Times New Roman" w:cs="Times New Roman"/>
          <w:sz w:val="24"/>
          <w:szCs w:val="24"/>
        </w:rPr>
        <w:t xml:space="preserve">swobód publicznych (ograniczone prawo </w:t>
      </w:r>
      <w:r w:rsidR="005D49F5">
        <w:rPr>
          <w:rFonts w:ascii="Times New Roman" w:hAnsi="Times New Roman" w:cs="Times New Roman"/>
          <w:sz w:val="24"/>
          <w:szCs w:val="24"/>
        </w:rPr>
        <w:t>członkostwa w </w:t>
      </w:r>
      <w:r w:rsidRPr="00CE3CE6">
        <w:rPr>
          <w:rFonts w:ascii="Times New Roman" w:hAnsi="Times New Roman" w:cs="Times New Roman"/>
          <w:sz w:val="24"/>
          <w:szCs w:val="24"/>
        </w:rPr>
        <w:t>stowarzyszeniach) oraz obowiązkom,</w:t>
      </w:r>
      <w:r w:rsidR="00B96FF4">
        <w:rPr>
          <w:rFonts w:ascii="Times New Roman" w:hAnsi="Times New Roman" w:cs="Times New Roman"/>
          <w:sz w:val="24"/>
          <w:szCs w:val="24"/>
        </w:rPr>
        <w:t xml:space="preserve"> takim </w:t>
      </w:r>
      <w:r w:rsidRPr="00CE3CE6">
        <w:rPr>
          <w:rFonts w:ascii="Times New Roman" w:hAnsi="Times New Roman" w:cs="Times New Roman"/>
          <w:sz w:val="24"/>
          <w:szCs w:val="24"/>
        </w:rPr>
        <w:t>jak przechowywanie umundurowania i</w:t>
      </w:r>
      <w:r w:rsidR="00B96FF4">
        <w:rPr>
          <w:rFonts w:ascii="Times New Roman" w:hAnsi="Times New Roman" w:cs="Times New Roman"/>
          <w:sz w:val="24"/>
          <w:szCs w:val="24"/>
        </w:rPr>
        <w:t xml:space="preserve"> </w:t>
      </w:r>
      <w:r w:rsidRPr="00CE3CE6">
        <w:rPr>
          <w:rFonts w:ascii="Times New Roman" w:hAnsi="Times New Roman" w:cs="Times New Roman"/>
          <w:sz w:val="24"/>
          <w:szCs w:val="24"/>
        </w:rPr>
        <w:t xml:space="preserve">ekwipunku wojskowego </w:t>
      </w:r>
      <w:r w:rsidR="00B96FF4">
        <w:rPr>
          <w:rFonts w:ascii="Times New Roman" w:hAnsi="Times New Roman" w:cs="Times New Roman"/>
          <w:sz w:val="24"/>
          <w:szCs w:val="24"/>
        </w:rPr>
        <w:t>oraz</w:t>
      </w:r>
      <w:r w:rsidRPr="00CE3CE6">
        <w:rPr>
          <w:rFonts w:ascii="Times New Roman" w:hAnsi="Times New Roman" w:cs="Times New Roman"/>
          <w:sz w:val="24"/>
          <w:szCs w:val="24"/>
        </w:rPr>
        <w:t xml:space="preserve"> konieczność stawienia się do służby rotacyjnej w tym umundurowaniu, obowiązkom meldunkowym i zawiadamiania o</w:t>
      </w:r>
      <w:r w:rsidR="00DC1FF6">
        <w:rPr>
          <w:rFonts w:ascii="Times New Roman" w:hAnsi="Times New Roman" w:cs="Times New Roman"/>
          <w:sz w:val="24"/>
          <w:szCs w:val="24"/>
        </w:rPr>
        <w:t> </w:t>
      </w:r>
      <w:r w:rsidRPr="00CE3CE6">
        <w:rPr>
          <w:rFonts w:ascii="Times New Roman" w:hAnsi="Times New Roman" w:cs="Times New Roman"/>
          <w:sz w:val="24"/>
          <w:szCs w:val="24"/>
        </w:rPr>
        <w:t>zmianach pobytu, czy wreszcie wspierani</w:t>
      </w:r>
      <w:r w:rsidR="00B96FF4">
        <w:rPr>
          <w:rFonts w:ascii="Times New Roman" w:hAnsi="Times New Roman" w:cs="Times New Roman"/>
          <w:sz w:val="24"/>
          <w:szCs w:val="24"/>
        </w:rPr>
        <w:t>e</w:t>
      </w:r>
      <w:r w:rsidRPr="00CE3CE6">
        <w:rPr>
          <w:rFonts w:ascii="Times New Roman" w:hAnsi="Times New Roman" w:cs="Times New Roman"/>
          <w:sz w:val="24"/>
          <w:szCs w:val="24"/>
        </w:rPr>
        <w:t xml:space="preserve"> działalności JW poza czasem służby pełnionej rotacyjnie.</w:t>
      </w:r>
      <w:r w:rsidR="00753EB0">
        <w:rPr>
          <w:rFonts w:ascii="Times New Roman" w:hAnsi="Times New Roman" w:cs="Times New Roman"/>
          <w:sz w:val="24"/>
          <w:szCs w:val="24"/>
        </w:rPr>
        <w:t xml:space="preserve"> </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Powyższy dodatek będzie spełniać również funkcję rekompe</w:t>
      </w:r>
      <w:r w:rsidR="00C003EC">
        <w:rPr>
          <w:rFonts w:ascii="Times New Roman" w:hAnsi="Times New Roman" w:cs="Times New Roman"/>
          <w:sz w:val="24"/>
          <w:szCs w:val="24"/>
        </w:rPr>
        <w:t>nsującą wskazane ograniczenia w </w:t>
      </w:r>
      <w:r w:rsidRPr="00CE3CE6">
        <w:rPr>
          <w:rFonts w:ascii="Times New Roman" w:hAnsi="Times New Roman" w:cs="Times New Roman"/>
          <w:sz w:val="24"/>
          <w:szCs w:val="24"/>
        </w:rPr>
        <w:t>zakresie swobód i praw obywatelskich, którym nie są poddani żołnierze innych rodzajów czynnej służby wojskowej określonych w ustawie o powszechnym obowiązku obrony Rzeczypospolitej Polskiej.</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Dla uporządkowania zasad pełnienie TSW i innych rodz</w:t>
      </w:r>
      <w:r w:rsidR="00C003EC">
        <w:rPr>
          <w:rFonts w:ascii="Times New Roman" w:hAnsi="Times New Roman" w:cs="Times New Roman"/>
          <w:sz w:val="24"/>
          <w:szCs w:val="24"/>
        </w:rPr>
        <w:t>ajów czynnej służby wojskowej w </w:t>
      </w:r>
      <w:r w:rsidRPr="00CE3CE6">
        <w:rPr>
          <w:rFonts w:ascii="Times New Roman" w:hAnsi="Times New Roman" w:cs="Times New Roman"/>
          <w:sz w:val="24"/>
          <w:szCs w:val="24"/>
        </w:rPr>
        <w:t xml:space="preserve">ustawie sankcjonuje się kwestie podziału żołnierzy na korpusy, a te na korpusy osobowe, grupy osobowe i specjalności wojskowe. </w:t>
      </w:r>
    </w:p>
    <w:p w:rsidR="00CE3CE6" w:rsidRPr="00CE3CE6" w:rsidRDefault="00CE3CE6" w:rsidP="00233A0B">
      <w:pPr>
        <w:spacing w:before="120" w:after="0" w:line="360" w:lineRule="auto"/>
        <w:jc w:val="both"/>
        <w:rPr>
          <w:rFonts w:ascii="Times New Roman" w:hAnsi="Times New Roman" w:cs="Times New Roman"/>
          <w:bCs/>
          <w:sz w:val="24"/>
          <w:szCs w:val="24"/>
        </w:rPr>
      </w:pPr>
      <w:r w:rsidRPr="00CE3CE6">
        <w:rPr>
          <w:rFonts w:ascii="Times New Roman" w:hAnsi="Times New Roman" w:cs="Times New Roman"/>
          <w:bCs/>
          <w:sz w:val="24"/>
          <w:szCs w:val="24"/>
        </w:rPr>
        <w:t>W projekcie uwzględniono kwestię prowadzenia badań żołnierzy zawodowych polegających na pobraniu materiału genetycznego, któr</w:t>
      </w:r>
      <w:r w:rsidR="005D49F5">
        <w:rPr>
          <w:rFonts w:ascii="Times New Roman" w:hAnsi="Times New Roman" w:cs="Times New Roman"/>
          <w:bCs/>
          <w:sz w:val="24"/>
          <w:szCs w:val="24"/>
        </w:rPr>
        <w:t>e odbywają się na podstawie § 7 </w:t>
      </w:r>
      <w:r w:rsidRPr="00CE3CE6">
        <w:rPr>
          <w:rFonts w:ascii="Times New Roman" w:hAnsi="Times New Roman" w:cs="Times New Roman"/>
          <w:bCs/>
          <w:sz w:val="24"/>
          <w:szCs w:val="24"/>
        </w:rPr>
        <w:t>rozporządzenia Ministra Obrony Narodowej z dnia 23 grudnia 2010 r. w sprawie niektórych świadczeń zdrowotnych przysługujących</w:t>
      </w:r>
      <w:r w:rsidR="005D49F5">
        <w:rPr>
          <w:rFonts w:ascii="Times New Roman" w:hAnsi="Times New Roman" w:cs="Times New Roman"/>
          <w:bCs/>
          <w:sz w:val="24"/>
          <w:szCs w:val="24"/>
        </w:rPr>
        <w:t xml:space="preserve"> żołnierzom zawodowym (Dz. U. z </w:t>
      </w:r>
      <w:r w:rsidRPr="00CE3CE6">
        <w:rPr>
          <w:rFonts w:ascii="Times New Roman" w:hAnsi="Times New Roman" w:cs="Times New Roman"/>
          <w:bCs/>
          <w:sz w:val="24"/>
          <w:szCs w:val="24"/>
        </w:rPr>
        <w:t xml:space="preserve">2011 r. poz. 36), natomiast </w:t>
      </w:r>
      <w:r w:rsidRPr="00CE3CE6">
        <w:rPr>
          <w:rFonts w:ascii="Times New Roman" w:hAnsi="Times New Roman" w:cs="Times New Roman"/>
          <w:bCs/>
          <w:sz w:val="24"/>
          <w:szCs w:val="24"/>
        </w:rPr>
        <w:lastRenderedPageBreak/>
        <w:t>brakuje regulacji w tym zakresie w</w:t>
      </w:r>
      <w:r w:rsidR="00753EB0">
        <w:rPr>
          <w:rFonts w:ascii="Times New Roman" w:hAnsi="Times New Roman" w:cs="Times New Roman"/>
          <w:bCs/>
          <w:sz w:val="24"/>
          <w:szCs w:val="24"/>
        </w:rPr>
        <w:t xml:space="preserve"> </w:t>
      </w:r>
      <w:r w:rsidRPr="00CE3CE6">
        <w:rPr>
          <w:rFonts w:ascii="Times New Roman" w:hAnsi="Times New Roman" w:cs="Times New Roman"/>
          <w:bCs/>
          <w:sz w:val="24"/>
          <w:szCs w:val="24"/>
        </w:rPr>
        <w:t>przepisach ustawowych. Na konieczność realizacji tego rodzaju świadczeń zdrowotnych w</w:t>
      </w:r>
      <w:r w:rsidR="00753EB0">
        <w:rPr>
          <w:rFonts w:ascii="Times New Roman" w:hAnsi="Times New Roman" w:cs="Times New Roman"/>
          <w:bCs/>
          <w:sz w:val="24"/>
          <w:szCs w:val="24"/>
        </w:rPr>
        <w:t xml:space="preserve"> </w:t>
      </w:r>
      <w:r w:rsidRPr="00CE3CE6">
        <w:rPr>
          <w:rFonts w:ascii="Times New Roman" w:hAnsi="Times New Roman" w:cs="Times New Roman"/>
          <w:bCs/>
          <w:sz w:val="24"/>
          <w:szCs w:val="24"/>
        </w:rPr>
        <w:t>oparciu o przepisy ustawowe zwrócił uwagę Główny Inspektor Ochrony Danych Osobowych (GIODO), który stwierdził, że w sytuacji gdy mamy do czynienia z przetwarzaniem danych osobowych zawierających także wrażliwe dane medyczne, wówczas delegacja powinna wynikać z przepisów ustawy, a nie rozporządzenia.</w:t>
      </w:r>
    </w:p>
    <w:p w:rsidR="00CE3CE6" w:rsidRPr="00CE3CE6" w:rsidRDefault="00CE3CE6" w:rsidP="00233A0B">
      <w:pPr>
        <w:spacing w:before="120" w:after="0" w:line="360" w:lineRule="auto"/>
        <w:jc w:val="both"/>
        <w:rPr>
          <w:rFonts w:ascii="Times New Roman" w:hAnsi="Times New Roman" w:cs="Times New Roman"/>
          <w:bCs/>
          <w:sz w:val="24"/>
          <w:szCs w:val="24"/>
        </w:rPr>
      </w:pPr>
      <w:r w:rsidRPr="00CE3CE6">
        <w:rPr>
          <w:rFonts w:ascii="Times New Roman" w:hAnsi="Times New Roman" w:cs="Times New Roman"/>
          <w:bCs/>
          <w:sz w:val="24"/>
          <w:szCs w:val="24"/>
        </w:rPr>
        <w:t>Obecnie zadanie to w resorcie obrony narodowej jest realizowane przez dwa podmioty lecznicze, Wojskowy Instytut Medyczny w Warszawie oraz 10 Wojskowy Szpital Kliniczny z</w:t>
      </w:r>
      <w:r w:rsidR="00DC1FF6">
        <w:rPr>
          <w:rFonts w:ascii="Times New Roman" w:hAnsi="Times New Roman" w:cs="Times New Roman"/>
          <w:bCs/>
          <w:sz w:val="24"/>
          <w:szCs w:val="24"/>
        </w:rPr>
        <w:t> </w:t>
      </w:r>
      <w:r w:rsidRPr="00CE3CE6">
        <w:rPr>
          <w:rFonts w:ascii="Times New Roman" w:hAnsi="Times New Roman" w:cs="Times New Roman"/>
          <w:bCs/>
          <w:sz w:val="24"/>
          <w:szCs w:val="24"/>
        </w:rPr>
        <w:t>Polikliniką SPZOZ w Bydgoszczy.</w:t>
      </w:r>
    </w:p>
    <w:p w:rsidR="00CE3CE6" w:rsidRPr="00CE3CE6" w:rsidRDefault="00CE3CE6" w:rsidP="00233A0B">
      <w:pPr>
        <w:spacing w:before="120" w:after="0" w:line="360" w:lineRule="auto"/>
        <w:jc w:val="both"/>
        <w:rPr>
          <w:rFonts w:ascii="Times New Roman" w:hAnsi="Times New Roman" w:cs="Times New Roman"/>
          <w:bCs/>
          <w:sz w:val="24"/>
          <w:szCs w:val="24"/>
        </w:rPr>
      </w:pPr>
      <w:r w:rsidRPr="00CE3CE6">
        <w:rPr>
          <w:rFonts w:ascii="Times New Roman" w:hAnsi="Times New Roman" w:cs="Times New Roman"/>
          <w:bCs/>
          <w:sz w:val="24"/>
          <w:szCs w:val="24"/>
        </w:rPr>
        <w:t xml:space="preserve">Zasadniczy obszar zmian zawarto w ustawie o powszechnym obowiązku obrony Rzeczypospolitej Polskiej, w której znalazły się regulacje dotyczące utworzenia WOT oraz wprowadzenia TSW pełnionej w tych wojskach. Natomiast merytoryczne uzupełnienie tych zmian stanowi nowelizacja ustawy o uposażeniu żołnierzy niezawodowych, w której znalazły się regulacje </w:t>
      </w:r>
      <w:r w:rsidR="005D49F5">
        <w:rPr>
          <w:rFonts w:ascii="Times New Roman" w:hAnsi="Times New Roman" w:cs="Times New Roman"/>
          <w:bCs/>
          <w:sz w:val="24"/>
          <w:szCs w:val="24"/>
        </w:rPr>
        <w:t>dotyczące uposażeń żołnierzy OT </w:t>
      </w:r>
      <w:r w:rsidRPr="00CE3CE6">
        <w:rPr>
          <w:rFonts w:ascii="Times New Roman" w:hAnsi="Times New Roman" w:cs="Times New Roman"/>
          <w:bCs/>
          <w:sz w:val="24"/>
          <w:szCs w:val="24"/>
        </w:rPr>
        <w:t>pełniących nowy rodzaj służby wojskowej.</w:t>
      </w:r>
    </w:p>
    <w:p w:rsidR="00DC1FF6" w:rsidRDefault="00CE3CE6" w:rsidP="00DC1FF6">
      <w:pPr>
        <w:spacing w:before="120" w:after="0" w:line="360" w:lineRule="auto"/>
        <w:jc w:val="both"/>
        <w:rPr>
          <w:rFonts w:ascii="Times New Roman" w:hAnsi="Times New Roman" w:cs="Times New Roman"/>
          <w:bCs/>
          <w:sz w:val="24"/>
          <w:szCs w:val="24"/>
        </w:rPr>
      </w:pPr>
      <w:r w:rsidRPr="00CE3CE6">
        <w:rPr>
          <w:rFonts w:ascii="Times New Roman" w:hAnsi="Times New Roman" w:cs="Times New Roman"/>
          <w:bCs/>
          <w:sz w:val="24"/>
          <w:szCs w:val="24"/>
        </w:rPr>
        <w:t>Pozostałe propozycje zmian w nowelizowanych ustawach mają charakter legislacyjno</w:t>
      </w:r>
      <w:r w:rsidR="00753EB0">
        <w:rPr>
          <w:rFonts w:ascii="Times New Roman" w:hAnsi="Times New Roman" w:cs="Times New Roman"/>
          <w:bCs/>
          <w:sz w:val="24"/>
          <w:szCs w:val="24"/>
        </w:rPr>
        <w:t>-</w:t>
      </w:r>
      <w:r w:rsidR="00753EB0">
        <w:rPr>
          <w:rFonts w:ascii="Times New Roman" w:hAnsi="Times New Roman" w:cs="Times New Roman"/>
          <w:bCs/>
          <w:sz w:val="24"/>
          <w:szCs w:val="24"/>
        </w:rPr>
        <w:br/>
      </w:r>
      <w:r w:rsidRPr="00CE3CE6">
        <w:rPr>
          <w:rFonts w:ascii="Times New Roman" w:hAnsi="Times New Roman" w:cs="Times New Roman"/>
          <w:bCs/>
          <w:sz w:val="24"/>
          <w:szCs w:val="24"/>
        </w:rPr>
        <w:t>-porządkowy, dostosowujący zakres przedmiotowy zmienianych ustaw do faktu utworzenia Wojsk Obrony Terytorialnej oraz wprowadzenia nowego rodzaju czynnej służby wojskowej, którą jest terytorialna służba wojskowa, z</w:t>
      </w:r>
      <w:r w:rsidR="00753EB0">
        <w:rPr>
          <w:rFonts w:ascii="Times New Roman" w:hAnsi="Times New Roman" w:cs="Times New Roman"/>
          <w:bCs/>
          <w:sz w:val="24"/>
          <w:szCs w:val="24"/>
        </w:rPr>
        <w:t xml:space="preserve"> </w:t>
      </w:r>
      <w:r w:rsidRPr="00CE3CE6">
        <w:rPr>
          <w:rFonts w:ascii="Times New Roman" w:hAnsi="Times New Roman" w:cs="Times New Roman"/>
          <w:bCs/>
          <w:sz w:val="24"/>
          <w:szCs w:val="24"/>
        </w:rPr>
        <w:t>uwzględnieniem aktywnego czasu jej pełnienia w</w:t>
      </w:r>
      <w:r w:rsidR="00DC1FF6">
        <w:rPr>
          <w:rFonts w:ascii="Times New Roman" w:hAnsi="Times New Roman" w:cs="Times New Roman"/>
          <w:bCs/>
          <w:sz w:val="24"/>
          <w:szCs w:val="24"/>
        </w:rPr>
        <w:t> </w:t>
      </w:r>
      <w:r w:rsidRPr="00CE3CE6">
        <w:rPr>
          <w:rFonts w:ascii="Times New Roman" w:hAnsi="Times New Roman" w:cs="Times New Roman"/>
          <w:bCs/>
          <w:sz w:val="24"/>
          <w:szCs w:val="24"/>
        </w:rPr>
        <w:t xml:space="preserve">jednostce wojskowej (służba pełniona rotacyjnie) oraz okresu dyspozycyjnego (służba pełniona dyspozycyjnie), skutkującego szeregiem ograniczeń i obowiązków nałożonych na żołnierzy OT. </w:t>
      </w:r>
    </w:p>
    <w:p w:rsidR="00DC1FF6" w:rsidRPr="00DC1FF6" w:rsidRDefault="00CE3CE6" w:rsidP="00DC1FF6">
      <w:pPr>
        <w:spacing w:before="120" w:after="0" w:line="360" w:lineRule="auto"/>
        <w:jc w:val="both"/>
        <w:rPr>
          <w:rFonts w:ascii="Times New Roman" w:hAnsi="Times New Roman" w:cs="Times New Roman"/>
          <w:b/>
          <w:bCs/>
          <w:sz w:val="24"/>
          <w:szCs w:val="24"/>
        </w:rPr>
      </w:pPr>
      <w:r w:rsidRPr="00DC1FF6">
        <w:rPr>
          <w:rFonts w:ascii="Times New Roman" w:hAnsi="Times New Roman" w:cs="Times New Roman"/>
          <w:b/>
          <w:sz w:val="24"/>
          <w:szCs w:val="24"/>
        </w:rPr>
        <w:t>Rozwiązania przyjęte w innych państwach</w:t>
      </w:r>
    </w:p>
    <w:p w:rsidR="00CE3CE6" w:rsidRPr="00DC1FF6" w:rsidRDefault="00CE3CE6" w:rsidP="00DC1FF6">
      <w:pPr>
        <w:spacing w:before="120" w:after="0" w:line="360" w:lineRule="auto"/>
        <w:jc w:val="both"/>
        <w:rPr>
          <w:rFonts w:ascii="Times New Roman" w:hAnsi="Times New Roman" w:cs="Times New Roman"/>
          <w:bCs/>
          <w:sz w:val="24"/>
          <w:szCs w:val="24"/>
        </w:rPr>
      </w:pPr>
      <w:r w:rsidRPr="00CE3CE6">
        <w:rPr>
          <w:rFonts w:ascii="Times New Roman" w:hAnsi="Times New Roman" w:cs="Times New Roman"/>
          <w:sz w:val="24"/>
          <w:szCs w:val="24"/>
        </w:rPr>
        <w:t>W Szwecji istnieje ochotnicza organizacja obronna Hem</w:t>
      </w:r>
      <w:r w:rsidR="005D49F5">
        <w:rPr>
          <w:rFonts w:ascii="Times New Roman" w:hAnsi="Times New Roman" w:cs="Times New Roman"/>
          <w:sz w:val="24"/>
          <w:szCs w:val="24"/>
        </w:rPr>
        <w:t>varnet. Formacja ta licząca ok. </w:t>
      </w:r>
      <w:r w:rsidRPr="00CE3CE6">
        <w:rPr>
          <w:rFonts w:ascii="Times New Roman" w:hAnsi="Times New Roman" w:cs="Times New Roman"/>
          <w:sz w:val="24"/>
          <w:szCs w:val="24"/>
        </w:rPr>
        <w:t>30</w:t>
      </w:r>
      <w:r w:rsidR="00DC1FF6">
        <w:rPr>
          <w:rFonts w:ascii="Times New Roman" w:hAnsi="Times New Roman" w:cs="Times New Roman"/>
          <w:sz w:val="24"/>
          <w:szCs w:val="24"/>
        </w:rPr>
        <w:t> </w:t>
      </w:r>
      <w:r w:rsidRPr="00CE3CE6">
        <w:rPr>
          <w:rFonts w:ascii="Times New Roman" w:hAnsi="Times New Roman" w:cs="Times New Roman"/>
          <w:sz w:val="24"/>
          <w:szCs w:val="24"/>
        </w:rPr>
        <w:t>tys. członków jest podręcznikowym przykładem organizacji OT. Podzielona na 21</w:t>
      </w:r>
      <w:r w:rsidR="00DC1FF6">
        <w:rPr>
          <w:rFonts w:ascii="Times New Roman" w:hAnsi="Times New Roman" w:cs="Times New Roman"/>
          <w:sz w:val="24"/>
          <w:szCs w:val="24"/>
        </w:rPr>
        <w:t> </w:t>
      </w:r>
      <w:r w:rsidRPr="00CE3CE6">
        <w:rPr>
          <w:rFonts w:ascii="Times New Roman" w:hAnsi="Times New Roman" w:cs="Times New Roman"/>
          <w:sz w:val="24"/>
          <w:szCs w:val="24"/>
        </w:rPr>
        <w:t>batalionów (liczba ta wiąże się bezpośrednio z liczbą hrabstw) realizuje wszelkiego typu zadania o charakterze terytorialnym. Bataliony podzielone są na 2</w:t>
      </w:r>
      <w:r w:rsidR="00753EB0">
        <w:rPr>
          <w:rFonts w:ascii="Times New Roman" w:hAnsi="Times New Roman" w:cs="Times New Roman"/>
          <w:sz w:val="24"/>
          <w:szCs w:val="24"/>
        </w:rPr>
        <w:t>–</w:t>
      </w:r>
      <w:r w:rsidR="005D49F5">
        <w:rPr>
          <w:rFonts w:ascii="Times New Roman" w:hAnsi="Times New Roman" w:cs="Times New Roman"/>
          <w:sz w:val="24"/>
          <w:szCs w:val="24"/>
        </w:rPr>
        <w:t>5 kompanii, z </w:t>
      </w:r>
      <w:r w:rsidRPr="00CE3CE6">
        <w:rPr>
          <w:rFonts w:ascii="Times New Roman" w:hAnsi="Times New Roman" w:cs="Times New Roman"/>
          <w:sz w:val="24"/>
          <w:szCs w:val="24"/>
        </w:rPr>
        <w:t>których każda realizuje zadania na terenie własnej gminy (maksymalnie 2</w:t>
      </w:r>
      <w:r w:rsidR="00753EB0">
        <w:rPr>
          <w:rFonts w:ascii="Times New Roman" w:hAnsi="Times New Roman" w:cs="Times New Roman"/>
          <w:sz w:val="24"/>
          <w:szCs w:val="24"/>
        </w:rPr>
        <w:t>–</w:t>
      </w:r>
      <w:r w:rsidRPr="00CE3CE6">
        <w:rPr>
          <w:rFonts w:ascii="Times New Roman" w:hAnsi="Times New Roman" w:cs="Times New Roman"/>
          <w:sz w:val="24"/>
          <w:szCs w:val="24"/>
        </w:rPr>
        <w:t>3 gminy na kompanię).</w:t>
      </w:r>
      <w:r w:rsidR="00DC1FF6">
        <w:rPr>
          <w:rFonts w:ascii="Times New Roman" w:hAnsi="Times New Roman" w:cs="Times New Roman"/>
          <w:sz w:val="24"/>
          <w:szCs w:val="24"/>
        </w:rPr>
        <w:t xml:space="preserve"> </w:t>
      </w:r>
      <w:r w:rsidRPr="00CE3CE6">
        <w:rPr>
          <w:rFonts w:ascii="Times New Roman" w:hAnsi="Times New Roman" w:cs="Times New Roman"/>
          <w:sz w:val="24"/>
          <w:szCs w:val="24"/>
        </w:rPr>
        <w:t>Do podstawowych zadań Hemvarnetu należy m.in.: obrona i ochrona obiektów, wsparcie kryzysowe, monitorowanie granic, d</w:t>
      </w:r>
      <w:r w:rsidR="005D49F5">
        <w:rPr>
          <w:rFonts w:ascii="Times New Roman" w:hAnsi="Times New Roman" w:cs="Times New Roman"/>
          <w:sz w:val="24"/>
          <w:szCs w:val="24"/>
        </w:rPr>
        <w:t>ziałania rozpoznawcze i </w:t>
      </w:r>
      <w:r w:rsidRPr="00CE3CE6">
        <w:rPr>
          <w:rFonts w:ascii="Times New Roman" w:hAnsi="Times New Roman" w:cs="Times New Roman"/>
          <w:sz w:val="24"/>
          <w:szCs w:val="24"/>
        </w:rPr>
        <w:t>antydywersyjne. Według planów strategicznych szwedzkiego MON w sytuacji konfliktu zbrojnego armia szwedzka ma osiągnąć</w:t>
      </w:r>
      <w:r w:rsidR="005D49F5">
        <w:rPr>
          <w:rFonts w:ascii="Times New Roman" w:hAnsi="Times New Roman" w:cs="Times New Roman"/>
          <w:sz w:val="24"/>
          <w:szCs w:val="24"/>
        </w:rPr>
        <w:t xml:space="preserve"> wielkość mobilizacyjną 50 tys. </w:t>
      </w:r>
      <w:r w:rsidRPr="00CE3CE6">
        <w:rPr>
          <w:rFonts w:ascii="Times New Roman" w:hAnsi="Times New Roman" w:cs="Times New Roman"/>
          <w:sz w:val="24"/>
          <w:szCs w:val="24"/>
        </w:rPr>
        <w:t xml:space="preserve">żołnierzy w ciągu </w:t>
      </w:r>
      <w:r w:rsidR="00F16A80">
        <w:rPr>
          <w:rFonts w:ascii="Times New Roman" w:hAnsi="Times New Roman" w:cs="Times New Roman"/>
          <w:sz w:val="24"/>
          <w:szCs w:val="24"/>
        </w:rPr>
        <w:t>7 dni. Ponad 40% tego stanu (22 </w:t>
      </w:r>
      <w:r w:rsidRPr="00CE3CE6">
        <w:rPr>
          <w:rFonts w:ascii="Times New Roman" w:hAnsi="Times New Roman" w:cs="Times New Roman"/>
          <w:sz w:val="24"/>
          <w:szCs w:val="24"/>
        </w:rPr>
        <w:t>tys.) przypadać będzie na opisywaną formację OT, która zostanie automat</w:t>
      </w:r>
      <w:r w:rsidR="005D49F5">
        <w:rPr>
          <w:rFonts w:ascii="Times New Roman" w:hAnsi="Times New Roman" w:cs="Times New Roman"/>
          <w:sz w:val="24"/>
          <w:szCs w:val="24"/>
        </w:rPr>
        <w:t>ycznie powiększona do liczby 40 </w:t>
      </w:r>
      <w:r w:rsidRPr="00CE3CE6">
        <w:rPr>
          <w:rFonts w:ascii="Times New Roman" w:hAnsi="Times New Roman" w:cs="Times New Roman"/>
          <w:sz w:val="24"/>
          <w:szCs w:val="24"/>
        </w:rPr>
        <w:t>batalionów.</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lastRenderedPageBreak/>
        <w:t>Stany Zjednoczone posiadają Gwardię Narodową. Jej historia sięga czasów początków państwa i jest głęboko zakorzeniona w kulturze tego społeczeństwa. Posiadając swoje umocowania prawne w konstytucji, formacja ta stanowi osobny rodzaj sił zbrojnych w</w:t>
      </w:r>
      <w:r w:rsidR="005D49F5">
        <w:rPr>
          <w:rFonts w:ascii="Times New Roman" w:hAnsi="Times New Roman" w:cs="Times New Roman"/>
          <w:sz w:val="24"/>
          <w:szCs w:val="24"/>
        </w:rPr>
        <w:t> </w:t>
      </w:r>
      <w:r w:rsidRPr="00CE3CE6">
        <w:rPr>
          <w:rFonts w:ascii="Times New Roman" w:hAnsi="Times New Roman" w:cs="Times New Roman"/>
          <w:sz w:val="24"/>
          <w:szCs w:val="24"/>
        </w:rPr>
        <w:t>strukturach armii USA i jest najsilniejszą strukturą Obrony Terytorialnej na świecie. Jej szeregi liczą ok. 358 tys. żołnierzy, w tym ok. 49,5</w:t>
      </w:r>
      <w:r w:rsidR="005D49F5">
        <w:rPr>
          <w:rFonts w:ascii="Times New Roman" w:hAnsi="Times New Roman" w:cs="Times New Roman"/>
          <w:sz w:val="24"/>
          <w:szCs w:val="24"/>
        </w:rPr>
        <w:t xml:space="preserve"> tys. w służbie czynnej (ok. 8% </w:t>
      </w:r>
      <w:r w:rsidRPr="00CE3CE6">
        <w:rPr>
          <w:rFonts w:ascii="Times New Roman" w:hAnsi="Times New Roman" w:cs="Times New Roman"/>
          <w:sz w:val="24"/>
          <w:szCs w:val="24"/>
        </w:rPr>
        <w:t>ogółu wojsk lądowych armii USA). Ponadt</w:t>
      </w:r>
      <w:r w:rsidR="005D49F5">
        <w:rPr>
          <w:rFonts w:ascii="Times New Roman" w:hAnsi="Times New Roman" w:cs="Times New Roman"/>
          <w:sz w:val="24"/>
          <w:szCs w:val="24"/>
        </w:rPr>
        <w:t>o GN posiada własne lotnictwo z </w:t>
      </w:r>
      <w:r w:rsidRPr="00CE3CE6">
        <w:rPr>
          <w:rFonts w:ascii="Times New Roman" w:hAnsi="Times New Roman" w:cs="Times New Roman"/>
          <w:sz w:val="24"/>
          <w:szCs w:val="24"/>
        </w:rPr>
        <w:t xml:space="preserve">personelem liczącym ok. 106 tys. osób w tym ok. </w:t>
      </w:r>
      <w:r w:rsidR="005D49F5">
        <w:rPr>
          <w:rFonts w:ascii="Times New Roman" w:hAnsi="Times New Roman" w:cs="Times New Roman"/>
          <w:sz w:val="24"/>
          <w:szCs w:val="24"/>
        </w:rPr>
        <w:t>6641 żołnierzy pozostających w </w:t>
      </w:r>
      <w:r w:rsidRPr="00CE3CE6">
        <w:rPr>
          <w:rFonts w:ascii="Times New Roman" w:hAnsi="Times New Roman" w:cs="Times New Roman"/>
          <w:sz w:val="24"/>
          <w:szCs w:val="24"/>
        </w:rPr>
        <w:t>stałej służbie. Pomimo tak dużego stanu osobowego i rozrośniętej struktury dowodzenia do poziomu 8 dywizji, organizacja nie zatraciła regionalnego charakteru działania i j</w:t>
      </w:r>
      <w:r w:rsidR="00F16A80">
        <w:rPr>
          <w:rFonts w:ascii="Times New Roman" w:hAnsi="Times New Roman" w:cs="Times New Roman"/>
          <w:sz w:val="24"/>
          <w:szCs w:val="24"/>
        </w:rPr>
        <w:t>est cały czas silnie osadzona w </w:t>
      </w:r>
      <w:r w:rsidRPr="00CE3CE6">
        <w:rPr>
          <w:rFonts w:ascii="Times New Roman" w:hAnsi="Times New Roman" w:cs="Times New Roman"/>
          <w:sz w:val="24"/>
          <w:szCs w:val="24"/>
        </w:rPr>
        <w:t>lokalnych społecznościach. Podstawowym przeznaczeniem tej formacji są wszelkiego typu działania wspierające regularne oddziały wojsk amerykańskich, zarówno w kraju, jak i za granicą. Jest to prawdopodobnie jedyny przykład, kiedy komponent te</w:t>
      </w:r>
      <w:r w:rsidR="005D49F5">
        <w:rPr>
          <w:rFonts w:ascii="Times New Roman" w:hAnsi="Times New Roman" w:cs="Times New Roman"/>
          <w:sz w:val="24"/>
          <w:szCs w:val="24"/>
        </w:rPr>
        <w:t>go typu realizuje praktycznie w </w:t>
      </w:r>
      <w:r w:rsidRPr="00CE3CE6">
        <w:rPr>
          <w:rFonts w:ascii="Times New Roman" w:hAnsi="Times New Roman" w:cs="Times New Roman"/>
          <w:sz w:val="24"/>
          <w:szCs w:val="24"/>
        </w:rPr>
        <w:t>100% zadania Armii Rezerwowej. Z oczywistyc</w:t>
      </w:r>
      <w:r w:rsidR="005D49F5">
        <w:rPr>
          <w:rFonts w:ascii="Times New Roman" w:hAnsi="Times New Roman" w:cs="Times New Roman"/>
          <w:sz w:val="24"/>
          <w:szCs w:val="24"/>
        </w:rPr>
        <w:t>h względów poziom potencjału GN </w:t>
      </w:r>
      <w:r w:rsidRPr="00CE3CE6">
        <w:rPr>
          <w:rFonts w:ascii="Times New Roman" w:hAnsi="Times New Roman" w:cs="Times New Roman"/>
          <w:sz w:val="24"/>
          <w:szCs w:val="24"/>
        </w:rPr>
        <w:t>jest nieosiągalny przez jakąkolwiek inną formację OT na świecie. Warto jednak zwrócić uwagę na fakt, iż utrzymywanie oraz rozwój tego typu formacji jest nieodłącznym elementem planowania strategicznego przez największą potęgę militarną świata, a wydatki na ten cel sięgają do 10% budżetu obronnego kraju (co przekłada się m.in. na 46% potencjału zabezpieczenia bojowego ogółu armii USA).</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Również najsilniejszy kraj spośród europejskich członków NATO – Wielka Brytania, posiada w swoich strukturach formacje Obrony Terytorialnej. Brytyjska Teritorial Army (TA) liczy w</w:t>
      </w:r>
      <w:r w:rsidR="00DC1FF6">
        <w:rPr>
          <w:rFonts w:ascii="Times New Roman" w:hAnsi="Times New Roman" w:cs="Times New Roman"/>
          <w:sz w:val="24"/>
          <w:szCs w:val="24"/>
        </w:rPr>
        <w:t> </w:t>
      </w:r>
      <w:r w:rsidRPr="00CE3CE6">
        <w:rPr>
          <w:rFonts w:ascii="Times New Roman" w:hAnsi="Times New Roman" w:cs="Times New Roman"/>
          <w:sz w:val="24"/>
          <w:szCs w:val="24"/>
        </w:rPr>
        <w:t>przybliżeniu 32 tys. żołnierzy i posiada w swoich szeregach zarówno elementy lądowe, morskie</w:t>
      </w:r>
      <w:r w:rsidR="00B96FF4">
        <w:rPr>
          <w:rFonts w:ascii="Times New Roman" w:hAnsi="Times New Roman" w:cs="Times New Roman"/>
          <w:sz w:val="24"/>
          <w:szCs w:val="24"/>
        </w:rPr>
        <w:t>,</w:t>
      </w:r>
      <w:r w:rsidRPr="00CE3CE6">
        <w:rPr>
          <w:rFonts w:ascii="Times New Roman" w:hAnsi="Times New Roman" w:cs="Times New Roman"/>
          <w:sz w:val="24"/>
          <w:szCs w:val="24"/>
        </w:rPr>
        <w:t xml:space="preserve"> jak i powietrzne, przy czym obciążenie budżetu o</w:t>
      </w:r>
      <w:r w:rsidR="00DC1FF6">
        <w:rPr>
          <w:rFonts w:ascii="Times New Roman" w:hAnsi="Times New Roman" w:cs="Times New Roman"/>
          <w:sz w:val="24"/>
          <w:szCs w:val="24"/>
        </w:rPr>
        <w:t>bronnego waha się w okolicach 1%</w:t>
      </w:r>
      <w:r w:rsidRPr="00CE3CE6">
        <w:rPr>
          <w:rFonts w:ascii="Times New Roman" w:hAnsi="Times New Roman" w:cs="Times New Roman"/>
          <w:sz w:val="24"/>
          <w:szCs w:val="24"/>
        </w:rPr>
        <w:t>. Przytoczo</w:t>
      </w:r>
      <w:r w:rsidR="005D49F5">
        <w:rPr>
          <w:rFonts w:ascii="Times New Roman" w:hAnsi="Times New Roman" w:cs="Times New Roman"/>
          <w:sz w:val="24"/>
          <w:szCs w:val="24"/>
        </w:rPr>
        <w:t>na formacja jest warta uwagi ze </w:t>
      </w:r>
      <w:r w:rsidRPr="00CE3CE6">
        <w:rPr>
          <w:rFonts w:ascii="Times New Roman" w:hAnsi="Times New Roman" w:cs="Times New Roman"/>
          <w:sz w:val="24"/>
          <w:szCs w:val="24"/>
        </w:rPr>
        <w:t>względu na kilka rozwiązań organizacyjno-prawnych. TA jest typową formacją ochotniczą, zaś jej szkolenie podstawowe trwa do 59 dni w ciągu roku (na ogół weekendowo). Po przejściu tego etapu roczne zobowiązanie członka jednostki terytorialnej wynosi 19 dni (dwa weekendy plus obóz szkoleniowy). Żołnierze tej formacji otrzymują prawa do szeregu ulg podatkowych. Służba jest dobrze opłacan</w:t>
      </w:r>
      <w:r w:rsidR="00B96FF4">
        <w:rPr>
          <w:rFonts w:ascii="Times New Roman" w:hAnsi="Times New Roman" w:cs="Times New Roman"/>
          <w:sz w:val="24"/>
          <w:szCs w:val="24"/>
        </w:rPr>
        <w:t>a</w:t>
      </w:r>
      <w:r w:rsidR="00F16A80">
        <w:rPr>
          <w:rFonts w:ascii="Times New Roman" w:hAnsi="Times New Roman" w:cs="Times New Roman"/>
          <w:sz w:val="24"/>
          <w:szCs w:val="24"/>
        </w:rPr>
        <w:t xml:space="preserve"> (ok. 50 </w:t>
      </w:r>
      <w:r w:rsidRPr="00CE3CE6">
        <w:rPr>
          <w:rFonts w:ascii="Times New Roman" w:hAnsi="Times New Roman" w:cs="Times New Roman"/>
          <w:sz w:val="24"/>
          <w:szCs w:val="24"/>
        </w:rPr>
        <w:t>funtów za dzień dla najniższych szarży), zaś żołnierze są chronieni przed ewentualnymi zwolnieniami z pracy – jeżeli pracodawca rozwiąże umowę o pracę bez zgody Territorials, a</w:t>
      </w:r>
      <w:r w:rsidR="00B96FF4">
        <w:rPr>
          <w:rFonts w:ascii="Times New Roman" w:hAnsi="Times New Roman" w:cs="Times New Roman"/>
          <w:sz w:val="24"/>
          <w:szCs w:val="24"/>
        </w:rPr>
        <w:t> </w:t>
      </w:r>
      <w:r w:rsidRPr="00CE3CE6">
        <w:rPr>
          <w:rFonts w:ascii="Times New Roman" w:hAnsi="Times New Roman" w:cs="Times New Roman"/>
          <w:sz w:val="24"/>
          <w:szCs w:val="24"/>
        </w:rPr>
        <w:t xml:space="preserve">przyczyną jest zobowiązanie </w:t>
      </w:r>
      <w:r w:rsidR="005D49F5">
        <w:rPr>
          <w:rFonts w:ascii="Times New Roman" w:hAnsi="Times New Roman" w:cs="Times New Roman"/>
          <w:sz w:val="24"/>
          <w:szCs w:val="24"/>
        </w:rPr>
        <w:t>do pełnienia służby wojskowej w </w:t>
      </w:r>
      <w:r w:rsidRPr="00CE3CE6">
        <w:rPr>
          <w:rFonts w:ascii="Times New Roman" w:hAnsi="Times New Roman" w:cs="Times New Roman"/>
          <w:sz w:val="24"/>
          <w:szCs w:val="24"/>
        </w:rPr>
        <w:t>rezerwie, to ponosi konsekwencje prawne i musi zapłacić wysokie odszkodowanie. Ponadto w ramach różnych programów wsparcia dział</w:t>
      </w:r>
      <w:r w:rsidR="005D49F5">
        <w:rPr>
          <w:rFonts w:ascii="Times New Roman" w:hAnsi="Times New Roman" w:cs="Times New Roman"/>
          <w:sz w:val="24"/>
          <w:szCs w:val="24"/>
        </w:rPr>
        <w:t>a kilka organizacji rządowych i </w:t>
      </w:r>
      <w:r w:rsidRPr="00CE3CE6">
        <w:rPr>
          <w:rFonts w:ascii="Times New Roman" w:hAnsi="Times New Roman" w:cs="Times New Roman"/>
          <w:sz w:val="24"/>
          <w:szCs w:val="24"/>
        </w:rPr>
        <w:t xml:space="preserve">pozarządowych mających na celu zacieśnienie współpracy między brytyjskim MON, pracodawcami a żołnierzami. </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lastRenderedPageBreak/>
        <w:t>Wszystkie wymienione aspekty sprawiają, iż chętnych do TA nie brakuje, zaś sama formacja jest powszechnie akceptowana przez lokalną społeczność.</w:t>
      </w:r>
    </w:p>
    <w:p w:rsidR="00CE3CE6" w:rsidRPr="00DC1FF6" w:rsidRDefault="00CE3CE6" w:rsidP="0019032B">
      <w:pPr>
        <w:spacing w:before="240" w:after="0" w:line="360" w:lineRule="auto"/>
        <w:jc w:val="both"/>
        <w:rPr>
          <w:rFonts w:ascii="Times New Roman" w:hAnsi="Times New Roman" w:cs="Times New Roman"/>
          <w:b/>
          <w:sz w:val="24"/>
          <w:szCs w:val="24"/>
        </w:rPr>
      </w:pPr>
      <w:r w:rsidRPr="00DC1FF6">
        <w:rPr>
          <w:rFonts w:ascii="Times New Roman" w:hAnsi="Times New Roman" w:cs="Times New Roman"/>
          <w:b/>
          <w:sz w:val="24"/>
          <w:szCs w:val="24"/>
        </w:rPr>
        <w:t>Konsultacje społeczne</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Wstępny projekt ustawy był poddany konsultacjom społecznym. W ramach tych konsultacji projekt przekazano organizacjom pozarządowym o charakterze proobronnym, takim jak m.in.: Stowarzyszenie Obrona Narodowa.pl – Ruch na Rzecz Obrony Terytorialnej, Związek Strzelecki „Strzelec” Organizacja Społeczno</w:t>
      </w:r>
      <w:r w:rsidR="00DC1FF6">
        <w:rPr>
          <w:rFonts w:ascii="Times New Roman" w:hAnsi="Times New Roman" w:cs="Times New Roman"/>
          <w:sz w:val="24"/>
          <w:szCs w:val="24"/>
        </w:rPr>
        <w:t>-</w:t>
      </w:r>
      <w:r w:rsidRPr="00CE3CE6">
        <w:rPr>
          <w:rFonts w:ascii="Times New Roman" w:hAnsi="Times New Roman" w:cs="Times New Roman"/>
          <w:sz w:val="24"/>
          <w:szCs w:val="24"/>
        </w:rPr>
        <w:t>Wychowawcza, Combat Alert – Fundacja na Rzecz Obronności i Bezpieczeństwa Kraju. Projekt uwzględnia, we właściwych proporcjach, uwagi zgłoszone przez wyżej wymienione organizacje.</w:t>
      </w:r>
    </w:p>
    <w:p w:rsidR="00CE3CE6" w:rsidRPr="00DC1FF6" w:rsidRDefault="00CE3CE6" w:rsidP="0019032B">
      <w:pPr>
        <w:spacing w:before="240" w:after="0" w:line="360" w:lineRule="auto"/>
        <w:jc w:val="both"/>
        <w:rPr>
          <w:rFonts w:ascii="Times New Roman" w:hAnsi="Times New Roman" w:cs="Times New Roman"/>
          <w:b/>
          <w:sz w:val="24"/>
          <w:szCs w:val="24"/>
        </w:rPr>
      </w:pPr>
      <w:r w:rsidRPr="00DC1FF6">
        <w:rPr>
          <w:rFonts w:ascii="Times New Roman" w:hAnsi="Times New Roman" w:cs="Times New Roman"/>
          <w:b/>
          <w:sz w:val="24"/>
          <w:szCs w:val="24"/>
        </w:rPr>
        <w:t>Przewidywane skutki dla budżetu państwa</w:t>
      </w:r>
    </w:p>
    <w:p w:rsid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Łączne przybliżone wydatki z budżetu resortu obrony narodowej na utworzenie, wyposażenie i funkcjonowanie WOT kształtować się będą następująco:</w:t>
      </w:r>
    </w:p>
    <w:p w:rsidR="00CE3CE6" w:rsidRPr="00CE3CE6" w:rsidRDefault="00CE3CE6" w:rsidP="00753EB0">
      <w:pPr>
        <w:numPr>
          <w:ilvl w:val="0"/>
          <w:numId w:val="1"/>
        </w:numPr>
        <w:spacing w:after="0" w:line="360" w:lineRule="auto"/>
        <w:ind w:left="426" w:hanging="426"/>
        <w:jc w:val="both"/>
        <w:rPr>
          <w:rFonts w:ascii="Times New Roman" w:hAnsi="Times New Roman" w:cs="Times New Roman"/>
          <w:sz w:val="24"/>
          <w:szCs w:val="24"/>
        </w:rPr>
      </w:pPr>
      <w:r w:rsidRPr="00CE3CE6">
        <w:rPr>
          <w:rFonts w:ascii="Times New Roman" w:hAnsi="Times New Roman" w:cs="Times New Roman"/>
          <w:sz w:val="24"/>
          <w:szCs w:val="24"/>
        </w:rPr>
        <w:t>2017 r. – 630,7 mln zł;</w:t>
      </w:r>
    </w:p>
    <w:p w:rsidR="00CE3CE6" w:rsidRPr="00CE3CE6" w:rsidRDefault="00CE3CE6" w:rsidP="00753EB0">
      <w:pPr>
        <w:numPr>
          <w:ilvl w:val="0"/>
          <w:numId w:val="1"/>
        </w:numPr>
        <w:spacing w:after="0" w:line="360" w:lineRule="auto"/>
        <w:ind w:left="426" w:hanging="426"/>
        <w:jc w:val="both"/>
        <w:rPr>
          <w:rFonts w:ascii="Times New Roman" w:hAnsi="Times New Roman" w:cs="Times New Roman"/>
          <w:sz w:val="24"/>
          <w:szCs w:val="24"/>
        </w:rPr>
      </w:pPr>
      <w:r w:rsidRPr="00CE3CE6">
        <w:rPr>
          <w:rFonts w:ascii="Times New Roman" w:hAnsi="Times New Roman" w:cs="Times New Roman"/>
          <w:sz w:val="24"/>
          <w:szCs w:val="24"/>
        </w:rPr>
        <w:t>2018 r. – 1095,1 mln zł;</w:t>
      </w:r>
    </w:p>
    <w:p w:rsidR="00CE3CE6" w:rsidRPr="00CE3CE6" w:rsidRDefault="00CE3CE6" w:rsidP="00753EB0">
      <w:pPr>
        <w:numPr>
          <w:ilvl w:val="0"/>
          <w:numId w:val="1"/>
        </w:numPr>
        <w:spacing w:after="0" w:line="360" w:lineRule="auto"/>
        <w:ind w:left="426" w:hanging="426"/>
        <w:jc w:val="both"/>
        <w:rPr>
          <w:rFonts w:ascii="Times New Roman" w:hAnsi="Times New Roman" w:cs="Times New Roman"/>
          <w:sz w:val="24"/>
          <w:szCs w:val="24"/>
        </w:rPr>
      </w:pPr>
      <w:r w:rsidRPr="00CE3CE6">
        <w:rPr>
          <w:rFonts w:ascii="Times New Roman" w:hAnsi="Times New Roman" w:cs="Times New Roman"/>
          <w:sz w:val="24"/>
          <w:szCs w:val="24"/>
        </w:rPr>
        <w:t>2019 r. – 1482,8 mln zł.</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Zakres projektu ustawy nie jest objęty prawem Unii Europejskiej.</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Projekt nie wymaga zaopiniowania, dokonania konsultacji albo uzgodnienia z</w:t>
      </w:r>
      <w:r w:rsidR="005D49F5">
        <w:rPr>
          <w:rFonts w:ascii="Times New Roman" w:hAnsi="Times New Roman" w:cs="Times New Roman"/>
          <w:sz w:val="24"/>
          <w:szCs w:val="24"/>
        </w:rPr>
        <w:t> </w:t>
      </w:r>
      <w:r w:rsidRPr="00CE3CE6">
        <w:rPr>
          <w:rFonts w:ascii="Times New Roman" w:hAnsi="Times New Roman" w:cs="Times New Roman"/>
          <w:sz w:val="24"/>
          <w:szCs w:val="24"/>
        </w:rPr>
        <w:t xml:space="preserve">właściwymi instytucjami i organami Unii Europejskiej lub Europejskim Bankiem Centralnym. </w:t>
      </w:r>
    </w:p>
    <w:p w:rsidR="00CE3CE6" w:rsidRPr="00CE3CE6" w:rsidRDefault="00CE3CE6" w:rsidP="00233A0B">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Zgodnie z § 4 rozporządzenia Rady Ministrów z dnia 23 grudnia 2002 r. w sprawie sposobu funkcjonowania krajowego systemu notyfik</w:t>
      </w:r>
      <w:r w:rsidR="005D49F5">
        <w:rPr>
          <w:rFonts w:ascii="Times New Roman" w:hAnsi="Times New Roman" w:cs="Times New Roman"/>
          <w:sz w:val="24"/>
          <w:szCs w:val="24"/>
        </w:rPr>
        <w:t>acji norm i aktów prawnych (Dz. </w:t>
      </w:r>
      <w:r w:rsidRPr="00CE3CE6">
        <w:rPr>
          <w:rFonts w:ascii="Times New Roman" w:hAnsi="Times New Roman" w:cs="Times New Roman"/>
          <w:sz w:val="24"/>
          <w:szCs w:val="24"/>
        </w:rPr>
        <w:t>U. poz. 2039, z</w:t>
      </w:r>
      <w:r w:rsidR="00DC1FF6">
        <w:rPr>
          <w:rFonts w:ascii="Times New Roman" w:hAnsi="Times New Roman" w:cs="Times New Roman"/>
          <w:sz w:val="24"/>
          <w:szCs w:val="24"/>
        </w:rPr>
        <w:t> </w:t>
      </w:r>
      <w:r w:rsidRPr="00CE3CE6">
        <w:rPr>
          <w:rFonts w:ascii="Times New Roman" w:hAnsi="Times New Roman" w:cs="Times New Roman"/>
          <w:sz w:val="24"/>
          <w:szCs w:val="24"/>
        </w:rPr>
        <w:t>późn. zm.) projektowana ustawa nie podlega notyfikacji Komisji Europejskiej.</w:t>
      </w:r>
    </w:p>
    <w:p w:rsidR="00B10A8C" w:rsidRPr="008D1DE8" w:rsidRDefault="00CE3CE6" w:rsidP="008D1DE8">
      <w:pPr>
        <w:spacing w:before="120" w:after="0" w:line="360" w:lineRule="auto"/>
        <w:jc w:val="both"/>
        <w:rPr>
          <w:rFonts w:ascii="Times New Roman" w:hAnsi="Times New Roman" w:cs="Times New Roman"/>
          <w:sz w:val="24"/>
          <w:szCs w:val="24"/>
        </w:rPr>
      </w:pPr>
      <w:r w:rsidRPr="00CE3CE6">
        <w:rPr>
          <w:rFonts w:ascii="Times New Roman" w:hAnsi="Times New Roman" w:cs="Times New Roman"/>
          <w:sz w:val="24"/>
          <w:szCs w:val="24"/>
        </w:rPr>
        <w:t>Zgodnie z art. 5 ustawy z dnia 7 lipca 2005 r. o działalności lobbingowej w procesie stanowienia prawa (Dz. U. poz. 1414, z późn. zm.) projekt został udostępniony w</w:t>
      </w:r>
      <w:r w:rsidR="005D49F5">
        <w:rPr>
          <w:rFonts w:ascii="Times New Roman" w:hAnsi="Times New Roman" w:cs="Times New Roman"/>
          <w:sz w:val="24"/>
          <w:szCs w:val="24"/>
        </w:rPr>
        <w:t> </w:t>
      </w:r>
      <w:r w:rsidRPr="00CE3CE6">
        <w:rPr>
          <w:rFonts w:ascii="Times New Roman" w:hAnsi="Times New Roman" w:cs="Times New Roman"/>
          <w:sz w:val="24"/>
          <w:szCs w:val="24"/>
        </w:rPr>
        <w:t>Biuletynie Informacji Publicznej na stronie internetowej Rządowego Centrum Legislacji w zakładce Rządowy Proces Legislacyjny.</w:t>
      </w:r>
    </w:p>
    <w:sectPr w:rsidR="00B10A8C" w:rsidRPr="008D1DE8" w:rsidSect="00DC1FF6">
      <w:footerReference w:type="default" r:id="rId8"/>
      <w:pgSz w:w="11906" w:h="16838"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76F" w:rsidRDefault="003F776F" w:rsidP="00233A0B">
      <w:pPr>
        <w:spacing w:after="0" w:line="240" w:lineRule="auto"/>
      </w:pPr>
      <w:r>
        <w:separator/>
      </w:r>
    </w:p>
  </w:endnote>
  <w:endnote w:type="continuationSeparator" w:id="0">
    <w:p w:rsidR="003F776F" w:rsidRDefault="003F776F" w:rsidP="00233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6039649"/>
      <w:docPartObj>
        <w:docPartGallery w:val="Page Numbers (Bottom of Page)"/>
        <w:docPartUnique/>
      </w:docPartObj>
    </w:sdtPr>
    <w:sdtEndPr>
      <w:rPr>
        <w:rFonts w:ascii="Times New Roman" w:hAnsi="Times New Roman" w:cs="Times New Roman"/>
        <w:sz w:val="24"/>
        <w:szCs w:val="24"/>
      </w:rPr>
    </w:sdtEndPr>
    <w:sdtContent>
      <w:p w:rsidR="00233A0B" w:rsidRPr="00233A0B" w:rsidRDefault="00233A0B">
        <w:pPr>
          <w:pStyle w:val="Stopka"/>
          <w:jc w:val="center"/>
          <w:rPr>
            <w:rFonts w:ascii="Times New Roman" w:hAnsi="Times New Roman" w:cs="Times New Roman"/>
            <w:sz w:val="24"/>
            <w:szCs w:val="24"/>
          </w:rPr>
        </w:pPr>
        <w:r w:rsidRPr="00233A0B">
          <w:rPr>
            <w:rFonts w:ascii="Times New Roman" w:hAnsi="Times New Roman" w:cs="Times New Roman"/>
            <w:sz w:val="24"/>
            <w:szCs w:val="24"/>
          </w:rPr>
          <w:fldChar w:fldCharType="begin"/>
        </w:r>
        <w:r w:rsidRPr="00233A0B">
          <w:rPr>
            <w:rFonts w:ascii="Times New Roman" w:hAnsi="Times New Roman" w:cs="Times New Roman"/>
            <w:sz w:val="24"/>
            <w:szCs w:val="24"/>
          </w:rPr>
          <w:instrText>PAGE   \* MERGEFORMAT</w:instrText>
        </w:r>
        <w:r w:rsidRPr="00233A0B">
          <w:rPr>
            <w:rFonts w:ascii="Times New Roman" w:hAnsi="Times New Roman" w:cs="Times New Roman"/>
            <w:sz w:val="24"/>
            <w:szCs w:val="24"/>
          </w:rPr>
          <w:fldChar w:fldCharType="separate"/>
        </w:r>
        <w:r w:rsidR="00F60D65">
          <w:rPr>
            <w:rFonts w:ascii="Times New Roman" w:hAnsi="Times New Roman" w:cs="Times New Roman"/>
            <w:noProof/>
            <w:sz w:val="24"/>
            <w:szCs w:val="24"/>
          </w:rPr>
          <w:t>6</w:t>
        </w:r>
        <w:r w:rsidRPr="00233A0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76F" w:rsidRDefault="003F776F" w:rsidP="00233A0B">
      <w:pPr>
        <w:spacing w:after="0" w:line="240" w:lineRule="auto"/>
      </w:pPr>
      <w:r>
        <w:separator/>
      </w:r>
    </w:p>
  </w:footnote>
  <w:footnote w:type="continuationSeparator" w:id="0">
    <w:p w:rsidR="003F776F" w:rsidRDefault="003F776F" w:rsidP="00233A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0F6BAE"/>
    <w:multiLevelType w:val="hybridMultilevel"/>
    <w:tmpl w:val="A14A16DE"/>
    <w:lvl w:ilvl="0" w:tplc="04150011">
      <w:start w:val="1"/>
      <w:numFmt w:val="decimal"/>
      <w:lvlText w:val="%1)"/>
      <w:lvlJc w:val="left"/>
      <w:pPr>
        <w:ind w:left="2204" w:hanging="360"/>
      </w:pPr>
    </w:lvl>
    <w:lvl w:ilvl="1" w:tplc="04150019" w:tentative="1">
      <w:start w:val="1"/>
      <w:numFmt w:val="lowerLetter"/>
      <w:lvlText w:val="%2."/>
      <w:lvlJc w:val="left"/>
      <w:pPr>
        <w:ind w:left="2924" w:hanging="360"/>
      </w:pPr>
    </w:lvl>
    <w:lvl w:ilvl="2" w:tplc="0415001B" w:tentative="1">
      <w:start w:val="1"/>
      <w:numFmt w:val="lowerRoman"/>
      <w:lvlText w:val="%3."/>
      <w:lvlJc w:val="right"/>
      <w:pPr>
        <w:ind w:left="3644" w:hanging="180"/>
      </w:pPr>
    </w:lvl>
    <w:lvl w:ilvl="3" w:tplc="0415000F" w:tentative="1">
      <w:start w:val="1"/>
      <w:numFmt w:val="decimal"/>
      <w:lvlText w:val="%4."/>
      <w:lvlJc w:val="left"/>
      <w:pPr>
        <w:ind w:left="4364" w:hanging="360"/>
      </w:pPr>
    </w:lvl>
    <w:lvl w:ilvl="4" w:tplc="04150019" w:tentative="1">
      <w:start w:val="1"/>
      <w:numFmt w:val="lowerLetter"/>
      <w:lvlText w:val="%5."/>
      <w:lvlJc w:val="left"/>
      <w:pPr>
        <w:ind w:left="5084" w:hanging="360"/>
      </w:pPr>
    </w:lvl>
    <w:lvl w:ilvl="5" w:tplc="0415001B" w:tentative="1">
      <w:start w:val="1"/>
      <w:numFmt w:val="lowerRoman"/>
      <w:lvlText w:val="%6."/>
      <w:lvlJc w:val="right"/>
      <w:pPr>
        <w:ind w:left="5804" w:hanging="180"/>
      </w:pPr>
    </w:lvl>
    <w:lvl w:ilvl="6" w:tplc="0415000F" w:tentative="1">
      <w:start w:val="1"/>
      <w:numFmt w:val="decimal"/>
      <w:lvlText w:val="%7."/>
      <w:lvlJc w:val="left"/>
      <w:pPr>
        <w:ind w:left="6524" w:hanging="360"/>
      </w:pPr>
    </w:lvl>
    <w:lvl w:ilvl="7" w:tplc="04150019" w:tentative="1">
      <w:start w:val="1"/>
      <w:numFmt w:val="lowerLetter"/>
      <w:lvlText w:val="%8."/>
      <w:lvlJc w:val="left"/>
      <w:pPr>
        <w:ind w:left="7244" w:hanging="360"/>
      </w:pPr>
    </w:lvl>
    <w:lvl w:ilvl="8" w:tplc="0415001B" w:tentative="1">
      <w:start w:val="1"/>
      <w:numFmt w:val="lowerRoman"/>
      <w:lvlText w:val="%9."/>
      <w:lvlJc w:val="right"/>
      <w:pPr>
        <w:ind w:left="796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CE6"/>
    <w:rsid w:val="000F5E14"/>
    <w:rsid w:val="0019032B"/>
    <w:rsid w:val="002049EF"/>
    <w:rsid w:val="00233A0B"/>
    <w:rsid w:val="00294916"/>
    <w:rsid w:val="00397FB0"/>
    <w:rsid w:val="003D48F6"/>
    <w:rsid w:val="003F776F"/>
    <w:rsid w:val="004E2E2F"/>
    <w:rsid w:val="005D49F5"/>
    <w:rsid w:val="006F1531"/>
    <w:rsid w:val="00753EB0"/>
    <w:rsid w:val="008D1DE8"/>
    <w:rsid w:val="009E7144"/>
    <w:rsid w:val="00B10A8C"/>
    <w:rsid w:val="00B96FF4"/>
    <w:rsid w:val="00C003EC"/>
    <w:rsid w:val="00CB5ACF"/>
    <w:rsid w:val="00CE3CE6"/>
    <w:rsid w:val="00DC1FF6"/>
    <w:rsid w:val="00EC05FB"/>
    <w:rsid w:val="00F16A80"/>
    <w:rsid w:val="00F60D65"/>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233A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3A0B"/>
  </w:style>
  <w:style w:type="paragraph" w:styleId="Stopka">
    <w:name w:val="footer"/>
    <w:basedOn w:val="Normalny"/>
    <w:link w:val="StopkaZnak"/>
    <w:uiPriority w:val="99"/>
    <w:unhideWhenUsed/>
    <w:rsid w:val="00233A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3A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233A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3A0B"/>
  </w:style>
  <w:style w:type="paragraph" w:styleId="Stopka">
    <w:name w:val="footer"/>
    <w:basedOn w:val="Normalny"/>
    <w:link w:val="StopkaZnak"/>
    <w:uiPriority w:val="99"/>
    <w:unhideWhenUsed/>
    <w:rsid w:val="00233A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3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2056</Words>
  <Characters>12341</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14369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dcterms:created xsi:type="dcterms:W3CDTF">2016-10-28T13:09:00Z</dcterms:created>
  <dcterms:modified xsi:type="dcterms:W3CDTF">2016-10-28T13:09:00Z</dcterms:modified>
</cp:coreProperties>
</file>