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B14" w:rsidRPr="00F567F4" w:rsidRDefault="00924B14" w:rsidP="00924B14">
      <w:pPr>
        <w:pStyle w:val="OZNRODZAKTUtznustawalubrozporzdzenieiorganwydajcy"/>
      </w:pPr>
      <w:bookmarkStart w:id="0" w:name="_GoBack"/>
      <w:bookmarkEnd w:id="0"/>
      <w:r w:rsidRPr="00F567F4">
        <w:t>USTAWA</w:t>
      </w:r>
    </w:p>
    <w:p w:rsidR="00924B14" w:rsidRPr="00F567F4" w:rsidRDefault="00924B14" w:rsidP="00924B14">
      <w:pPr>
        <w:pStyle w:val="DATAAKTUdatauchwalenialubwydaniaaktu"/>
      </w:pPr>
      <w:r w:rsidRPr="00F567F4">
        <w:t>z dnia                                             2016 r.</w:t>
      </w:r>
    </w:p>
    <w:p w:rsidR="00924B14" w:rsidRPr="00F567F4" w:rsidRDefault="00924B14" w:rsidP="00924B14">
      <w:pPr>
        <w:pStyle w:val="TYTUAKTUprzedmiotregulacjiustawylubrozporzdzenia"/>
      </w:pPr>
      <w:r w:rsidRPr="00F567F4">
        <w:t xml:space="preserve">o zmianie ustawy o podatku dochodowym od osób fizycznych </w:t>
      </w:r>
      <w:r>
        <w:t xml:space="preserve">oraz </w:t>
      </w:r>
      <w:r w:rsidR="001A26B5">
        <w:t xml:space="preserve">ustawy o </w:t>
      </w:r>
      <w:r>
        <w:t>podatku dochodowym od osób prawnych</w:t>
      </w:r>
    </w:p>
    <w:p w:rsidR="00924B14" w:rsidRPr="00B62DE0" w:rsidRDefault="00924B14" w:rsidP="00924B14">
      <w:pPr>
        <w:pStyle w:val="ARTartustawynprozporzdzenia"/>
      </w:pPr>
      <w:r w:rsidRPr="00A91E75">
        <w:rPr>
          <w:rStyle w:val="Ppogrubienie"/>
        </w:rPr>
        <w:t>Art. 1.</w:t>
      </w:r>
      <w:r w:rsidRPr="00A91E75">
        <w:t xml:space="preserve"> W</w:t>
      </w:r>
      <w:r w:rsidRPr="003A43B4">
        <w:t xml:space="preserve"> ustawie z dnia 26 lipca 1991 r. o podatku dochodowym od osób fizycznych (Dz. U. z 2012 r. poz. 361, z </w:t>
      </w:r>
      <w:proofErr w:type="spellStart"/>
      <w:r w:rsidRPr="003A43B4">
        <w:t>późn</w:t>
      </w:r>
      <w:proofErr w:type="spellEnd"/>
      <w:r w:rsidRPr="003A43B4">
        <w:t>. zm.</w:t>
      </w:r>
      <w:r w:rsidRPr="003A43B4">
        <w:rPr>
          <w:rStyle w:val="IGindeksgrny"/>
        </w:rPr>
        <w:footnoteReference w:id="1"/>
      </w:r>
      <w:r w:rsidRPr="003A43B4">
        <w:rPr>
          <w:rStyle w:val="IGindeksgrny"/>
        </w:rPr>
        <w:t>)</w:t>
      </w:r>
      <w:r w:rsidRPr="003A43B4">
        <w:t>)</w:t>
      </w:r>
      <w:r>
        <w:t xml:space="preserve"> po art. 52g dodaje się art. 52h w brzmieniu:</w:t>
      </w:r>
    </w:p>
    <w:p w:rsidR="00924B14" w:rsidRPr="00E02B81" w:rsidRDefault="00924B14" w:rsidP="00924B14">
      <w:pPr>
        <w:pStyle w:val="ARTartustawynprozporzdzenia"/>
      </w:pPr>
      <w:r>
        <w:t>„</w:t>
      </w:r>
      <w:r w:rsidRPr="00B62DE0">
        <w:t>Art. 52h.</w:t>
      </w:r>
      <w:r>
        <w:t xml:space="preserve">  1. W latach 2016 i 2017 obowiązuje skala podatkowa, o której mowa </w:t>
      </w:r>
      <w:r w:rsidRPr="001847C4">
        <w:t>w</w:t>
      </w:r>
      <w:r>
        <w:t xml:space="preserve"> art. 27 ust. 1 w brzmieniu obowiązującym w 2015 roku.</w:t>
      </w:r>
    </w:p>
    <w:p w:rsidR="00924B14" w:rsidRDefault="00924B14" w:rsidP="00924B14">
      <w:pPr>
        <w:pStyle w:val="USTustnpkodeksu"/>
      </w:pPr>
      <w:r>
        <w:t>2. Przepis ust. 1 ma zastosowanie do dochodów uzyskanych od dnia 1 stycznia 2016 r.”.</w:t>
      </w:r>
    </w:p>
    <w:p w:rsidR="00924B14" w:rsidRDefault="00924B14" w:rsidP="00924B14">
      <w:pPr>
        <w:pStyle w:val="ARTartustawynprozporzdzenia"/>
      </w:pPr>
      <w:r w:rsidRPr="00B62DE0">
        <w:rPr>
          <w:rStyle w:val="Ppogrubienie"/>
        </w:rPr>
        <w:t>Art. 2.</w:t>
      </w:r>
      <w:r w:rsidRPr="00B62DE0">
        <w:t xml:space="preserve"> </w:t>
      </w:r>
      <w:r>
        <w:t xml:space="preserve">W ustawie z </w:t>
      </w:r>
      <w:r w:rsidRPr="00B62DE0">
        <w:t>dnia</w:t>
      </w:r>
      <w:r>
        <w:t xml:space="preserve"> 15 lutego 1992 r. o podatku dochodowym od osób prawnych </w:t>
      </w:r>
      <w:r>
        <w:br/>
        <w:t xml:space="preserve">(Dz. U. z 2014 r. poz. 851, z </w:t>
      </w:r>
      <w:proofErr w:type="spellStart"/>
      <w:r>
        <w:t>późn</w:t>
      </w:r>
      <w:proofErr w:type="spellEnd"/>
      <w:r>
        <w:t>. zm.</w:t>
      </w:r>
      <w:r w:rsidRPr="00B62DE0">
        <w:rPr>
          <w:rStyle w:val="Odwoanieprzypisudolnego"/>
        </w:rPr>
        <w:footnoteReference w:id="2"/>
      </w:r>
      <w:r w:rsidR="0057025C" w:rsidRPr="003A43B4">
        <w:rPr>
          <w:rStyle w:val="IGindeksgrny"/>
        </w:rPr>
        <w:t>)</w:t>
      </w:r>
      <w:r>
        <w:t xml:space="preserve">)  wprowadza się następujące zmiany: </w:t>
      </w:r>
    </w:p>
    <w:p w:rsidR="00924B14" w:rsidRPr="00B62DE0" w:rsidRDefault="00924B14" w:rsidP="00924B14">
      <w:pPr>
        <w:pStyle w:val="PKTpunkt"/>
      </w:pPr>
      <w:r w:rsidRPr="00B62DE0">
        <w:t xml:space="preserve">1) w art. 4a </w:t>
      </w:r>
      <w:r w:rsidR="0064477C">
        <w:t xml:space="preserve">kropkę zastępuje się średnikiem i </w:t>
      </w:r>
      <w:r w:rsidRPr="00B62DE0">
        <w:t>dodaje się pkt 30 w brzmieniu:</w:t>
      </w:r>
    </w:p>
    <w:p w:rsidR="00924B14" w:rsidRPr="00B62DE0" w:rsidRDefault="00924B14" w:rsidP="00924B14">
      <w:pPr>
        <w:pStyle w:val="ZPKTzmpktartykuempunktem"/>
      </w:pPr>
      <w:r w:rsidRPr="00B62DE0">
        <w:t xml:space="preserve">„30) ustawie o funduszach inwestycyjnych – oznacza to ustawę z dnia 27 maja 2004 r. </w:t>
      </w:r>
      <w:r w:rsidRPr="00B62DE0">
        <w:br/>
        <w:t xml:space="preserve">o funduszach inwestycyjnych i zarządzaniu alternatywnymi funduszami inwestycyjnymi (Dz. U. z 2014 r. poz. 157, z </w:t>
      </w:r>
      <w:proofErr w:type="spellStart"/>
      <w:r w:rsidRPr="00B62DE0">
        <w:t>późn</w:t>
      </w:r>
      <w:proofErr w:type="spellEnd"/>
      <w:r w:rsidRPr="00B62DE0">
        <w:t>. zm.)</w:t>
      </w:r>
      <w:r w:rsidR="0064477C">
        <w:t>.</w:t>
      </w:r>
      <w:r w:rsidRPr="00B62DE0">
        <w:t>;</w:t>
      </w:r>
    </w:p>
    <w:p w:rsidR="00924B14" w:rsidRPr="00B62DE0" w:rsidRDefault="00924B14" w:rsidP="00924B14">
      <w:pPr>
        <w:pStyle w:val="PKTpunkt"/>
      </w:pPr>
      <w:r w:rsidRPr="00B62DE0">
        <w:t>2) w art. 6:</w:t>
      </w:r>
    </w:p>
    <w:p w:rsidR="00924B14" w:rsidRPr="00B62DE0" w:rsidRDefault="00924B14" w:rsidP="00924B14">
      <w:pPr>
        <w:pStyle w:val="LITlitera"/>
      </w:pPr>
      <w:r w:rsidRPr="00B62DE0">
        <w:tab/>
        <w:t>a) w ust. 1 uchyla się pkt 10 i 10a,</w:t>
      </w:r>
    </w:p>
    <w:p w:rsidR="00924B14" w:rsidRPr="00B62DE0" w:rsidRDefault="00924B14" w:rsidP="00924B14">
      <w:pPr>
        <w:pStyle w:val="LITlitera"/>
      </w:pPr>
      <w:r w:rsidRPr="00B62DE0">
        <w:tab/>
        <w:t>b) ust. 3 otrzymuje brzmienie:</w:t>
      </w:r>
    </w:p>
    <w:p w:rsidR="00924B14" w:rsidRPr="00B62DE0" w:rsidRDefault="00924B14" w:rsidP="00924B14">
      <w:pPr>
        <w:pStyle w:val="ZLITUSTzmustliter"/>
      </w:pPr>
      <w:r w:rsidRPr="00B62DE0">
        <w:t>„3. Zwolnienie, o którym mowa w ust. 1 pkt 11a, stosuje się pod warunkiem istnienia podstawy prawnej, wynikającej z umowy o unikaniu podwójnego opodatkowania lub innej ratyfikowanej umowy międzynarodowej, której stroną jest Rzeczpospolita Polska, do uzyskania przez organ podatkowy informacji podatkowych od organu podatkowego państwa, w którym podatnik ma siedzibę.”;</w:t>
      </w:r>
    </w:p>
    <w:p w:rsidR="00924B14" w:rsidRPr="00B62DE0" w:rsidRDefault="00924B14" w:rsidP="00924B14">
      <w:pPr>
        <w:pStyle w:val="PKTpunkt"/>
      </w:pPr>
      <w:r w:rsidRPr="00B62DE0">
        <w:t xml:space="preserve">3) w art. 12 w ust. 4 </w:t>
      </w:r>
      <w:r w:rsidR="0064477C">
        <w:t xml:space="preserve">po </w:t>
      </w:r>
      <w:r w:rsidR="0064477C" w:rsidRPr="00B62DE0">
        <w:t xml:space="preserve">pkt </w:t>
      </w:r>
      <w:r w:rsidR="0064477C">
        <w:t>25</w:t>
      </w:r>
      <w:r w:rsidR="0064477C" w:rsidRPr="00B62DE0">
        <w:t xml:space="preserve"> kropkę zastępuje się średnikiem i </w:t>
      </w:r>
      <w:r w:rsidRPr="00B62DE0">
        <w:t>dodaje się pkt 26 w brzmieniu:</w:t>
      </w:r>
    </w:p>
    <w:p w:rsidR="00924B14" w:rsidRPr="00B62DE0" w:rsidRDefault="00924B14" w:rsidP="00924B14">
      <w:pPr>
        <w:pStyle w:val="ZPKTzmpktartykuempunktem"/>
      </w:pPr>
      <w:r w:rsidRPr="00B62DE0">
        <w:lastRenderedPageBreak/>
        <w:t xml:space="preserve">„26) wartości otrzymanych przez fundusz inwestycyjny z tytułu wpłat dokonanych </w:t>
      </w:r>
      <w:r w:rsidRPr="00B62DE0">
        <w:br/>
        <w:t xml:space="preserve">w formie pieniężnej lub z papierów wartościowych lub udziałów w spółkach </w:t>
      </w:r>
      <w:r w:rsidRPr="00B62DE0">
        <w:br/>
        <w:t>z ograniczoną odpowiedzialnością, przyjętych w zamian za zbycie uczestnikom funduszu, a w przypadku funduszu z wydzielonymi subfunduszami – uczestnikom subfundusz - jednostek uczestnictwa albo certyfikatów inwestycyjnych.”;</w:t>
      </w:r>
    </w:p>
    <w:p w:rsidR="00924B14" w:rsidRPr="00B62DE0" w:rsidRDefault="00924B14" w:rsidP="00924B14">
      <w:pPr>
        <w:pStyle w:val="PKTpunkt"/>
      </w:pPr>
      <w:r w:rsidRPr="00B62DE0">
        <w:t xml:space="preserve">4) w art. 16 w ust. 1 </w:t>
      </w:r>
      <w:r w:rsidR="0064477C">
        <w:t xml:space="preserve">po </w:t>
      </w:r>
      <w:r w:rsidR="0064477C" w:rsidRPr="00B62DE0">
        <w:t xml:space="preserve">pkt </w:t>
      </w:r>
      <w:r w:rsidR="0064477C">
        <w:t>71</w:t>
      </w:r>
      <w:r w:rsidR="0064477C" w:rsidRPr="00B62DE0">
        <w:t xml:space="preserve"> kropkę zastępuje się średnikiem i </w:t>
      </w:r>
      <w:r w:rsidRPr="00B62DE0">
        <w:t>dodaje się pkt 7</w:t>
      </w:r>
      <w:r w:rsidR="0064477C">
        <w:t>2</w:t>
      </w:r>
      <w:r w:rsidRPr="00B62DE0">
        <w:t xml:space="preserve"> w brzmieniu:</w:t>
      </w:r>
    </w:p>
    <w:p w:rsidR="00924B14" w:rsidRPr="00B62DE0" w:rsidRDefault="00924B14" w:rsidP="00924B14">
      <w:pPr>
        <w:pStyle w:val="ZPKTzmpktartykuempunktem"/>
      </w:pPr>
      <w:r w:rsidRPr="00B62DE0">
        <w:t>„7</w:t>
      </w:r>
      <w:r w:rsidR="0064477C">
        <w:t>2</w:t>
      </w:r>
      <w:r w:rsidRPr="00B62DE0">
        <w:t xml:space="preserve">) kwot wypłaconych przez fundusz inwestycyjny z tytułu odkupienia jednostek uczestnictwa albo wykupienia certyfikatów inwestycyjnych oraz wypłaty uczestnikom funduszu dochodów (przychodów) funduszu inwestycyjnego, w przypadku gdy statut przewiduje wypłacanie tych dochodów bez odkupywania jednostek uczestnictwa.”;  </w:t>
      </w:r>
    </w:p>
    <w:p w:rsidR="00924B14" w:rsidRPr="00B62DE0" w:rsidRDefault="00924B14" w:rsidP="00924B14">
      <w:pPr>
        <w:pStyle w:val="PKTpunkt"/>
      </w:pPr>
      <w:r w:rsidRPr="00B62DE0">
        <w:t>5) w art. 17:</w:t>
      </w:r>
    </w:p>
    <w:p w:rsidR="00924B14" w:rsidRPr="00B62DE0" w:rsidRDefault="00924B14" w:rsidP="00924B14">
      <w:pPr>
        <w:pStyle w:val="LITlitera"/>
      </w:pPr>
      <w:r w:rsidRPr="00B62DE0">
        <w:t xml:space="preserve">a) w </w:t>
      </w:r>
      <w:r w:rsidR="0064477C">
        <w:t xml:space="preserve">ust. 1 po </w:t>
      </w:r>
      <w:r w:rsidRPr="00B62DE0">
        <w:t xml:space="preserve">pkt 56 kropkę zastępuje się średnikiem i dodaje się pkt 57 i 58 w brzmieniu: </w:t>
      </w:r>
    </w:p>
    <w:p w:rsidR="00924B14" w:rsidRPr="00B62DE0" w:rsidRDefault="00924B14" w:rsidP="00924B14">
      <w:pPr>
        <w:pStyle w:val="ZLITPKTzmpktliter"/>
      </w:pPr>
      <w:r w:rsidRPr="00B62DE0">
        <w:t>„57)</w:t>
      </w:r>
      <w:r>
        <w:t xml:space="preserve"> </w:t>
      </w:r>
      <w:r w:rsidRPr="00B62DE0">
        <w:t xml:space="preserve">dochody (przychody) funduszy inwestycyjnych otwartych oraz specjalistycznych funduszy inwestycyjnych otwartych, działających na podstawie ustawy o funduszach inwestycyjnych, z wyłączeniem specjalistycznych funduszy inwestycyjnych otwartych stosujących zasady i ograniczenia inwestycyjne określone dla funduszy inwestycyjnych zamkniętych – pochodzące z odsetek, dywidend oraz innych przychodów z tytułu udziału w zyskach osób prawnych, zbycia wierzytelności, walut, udziałów (akcji) i innych papierów wartościowych, w tym pochodnych instrumentów finansowych lub realizacji praw z nich wynikających;   </w:t>
      </w:r>
    </w:p>
    <w:p w:rsidR="00924B14" w:rsidRPr="00B62DE0" w:rsidRDefault="00924B14" w:rsidP="00924B14">
      <w:pPr>
        <w:pStyle w:val="ZLITPKTzmpktliter"/>
      </w:pPr>
      <w:r w:rsidRPr="00B62DE0">
        <w:t xml:space="preserve">58) </w:t>
      </w:r>
      <w:r>
        <w:tab/>
      </w:r>
      <w:r w:rsidRPr="00B62DE0">
        <w:t>dochody (przychody) instytucji wspólnego inwestowania, z zastrzeżeniem ust. 12, posiadających siedzibę w innym niż Rzeczpospolita Polska państwie członkowskim Unii Europejskiej lub w innym państwie należącym do Europejskiego Obszaru Gospodarczego, które spełniają łącznie następujące warunki:</w:t>
      </w:r>
    </w:p>
    <w:p w:rsidR="00924B14" w:rsidRPr="00B62DE0" w:rsidRDefault="00924B14" w:rsidP="00924B14">
      <w:pPr>
        <w:pStyle w:val="ZLITLITwPKTzmlitwpktliter"/>
      </w:pPr>
      <w:r w:rsidRPr="00B62DE0">
        <w:t xml:space="preserve">a) </w:t>
      </w:r>
      <w:r>
        <w:tab/>
      </w:r>
      <w:r w:rsidRPr="00B62DE0">
        <w:t>podlegają w państwie, w którym mają siedzibę, opodatkowaniu podatkiem dochodowym od całości swoich dochodów, bez względu na miejsce ich osiągania,</w:t>
      </w:r>
    </w:p>
    <w:p w:rsidR="00924B14" w:rsidRPr="00B62DE0" w:rsidRDefault="00924B14" w:rsidP="00924B14">
      <w:pPr>
        <w:pStyle w:val="ZLITLITwPKTzmlitwpktliter"/>
      </w:pPr>
      <w:r w:rsidRPr="00B62DE0">
        <w:t xml:space="preserve">b) </w:t>
      </w:r>
      <w:r>
        <w:tab/>
      </w:r>
      <w:r w:rsidRPr="00B62DE0">
        <w:t xml:space="preserve">wyłącznym przedmiotem ich działalności jest zbiorowe lokowanie środków pieniężnych, zebranych w drodze publicznego proponowania </w:t>
      </w:r>
      <w:r w:rsidRPr="00B62DE0">
        <w:lastRenderedPageBreak/>
        <w:t>nabycia ich tytułów uczestnictwa, w papiery wartościowe, instrumenty rynku pieniężnego,</w:t>
      </w:r>
    </w:p>
    <w:p w:rsidR="00924B14" w:rsidRPr="00B62DE0" w:rsidRDefault="00924B14" w:rsidP="00924B14">
      <w:pPr>
        <w:pStyle w:val="ZLITLITwPKTzmlitwpktliter"/>
      </w:pPr>
      <w:r w:rsidRPr="00B62DE0">
        <w:t xml:space="preserve">c) </w:t>
      </w:r>
      <w:r>
        <w:tab/>
      </w:r>
      <w:r w:rsidRPr="00B62DE0">
        <w:t>prowadzą swoją działalność na podstawie zezwolenia właściwych organów nadzoru nad rynkiem finansowym państwa, w którym mają siedzibę,</w:t>
      </w:r>
    </w:p>
    <w:p w:rsidR="00924B14" w:rsidRPr="00B62DE0" w:rsidRDefault="00924B14" w:rsidP="00924B14">
      <w:pPr>
        <w:pStyle w:val="ZLITLITwPKTzmlitwpktliter"/>
      </w:pPr>
      <w:r w:rsidRPr="00B62DE0">
        <w:t xml:space="preserve">d) </w:t>
      </w:r>
      <w:r>
        <w:tab/>
      </w:r>
      <w:r w:rsidRPr="00B62DE0">
        <w:t>ich działalność podlega bezpośredniemu nadzorowi właściwych organów nadzoru nad rynkiem finansowym państwa, w którym mają siedzibę,</w:t>
      </w:r>
    </w:p>
    <w:p w:rsidR="00924B14" w:rsidRPr="00B62DE0" w:rsidRDefault="00924B14" w:rsidP="00924B14">
      <w:pPr>
        <w:pStyle w:val="ZLITLITwPKTzmlitwpktliter"/>
      </w:pPr>
      <w:r w:rsidRPr="00B62DE0">
        <w:t xml:space="preserve">e) </w:t>
      </w:r>
      <w:r>
        <w:tab/>
      </w:r>
      <w:r w:rsidRPr="00B62DE0">
        <w:t>posiadają depozytariusza przechowującego aktywa tej instytucji,</w:t>
      </w:r>
    </w:p>
    <w:p w:rsidR="00924B14" w:rsidRPr="00B62DE0" w:rsidRDefault="00924B14" w:rsidP="00924B14">
      <w:pPr>
        <w:pStyle w:val="ZLITLITwPKTzmlitwpktliter"/>
      </w:pPr>
      <w:r w:rsidRPr="00B62DE0">
        <w:t xml:space="preserve">f) </w:t>
      </w:r>
      <w:r>
        <w:tab/>
      </w:r>
      <w:r w:rsidRPr="00B62DE0">
        <w:t xml:space="preserve">zarządzane są przez podmioty, które prowadzą swoją działalność na podstawie zezwolenia właściwych organów nadzoru </w:t>
      </w:r>
      <w:r>
        <w:t xml:space="preserve">nad rynkiem finansowym państwa, </w:t>
      </w:r>
      <w:r w:rsidRPr="00B62DE0">
        <w:t>w którym podmioty te mają siedzibę</w:t>
      </w:r>
    </w:p>
    <w:p w:rsidR="00924B14" w:rsidRPr="00B62DE0" w:rsidRDefault="00924B14" w:rsidP="00924B14">
      <w:pPr>
        <w:pStyle w:val="ZLITCZWSPLITzmczciwsplitliter"/>
      </w:pPr>
      <w:r w:rsidRPr="00B62DE0">
        <w:t xml:space="preserve">- osiągane przez te instytucje z odsetek, dywidend oraz innych przychodów </w:t>
      </w:r>
      <w:r w:rsidRPr="00B62DE0">
        <w:br/>
        <w:t>z tytułu udziału w zyskach osób prawnych, zbycia wierzytelności, walut, udziałów (akcji) i innych papierów wartościowych, w tym pochodnych instrumentów finansowych lub realizacji praw z nich wynikających.”,</w:t>
      </w:r>
    </w:p>
    <w:p w:rsidR="00924B14" w:rsidRPr="00B62DE0" w:rsidRDefault="00924B14" w:rsidP="00924B14">
      <w:pPr>
        <w:pStyle w:val="LITlitera"/>
      </w:pPr>
      <w:r w:rsidRPr="00B62DE0">
        <w:t>b) dodaje się ust. 11 i 12 w brzmieniu:</w:t>
      </w:r>
    </w:p>
    <w:p w:rsidR="00924B14" w:rsidRPr="00B62DE0" w:rsidRDefault="00924B14" w:rsidP="00924B14">
      <w:pPr>
        <w:pStyle w:val="ZLITUSTzmustliter"/>
      </w:pPr>
      <w:r w:rsidRPr="00B62DE0">
        <w:t xml:space="preserve">„11. Zwolnienie, o którym mowa w ust. 1 pkt 58, stosuje się pod warunkiem istnienia podstawy prawnej, wynikającej z umowy o unikaniu podwójnego opodatkowania lub innej ratyfikowanej umowy międzynarodowej, której stroną jest Rzeczpospolita Polska, do uzyskania przez organ podatkowy informacji podatkowych od organu podatkowego państwa, w którym podatnik ma siedzibę. </w:t>
      </w:r>
    </w:p>
    <w:p w:rsidR="00924B14" w:rsidRPr="00B62DE0" w:rsidRDefault="00924B14" w:rsidP="00924B14">
      <w:pPr>
        <w:pStyle w:val="ZLITUSTzmustliter"/>
      </w:pPr>
      <w:r w:rsidRPr="00B62DE0">
        <w:t xml:space="preserve">12. Zwolnienie, o którym mowa w ust. 1 pkt 58 nie ma zastosowania do instytucji wspólnego inwestowania, które: </w:t>
      </w:r>
    </w:p>
    <w:p w:rsidR="00924B14" w:rsidRPr="00B62DE0" w:rsidRDefault="00924B14" w:rsidP="00924B14">
      <w:pPr>
        <w:pStyle w:val="ZLITLITwPKTzmlitwpktliter"/>
      </w:pPr>
      <w:r w:rsidRPr="00B62DE0">
        <w:t xml:space="preserve">a) </w:t>
      </w:r>
      <w:r>
        <w:tab/>
      </w:r>
      <w:r w:rsidRPr="00B62DE0">
        <w:t>prowadzą swoją działalność w formie instytucji wspólnego inwestowania typu zamkniętego albo są instytucją wspólnego inwestowania typu otwartego działającą na podstawie zasad i ograniczeń inwestycyjnych odpowiadających instytucjom wspólnego inwestowania typu zamkniętego,</w:t>
      </w:r>
    </w:p>
    <w:p w:rsidR="00924B14" w:rsidRPr="00B62DE0" w:rsidRDefault="00924B14" w:rsidP="00924B14">
      <w:pPr>
        <w:pStyle w:val="ZLITLITwPKTzmlitwpktliter"/>
      </w:pPr>
      <w:r w:rsidRPr="00B62DE0">
        <w:t xml:space="preserve">b) </w:t>
      </w:r>
      <w:r>
        <w:tab/>
      </w:r>
      <w:r w:rsidRPr="00B62DE0">
        <w:t>zgodnie z dokumentami założycielskimi ich tytuły uczestnictwa nie są oferowane w drodze oferty publicznej ani dopuszczone do obrotu na rynku regulowanym, ani wprowadzone do alternatywnego systemu obrotu oraz mogą być nabywane także przez osoby fizyczne wyłącznie, gdy osoby te dokonają jednorazowego nabycia tytułów uczestnictwa o wartości nie mniejszej niż 40 000 euro.”;</w:t>
      </w:r>
    </w:p>
    <w:p w:rsidR="00924B14" w:rsidRPr="00B62DE0" w:rsidRDefault="00924B14" w:rsidP="00924B14">
      <w:pPr>
        <w:pStyle w:val="PKTpunkt"/>
      </w:pPr>
      <w:r w:rsidRPr="00B62DE0">
        <w:lastRenderedPageBreak/>
        <w:t>6) w art. 26 ust. 1g i 1h otrzymują brzmienie:</w:t>
      </w:r>
    </w:p>
    <w:p w:rsidR="00924B14" w:rsidRPr="00B62DE0" w:rsidRDefault="00924B14" w:rsidP="00924B14">
      <w:pPr>
        <w:pStyle w:val="ZUSTzmustartykuempunktem"/>
      </w:pPr>
      <w:r w:rsidRPr="00B62DE0">
        <w:t>„1g. Osoby prawne i jednostki organizacyjne niemające osobowości prawnej oraz będące przedsiębiorcami osoby fizyczne, które dokonują wypłat należności z tytułów wymienionych w art. 21 ust. 1 lub art. 22 ust. 1 na rzecz podmiotów wymienionych w art. 6 ust. 1 pkt 11a oraz art. 17 ust. 1 pkt 58, stosują zwolnienia wynikające z tych przepisów wyłącznie pod warunkiem:</w:t>
      </w:r>
    </w:p>
    <w:p w:rsidR="00924B14" w:rsidRPr="00B62DE0" w:rsidRDefault="00924B14" w:rsidP="00924B14">
      <w:pPr>
        <w:pStyle w:val="ZPKTzmpktartykuempunktem"/>
      </w:pPr>
      <w:r w:rsidRPr="00B62DE0">
        <w:t xml:space="preserve">1) </w:t>
      </w:r>
      <w:r>
        <w:tab/>
      </w:r>
      <w:r w:rsidRPr="00B62DE0">
        <w:t xml:space="preserve">udokumentowania przez podmiot, o którym mowa w art. 6 ust. 1 pkt 11a oraz </w:t>
      </w:r>
      <w:r w:rsidRPr="00B62DE0">
        <w:br/>
        <w:t>art. 17 ust. 1 pkt 58, jego miejsca siedziby dla celów podatkowych, uzyskanym od tego podmiotu certyfikatem rezydencji, oraz</w:t>
      </w:r>
    </w:p>
    <w:p w:rsidR="00924B14" w:rsidRPr="00B62DE0" w:rsidRDefault="00924B14" w:rsidP="00924B14">
      <w:pPr>
        <w:pStyle w:val="ZPKTzmpktartykuempunktem"/>
      </w:pPr>
      <w:r w:rsidRPr="00B62DE0">
        <w:t xml:space="preserve">2) </w:t>
      </w:r>
      <w:r>
        <w:tab/>
      </w:r>
      <w:r w:rsidRPr="00B62DE0">
        <w:t>złożenia przez podmiot, o którym mowa w art. 6 ust. 1 pkt 11a oraz art. 17 ust. 1 pkt 58, pisemnego oświadczenia, że jest rzeczywistym właścicielem wypłaconych przez płatnika należności oraz spełnia on warunki, o których mowa w tych przepisach.</w:t>
      </w:r>
    </w:p>
    <w:p w:rsidR="00924B14" w:rsidRPr="00B62DE0" w:rsidRDefault="00924B14" w:rsidP="00924B14">
      <w:pPr>
        <w:pStyle w:val="ZUSTzmustartykuempunktem"/>
      </w:pPr>
      <w:r w:rsidRPr="00B62DE0">
        <w:t>1h. Ocena warunków określonych w ust. 1g dokonywana jest niezależnie od warunku istnienia podstawy prawnej do wymiany informacji podatkowej między Rzecząpospolitą Polską a państwem należącym do Europejskiego Obszaru Gospodarczego, w którym pomiot wymieniony w art. 6 ust. 1 pkt 11a oraz art. 17 ust. 1 pkt 58 ma siedzibę.”;</w:t>
      </w:r>
    </w:p>
    <w:p w:rsidR="00924B14" w:rsidRPr="00B62DE0" w:rsidRDefault="00924B14" w:rsidP="00924B14">
      <w:pPr>
        <w:pStyle w:val="PKTpunkt"/>
      </w:pPr>
      <w:r w:rsidRPr="00B62DE0">
        <w:t>7) w art. 27 po ust. 1c dodaje się ust. 1d w brzmieniu:</w:t>
      </w:r>
    </w:p>
    <w:p w:rsidR="00924B14" w:rsidRPr="00B62DE0" w:rsidRDefault="00924B14" w:rsidP="00924B14">
      <w:pPr>
        <w:pStyle w:val="ZUSTzmustartykuempunktem"/>
      </w:pPr>
      <w:r w:rsidRPr="00B62DE0">
        <w:t>„1d. Z obowiązku złożenia zeznania, o którym mowa w ust. 1, zwolnieni są podatnicy o których mowa w art. 17 ust. 1 pkt 57, jeżeli w danym roku podatkowych uzyskali dochody (przychody) wyłącznie z odsetek, dywidend oraz inn</w:t>
      </w:r>
      <w:r>
        <w:t xml:space="preserve">ych przychodów z tytułu udziału </w:t>
      </w:r>
      <w:r w:rsidRPr="00B62DE0">
        <w:t>w zyskach osób prawnych, zbycia wierzytelności, walut, udziałów (akcji) i innych papierów wartościowych, w tym pochodnych instrumentów finansowych lub realizacji praw z nich wynikających.”.</w:t>
      </w:r>
    </w:p>
    <w:p w:rsidR="00924B14" w:rsidRDefault="00924B14" w:rsidP="00924B14">
      <w:pPr>
        <w:pStyle w:val="ARTartustawynprozporzdzenia"/>
      </w:pPr>
      <w:r w:rsidRPr="00B62DE0">
        <w:rPr>
          <w:rStyle w:val="Ppogrubienie"/>
        </w:rPr>
        <w:t xml:space="preserve">Art. </w:t>
      </w:r>
      <w:r>
        <w:rPr>
          <w:rStyle w:val="Ppogrubienie"/>
        </w:rPr>
        <w:t xml:space="preserve">3. </w:t>
      </w:r>
      <w:r w:rsidRPr="001847C4">
        <w:t xml:space="preserve">Ustawa wchodzi w życie z dniem </w:t>
      </w:r>
      <w:r>
        <w:t>30 listopada</w:t>
      </w:r>
      <w:r w:rsidRPr="001847C4">
        <w:t xml:space="preserve"> 2016 r.</w:t>
      </w:r>
      <w:r>
        <w:t>, z wyjątkiem art. 2 który wchodzi w życie z dniem 1 stycznia 2017 r.</w:t>
      </w:r>
    </w:p>
    <w:p w:rsidR="00924B14" w:rsidRPr="00737F6A" w:rsidRDefault="00924B14" w:rsidP="00924B14"/>
    <w:p w:rsidR="00924B14" w:rsidRDefault="00924B14">
      <w:pPr>
        <w:rPr>
          <w:rFonts w:ascii="Times" w:eastAsiaTheme="minorEastAsia" w:hAnsi="Times" w:cs="Arial"/>
          <w:b/>
          <w:sz w:val="24"/>
          <w:szCs w:val="20"/>
          <w:lang w:eastAsia="pl-PL"/>
        </w:rPr>
      </w:pPr>
    </w:p>
    <w:p w:rsidR="00924B14" w:rsidRDefault="00924B14">
      <w:pPr>
        <w:rPr>
          <w:rFonts w:ascii="Times" w:eastAsiaTheme="minorEastAsia" w:hAnsi="Times" w:cs="Arial"/>
          <w:b/>
          <w:sz w:val="24"/>
          <w:szCs w:val="20"/>
          <w:lang w:eastAsia="pl-PL"/>
        </w:rPr>
      </w:pPr>
      <w:r>
        <w:rPr>
          <w:b/>
        </w:rPr>
        <w:br w:type="page"/>
      </w:r>
    </w:p>
    <w:p w:rsidR="00E76D2A" w:rsidRDefault="00E76D2A" w:rsidP="00504EC6">
      <w:pPr>
        <w:pStyle w:val="ARTartustawynprozporzdzenia"/>
        <w:ind w:firstLine="0"/>
        <w:jc w:val="center"/>
        <w:rPr>
          <w:b/>
        </w:rPr>
      </w:pPr>
      <w:r w:rsidRPr="00982CD7">
        <w:rPr>
          <w:b/>
        </w:rPr>
        <w:lastRenderedPageBreak/>
        <w:t>Uzasadnienie</w:t>
      </w:r>
    </w:p>
    <w:p w:rsidR="00504EC6" w:rsidRPr="00BC4C01" w:rsidRDefault="00504EC6" w:rsidP="00D82A0F">
      <w:pPr>
        <w:spacing w:after="120" w:line="240" w:lineRule="auto"/>
        <w:jc w:val="both"/>
        <w:rPr>
          <w:rFonts w:ascii="Times New Roman" w:eastAsia="Calibri" w:hAnsi="Times New Roman"/>
          <w:sz w:val="24"/>
          <w:szCs w:val="24"/>
          <w:u w:val="single"/>
        </w:rPr>
      </w:pPr>
      <w:r w:rsidRPr="00BC4C01">
        <w:rPr>
          <w:rFonts w:ascii="Times New Roman" w:eastAsia="Calibri" w:hAnsi="Times New Roman"/>
          <w:sz w:val="24"/>
          <w:szCs w:val="24"/>
          <w:u w:val="single"/>
        </w:rPr>
        <w:t xml:space="preserve">W zakresie zmian </w:t>
      </w:r>
      <w:r w:rsidR="00BC4C01" w:rsidRPr="00BC4C01">
        <w:rPr>
          <w:rFonts w:ascii="Times New Roman" w:eastAsia="Calibri" w:hAnsi="Times New Roman"/>
          <w:sz w:val="24"/>
          <w:szCs w:val="24"/>
          <w:u w:val="single"/>
        </w:rPr>
        <w:t>w ustawie o podatku dochodowym od osób fizycznych.</w:t>
      </w:r>
    </w:p>
    <w:p w:rsidR="00D82A0F" w:rsidRPr="00775402" w:rsidRDefault="00D82A0F" w:rsidP="00D82A0F">
      <w:pPr>
        <w:spacing w:after="120" w:line="240" w:lineRule="auto"/>
        <w:jc w:val="both"/>
        <w:rPr>
          <w:rFonts w:ascii="Times New Roman" w:hAnsi="Times New Roman" w:cs="Times New Roman"/>
          <w:i/>
          <w:color w:val="424242"/>
          <w:sz w:val="24"/>
          <w:szCs w:val="24"/>
        </w:rPr>
      </w:pPr>
      <w:r w:rsidRPr="00410A5D">
        <w:rPr>
          <w:rFonts w:ascii="Times New Roman" w:eastAsia="Calibri" w:hAnsi="Times New Roman"/>
          <w:sz w:val="24"/>
          <w:szCs w:val="24"/>
        </w:rPr>
        <w:t>Trybunał Konstytucyjny (TK) w wyroku z dnia 28 października 2015 r. sygn. akt K 21/14</w:t>
      </w:r>
      <w:r>
        <w:rPr>
          <w:rFonts w:ascii="Times New Roman" w:eastAsia="Times New Roman" w:hAnsi="Times New Roman"/>
          <w:bCs/>
          <w:sz w:val="24"/>
          <w:szCs w:val="24"/>
          <w:lang w:eastAsia="pl-PL"/>
        </w:rPr>
        <w:t xml:space="preserve"> orzekł, że </w:t>
      </w:r>
      <w:r>
        <w:rPr>
          <w:rFonts w:ascii="Times New Roman" w:eastAsia="Times New Roman" w:hAnsi="Times New Roman" w:cs="Times New Roman"/>
          <w:bCs/>
          <w:i/>
          <w:sz w:val="24"/>
          <w:szCs w:val="24"/>
          <w:lang w:eastAsia="pl-PL"/>
        </w:rPr>
        <w:t>„</w:t>
      </w:r>
      <w:r w:rsidRPr="00775402">
        <w:rPr>
          <w:rFonts w:ascii="Times New Roman" w:hAnsi="Times New Roman" w:cs="Times New Roman"/>
          <w:bCs/>
          <w:i/>
          <w:color w:val="000000"/>
          <w:sz w:val="24"/>
          <w:szCs w:val="24"/>
        </w:rPr>
        <w:t>Art. 27 ust. 1 ustawy z dnia 26 lipca 1991 r. o podatku dochodowym od osób fizycznych w zakresie, w jakim nie przewiduje mechanizmu korygowania kwoty zmniejszającej podatek, gwarantującego co najmniej minimum egzystencji, jest niezgodny z art. 2 i art. 84 Konstytucji Rzeczypospolitej Polskiej.</w:t>
      </w:r>
      <w:r w:rsidRPr="00775402">
        <w:rPr>
          <w:rFonts w:ascii="Times New Roman" w:hAnsi="Times New Roman" w:cs="Times New Roman"/>
          <w:i/>
          <w:color w:val="424242"/>
          <w:sz w:val="24"/>
          <w:szCs w:val="24"/>
        </w:rPr>
        <w:t xml:space="preserve"> </w:t>
      </w:r>
      <w:r w:rsidRPr="00775402">
        <w:rPr>
          <w:rFonts w:ascii="Times New Roman" w:hAnsi="Times New Roman" w:cs="Times New Roman"/>
          <w:bCs/>
          <w:i/>
          <w:color w:val="000000"/>
          <w:sz w:val="24"/>
          <w:szCs w:val="24"/>
        </w:rPr>
        <w:t>Przepis wymieniony w części I, w zakresie tam wskazanym, traci moc obowiązującą z dniem 30 listopada 2016 r.</w:t>
      </w:r>
      <w:r w:rsidRPr="00775402">
        <w:rPr>
          <w:rFonts w:ascii="Times New Roman" w:hAnsi="Times New Roman" w:cs="Times New Roman"/>
          <w:i/>
          <w:color w:val="424242"/>
          <w:sz w:val="24"/>
          <w:szCs w:val="24"/>
        </w:rPr>
        <w:t>”</w:t>
      </w:r>
    </w:p>
    <w:p w:rsidR="00D82A0F" w:rsidRDefault="00D82A0F" w:rsidP="00D82A0F">
      <w:pPr>
        <w:pStyle w:val="ARTartustawynprozporzdzenia"/>
        <w:spacing w:line="240" w:lineRule="auto"/>
        <w:ind w:firstLine="0"/>
        <w:rPr>
          <w:rFonts w:ascii="Times New Roman" w:eastAsia="Calibri" w:hAnsi="Times New Roman" w:cs="Times New Roman"/>
          <w:szCs w:val="24"/>
        </w:rPr>
      </w:pPr>
      <w:r>
        <w:rPr>
          <w:rFonts w:ascii="Times New Roman" w:eastAsia="Calibri" w:hAnsi="Times New Roman" w:cs="Times New Roman"/>
          <w:szCs w:val="24"/>
        </w:rPr>
        <w:t>Z sentencji wyroku wynika, że Trybunał Konstytucyjny orzekł w istocie rzeczy o pominięciu prawodawczym. Jednocześnie TK odroczył utratę mocy obowiązującej we wskazanym zakresie do dnia 30 listopada 2016 r. Oznacza to, że przepis art. 27 ust. 1 ustawy o podatku dochodowym od osób fizycznych utraci moc obowiązującą w zakresie objętym pominięciem prawodawczym, a więc w zakresie nienależącym do jego treści normatywnej. Z tego względu  sentencja wyroku może budzić wątpliwości co do skutków jakie wywoła z upływem wyznaczonego terminu.</w:t>
      </w:r>
    </w:p>
    <w:p w:rsidR="00D82A0F" w:rsidRDefault="00D82A0F" w:rsidP="00D82A0F">
      <w:pPr>
        <w:pStyle w:val="ARTartustawynprozporzdzenia"/>
        <w:spacing w:line="240" w:lineRule="auto"/>
        <w:ind w:firstLine="0"/>
        <w:rPr>
          <w:rFonts w:ascii="Times New Roman" w:eastAsia="Calibri" w:hAnsi="Times New Roman" w:cs="Times New Roman"/>
          <w:szCs w:val="24"/>
        </w:rPr>
      </w:pPr>
      <w:r>
        <w:rPr>
          <w:rFonts w:ascii="Times New Roman" w:eastAsia="Calibri" w:hAnsi="Times New Roman" w:cs="Times New Roman"/>
          <w:szCs w:val="24"/>
        </w:rPr>
        <w:t xml:space="preserve">W doktrynie prawa konstytucyjnego prezentowany jest m.in. pogląd, że wyroki dotyczące niekonstytucyjności pominięcia prawodawczego mają jedynie pozornie zakresowy charakter. W istocie rzeczy dotyczą one bowiem niekonstytucyjności całości poddanego kontroli konstytucyjnej przepisu ze względu na brak w niej określonej regulacji. Przyjęcie tej koncepcji oznaczałoby derogację z dniem 30 listopada całego przepisu art. 27 ust. 1 ustawy. W przypadku zaś uwzględnienia faktu, że stwierdzenie niekonstytucyjności odnosiło się w istocie części przepisu w zakresie w jakim reguluje wysokość przysługującej podatnikom kwoty wolnej od podatku, nie można wykluczyć, że utrata mocy obowiązującej będzie dotyczyć wyłącznie kwoty wolnej od podatku, a w konsekwencji podatnicy pozbawieni zostaną prawa do pomniejszenia podatku o kwotę wolną w wysokości gwarantowanej przez obecnie obowiązujące przepisy. </w:t>
      </w:r>
    </w:p>
    <w:p w:rsidR="00D82A0F" w:rsidRDefault="00D82A0F" w:rsidP="00D82A0F">
      <w:pPr>
        <w:pStyle w:val="ARTartustawynprozporzdzenia"/>
        <w:spacing w:line="240" w:lineRule="auto"/>
        <w:ind w:firstLine="0"/>
        <w:rPr>
          <w:rFonts w:ascii="Times New Roman" w:hAnsi="Times New Roman" w:cs="Times New Roman"/>
        </w:rPr>
      </w:pPr>
      <w:r>
        <w:rPr>
          <w:rFonts w:ascii="Times New Roman" w:eastAsia="Calibri" w:hAnsi="Times New Roman" w:cs="Times New Roman"/>
          <w:szCs w:val="24"/>
        </w:rPr>
        <w:t xml:space="preserve">W związku z tym, w celu zapewnienia podatnikom konstytucyjnej zasady pewności prawa, a w szczególności zagwarantowania prawa do uwzględnienia kwoty wolnej od podatku w obecnie obowiązującej wysokości, </w:t>
      </w:r>
      <w:r w:rsidRPr="008C37AC">
        <w:rPr>
          <w:rFonts w:ascii="Times New Roman" w:eastAsia="Calibri" w:hAnsi="Times New Roman" w:cs="Times New Roman"/>
          <w:szCs w:val="24"/>
        </w:rPr>
        <w:t xml:space="preserve">zachodzi </w:t>
      </w:r>
      <w:r>
        <w:rPr>
          <w:rFonts w:ascii="Times New Roman" w:eastAsia="Calibri" w:hAnsi="Times New Roman" w:cs="Times New Roman"/>
          <w:szCs w:val="24"/>
        </w:rPr>
        <w:t xml:space="preserve">pilna </w:t>
      </w:r>
      <w:r w:rsidRPr="008C37AC">
        <w:rPr>
          <w:rFonts w:ascii="Times New Roman" w:eastAsia="Calibri" w:hAnsi="Times New Roman" w:cs="Times New Roman"/>
          <w:szCs w:val="24"/>
        </w:rPr>
        <w:t xml:space="preserve">potrzeba </w:t>
      </w:r>
      <w:r w:rsidRPr="008C37AC">
        <w:rPr>
          <w:rFonts w:ascii="Times New Roman" w:hAnsi="Times New Roman" w:cs="Times New Roman"/>
        </w:rPr>
        <w:t xml:space="preserve">podjęcia inicjatywy ustawodawczej </w:t>
      </w:r>
      <w:r>
        <w:rPr>
          <w:rFonts w:ascii="Times New Roman" w:hAnsi="Times New Roman" w:cs="Times New Roman"/>
        </w:rPr>
        <w:t xml:space="preserve">określającej zasady obliczania podatku dochodowego w roku 2016. </w:t>
      </w:r>
    </w:p>
    <w:p w:rsidR="00D82A0F" w:rsidRPr="00122CA3" w:rsidRDefault="00D82A0F" w:rsidP="00D82A0F">
      <w:pPr>
        <w:pStyle w:val="ARTartustawynprozporzdzenia"/>
        <w:spacing w:line="240" w:lineRule="auto"/>
        <w:ind w:firstLine="0"/>
        <w:rPr>
          <w:rFonts w:ascii="Times New Roman" w:hAnsi="Times New Roman" w:cs="Times New Roman"/>
        </w:rPr>
      </w:pPr>
      <w:r>
        <w:rPr>
          <w:rFonts w:ascii="Times New Roman" w:hAnsi="Times New Roman" w:cs="Times New Roman"/>
        </w:rPr>
        <w:t xml:space="preserve">Ponadto z uwagi na zapowiedziane przez Panią Premier w exposé podwyższenie kwoty wolnej do 8.000 zł i trwające prace nad reformą systemu podatkowego w zakresie jednolitego podatku, w ramach której planowana jest realizacja tej zapowiedzi i której wejście w życie planuje się od 1 stycznia 2018 r., zasadne jest zachowanie dotychczasowych zasad </w:t>
      </w:r>
      <w:r w:rsidRPr="00122CA3">
        <w:rPr>
          <w:rFonts w:ascii="Times New Roman" w:hAnsi="Times New Roman" w:cs="Times New Roman"/>
        </w:rPr>
        <w:t xml:space="preserve">opodatkowania </w:t>
      </w:r>
      <w:r w:rsidR="00611EFC">
        <w:rPr>
          <w:rFonts w:ascii="Times New Roman" w:hAnsi="Times New Roman" w:cs="Times New Roman"/>
        </w:rPr>
        <w:t>również w roku 2017</w:t>
      </w:r>
      <w:r w:rsidRPr="00122CA3">
        <w:rPr>
          <w:rFonts w:ascii="Times New Roman" w:hAnsi="Times New Roman" w:cs="Times New Roman"/>
        </w:rPr>
        <w:t>.</w:t>
      </w:r>
    </w:p>
    <w:p w:rsidR="00D82A0F" w:rsidRPr="00BC4C01" w:rsidRDefault="00BC4C01" w:rsidP="00D82A0F">
      <w:pPr>
        <w:pStyle w:val="ARTartustawynprozporzdzenia"/>
        <w:spacing w:line="240" w:lineRule="auto"/>
        <w:ind w:firstLine="0"/>
        <w:rPr>
          <w:u w:val="single"/>
        </w:rPr>
      </w:pPr>
      <w:r w:rsidRPr="00BC4C01">
        <w:rPr>
          <w:u w:val="single"/>
        </w:rPr>
        <w:t xml:space="preserve">W zakresie zmian </w:t>
      </w:r>
      <w:r w:rsidR="00233D23">
        <w:rPr>
          <w:u w:val="single"/>
        </w:rPr>
        <w:t xml:space="preserve">w </w:t>
      </w:r>
      <w:r w:rsidRPr="00BC4C01">
        <w:rPr>
          <w:u w:val="single"/>
        </w:rPr>
        <w:t>ustaw</w:t>
      </w:r>
      <w:r w:rsidR="00233D23">
        <w:rPr>
          <w:u w:val="single"/>
        </w:rPr>
        <w:t>ie</w:t>
      </w:r>
      <w:r w:rsidRPr="00BC4C01">
        <w:rPr>
          <w:u w:val="single"/>
        </w:rPr>
        <w:t xml:space="preserve"> o podatku dochodowym od osób prawnych.</w:t>
      </w:r>
    </w:p>
    <w:p w:rsidR="00BC4C01" w:rsidRDefault="00BC4C01" w:rsidP="00BC4C01">
      <w:pPr>
        <w:pStyle w:val="ARTartustawynprozporzdzenia"/>
        <w:spacing w:line="240" w:lineRule="auto"/>
        <w:ind w:firstLine="0"/>
        <w:rPr>
          <w:rFonts w:ascii="Times New Roman" w:hAnsi="Times New Roman" w:cs="Times New Roman"/>
        </w:rPr>
      </w:pPr>
      <w:r w:rsidRPr="00BC4C01">
        <w:rPr>
          <w:rFonts w:ascii="Times New Roman" w:hAnsi="Times New Roman" w:cs="Times New Roman"/>
        </w:rPr>
        <w:t>Celem projektu ustawy jest zmiana zasad opodatkowania funduszy inwestycyjnych poprzez:</w:t>
      </w:r>
    </w:p>
    <w:p w:rsidR="00BC4C01" w:rsidRPr="00BC4C01" w:rsidRDefault="00BC4C01" w:rsidP="00BC4C01">
      <w:pPr>
        <w:pStyle w:val="ARTartustawynprozporzdzenia"/>
        <w:numPr>
          <w:ilvl w:val="0"/>
          <w:numId w:val="1"/>
        </w:numPr>
        <w:spacing w:line="240" w:lineRule="auto"/>
        <w:rPr>
          <w:rFonts w:ascii="Times New Roman" w:hAnsi="Times New Roman" w:cs="Times New Roman"/>
        </w:rPr>
      </w:pPr>
      <w:r>
        <w:rPr>
          <w:rFonts w:ascii="Times New Roman" w:eastAsia="Calibri" w:hAnsi="Times New Roman" w:cs="Times New Roman"/>
          <w:color w:val="000000"/>
          <w:szCs w:val="24"/>
        </w:rPr>
        <w:t xml:space="preserve">objęcie </w:t>
      </w:r>
      <w:r w:rsidRPr="00B04B81">
        <w:rPr>
          <w:rFonts w:ascii="Times New Roman" w:eastAsia="Calibri" w:hAnsi="Times New Roman" w:cs="Times New Roman"/>
          <w:color w:val="000000"/>
          <w:szCs w:val="24"/>
        </w:rPr>
        <w:t>polski</w:t>
      </w:r>
      <w:r>
        <w:rPr>
          <w:rFonts w:ascii="Times New Roman" w:eastAsia="Calibri" w:hAnsi="Times New Roman" w:cs="Times New Roman"/>
          <w:color w:val="000000"/>
          <w:szCs w:val="24"/>
        </w:rPr>
        <w:t>ch funduszy inwestycyjnych,</w:t>
      </w:r>
      <w:r w:rsidRPr="00B04B81">
        <w:rPr>
          <w:rFonts w:ascii="Times New Roman" w:eastAsia="Calibri" w:hAnsi="Times New Roman" w:cs="Times New Roman"/>
          <w:color w:val="000000"/>
          <w:szCs w:val="24"/>
        </w:rPr>
        <w:t xml:space="preserve"> </w:t>
      </w:r>
      <w:r>
        <w:rPr>
          <w:rFonts w:ascii="Times New Roman" w:eastAsia="Calibri" w:hAnsi="Times New Roman" w:cs="Times New Roman"/>
          <w:color w:val="000000"/>
          <w:szCs w:val="24"/>
        </w:rPr>
        <w:t xml:space="preserve">działających na podstawie ustawy z dnia 27 maja 2004 r. </w:t>
      </w:r>
      <w:r>
        <w:rPr>
          <w:rFonts w:ascii="Times New Roman" w:eastAsia="Calibri" w:hAnsi="Times New Roman" w:cs="Times New Roman"/>
          <w:i/>
          <w:color w:val="000000"/>
          <w:szCs w:val="24"/>
        </w:rPr>
        <w:t>o funduszach inwestycyjnych</w:t>
      </w:r>
      <w:r w:rsidRPr="00B04B81">
        <w:rPr>
          <w:rFonts w:ascii="Times New Roman" w:eastAsia="Calibri" w:hAnsi="Times New Roman" w:cs="Times New Roman"/>
          <w:color w:val="000000"/>
          <w:szCs w:val="24"/>
        </w:rPr>
        <w:t>, tj. fundusz</w:t>
      </w:r>
      <w:r>
        <w:rPr>
          <w:rFonts w:ascii="Times New Roman" w:eastAsia="Calibri" w:hAnsi="Times New Roman" w:cs="Times New Roman"/>
          <w:color w:val="000000"/>
          <w:szCs w:val="24"/>
        </w:rPr>
        <w:t>y</w:t>
      </w:r>
      <w:r w:rsidRPr="00B04B81">
        <w:rPr>
          <w:rFonts w:ascii="Times New Roman" w:eastAsia="Calibri" w:hAnsi="Times New Roman" w:cs="Times New Roman"/>
          <w:color w:val="000000"/>
          <w:szCs w:val="24"/>
        </w:rPr>
        <w:t xml:space="preserve"> inwestycyjn</w:t>
      </w:r>
      <w:r>
        <w:rPr>
          <w:rFonts w:ascii="Times New Roman" w:eastAsia="Calibri" w:hAnsi="Times New Roman" w:cs="Times New Roman"/>
          <w:color w:val="000000"/>
          <w:szCs w:val="24"/>
        </w:rPr>
        <w:t>ych</w:t>
      </w:r>
      <w:r w:rsidRPr="00B04B81">
        <w:rPr>
          <w:rFonts w:ascii="Times New Roman" w:eastAsia="Calibri" w:hAnsi="Times New Roman" w:cs="Times New Roman"/>
          <w:color w:val="000000"/>
          <w:szCs w:val="24"/>
        </w:rPr>
        <w:t xml:space="preserve"> otwart</w:t>
      </w:r>
      <w:r>
        <w:rPr>
          <w:rFonts w:ascii="Times New Roman" w:eastAsia="Calibri" w:hAnsi="Times New Roman" w:cs="Times New Roman"/>
          <w:color w:val="000000"/>
          <w:szCs w:val="24"/>
        </w:rPr>
        <w:t>ych (FIO) oraz</w:t>
      </w:r>
      <w:r w:rsidRPr="00B04B81">
        <w:rPr>
          <w:rFonts w:ascii="Times New Roman" w:eastAsia="Calibri" w:hAnsi="Times New Roman" w:cs="Times New Roman"/>
          <w:color w:val="000000"/>
          <w:szCs w:val="24"/>
        </w:rPr>
        <w:t xml:space="preserve"> specjalistyczn</w:t>
      </w:r>
      <w:r>
        <w:rPr>
          <w:rFonts w:ascii="Times New Roman" w:eastAsia="Calibri" w:hAnsi="Times New Roman" w:cs="Times New Roman"/>
          <w:color w:val="000000"/>
          <w:szCs w:val="24"/>
        </w:rPr>
        <w:t>ych</w:t>
      </w:r>
      <w:r w:rsidRPr="00B04B81">
        <w:rPr>
          <w:rFonts w:ascii="Times New Roman" w:eastAsia="Calibri" w:hAnsi="Times New Roman" w:cs="Times New Roman"/>
          <w:color w:val="000000"/>
          <w:szCs w:val="24"/>
        </w:rPr>
        <w:t xml:space="preserve"> fundusz</w:t>
      </w:r>
      <w:r>
        <w:rPr>
          <w:rFonts w:ascii="Times New Roman" w:eastAsia="Calibri" w:hAnsi="Times New Roman" w:cs="Times New Roman"/>
          <w:color w:val="000000"/>
          <w:szCs w:val="24"/>
        </w:rPr>
        <w:t>y</w:t>
      </w:r>
      <w:r w:rsidRPr="00B04B81">
        <w:rPr>
          <w:rFonts w:ascii="Times New Roman" w:eastAsia="Calibri" w:hAnsi="Times New Roman" w:cs="Times New Roman"/>
          <w:color w:val="000000"/>
          <w:szCs w:val="24"/>
        </w:rPr>
        <w:t xml:space="preserve"> inwestycyjn</w:t>
      </w:r>
      <w:r>
        <w:rPr>
          <w:rFonts w:ascii="Times New Roman" w:eastAsia="Calibri" w:hAnsi="Times New Roman" w:cs="Times New Roman"/>
          <w:color w:val="000000"/>
          <w:szCs w:val="24"/>
        </w:rPr>
        <w:t>ych</w:t>
      </w:r>
      <w:r w:rsidRPr="00B04B81">
        <w:rPr>
          <w:rFonts w:ascii="Times New Roman" w:eastAsia="Calibri" w:hAnsi="Times New Roman" w:cs="Times New Roman"/>
          <w:color w:val="000000"/>
          <w:szCs w:val="24"/>
        </w:rPr>
        <w:t xml:space="preserve"> otwart</w:t>
      </w:r>
      <w:r>
        <w:rPr>
          <w:rFonts w:ascii="Times New Roman" w:eastAsia="Calibri" w:hAnsi="Times New Roman" w:cs="Times New Roman"/>
          <w:color w:val="000000"/>
          <w:szCs w:val="24"/>
        </w:rPr>
        <w:t>ych</w:t>
      </w:r>
      <w:r w:rsidRPr="00B04B81">
        <w:rPr>
          <w:rFonts w:ascii="Times New Roman" w:eastAsia="Calibri" w:hAnsi="Times New Roman" w:cs="Times New Roman"/>
          <w:color w:val="000000"/>
          <w:szCs w:val="24"/>
        </w:rPr>
        <w:t xml:space="preserve"> (SFIO)</w:t>
      </w:r>
      <w:r>
        <w:rPr>
          <w:rFonts w:ascii="Times New Roman" w:eastAsia="Calibri" w:hAnsi="Times New Roman" w:cs="Times New Roman"/>
          <w:color w:val="000000"/>
          <w:szCs w:val="24"/>
        </w:rPr>
        <w:t xml:space="preserve"> zwolnieniem przedmiotowym - zamiast zwolnienia podmiotowego - obejmującym dochody (przychody) z </w:t>
      </w:r>
      <w:r w:rsidRPr="00B04B81">
        <w:rPr>
          <w:rFonts w:ascii="Times New Roman" w:eastAsia="Calibri" w:hAnsi="Times New Roman" w:cs="Times New Roman"/>
          <w:color w:val="000000"/>
          <w:szCs w:val="24"/>
        </w:rPr>
        <w:t xml:space="preserve">odsetek, dywidend oraz innych przychodów </w:t>
      </w:r>
      <w:r>
        <w:rPr>
          <w:rFonts w:ascii="Times New Roman" w:eastAsia="Calibri" w:hAnsi="Times New Roman" w:cs="Times New Roman"/>
          <w:color w:val="000000"/>
          <w:szCs w:val="24"/>
        </w:rPr>
        <w:br/>
      </w:r>
      <w:r w:rsidRPr="00B04B81">
        <w:rPr>
          <w:rFonts w:ascii="Times New Roman" w:eastAsia="Calibri" w:hAnsi="Times New Roman" w:cs="Times New Roman"/>
          <w:color w:val="000000"/>
          <w:szCs w:val="24"/>
        </w:rPr>
        <w:t>z tytułu udziału w zyskach osób prawnych, zbycia wierzytel</w:t>
      </w:r>
      <w:r>
        <w:rPr>
          <w:rFonts w:ascii="Times New Roman" w:eastAsia="Calibri" w:hAnsi="Times New Roman" w:cs="Times New Roman"/>
          <w:color w:val="000000"/>
          <w:szCs w:val="24"/>
        </w:rPr>
        <w:t>ności, walut, udziałów (akcji) oraz</w:t>
      </w:r>
      <w:r w:rsidRPr="00B04B81">
        <w:rPr>
          <w:rFonts w:ascii="Times New Roman" w:eastAsia="Calibri" w:hAnsi="Times New Roman" w:cs="Times New Roman"/>
          <w:color w:val="000000"/>
          <w:szCs w:val="24"/>
        </w:rPr>
        <w:t xml:space="preserve"> innych papierów wartościowych, w tym pochodnych instrumentów finansowych lub realizacji praw z nich wynikających</w:t>
      </w:r>
      <w:r>
        <w:rPr>
          <w:rFonts w:ascii="Times New Roman" w:eastAsia="Calibri" w:hAnsi="Times New Roman" w:cs="Times New Roman"/>
          <w:color w:val="000000"/>
          <w:szCs w:val="24"/>
        </w:rPr>
        <w:t>,</w:t>
      </w:r>
    </w:p>
    <w:p w:rsidR="00BC4C01" w:rsidRDefault="00BC4C01" w:rsidP="00BC4C01">
      <w:pPr>
        <w:pStyle w:val="ARTartustawynprozporzdzenia"/>
        <w:numPr>
          <w:ilvl w:val="0"/>
          <w:numId w:val="1"/>
        </w:numPr>
        <w:spacing w:after="120" w:line="240" w:lineRule="auto"/>
        <w:rPr>
          <w:rFonts w:ascii="Times New Roman" w:eastAsia="Calibri" w:hAnsi="Times New Roman" w:cs="Times New Roman"/>
          <w:color w:val="000000"/>
          <w:szCs w:val="24"/>
        </w:rPr>
      </w:pPr>
      <w:r w:rsidRPr="00BC4C01">
        <w:rPr>
          <w:rFonts w:ascii="Times New Roman" w:eastAsia="Calibri" w:hAnsi="Times New Roman" w:cs="Times New Roman"/>
          <w:color w:val="000000"/>
          <w:szCs w:val="24"/>
        </w:rPr>
        <w:lastRenderedPageBreak/>
        <w:t>objęcie analogicznym zwolnieniem przedmiotowym zagranicznych instytucji wspólnego inwestowania z państw członkowskich Unii Europejskiej lub Europejskiego Obszaru Gospodarczego, spełniających cechy pozwalające uznać je za podmioty równoważne do FIO i SFIO,</w:t>
      </w:r>
    </w:p>
    <w:p w:rsidR="00BC4C01" w:rsidRPr="00BC4C01" w:rsidRDefault="00BC4C01" w:rsidP="00BC4C01">
      <w:pPr>
        <w:pStyle w:val="ARTartustawynprozporzdzenia"/>
        <w:numPr>
          <w:ilvl w:val="0"/>
          <w:numId w:val="1"/>
        </w:numPr>
        <w:spacing w:after="120" w:line="240" w:lineRule="auto"/>
        <w:rPr>
          <w:rFonts w:ascii="Times New Roman" w:eastAsia="Calibri" w:hAnsi="Times New Roman" w:cs="Times New Roman"/>
          <w:color w:val="000000"/>
          <w:szCs w:val="24"/>
        </w:rPr>
      </w:pPr>
      <w:r w:rsidRPr="00BC4C01">
        <w:rPr>
          <w:rFonts w:ascii="Times New Roman" w:eastAsia="Calibri" w:hAnsi="Times New Roman" w:cs="Times New Roman"/>
          <w:color w:val="000000"/>
          <w:szCs w:val="24"/>
        </w:rPr>
        <w:t xml:space="preserve">objęcie przepisami ustawy o podatku dochodowym funduszy inwestycyjnych zamkniętych (FIZ). </w:t>
      </w:r>
    </w:p>
    <w:p w:rsidR="00BC4C01" w:rsidRDefault="00BC4C01" w:rsidP="00BC4C01">
      <w:pPr>
        <w:suppressAutoHyphens/>
        <w:spacing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Powyższe zmiany nie wpłyną więc na zakres opodatkowania krajowych FIO oraz SFIO </w:t>
      </w:r>
      <w:r>
        <w:rPr>
          <w:rFonts w:ascii="Times New Roman" w:eastAsia="Calibri" w:hAnsi="Times New Roman" w:cs="Times New Roman"/>
          <w:color w:val="000000"/>
          <w:sz w:val="24"/>
          <w:szCs w:val="24"/>
        </w:rPr>
        <w:br/>
        <w:t xml:space="preserve">i równoważnych funduszy zagranicznych, osiągających wskazane powyżej dochody (przychody), pomimo zmiany formuły zwolnienia.  </w:t>
      </w:r>
    </w:p>
    <w:p w:rsidR="00BC4C01" w:rsidRDefault="00BC4C01" w:rsidP="00BC4C01">
      <w:pPr>
        <w:suppressAutoHyphens/>
        <w:spacing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Na gruncie przepisów ustawy </w:t>
      </w:r>
      <w:r>
        <w:rPr>
          <w:rFonts w:ascii="Times New Roman" w:eastAsia="Calibri" w:hAnsi="Times New Roman" w:cs="Times New Roman"/>
          <w:i/>
          <w:color w:val="000000"/>
          <w:sz w:val="24"/>
          <w:szCs w:val="24"/>
        </w:rPr>
        <w:t>o podatku dochodowym od osób prawnych</w:t>
      </w:r>
      <w:r>
        <w:rPr>
          <w:rFonts w:ascii="Times New Roman" w:eastAsia="Calibri" w:hAnsi="Times New Roman" w:cs="Times New Roman"/>
          <w:color w:val="000000"/>
          <w:sz w:val="24"/>
          <w:szCs w:val="24"/>
        </w:rPr>
        <w:t xml:space="preserve"> polskie fundusze inwestycyjne, tj. FIO, SFIO oraz FIZ, wyodrębniane ze względu na charakterystykę w przepisach ustawy </w:t>
      </w:r>
      <w:r w:rsidRPr="00B04B81">
        <w:rPr>
          <w:rFonts w:ascii="Times New Roman" w:eastAsia="Calibri" w:hAnsi="Times New Roman" w:cs="Times New Roman"/>
          <w:i/>
          <w:color w:val="000000"/>
          <w:sz w:val="24"/>
          <w:szCs w:val="24"/>
        </w:rPr>
        <w:t xml:space="preserve">o funduszach inwestycyjnych </w:t>
      </w:r>
      <w:r>
        <w:rPr>
          <w:rFonts w:ascii="Times New Roman" w:eastAsia="Calibri" w:hAnsi="Times New Roman" w:cs="Times New Roman"/>
          <w:color w:val="000000"/>
          <w:sz w:val="24"/>
          <w:szCs w:val="24"/>
        </w:rPr>
        <w:t xml:space="preserve">oraz porównywalne do nich instytucje wspólnego inwestowania, z siedzibą w innym niż Polska państwie UE lub EOG są obecnie podmiotowo zwolnione z podatku dochodowego - art. 6 ust. 1 pkt 10 i 10a ustawy o podatku dochodowym od osób prawnych (ustawa CIT). </w:t>
      </w:r>
    </w:p>
    <w:p w:rsidR="00BC4C01" w:rsidRDefault="00BC4C01" w:rsidP="00BC4C01">
      <w:pPr>
        <w:suppressAutoHyphens/>
        <w:spacing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 przypadku inwestycji w takie fundusze, opodatkowanie dochodu następuje na poziomie inwestora (uczestnika) na etapie wypłaty zysku, tj. w momencie wykupu lub umorzenia przez fundusz jednostek uczestnictwa (w przypadku funduszy inwestycyjnych otwartych - FIO) bądź certyfikatów inwestycyjnych (w przypadku funduszy inwestycyjnych zamkniętych - FIZ) - stawką podatku w wysokości 19% (u podatników podatku dochodowego od osób prawnych jako dochód opodatkowany na zasadach ogólnych, natomiast u podatników podatku dochodowego od osób fizycznych jako dochód z kapitałów pieniężnych).</w:t>
      </w:r>
    </w:p>
    <w:p w:rsidR="00BC4C01" w:rsidRDefault="00BC4C01" w:rsidP="00BC4C01">
      <w:pPr>
        <w:widowControl w:val="0"/>
        <w:spacing w:after="120" w:line="240" w:lineRule="auto"/>
        <w:jc w:val="both"/>
        <w:rPr>
          <w:rFonts w:ascii="Times New Roman" w:eastAsia="Cambria" w:hAnsi="Times New Roman" w:cs="Times New Roman"/>
          <w:bCs/>
          <w:color w:val="000000" w:themeColor="text1"/>
          <w:sz w:val="24"/>
          <w:szCs w:val="24"/>
        </w:rPr>
      </w:pPr>
      <w:r>
        <w:rPr>
          <w:rFonts w:ascii="Times New Roman" w:eastAsia="Cambria" w:hAnsi="Times New Roman" w:cs="Times New Roman"/>
          <w:color w:val="000000" w:themeColor="text1"/>
          <w:sz w:val="24"/>
          <w:szCs w:val="24"/>
        </w:rPr>
        <w:t xml:space="preserve">Przyjęty model opodatkowania dochodów z inwestycji poprzez fundusze inwestycyjne wywołuje negatywne skutki, przede wszystkim w obszarze działania </w:t>
      </w:r>
      <w:r>
        <w:rPr>
          <w:rFonts w:ascii="Times New Roman" w:eastAsia="Cambria" w:hAnsi="Times New Roman" w:cs="Times New Roman"/>
          <w:bCs/>
          <w:color w:val="000000" w:themeColor="text1"/>
          <w:sz w:val="24"/>
          <w:szCs w:val="24"/>
        </w:rPr>
        <w:t xml:space="preserve">krajowych FIZ. Fundusze tego typu stanowią jeden z podstawowych elementów budowania struktur planowania podatkowego z wykorzystaniem podmiotów zagranicznych (głównie transparentnych podatkowo), poprzez umiejscawianie FIZ w łańcuchu podmiotów prowadzących działalność gospodarczą i transferowanie dochodów z tej działalności, w zdecydowanej części, do FIZ. </w:t>
      </w:r>
    </w:p>
    <w:p w:rsidR="00BC4C01" w:rsidRDefault="00BC4C01" w:rsidP="00BC4C01">
      <w:pPr>
        <w:widowControl w:val="0"/>
        <w:spacing w:after="120" w:line="240" w:lineRule="auto"/>
        <w:jc w:val="both"/>
        <w:rPr>
          <w:rFonts w:ascii="Times New Roman" w:eastAsia="Cambria" w:hAnsi="Times New Roman" w:cs="Times New Roman"/>
          <w:bCs/>
          <w:color w:val="000000" w:themeColor="text1"/>
          <w:sz w:val="24"/>
          <w:szCs w:val="24"/>
        </w:rPr>
      </w:pPr>
      <w:r>
        <w:rPr>
          <w:rFonts w:ascii="Times New Roman" w:eastAsia="Cambria" w:hAnsi="Times New Roman" w:cs="Times New Roman"/>
          <w:bCs/>
          <w:color w:val="000000" w:themeColor="text1"/>
          <w:sz w:val="24"/>
          <w:szCs w:val="24"/>
        </w:rPr>
        <w:t xml:space="preserve">W odróżnieniu do FIO, FIZ-y dają możliwość skierowania emisji certyfikatów do konkretnego inwestora, dopasowania strategii inwestycyjnej do indywidualnych potrzeb, kontroli realizacji celu inwestycyjnego funduszu i wyznaczania polityki inwestycyjnej oraz brak ograniczeń inwestycyjnych, pozwalający przede wszystkim na inwestycje w spółki zagraniczne, o charakterystyce identycznej z polską formą spółki komandytowo-akcyjnej (FIZ występuje w roli akcjonariusza). </w:t>
      </w:r>
    </w:p>
    <w:p w:rsidR="00BC4C01" w:rsidRDefault="00BC4C01" w:rsidP="00BC4C01">
      <w:pPr>
        <w:widowControl w:val="0"/>
        <w:spacing w:after="120" w:line="240" w:lineRule="auto"/>
        <w:jc w:val="both"/>
        <w:rPr>
          <w:rFonts w:ascii="Times New Roman" w:eastAsia="Cambria" w:hAnsi="Times New Roman" w:cs="Times New Roman"/>
          <w:color w:val="000000" w:themeColor="text1"/>
          <w:sz w:val="24"/>
          <w:szCs w:val="24"/>
        </w:rPr>
      </w:pPr>
      <w:r>
        <w:rPr>
          <w:rFonts w:ascii="Times New Roman" w:eastAsia="Cambria" w:hAnsi="Times New Roman" w:cs="Times New Roman"/>
          <w:bCs/>
          <w:color w:val="000000" w:themeColor="text1"/>
          <w:sz w:val="24"/>
          <w:szCs w:val="24"/>
        </w:rPr>
        <w:t xml:space="preserve">Cechy FIZ powodują, iż fundusze te są wykorzystywane do zarządzania majątkiem </w:t>
      </w:r>
      <w:r>
        <w:rPr>
          <w:rFonts w:ascii="Times New Roman" w:eastAsia="Cambria" w:hAnsi="Times New Roman" w:cs="Times New Roman"/>
          <w:bCs/>
          <w:color w:val="000000" w:themeColor="text1"/>
          <w:sz w:val="24"/>
          <w:szCs w:val="24"/>
        </w:rPr>
        <w:br/>
        <w:t xml:space="preserve">w szczególności przez podatników </w:t>
      </w:r>
      <w:r>
        <w:rPr>
          <w:rFonts w:ascii="Times New Roman" w:eastAsia="Cambria" w:hAnsi="Times New Roman" w:cs="Times New Roman"/>
          <w:color w:val="000000" w:themeColor="text1"/>
          <w:sz w:val="24"/>
          <w:szCs w:val="24"/>
        </w:rPr>
        <w:t xml:space="preserve">dysponujących znaczącym kapitałem, pozwalającym </w:t>
      </w:r>
      <w:r>
        <w:rPr>
          <w:rFonts w:ascii="Times New Roman" w:eastAsia="Cambria" w:hAnsi="Times New Roman" w:cs="Times New Roman"/>
          <w:color w:val="000000" w:themeColor="text1"/>
          <w:sz w:val="24"/>
          <w:szCs w:val="24"/>
        </w:rPr>
        <w:br/>
        <w:t>na wykorzystanie efektów skali</w:t>
      </w:r>
      <w:r>
        <w:rPr>
          <w:rFonts w:ascii="Times New Roman" w:eastAsia="Cambria" w:hAnsi="Times New Roman" w:cs="Times New Roman"/>
          <w:bCs/>
          <w:color w:val="000000" w:themeColor="text1"/>
          <w:sz w:val="24"/>
          <w:szCs w:val="24"/>
        </w:rPr>
        <w:t>. Wykorzystanie FIZ w celu optymalizacji podatkowej znajdzie zastosowanie, gdy koszty całkowite związane z utrzymaniem funduszu nie przekroczą wysokości podatku, który inwestor miałby zapłacić prowadząc inwestycje poza strukturą FIZ (średnie roczne koszty nie przekraczają 400 tys. zł</w:t>
      </w:r>
      <w:r>
        <w:rPr>
          <w:rFonts w:ascii="Times New Roman" w:eastAsia="Cambria" w:hAnsi="Times New Roman" w:cs="Times New Roman"/>
          <w:bCs/>
          <w:color w:val="000000" w:themeColor="text1"/>
          <w:sz w:val="24"/>
          <w:szCs w:val="24"/>
          <w:vertAlign w:val="superscript"/>
        </w:rPr>
        <w:footnoteReference w:id="3"/>
      </w:r>
      <w:r>
        <w:rPr>
          <w:rFonts w:ascii="Times New Roman" w:eastAsia="Cambria" w:hAnsi="Times New Roman" w:cs="Times New Roman"/>
          <w:bCs/>
          <w:color w:val="000000" w:themeColor="text1"/>
          <w:sz w:val="24"/>
          <w:szCs w:val="24"/>
        </w:rPr>
        <w:t xml:space="preserve">). Zatem na utworzenie tego rodzaju prywatnego wehikułu inwestycyjnego mogą sobie pozwolić wyłącznie podmioty inwestujące kwoty rzędu kilkudziesięciu milionów złotych. </w:t>
      </w:r>
    </w:p>
    <w:p w:rsidR="00BC4C01" w:rsidRDefault="00BC4C01" w:rsidP="00BC4C01">
      <w:pPr>
        <w:widowControl w:val="0"/>
        <w:spacing w:after="120" w:line="240" w:lineRule="auto"/>
        <w:jc w:val="both"/>
        <w:rPr>
          <w:rFonts w:ascii="Times New Roman" w:eastAsia="Cambria" w:hAnsi="Times New Roman" w:cs="Times New Roman"/>
          <w:color w:val="000000" w:themeColor="text1"/>
          <w:sz w:val="24"/>
          <w:szCs w:val="24"/>
        </w:rPr>
      </w:pPr>
      <w:r>
        <w:rPr>
          <w:rFonts w:ascii="Times New Roman" w:eastAsia="Cambria" w:hAnsi="Times New Roman" w:cs="Times New Roman"/>
          <w:color w:val="000000" w:themeColor="text1"/>
          <w:sz w:val="24"/>
          <w:szCs w:val="24"/>
        </w:rPr>
        <w:t xml:space="preserve">Powyższe skutkuje uprzywilejowaniem dużych podatników względem małych i średnich przedsiębiorstw. Sytuacja taka wpływa negatywnie na konkurencyjność mniejszych </w:t>
      </w:r>
      <w:r>
        <w:rPr>
          <w:rFonts w:ascii="Times New Roman" w:eastAsia="Cambria" w:hAnsi="Times New Roman" w:cs="Times New Roman"/>
          <w:color w:val="000000" w:themeColor="text1"/>
          <w:sz w:val="24"/>
          <w:szCs w:val="24"/>
        </w:rPr>
        <w:lastRenderedPageBreak/>
        <w:t xml:space="preserve">podmiotów, osłabiając ich pozycję rynkową.      </w:t>
      </w:r>
    </w:p>
    <w:p w:rsidR="00BC4C01" w:rsidRPr="007348A0" w:rsidRDefault="00BC4C01" w:rsidP="00BC4C01">
      <w:pPr>
        <w:widowControl w:val="0"/>
        <w:spacing w:after="120" w:line="240" w:lineRule="auto"/>
        <w:jc w:val="both"/>
        <w:rPr>
          <w:rFonts w:ascii="Times New Roman" w:eastAsia="Cambria" w:hAnsi="Times New Roman" w:cs="Times New Roman"/>
          <w:bCs/>
          <w:color w:val="000000" w:themeColor="text1"/>
          <w:sz w:val="24"/>
          <w:szCs w:val="24"/>
        </w:rPr>
      </w:pPr>
      <w:r>
        <w:rPr>
          <w:rFonts w:ascii="Times New Roman" w:eastAsia="Cambria" w:hAnsi="Times New Roman" w:cs="Times New Roman"/>
          <w:color w:val="000000" w:themeColor="text1"/>
          <w:sz w:val="24"/>
          <w:szCs w:val="24"/>
        </w:rPr>
        <w:t xml:space="preserve">Pomimo zmiany – ustawą z dnia 8 listopada 2013 r. </w:t>
      </w:r>
      <w:r>
        <w:rPr>
          <w:rFonts w:ascii="Times New Roman" w:eastAsia="Cambria" w:hAnsi="Times New Roman" w:cs="Times New Roman"/>
          <w:i/>
          <w:color w:val="000000" w:themeColor="text1"/>
          <w:sz w:val="24"/>
          <w:szCs w:val="24"/>
        </w:rPr>
        <w:t xml:space="preserve">o zmianie ustawy o podatku dochodowym </w:t>
      </w:r>
      <w:r>
        <w:rPr>
          <w:rFonts w:ascii="Times New Roman" w:eastAsia="Cambria" w:hAnsi="Times New Roman" w:cs="Times New Roman"/>
          <w:i/>
          <w:color w:val="000000" w:themeColor="text1"/>
          <w:sz w:val="24"/>
          <w:szCs w:val="24"/>
        </w:rPr>
        <w:br/>
        <w:t>od osób prawnych, ustawy o podatku dochodowym od osób fizycznych oraz ustawy o podatku tonażowym</w:t>
      </w:r>
      <w:r>
        <w:rPr>
          <w:rFonts w:ascii="Times New Roman" w:eastAsia="Cambria" w:hAnsi="Times New Roman" w:cs="Times New Roman"/>
          <w:color w:val="000000" w:themeColor="text1"/>
          <w:sz w:val="24"/>
          <w:szCs w:val="24"/>
        </w:rPr>
        <w:t xml:space="preserve"> – opodatkowującej z dniem 1 stycznia 2014 r. spółki komandytowo-akcyjne, zjawisko wykorzystywanej przez FIZ-y optymalizacji podatkowej nie zostało w pełni wyeliminowane. Miejsce spółek komandytowo-akcyjnych zajęły bowiem podmioty funkcjonujące w innych krajach UE, których systemy prawne przewidują struktury prawne analogiczne do SKA, tj. spółki nieposiadające osobowości prawnej, transparentne podatkowo, dysponujące jednocześnie prawem emitowania papierów wartościowych (np. luksemburska spółka typu </w:t>
      </w:r>
      <w:proofErr w:type="spellStart"/>
      <w:r>
        <w:rPr>
          <w:rFonts w:ascii="Times New Roman" w:eastAsia="Cambria" w:hAnsi="Times New Roman" w:cs="Times New Roman"/>
          <w:color w:val="000000" w:themeColor="text1"/>
          <w:sz w:val="24"/>
          <w:szCs w:val="24"/>
        </w:rPr>
        <w:t>SCSp</w:t>
      </w:r>
      <w:proofErr w:type="spellEnd"/>
      <w:r>
        <w:rPr>
          <w:rFonts w:ascii="Times New Roman" w:eastAsia="Cambria" w:hAnsi="Times New Roman" w:cs="Times New Roman"/>
          <w:color w:val="000000" w:themeColor="text1"/>
          <w:sz w:val="24"/>
          <w:szCs w:val="24"/>
        </w:rPr>
        <w:t xml:space="preserve"> - </w:t>
      </w:r>
      <w:proofErr w:type="spellStart"/>
      <w:r>
        <w:rPr>
          <w:rFonts w:ascii="Times New Roman" w:eastAsia="Cambria" w:hAnsi="Times New Roman" w:cs="Times New Roman"/>
          <w:color w:val="000000" w:themeColor="text1"/>
          <w:sz w:val="24"/>
          <w:szCs w:val="24"/>
        </w:rPr>
        <w:t>Société</w:t>
      </w:r>
      <w:proofErr w:type="spellEnd"/>
      <w:r>
        <w:rPr>
          <w:rFonts w:ascii="Times New Roman" w:eastAsia="Cambria" w:hAnsi="Times New Roman" w:cs="Times New Roman"/>
          <w:color w:val="000000" w:themeColor="text1"/>
          <w:sz w:val="24"/>
          <w:szCs w:val="24"/>
        </w:rPr>
        <w:t xml:space="preserve"> en </w:t>
      </w:r>
      <w:proofErr w:type="spellStart"/>
      <w:r>
        <w:rPr>
          <w:rFonts w:ascii="Times New Roman" w:eastAsia="Cambria" w:hAnsi="Times New Roman" w:cs="Times New Roman"/>
          <w:color w:val="000000" w:themeColor="text1"/>
          <w:sz w:val="24"/>
          <w:szCs w:val="24"/>
        </w:rPr>
        <w:t>Commandite</w:t>
      </w:r>
      <w:proofErr w:type="spellEnd"/>
      <w:r>
        <w:rPr>
          <w:rFonts w:ascii="Times New Roman" w:eastAsia="Cambria" w:hAnsi="Times New Roman" w:cs="Times New Roman"/>
          <w:color w:val="000000" w:themeColor="text1"/>
          <w:sz w:val="24"/>
          <w:szCs w:val="24"/>
        </w:rPr>
        <w:t xml:space="preserve"> </w:t>
      </w:r>
      <w:proofErr w:type="spellStart"/>
      <w:r>
        <w:rPr>
          <w:rFonts w:ascii="Times New Roman" w:eastAsia="Cambria" w:hAnsi="Times New Roman" w:cs="Times New Roman"/>
          <w:color w:val="000000" w:themeColor="text1"/>
          <w:sz w:val="24"/>
          <w:szCs w:val="24"/>
        </w:rPr>
        <w:t>Spéciale</w:t>
      </w:r>
      <w:proofErr w:type="spellEnd"/>
      <w:r>
        <w:rPr>
          <w:rFonts w:ascii="Times New Roman" w:eastAsia="Cambria" w:hAnsi="Times New Roman" w:cs="Times New Roman"/>
          <w:color w:val="000000" w:themeColor="text1"/>
          <w:sz w:val="24"/>
          <w:szCs w:val="24"/>
        </w:rPr>
        <w:t xml:space="preserve">). </w:t>
      </w:r>
    </w:p>
    <w:p w:rsidR="00BC4C01" w:rsidRDefault="00BC4C01" w:rsidP="00BC4C01">
      <w:pPr>
        <w:spacing w:after="6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Z danych dot. wyników finansowych niepublicznych funduszy inwestycyjnych zamkniętych </w:t>
      </w:r>
      <w:r>
        <w:rPr>
          <w:rFonts w:ascii="Times New Roman" w:eastAsia="Times New Roman" w:hAnsi="Times New Roman" w:cs="Times New Roman"/>
          <w:sz w:val="24"/>
          <w:szCs w:val="24"/>
          <w:lang w:eastAsia="pl-PL"/>
        </w:rPr>
        <w:br/>
        <w:t>za lata 2013-2015</w:t>
      </w:r>
      <w:r>
        <w:rPr>
          <w:rFonts w:ascii="Times New Roman" w:eastAsia="Times New Roman" w:hAnsi="Times New Roman" w:cs="Times New Roman"/>
          <w:sz w:val="24"/>
          <w:szCs w:val="24"/>
          <w:vertAlign w:val="superscript"/>
          <w:lang w:eastAsia="pl-PL"/>
        </w:rPr>
        <w:footnoteReference w:id="4"/>
      </w:r>
      <w:r>
        <w:rPr>
          <w:rFonts w:ascii="Times New Roman" w:eastAsia="Times New Roman" w:hAnsi="Times New Roman" w:cs="Times New Roman"/>
          <w:sz w:val="24"/>
          <w:szCs w:val="24"/>
          <w:lang w:eastAsia="pl-PL"/>
        </w:rPr>
        <w:t xml:space="preserve"> wynika, że FIZ:</w:t>
      </w:r>
    </w:p>
    <w:p w:rsidR="00BC4C01" w:rsidRDefault="00BC4C01" w:rsidP="00BC4C01">
      <w:pPr>
        <w:spacing w:after="6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w 2013 r. – osiągnęły pozytywny wynik z operacji na kwotę 10 mld zł</w:t>
      </w:r>
    </w:p>
    <w:p w:rsidR="00BC4C01" w:rsidRDefault="00BC4C01" w:rsidP="00BC4C01">
      <w:pPr>
        <w:spacing w:after="6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w 2014 r. – osiągnęły pozytywny wynik z operacji na kwotę 7 mld zł</w:t>
      </w:r>
    </w:p>
    <w:p w:rsidR="00BC4C01" w:rsidRDefault="00BC4C01" w:rsidP="00BC4C01">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w 2015 r. -  osiągnęły pozytywny wynik z operacji na kwotę 12 mld zł.</w:t>
      </w:r>
    </w:p>
    <w:p w:rsidR="00BC4C01" w:rsidRDefault="00BC4C01" w:rsidP="00BC4C01">
      <w:pPr>
        <w:spacing w:before="120"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analogicznych okresach fundusze FIO oraz SFIO wykazywały bądź pozytywny wynik finansowy bądź wykazywały stratę. Biorąc pod uwagę, iż </w:t>
      </w:r>
      <w:proofErr w:type="spellStart"/>
      <w:r>
        <w:rPr>
          <w:rFonts w:ascii="Times New Roman" w:eastAsia="Times New Roman" w:hAnsi="Times New Roman" w:cs="Times New Roman"/>
          <w:i/>
          <w:sz w:val="24"/>
          <w:szCs w:val="24"/>
          <w:lang w:eastAsia="pl-PL"/>
        </w:rPr>
        <w:t>ceteris</w:t>
      </w:r>
      <w:proofErr w:type="spellEnd"/>
      <w:r>
        <w:rPr>
          <w:rFonts w:ascii="Times New Roman" w:eastAsia="Times New Roman" w:hAnsi="Times New Roman" w:cs="Times New Roman"/>
          <w:i/>
          <w:sz w:val="24"/>
          <w:szCs w:val="24"/>
          <w:lang w:eastAsia="pl-PL"/>
        </w:rPr>
        <w:t xml:space="preserve"> paribus</w:t>
      </w:r>
      <w:r>
        <w:rPr>
          <w:rFonts w:ascii="Times New Roman" w:eastAsia="Times New Roman" w:hAnsi="Times New Roman" w:cs="Times New Roman"/>
          <w:sz w:val="24"/>
          <w:szCs w:val="24"/>
          <w:lang w:eastAsia="pl-PL"/>
        </w:rPr>
        <w:t xml:space="preserve"> wszystkie formy funduszy działały w tych okresach w takich samych warunkach gospodarczych oraz inwestycyjnych Polski i świata, zdecydowana różnica w wynikach FIZ może być przypisana osiąganiem przez nie zysków </w:t>
      </w:r>
      <w:r w:rsidRPr="00E465F3">
        <w:rPr>
          <w:rFonts w:ascii="Times New Roman" w:eastAsia="Times New Roman" w:hAnsi="Times New Roman" w:cs="Times New Roman"/>
          <w:i/>
          <w:sz w:val="24"/>
          <w:szCs w:val="24"/>
          <w:lang w:eastAsia="pl-PL"/>
        </w:rPr>
        <w:t>de facto</w:t>
      </w:r>
      <w:r>
        <w:rPr>
          <w:rFonts w:ascii="Times New Roman" w:eastAsia="Times New Roman" w:hAnsi="Times New Roman" w:cs="Times New Roman"/>
          <w:sz w:val="24"/>
          <w:szCs w:val="24"/>
          <w:lang w:eastAsia="pl-PL"/>
        </w:rPr>
        <w:t xml:space="preserve"> z działalności gospodarczej, poprzez mechanizmy optymalizacji podatkowej,  a nie inwestycyjnej.</w:t>
      </w:r>
    </w:p>
    <w:p w:rsidR="00BC4C01" w:rsidRDefault="00BC4C01" w:rsidP="00BC4C01">
      <w:pPr>
        <w:spacing w:before="120"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Przyjmując, iż wynik finansowy FIZ byłby zbliżony do podstawy opodatkowania podatkiem dochodowym od osób prawnych zmiana zasad opodatkowania funduszy inwestycyjnych mogłaby skutkować zwiększeniem dochodów sektora finansów publicznych o ok. 2-2,5 mld zł, z tytułu opodatkowania dochodów FIZ. Zmiana byłaby natomiast neutralna dla pozostałych typów funduszy inwestycyjnych w zakresie, w jakim uzyskiwałyby nadal dochody objęte propozycją zwolnienia przedmiotowego.     </w:t>
      </w:r>
    </w:p>
    <w:p w:rsidR="00BC4C01" w:rsidRPr="00BC4C01" w:rsidRDefault="00BC4C01" w:rsidP="00BC4C01">
      <w:pPr>
        <w:spacing w:before="120" w:after="0" w:line="240" w:lineRule="auto"/>
        <w:jc w:val="both"/>
        <w:rPr>
          <w:rFonts w:ascii="Times New Roman" w:eastAsia="Times New Roman" w:hAnsi="Times New Roman" w:cs="Times New Roman"/>
          <w:sz w:val="24"/>
          <w:szCs w:val="24"/>
          <w:lang w:eastAsia="pl-PL"/>
        </w:rPr>
      </w:pPr>
      <w:r>
        <w:rPr>
          <w:rFonts w:ascii="Times New Roman" w:eastAsia="Calibri" w:hAnsi="Times New Roman" w:cs="Times New Roman"/>
          <w:sz w:val="24"/>
          <w:szCs w:val="24"/>
          <w:lang w:eastAsia="zh-CN"/>
        </w:rPr>
        <w:t>Z danych UKNF z czerwca 2016 r.</w:t>
      </w:r>
      <w:r>
        <w:rPr>
          <w:rFonts w:ascii="Times New Roman" w:eastAsia="Calibri" w:hAnsi="Times New Roman" w:cs="Times New Roman"/>
          <w:sz w:val="24"/>
          <w:szCs w:val="24"/>
          <w:vertAlign w:val="superscript"/>
          <w:lang w:eastAsia="zh-CN"/>
        </w:rPr>
        <w:footnoteReference w:id="5"/>
      </w:r>
      <w:r>
        <w:rPr>
          <w:rFonts w:ascii="Times New Roman" w:eastAsia="Calibri" w:hAnsi="Times New Roman" w:cs="Times New Roman"/>
          <w:sz w:val="24"/>
          <w:szCs w:val="24"/>
          <w:lang w:eastAsia="zh-CN"/>
        </w:rPr>
        <w:t xml:space="preserve"> wynika, ze na koniec 2014 r. spośród ogólnej liczby 681 funduszy inwestycyjnych, FIZ-ów było 594 (pozostałe: FIO – 40, SFIO – 47). Na koniec 2015 r. ogólna liczba funduszy zwiększyła się do 815 (a zatem o 134 podmioty), z czego FIO pozostały bez zmian (w liczbie 40), SFIO zwiększyły liczbę o 3, tj. do 51, natomiast liczba FIZ-ów wzrosła o 130, tj. do 724 podmiotów. FIZ-y pozostają więc zdecydowanie dominującą formą funduszu inwestycyjnego, stanowiąc niespełna 90% ich ogólnej liczby.  </w:t>
      </w:r>
    </w:p>
    <w:tbl>
      <w:tblPr>
        <w:tblW w:w="0" w:type="auto"/>
        <w:tblInd w:w="108" w:type="dxa"/>
        <w:tblCellMar>
          <w:left w:w="0" w:type="dxa"/>
          <w:right w:w="0" w:type="dxa"/>
        </w:tblCellMar>
        <w:tblLook w:val="04A0" w:firstRow="1" w:lastRow="0" w:firstColumn="1" w:lastColumn="0" w:noHBand="0" w:noVBand="1"/>
      </w:tblPr>
      <w:tblGrid>
        <w:gridCol w:w="6635"/>
        <w:gridCol w:w="1295"/>
        <w:gridCol w:w="1180"/>
        <w:gridCol w:w="70"/>
      </w:tblGrid>
      <w:tr w:rsidR="00BC4C01" w:rsidTr="00BC4C01">
        <w:trPr>
          <w:gridAfter w:val="1"/>
          <w:wAfter w:w="70" w:type="dxa"/>
        </w:trPr>
        <w:tc>
          <w:tcPr>
            <w:tcW w:w="9110" w:type="dxa"/>
            <w:gridSpan w:val="3"/>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b/>
                <w:bCs/>
                <w:sz w:val="24"/>
                <w:szCs w:val="24"/>
                <w:lang w:eastAsia="zh-CN"/>
              </w:rPr>
            </w:pPr>
            <w:r>
              <w:rPr>
                <w:rFonts w:ascii="Times New Roman" w:eastAsia="Calibri" w:hAnsi="Times New Roman" w:cs="Times New Roman"/>
                <w:b/>
                <w:bCs/>
                <w:sz w:val="24"/>
                <w:szCs w:val="24"/>
                <w:lang w:eastAsia="zh-CN"/>
              </w:rPr>
              <w:t>Liczba funduszy inwestycyjnych na koniec 2014 i 2015 roku</w:t>
            </w:r>
          </w:p>
        </w:tc>
      </w:tr>
      <w:tr w:rsidR="00BC4C01" w:rsidTr="00BC4C01">
        <w:trPr>
          <w:trHeight w:val="363"/>
        </w:trPr>
        <w:tc>
          <w:tcPr>
            <w:tcW w:w="6635"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BC4C01" w:rsidRDefault="00BC4C01" w:rsidP="0094168F">
            <w:pPr>
              <w:spacing w:after="0" w:line="240" w:lineRule="auto"/>
              <w:rPr>
                <w:rFonts w:cs="Times New Roman"/>
              </w:rPr>
            </w:pPr>
          </w:p>
        </w:tc>
        <w:tc>
          <w:tcPr>
            <w:tcW w:w="1295"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b/>
                <w:bCs/>
                <w:sz w:val="24"/>
                <w:szCs w:val="24"/>
                <w:lang w:eastAsia="zh-CN"/>
              </w:rPr>
            </w:pPr>
            <w:r>
              <w:rPr>
                <w:rFonts w:ascii="Times New Roman" w:eastAsia="Calibri" w:hAnsi="Times New Roman" w:cs="Times New Roman"/>
                <w:b/>
                <w:bCs/>
                <w:sz w:val="24"/>
                <w:szCs w:val="24"/>
                <w:lang w:eastAsia="zh-CN"/>
              </w:rPr>
              <w:t>2014 r.</w:t>
            </w:r>
          </w:p>
        </w:tc>
        <w:tc>
          <w:tcPr>
            <w:tcW w:w="1180"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b/>
                <w:bCs/>
                <w:sz w:val="24"/>
                <w:szCs w:val="24"/>
                <w:lang w:eastAsia="zh-CN"/>
              </w:rPr>
            </w:pPr>
            <w:r>
              <w:rPr>
                <w:rFonts w:ascii="Times New Roman" w:eastAsia="Calibri" w:hAnsi="Times New Roman" w:cs="Times New Roman"/>
                <w:b/>
                <w:bCs/>
                <w:sz w:val="24"/>
                <w:szCs w:val="24"/>
                <w:lang w:eastAsia="zh-CN"/>
              </w:rPr>
              <w:t>2015 r.</w:t>
            </w:r>
          </w:p>
        </w:tc>
        <w:tc>
          <w:tcPr>
            <w:tcW w:w="70" w:type="dxa"/>
            <w:vAlign w:val="cente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w:t>
            </w:r>
          </w:p>
        </w:tc>
      </w:tr>
      <w:tr w:rsidR="00BC4C01" w:rsidTr="00BC4C01">
        <w:trPr>
          <w:trHeight w:val="412"/>
        </w:trPr>
        <w:tc>
          <w:tcPr>
            <w:tcW w:w="66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Towarzystwa funduszy inwestycyjnych</w:t>
            </w:r>
          </w:p>
        </w:tc>
        <w:tc>
          <w:tcPr>
            <w:tcW w:w="1295" w:type="dxa"/>
            <w:tcBorders>
              <w:top w:val="nil"/>
              <w:left w:val="nil"/>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58</w:t>
            </w:r>
          </w:p>
        </w:tc>
        <w:tc>
          <w:tcPr>
            <w:tcW w:w="1180" w:type="dxa"/>
            <w:tcBorders>
              <w:top w:val="nil"/>
              <w:left w:val="nil"/>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60</w:t>
            </w:r>
          </w:p>
        </w:tc>
        <w:tc>
          <w:tcPr>
            <w:tcW w:w="70" w:type="dxa"/>
            <w:vAlign w:val="cente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w:t>
            </w:r>
          </w:p>
        </w:tc>
      </w:tr>
      <w:tr w:rsidR="00BC4C01" w:rsidTr="00BC4C01">
        <w:trPr>
          <w:trHeight w:val="412"/>
        </w:trPr>
        <w:tc>
          <w:tcPr>
            <w:tcW w:w="66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b/>
                <w:sz w:val="24"/>
                <w:szCs w:val="24"/>
                <w:lang w:eastAsia="zh-CN"/>
              </w:rPr>
              <w:t>Fundusze inwestycyjne</w:t>
            </w:r>
            <w:r>
              <w:rPr>
                <w:rFonts w:ascii="Times New Roman" w:eastAsia="Calibri" w:hAnsi="Times New Roman" w:cs="Times New Roman"/>
                <w:sz w:val="24"/>
                <w:szCs w:val="24"/>
                <w:lang w:eastAsia="zh-CN"/>
              </w:rPr>
              <w:t>, w tym:</w:t>
            </w:r>
          </w:p>
        </w:tc>
        <w:tc>
          <w:tcPr>
            <w:tcW w:w="1295" w:type="dxa"/>
            <w:tcBorders>
              <w:top w:val="nil"/>
              <w:left w:val="nil"/>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681</w:t>
            </w:r>
          </w:p>
        </w:tc>
        <w:tc>
          <w:tcPr>
            <w:tcW w:w="1180" w:type="dxa"/>
            <w:tcBorders>
              <w:top w:val="nil"/>
              <w:left w:val="nil"/>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815</w:t>
            </w:r>
          </w:p>
        </w:tc>
        <w:tc>
          <w:tcPr>
            <w:tcW w:w="70" w:type="dxa"/>
            <w:vAlign w:val="cente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w:t>
            </w:r>
          </w:p>
        </w:tc>
      </w:tr>
      <w:tr w:rsidR="00BC4C01" w:rsidTr="00BC4C01">
        <w:trPr>
          <w:trHeight w:val="391"/>
        </w:trPr>
        <w:tc>
          <w:tcPr>
            <w:tcW w:w="66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ind w:firstLine="372"/>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fundusze inwestycyjne otwarte</w:t>
            </w:r>
          </w:p>
        </w:tc>
        <w:tc>
          <w:tcPr>
            <w:tcW w:w="1295" w:type="dxa"/>
            <w:tcBorders>
              <w:top w:val="nil"/>
              <w:left w:val="nil"/>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40</w:t>
            </w:r>
          </w:p>
        </w:tc>
        <w:tc>
          <w:tcPr>
            <w:tcW w:w="1180" w:type="dxa"/>
            <w:tcBorders>
              <w:top w:val="nil"/>
              <w:left w:val="nil"/>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40</w:t>
            </w:r>
          </w:p>
        </w:tc>
        <w:tc>
          <w:tcPr>
            <w:tcW w:w="70" w:type="dxa"/>
            <w:vAlign w:val="cente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w:t>
            </w:r>
          </w:p>
        </w:tc>
      </w:tr>
      <w:tr w:rsidR="00BC4C01" w:rsidTr="00BC4C01">
        <w:trPr>
          <w:trHeight w:val="317"/>
        </w:trPr>
        <w:tc>
          <w:tcPr>
            <w:tcW w:w="66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ind w:firstLine="372"/>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specjalistyczne fundusze inwestycyjne otwarte</w:t>
            </w:r>
          </w:p>
        </w:tc>
        <w:tc>
          <w:tcPr>
            <w:tcW w:w="1295" w:type="dxa"/>
            <w:tcBorders>
              <w:top w:val="nil"/>
              <w:left w:val="nil"/>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47</w:t>
            </w:r>
          </w:p>
        </w:tc>
        <w:tc>
          <w:tcPr>
            <w:tcW w:w="1180" w:type="dxa"/>
            <w:tcBorders>
              <w:top w:val="nil"/>
              <w:left w:val="nil"/>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51</w:t>
            </w:r>
          </w:p>
        </w:tc>
        <w:tc>
          <w:tcPr>
            <w:tcW w:w="70" w:type="dxa"/>
            <w:vAlign w:val="cente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w:t>
            </w:r>
          </w:p>
        </w:tc>
      </w:tr>
      <w:tr w:rsidR="00BC4C01" w:rsidTr="00BC4C01">
        <w:trPr>
          <w:trHeight w:val="412"/>
        </w:trPr>
        <w:tc>
          <w:tcPr>
            <w:tcW w:w="66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ind w:firstLine="372"/>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 </w:t>
            </w:r>
            <w:r>
              <w:rPr>
                <w:rFonts w:ascii="Times New Roman" w:eastAsia="Calibri" w:hAnsi="Times New Roman" w:cs="Times New Roman"/>
                <w:b/>
                <w:sz w:val="24"/>
                <w:szCs w:val="24"/>
                <w:lang w:eastAsia="zh-CN"/>
              </w:rPr>
              <w:t>fundusze inwestycyjne zamknięte</w:t>
            </w:r>
          </w:p>
        </w:tc>
        <w:tc>
          <w:tcPr>
            <w:tcW w:w="1295" w:type="dxa"/>
            <w:tcBorders>
              <w:top w:val="nil"/>
              <w:left w:val="nil"/>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594</w:t>
            </w:r>
          </w:p>
        </w:tc>
        <w:tc>
          <w:tcPr>
            <w:tcW w:w="1180" w:type="dxa"/>
            <w:tcBorders>
              <w:top w:val="nil"/>
              <w:left w:val="nil"/>
              <w:bottom w:val="single" w:sz="8" w:space="0" w:color="auto"/>
              <w:right w:val="single" w:sz="8" w:space="0" w:color="auto"/>
            </w:tcBorders>
            <w:tcMar>
              <w:top w:w="0" w:type="dxa"/>
              <w:left w:w="108" w:type="dxa"/>
              <w:bottom w:w="0" w:type="dxa"/>
              <w:right w:w="108" w:type="dxa"/>
            </w:tcMar>
            <w:hideMark/>
          </w:tcPr>
          <w:p w:rsidR="00BC4C01" w:rsidRDefault="00BC4C01" w:rsidP="0094168F">
            <w:pPr>
              <w:suppressAutoHyphens/>
              <w:spacing w:after="0" w:line="240" w:lineRule="auto"/>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724</w:t>
            </w:r>
          </w:p>
        </w:tc>
        <w:tc>
          <w:tcPr>
            <w:tcW w:w="70" w:type="dxa"/>
            <w:vAlign w:val="center"/>
            <w:hideMark/>
          </w:tcPr>
          <w:p w:rsidR="00BC4C01" w:rsidRDefault="00BC4C01" w:rsidP="0094168F">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w:t>
            </w:r>
          </w:p>
        </w:tc>
      </w:tr>
    </w:tbl>
    <w:p w:rsidR="00BC4C01" w:rsidRDefault="00BC4C01" w:rsidP="00BC4C01">
      <w:pPr>
        <w:suppressAutoHyphens/>
        <w:spacing w:after="0" w:line="240" w:lineRule="auto"/>
        <w:jc w:val="both"/>
        <w:rPr>
          <w:rFonts w:ascii="Times New Roman" w:eastAsia="Calibri" w:hAnsi="Times New Roman" w:cs="Times New Roman"/>
          <w:i/>
          <w:sz w:val="20"/>
          <w:szCs w:val="20"/>
          <w:lang w:eastAsia="zh-CN"/>
        </w:rPr>
      </w:pPr>
      <w:r>
        <w:rPr>
          <w:rFonts w:ascii="Times New Roman" w:eastAsia="Calibri" w:hAnsi="Times New Roman" w:cs="Times New Roman"/>
          <w:i/>
          <w:sz w:val="20"/>
          <w:szCs w:val="20"/>
          <w:lang w:eastAsia="zh-CN"/>
        </w:rPr>
        <w:t>Rys. 1.  Liczba towarzystw funduszy inwestycyjnych oraz funduszy inwestycyjnych na koniec 2014 i 2015 roku.</w:t>
      </w:r>
    </w:p>
    <w:p w:rsidR="00BC4C01" w:rsidRDefault="00BC4C01" w:rsidP="00BC4C0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Wśród tych kategorii funduszy FIZ wyróżnia się możliwością wykorzystania, jako struktura prawna, która może być wykorzystywana przez inwestorów do planowana relacji gospodarczych w sposób zmierzający do minimalizowania obciążeń podatkowych, w szczególności poprzez odroczenie opodatkowania działalności gospodarczej prowadzonej za pośrednictwem spółek osobowych.</w:t>
      </w:r>
    </w:p>
    <w:p w:rsidR="00BC4C01" w:rsidRDefault="00BC4C01" w:rsidP="00BC4C0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Zmiany poszczególnych przepisów ustawy o podatku dochodowym od osób prawnych zmierzają do:</w:t>
      </w:r>
    </w:p>
    <w:p w:rsidR="00BC4C01" w:rsidRDefault="00BC4C01" w:rsidP="00BC4C0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1) Zmiany charakteru zwolnienia stosowanego wobec funduszy inwestycyjnych ze zwolnienia podmiotowego na przedmiotowe, poprzez nowelizację art. 6 oraz art. 17 ustawy CIT.</w:t>
      </w:r>
    </w:p>
    <w:p w:rsidR="00BC4C01" w:rsidRDefault="00BC4C01" w:rsidP="00BC4C0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Zwolnieniem przedmiotowym - dotyczącym dochodów pochodzących z odsetek, sprzedaży udziałów, akcji i innych papierów wartościowych w tym pochodnych instrumentów finansowych, dywidend oraz innych przychodów z tytułu udziału w zyskach osób prawnych - objęte będą jedynie fundusze FIO i SFIO, przy czym w przypadku SFIO wyłączone spod zastosowania zwolnienia zostaną te fundusze, w których zgodnie z przepisami ustawy </w:t>
      </w:r>
      <w:r>
        <w:rPr>
          <w:rFonts w:ascii="Times New Roman" w:hAnsi="Times New Roman" w:cs="Times New Roman"/>
          <w:i/>
          <w:sz w:val="24"/>
          <w:szCs w:val="24"/>
        </w:rPr>
        <w:t>o funduszach inwestycyjnych</w:t>
      </w:r>
      <w:r>
        <w:rPr>
          <w:rFonts w:ascii="Times New Roman" w:hAnsi="Times New Roman" w:cs="Times New Roman"/>
          <w:sz w:val="24"/>
          <w:szCs w:val="24"/>
        </w:rPr>
        <w:t xml:space="preserve"> inwestorzy zdecydowali o przyjęciu zasad inwestowania właściwych dla FIZ.</w:t>
      </w:r>
    </w:p>
    <w:p w:rsidR="00BC4C01" w:rsidRDefault="00BC4C01" w:rsidP="00BC4C0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2) Dostosowaniu warunków stosowania zwolnienia przedmiotowego dla instytucji wspólnego inwestowania (podmiotów zagranicznych), których charakterystyka odpowiada cechom FIO oraz SFIO (dodawany art. 17 ust. 1 pkt 58). W celu ustalenia zbieżnych warunków stosowania zwolnienia dla instytucji polskich i zagranicznych przewidziano wyłączenie odnoszące się do sytuacji, w której charakterystyka funduszu zagranicznego odpowiada cechom FIZ (art. 17 ust. 12).</w:t>
      </w:r>
    </w:p>
    <w:p w:rsidR="00BC4C01" w:rsidRDefault="00BC4C01" w:rsidP="00BC4C0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Określenia skutków podatkowych - po stronie przychodów i kosztów uzyskania przychodów przez fundusz inwestycji - w związku ze zbywaniem lub odkupywaniem jednostek uczestnictwa lub certyfikatów inwestycyjnych, poprzez zmiany w art. 12 ust. 4 i art. 16 ust. 1 ustawy. Celem jest zapewnienie, iż rozliczenia funduszu z inwestorem nie wpływają na podstawę opodatkowania tego pierwszego. </w:t>
      </w:r>
    </w:p>
    <w:p w:rsidR="00BC4C01" w:rsidRDefault="00BC4C01" w:rsidP="00BC4C0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4) W celu zmniejszenia obowiązków administracyjnych w zmianie art. 27 przewidziano, iż fundusze zwolnione przedmiotowo z opodatkowania, podlegające nieograniczonemu obowiązkowi podatkowemu w Polsce nie będą zobowiązane do składania zeznania podatkowego, jeżeli w roku podatkowym osiągnęły dochody (przychody) jedynie w zakresie, w jakim korzystają z tego zwolnienia.</w:t>
      </w:r>
    </w:p>
    <w:p w:rsidR="00BC4C01" w:rsidRDefault="00BC4C01" w:rsidP="00BC4C0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Zmiany w art. 4a, art. 6 ust. 3, art. 17 ust. 11 i art. 26 ust.1g oraz ust.1h mają charakter legislacyjny i dostosowawczy. </w:t>
      </w:r>
    </w:p>
    <w:p w:rsidR="00BC4C01" w:rsidRDefault="00BC4C01" w:rsidP="00BC4C01">
      <w:pPr>
        <w:spacing w:before="120" w:after="0" w:line="240" w:lineRule="auto"/>
        <w:jc w:val="both"/>
        <w:rPr>
          <w:rFonts w:ascii="Times New Roman" w:hAnsi="Times New Roman" w:cs="Times New Roman"/>
          <w:sz w:val="24"/>
          <w:szCs w:val="24"/>
        </w:rPr>
      </w:pPr>
    </w:p>
    <w:p w:rsidR="00BC4C01" w:rsidRDefault="00BC4C01" w:rsidP="00BC4C0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Ustawa wejdzie w życie z dniem 30 listopada 2016 r. (do tego dnia Trybunał Konstytucyjny </w:t>
      </w:r>
      <w:r w:rsidR="00F7768A">
        <w:rPr>
          <w:rFonts w:ascii="Times New Roman" w:hAnsi="Times New Roman" w:cs="Times New Roman"/>
          <w:sz w:val="24"/>
          <w:szCs w:val="24"/>
        </w:rPr>
        <w:t xml:space="preserve">odroczył </w:t>
      </w:r>
      <w:r>
        <w:rPr>
          <w:rFonts w:ascii="Times New Roman" w:hAnsi="Times New Roman" w:cs="Times New Roman"/>
          <w:sz w:val="24"/>
          <w:szCs w:val="24"/>
        </w:rPr>
        <w:t xml:space="preserve">utratę mocy art. 27 ust. 1 ustawy o podatku dochodowym od osób fizycznych), z wyjątkiem zmian wprowadzanych w ustawie o podatku dochodowym od osób prawnych, które wejdą w życie z dniem 1 stycznia 2017 r.  </w:t>
      </w:r>
    </w:p>
    <w:p w:rsidR="008A5452" w:rsidRDefault="008A5452" w:rsidP="00BC4C0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Projekt wywołuje pozytywne </w:t>
      </w:r>
      <w:r w:rsidRPr="008A5452">
        <w:rPr>
          <w:rFonts w:ascii="Times New Roman" w:hAnsi="Times New Roman" w:cs="Times New Roman"/>
          <w:sz w:val="24"/>
          <w:szCs w:val="24"/>
        </w:rPr>
        <w:t>skutki społeczne, gospodarcze, finansowe i prawne</w:t>
      </w:r>
      <w:r>
        <w:rPr>
          <w:rFonts w:ascii="Times New Roman" w:hAnsi="Times New Roman" w:cs="Times New Roman"/>
          <w:sz w:val="24"/>
          <w:szCs w:val="24"/>
        </w:rPr>
        <w:t>.</w:t>
      </w:r>
    </w:p>
    <w:p w:rsidR="00BC4C01" w:rsidRPr="00125A96" w:rsidRDefault="008A5452" w:rsidP="00BC4C0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Pr="008A5452">
        <w:rPr>
          <w:rFonts w:ascii="Times New Roman" w:hAnsi="Times New Roman" w:cs="Times New Roman"/>
          <w:sz w:val="24"/>
          <w:szCs w:val="24"/>
        </w:rPr>
        <w:t>rzedmiot projektowanej regulacji nie jest objęty prawem Unii Europejskie</w:t>
      </w:r>
      <w:r>
        <w:rPr>
          <w:rFonts w:ascii="Times New Roman" w:hAnsi="Times New Roman" w:cs="Times New Roman"/>
          <w:sz w:val="24"/>
          <w:szCs w:val="24"/>
        </w:rPr>
        <w:t>j.</w:t>
      </w:r>
      <w:r w:rsidR="00BC4C01">
        <w:rPr>
          <w:rFonts w:ascii="Times New Roman" w:hAnsi="Times New Roman" w:cs="Times New Roman"/>
          <w:sz w:val="24"/>
          <w:szCs w:val="24"/>
        </w:rPr>
        <w:t xml:space="preserve"> </w:t>
      </w:r>
    </w:p>
    <w:p w:rsidR="00982CD7" w:rsidRPr="001847C4" w:rsidRDefault="00982CD7" w:rsidP="00982CD7">
      <w:pPr>
        <w:pStyle w:val="ARTartustawynprozporzdzenia"/>
        <w:spacing w:line="240" w:lineRule="auto"/>
        <w:ind w:firstLine="0"/>
      </w:pPr>
    </w:p>
    <w:sectPr w:rsidR="00982CD7" w:rsidRPr="001847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CB4" w:rsidRDefault="00DD2CB4" w:rsidP="001847C4">
      <w:pPr>
        <w:spacing w:after="0" w:line="240" w:lineRule="auto"/>
      </w:pPr>
      <w:r>
        <w:separator/>
      </w:r>
    </w:p>
  </w:endnote>
  <w:endnote w:type="continuationSeparator" w:id="0">
    <w:p w:rsidR="00DD2CB4" w:rsidRDefault="00DD2CB4" w:rsidP="00184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CB4" w:rsidRDefault="00DD2CB4" w:rsidP="001847C4">
      <w:pPr>
        <w:spacing w:after="0" w:line="240" w:lineRule="auto"/>
      </w:pPr>
      <w:r>
        <w:separator/>
      </w:r>
    </w:p>
  </w:footnote>
  <w:footnote w:type="continuationSeparator" w:id="0">
    <w:p w:rsidR="00DD2CB4" w:rsidRDefault="00DD2CB4" w:rsidP="001847C4">
      <w:pPr>
        <w:spacing w:after="0" w:line="240" w:lineRule="auto"/>
      </w:pPr>
      <w:r>
        <w:continuationSeparator/>
      </w:r>
    </w:p>
  </w:footnote>
  <w:footnote w:id="1">
    <w:p w:rsidR="00924B14" w:rsidRPr="00B739C5" w:rsidRDefault="00924B14" w:rsidP="00924B14">
      <w:pPr>
        <w:pStyle w:val="ODNONIKtreodnonika"/>
      </w:pPr>
      <w:r w:rsidRPr="00B739C5">
        <w:rPr>
          <w:rStyle w:val="IGindeksgrny"/>
        </w:rPr>
        <w:footnoteRef/>
      </w:r>
      <w:r w:rsidRPr="00B739C5">
        <w:rPr>
          <w:rStyle w:val="IGindeksgrny"/>
        </w:rPr>
        <w:t>)</w:t>
      </w:r>
      <w:r w:rsidRPr="00B739C5">
        <w:tab/>
        <w:t>Zmiany tekstu jednolitego wymienionej ustawy zostały ogłoszone w Dz. U. z 2012 r. poz. 362, 440, 596, 769, 1278, 1342, 1448, 1529 i 1540, z 2013 r. poz. 21, 888, 985, 1027, 1036, 1287, 1304, 1387 i 1717, z 2014 r. poz. 223, 312, 567, 598, 773, 915, 1052, 1215, 1328,  1563, 1644, 1662 i 1863</w:t>
      </w:r>
      <w:r>
        <w:t>,</w:t>
      </w:r>
      <w:r w:rsidRPr="00B739C5">
        <w:t xml:space="preserve"> z 2015 r. poz. 73, 211, 251, 478, 693, 699, 860, 933, 978, 1197, 1217, 1259, 1269, 1321, 1322, 1333, 1569, 1595, 1607, 1688, 1767, 1784</w:t>
      </w:r>
      <w:r>
        <w:t>,</w:t>
      </w:r>
      <w:r w:rsidRPr="00B739C5">
        <w:t xml:space="preserve">  1844, 1893, 1925, 1932, 1992</w:t>
      </w:r>
      <w:r>
        <w:t xml:space="preserve"> i 2299</w:t>
      </w:r>
      <w:r w:rsidRPr="00956A44">
        <w:t xml:space="preserve"> </w:t>
      </w:r>
      <w:r w:rsidRPr="00B739C5">
        <w:t>oraz</w:t>
      </w:r>
      <w:r>
        <w:t xml:space="preserve"> z 2016 r. </w:t>
      </w:r>
      <w:r w:rsidRPr="00956A44">
        <w:t>poz. 188, 195, 615, 780, 823, 929</w:t>
      </w:r>
      <w:r>
        <w:t>,</w:t>
      </w:r>
      <w:r w:rsidRPr="00956A44">
        <w:t xml:space="preserve"> 1010</w:t>
      </w:r>
      <w:r>
        <w:t>, 1206 i 1550</w:t>
      </w:r>
      <w:r w:rsidRPr="00B739C5">
        <w:t>.</w:t>
      </w:r>
    </w:p>
  </w:footnote>
  <w:footnote w:id="2">
    <w:p w:rsidR="00924B14" w:rsidRPr="00605232" w:rsidRDefault="00924B14" w:rsidP="00924B14">
      <w:pPr>
        <w:pStyle w:val="ODNONIKtreodnonika"/>
      </w:pPr>
      <w:r>
        <w:rPr>
          <w:rStyle w:val="Odwoanieprzypisudolnego"/>
        </w:rPr>
        <w:footnoteRef/>
      </w:r>
      <w:r w:rsidR="0057025C" w:rsidRPr="003A43B4">
        <w:rPr>
          <w:rStyle w:val="IGindeksgrny"/>
        </w:rPr>
        <w:t>)</w:t>
      </w:r>
      <w:r w:rsidR="0057025C">
        <w:rPr>
          <w:rStyle w:val="IGindeksgrny"/>
        </w:rPr>
        <w:tab/>
      </w:r>
      <w:r w:rsidRPr="00605232">
        <w:t xml:space="preserve">Zmiany tekstu jednolitego wymienionej ustawy zostały ogłoszone w Dz. U. </w:t>
      </w:r>
      <w:r w:rsidRPr="00821356">
        <w:t xml:space="preserve">z 2014 r. poz. 915, 1138, 1146, 1215, 1328, 1457, 1478, 1563 i 1662, z 2015 r. poz. 73, 211, 933, 978, 1166, 1197, 1259, 1296, 1348, 1595, 1688, 1767, 1844 i 1932 oraz z 2016 r. poz. 68, 615, 780, 996, 1206, </w:t>
      </w:r>
      <w:r w:rsidRPr="00821356">
        <w:rPr>
          <w:bCs/>
        </w:rPr>
        <w:t>1454 i 1550.</w:t>
      </w:r>
    </w:p>
  </w:footnote>
  <w:footnote w:id="3">
    <w:p w:rsidR="00BC4C01" w:rsidRDefault="00BC4C01" w:rsidP="00BC4C01">
      <w:pPr>
        <w:pStyle w:val="Tekstprzypisudolnego"/>
        <w:jc w:val="both"/>
        <w:rPr>
          <w:rFonts w:ascii="Times New Roman" w:hAnsi="Times New Roman" w:cs="Times New Roman"/>
          <w:color w:val="000000" w:themeColor="text1"/>
        </w:rPr>
      </w:pPr>
      <w:r>
        <w:rPr>
          <w:rStyle w:val="Odwoanieprzypisudolnego"/>
          <w:rFonts w:ascii="Times New Roman" w:hAnsi="Times New Roman" w:cs="Times New Roman"/>
          <w:color w:val="000000" w:themeColor="text1"/>
        </w:rPr>
        <w:footnoteRef/>
      </w:r>
      <w:r>
        <w:rPr>
          <w:rFonts w:ascii="Times New Roman" w:hAnsi="Times New Roman" w:cs="Times New Roman"/>
          <w:color w:val="000000" w:themeColor="text1"/>
        </w:rPr>
        <w:t xml:space="preserve"> </w:t>
      </w:r>
      <w:r>
        <w:rPr>
          <w:rFonts w:ascii="Times New Roman" w:hAnsi="Times New Roman" w:cs="Times New Roman"/>
          <w:bCs/>
          <w:color w:val="000000" w:themeColor="text1"/>
        </w:rPr>
        <w:t>źródło K. Żelazek, Sposób na odroczenie podatku, Rzeczpospolita, 21 grudnia 2010 r.</w:t>
      </w:r>
    </w:p>
  </w:footnote>
  <w:footnote w:id="4">
    <w:p w:rsidR="00BC4C01" w:rsidRDefault="00BC4C01" w:rsidP="00BC4C01">
      <w:pPr>
        <w:pStyle w:val="Tekstprzypisudolnego"/>
        <w:jc w:val="both"/>
      </w:pPr>
      <w:r>
        <w:rPr>
          <w:rStyle w:val="Odwoanieprzypisudolnego"/>
          <w:rFonts w:ascii="Times New Roman" w:hAnsi="Times New Roman" w:cs="Times New Roman"/>
        </w:rPr>
        <w:footnoteRef/>
      </w:r>
      <w:r>
        <w:rPr>
          <w:rFonts w:ascii="Times New Roman" w:hAnsi="Times New Roman" w:cs="Times New Roman"/>
        </w:rPr>
        <w:t xml:space="preserve"> zgodnie z danymi UKNF </w:t>
      </w:r>
    </w:p>
  </w:footnote>
  <w:footnote w:id="5">
    <w:p w:rsidR="00BC4C01" w:rsidRDefault="00BC4C01" w:rsidP="00BC4C01">
      <w:pPr>
        <w:pStyle w:val="Tekstprzypisudolnego"/>
        <w:jc w:val="both"/>
      </w:pPr>
      <w:r>
        <w:rPr>
          <w:rStyle w:val="Odwoanieprzypisudolnego"/>
        </w:rPr>
        <w:footnoteRef/>
      </w:r>
      <w:r>
        <w:t xml:space="preserve"> </w:t>
      </w:r>
      <w:r>
        <w:rPr>
          <w:rFonts w:ascii="Times New Roman" w:hAnsi="Times New Roman" w:cs="Times New Roman"/>
        </w:rPr>
        <w:t>Raport dotyczący sytuacji finansowej towarzystw funduszy inwestycyjnych w 2015 roku, UKNF Warszawa, czerwiec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D4772"/>
    <w:multiLevelType w:val="hybridMultilevel"/>
    <w:tmpl w:val="72EC4F06"/>
    <w:lvl w:ilvl="0" w:tplc="F594F4C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7C4"/>
    <w:rsid w:val="00041312"/>
    <w:rsid w:val="00064062"/>
    <w:rsid w:val="00122CA3"/>
    <w:rsid w:val="00172CDC"/>
    <w:rsid w:val="001847C4"/>
    <w:rsid w:val="001A26B5"/>
    <w:rsid w:val="001D03CA"/>
    <w:rsid w:val="00216B95"/>
    <w:rsid w:val="00233D23"/>
    <w:rsid w:val="00266C4B"/>
    <w:rsid w:val="002925DE"/>
    <w:rsid w:val="002B409E"/>
    <w:rsid w:val="002D1DF7"/>
    <w:rsid w:val="00325986"/>
    <w:rsid w:val="00367ED2"/>
    <w:rsid w:val="00397A26"/>
    <w:rsid w:val="003C06B1"/>
    <w:rsid w:val="004624C6"/>
    <w:rsid w:val="004837CB"/>
    <w:rsid w:val="00504EC6"/>
    <w:rsid w:val="0057025C"/>
    <w:rsid w:val="00611EFC"/>
    <w:rsid w:val="0064477C"/>
    <w:rsid w:val="007509E3"/>
    <w:rsid w:val="007723AA"/>
    <w:rsid w:val="007D22EB"/>
    <w:rsid w:val="007D254C"/>
    <w:rsid w:val="00873CD1"/>
    <w:rsid w:val="008A5452"/>
    <w:rsid w:val="00924B14"/>
    <w:rsid w:val="0094555C"/>
    <w:rsid w:val="00982CD7"/>
    <w:rsid w:val="00982D19"/>
    <w:rsid w:val="009E3BDA"/>
    <w:rsid w:val="009F4308"/>
    <w:rsid w:val="009F6747"/>
    <w:rsid w:val="00B401FB"/>
    <w:rsid w:val="00BC3550"/>
    <w:rsid w:val="00BC4C01"/>
    <w:rsid w:val="00C012B6"/>
    <w:rsid w:val="00C109A1"/>
    <w:rsid w:val="00D04158"/>
    <w:rsid w:val="00D06DBD"/>
    <w:rsid w:val="00D63BF0"/>
    <w:rsid w:val="00D82A0F"/>
    <w:rsid w:val="00DD2CB4"/>
    <w:rsid w:val="00DE7748"/>
    <w:rsid w:val="00E02B81"/>
    <w:rsid w:val="00E5230E"/>
    <w:rsid w:val="00E76D2A"/>
    <w:rsid w:val="00F1699F"/>
    <w:rsid w:val="00F261EC"/>
    <w:rsid w:val="00F776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ODNONIKtreodnonika">
    <w:name w:val="ODNOŚNIK – treść odnośnika"/>
    <w:uiPriority w:val="19"/>
    <w:qFormat/>
    <w:rsid w:val="001847C4"/>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1847C4"/>
    <w:rPr>
      <w:b w:val="0"/>
      <w:i w:val="0"/>
      <w:vanish w:val="0"/>
      <w:spacing w:val="0"/>
      <w:vertAlign w:val="superscript"/>
    </w:rPr>
  </w:style>
  <w:style w:type="paragraph" w:customStyle="1" w:styleId="tekst">
    <w:name w:val="tekst"/>
    <w:basedOn w:val="Normalny"/>
    <w:rsid w:val="001847C4"/>
    <w:pPr>
      <w:overflowPunct w:val="0"/>
      <w:autoSpaceDE w:val="0"/>
      <w:autoSpaceDN w:val="0"/>
      <w:adjustRightInd w:val="0"/>
      <w:spacing w:after="80" w:line="240" w:lineRule="auto"/>
      <w:jc w:val="both"/>
      <w:textAlignment w:val="baseline"/>
    </w:pPr>
    <w:rPr>
      <w:rFonts w:ascii="Times New Roman" w:eastAsia="Calibri" w:hAnsi="Times New Roman" w:cs="Times New Roman"/>
      <w:sz w:val="24"/>
      <w:szCs w:val="20"/>
      <w:lang w:eastAsia="pl-PL"/>
    </w:rPr>
  </w:style>
  <w:style w:type="paragraph" w:customStyle="1" w:styleId="ARTartustawynprozporzdzenia">
    <w:name w:val="ART(§) – art. ustawy (§ np. rozporządzenia)"/>
    <w:uiPriority w:val="11"/>
    <w:qFormat/>
    <w:rsid w:val="001847C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DE774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E7748"/>
    <w:rPr>
      <w:rFonts w:ascii="Segoe UI" w:hAnsi="Segoe UI" w:cs="Segoe UI"/>
      <w:sz w:val="18"/>
      <w:szCs w:val="18"/>
    </w:rPr>
  </w:style>
  <w:style w:type="paragraph" w:customStyle="1" w:styleId="DATAAKTUdatauchwalenialubwydaniaaktu">
    <w:name w:val="DATA_AKTU – data uchwalenia lub wydania aktu"/>
    <w:next w:val="TYTUAKTUprzedmiotregulacjiustawylubrozporzdzenia"/>
    <w:uiPriority w:val="6"/>
    <w:qFormat/>
    <w:rsid w:val="00122CA3"/>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122CA3"/>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122CA3"/>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Ppogrubienie">
    <w:name w:val="_P_ – pogrubienie"/>
    <w:basedOn w:val="Domylnaczcionkaakapitu"/>
    <w:uiPriority w:val="1"/>
    <w:qFormat/>
    <w:rsid w:val="00122CA3"/>
    <w:rPr>
      <w:b/>
    </w:rPr>
  </w:style>
  <w:style w:type="paragraph" w:styleId="Tekstprzypisudolnego">
    <w:name w:val="footnote text"/>
    <w:basedOn w:val="Normalny"/>
    <w:link w:val="TekstprzypisudolnegoZnak"/>
    <w:uiPriority w:val="99"/>
    <w:semiHidden/>
    <w:unhideWhenUsed/>
    <w:rsid w:val="00BC4C0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C4C01"/>
    <w:rPr>
      <w:sz w:val="20"/>
      <w:szCs w:val="20"/>
    </w:rPr>
  </w:style>
  <w:style w:type="character" w:styleId="Odwoanieprzypisudolnego">
    <w:name w:val="footnote reference"/>
    <w:basedOn w:val="Domylnaczcionkaakapitu"/>
    <w:uiPriority w:val="99"/>
    <w:semiHidden/>
    <w:unhideWhenUsed/>
    <w:rsid w:val="00BC4C01"/>
    <w:rPr>
      <w:vertAlign w:val="superscript"/>
    </w:rPr>
  </w:style>
  <w:style w:type="paragraph" w:customStyle="1" w:styleId="ZPKTzmpktartykuempunktem">
    <w:name w:val="Z/PKT – zm. pkt artykułem (punktem)"/>
    <w:basedOn w:val="PKTpunkt"/>
    <w:uiPriority w:val="31"/>
    <w:qFormat/>
    <w:rsid w:val="00924B14"/>
    <w:pPr>
      <w:ind w:left="1020"/>
    </w:pPr>
  </w:style>
  <w:style w:type="paragraph" w:customStyle="1" w:styleId="USTustnpkodeksu">
    <w:name w:val="UST(§) – ust. (§ np. kodeksu)"/>
    <w:basedOn w:val="ARTartustawynprozporzdzenia"/>
    <w:uiPriority w:val="12"/>
    <w:qFormat/>
    <w:rsid w:val="00924B14"/>
    <w:pPr>
      <w:spacing w:before="0"/>
    </w:pPr>
    <w:rPr>
      <w:bCs/>
    </w:rPr>
  </w:style>
  <w:style w:type="paragraph" w:customStyle="1" w:styleId="PKTpunkt">
    <w:name w:val="PKT – punkt"/>
    <w:uiPriority w:val="13"/>
    <w:qFormat/>
    <w:rsid w:val="00924B14"/>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924B14"/>
    <w:pPr>
      <w:ind w:left="986" w:hanging="476"/>
    </w:pPr>
  </w:style>
  <w:style w:type="paragraph" w:customStyle="1" w:styleId="ZLITUSTzmustliter">
    <w:name w:val="Z_LIT/UST(§) – zm. ust. (§) literą"/>
    <w:basedOn w:val="USTustnpkodeksu"/>
    <w:uiPriority w:val="46"/>
    <w:qFormat/>
    <w:rsid w:val="00924B14"/>
    <w:pPr>
      <w:ind w:left="987"/>
    </w:pPr>
  </w:style>
  <w:style w:type="paragraph" w:customStyle="1" w:styleId="ZLITPKTzmpktliter">
    <w:name w:val="Z_LIT/PKT – zm. pkt literą"/>
    <w:basedOn w:val="PKTpunkt"/>
    <w:uiPriority w:val="47"/>
    <w:qFormat/>
    <w:rsid w:val="00924B14"/>
    <w:pPr>
      <w:ind w:left="1497"/>
    </w:pPr>
  </w:style>
  <w:style w:type="paragraph" w:customStyle="1" w:styleId="ZLITLITwPKTzmlitwpktliter">
    <w:name w:val="Z_LIT/LIT_w_PKT – zm. lit. w pkt literą"/>
    <w:basedOn w:val="LITlitera"/>
    <w:uiPriority w:val="48"/>
    <w:qFormat/>
    <w:rsid w:val="00924B14"/>
    <w:pPr>
      <w:ind w:left="1973"/>
    </w:pPr>
  </w:style>
  <w:style w:type="paragraph" w:customStyle="1" w:styleId="ZLITCZWSPLITzmczciwsplitliter">
    <w:name w:val="Z_LIT/CZ_WSP_LIT – zm. części wsp. lit. literą"/>
    <w:basedOn w:val="Normalny"/>
    <w:next w:val="LITlitera"/>
    <w:uiPriority w:val="51"/>
    <w:qFormat/>
    <w:rsid w:val="00924B14"/>
    <w:pPr>
      <w:spacing w:after="0" w:line="360" w:lineRule="auto"/>
      <w:ind w:left="987"/>
      <w:jc w:val="both"/>
    </w:pPr>
    <w:rPr>
      <w:rFonts w:ascii="Times" w:eastAsiaTheme="minorEastAsia" w:hAnsi="Times" w:cs="Arial"/>
      <w:bCs/>
      <w:sz w:val="24"/>
      <w:szCs w:val="24"/>
      <w:lang w:eastAsia="pl-PL"/>
    </w:rPr>
  </w:style>
  <w:style w:type="paragraph" w:customStyle="1" w:styleId="ZUSTzmustartykuempunktem">
    <w:name w:val="Z/UST(§) – zm. ust. (§) artykułem (punktem)"/>
    <w:basedOn w:val="Normalny"/>
    <w:uiPriority w:val="30"/>
    <w:qFormat/>
    <w:rsid w:val="00924B14"/>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ODNONIKtreodnonika">
    <w:name w:val="ODNOŚNIK – treść odnośnika"/>
    <w:uiPriority w:val="19"/>
    <w:qFormat/>
    <w:rsid w:val="001847C4"/>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1847C4"/>
    <w:rPr>
      <w:b w:val="0"/>
      <w:i w:val="0"/>
      <w:vanish w:val="0"/>
      <w:spacing w:val="0"/>
      <w:vertAlign w:val="superscript"/>
    </w:rPr>
  </w:style>
  <w:style w:type="paragraph" w:customStyle="1" w:styleId="tekst">
    <w:name w:val="tekst"/>
    <w:basedOn w:val="Normalny"/>
    <w:rsid w:val="001847C4"/>
    <w:pPr>
      <w:overflowPunct w:val="0"/>
      <w:autoSpaceDE w:val="0"/>
      <w:autoSpaceDN w:val="0"/>
      <w:adjustRightInd w:val="0"/>
      <w:spacing w:after="80" w:line="240" w:lineRule="auto"/>
      <w:jc w:val="both"/>
      <w:textAlignment w:val="baseline"/>
    </w:pPr>
    <w:rPr>
      <w:rFonts w:ascii="Times New Roman" w:eastAsia="Calibri" w:hAnsi="Times New Roman" w:cs="Times New Roman"/>
      <w:sz w:val="24"/>
      <w:szCs w:val="20"/>
      <w:lang w:eastAsia="pl-PL"/>
    </w:rPr>
  </w:style>
  <w:style w:type="paragraph" w:customStyle="1" w:styleId="ARTartustawynprozporzdzenia">
    <w:name w:val="ART(§) – art. ustawy (§ np. rozporządzenia)"/>
    <w:uiPriority w:val="11"/>
    <w:qFormat/>
    <w:rsid w:val="001847C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DE774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E7748"/>
    <w:rPr>
      <w:rFonts w:ascii="Segoe UI" w:hAnsi="Segoe UI" w:cs="Segoe UI"/>
      <w:sz w:val="18"/>
      <w:szCs w:val="18"/>
    </w:rPr>
  </w:style>
  <w:style w:type="paragraph" w:customStyle="1" w:styleId="DATAAKTUdatauchwalenialubwydaniaaktu">
    <w:name w:val="DATA_AKTU – data uchwalenia lub wydania aktu"/>
    <w:next w:val="TYTUAKTUprzedmiotregulacjiustawylubrozporzdzenia"/>
    <w:uiPriority w:val="6"/>
    <w:qFormat/>
    <w:rsid w:val="00122CA3"/>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122CA3"/>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122CA3"/>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Ppogrubienie">
    <w:name w:val="_P_ – pogrubienie"/>
    <w:basedOn w:val="Domylnaczcionkaakapitu"/>
    <w:uiPriority w:val="1"/>
    <w:qFormat/>
    <w:rsid w:val="00122CA3"/>
    <w:rPr>
      <w:b/>
    </w:rPr>
  </w:style>
  <w:style w:type="paragraph" w:styleId="Tekstprzypisudolnego">
    <w:name w:val="footnote text"/>
    <w:basedOn w:val="Normalny"/>
    <w:link w:val="TekstprzypisudolnegoZnak"/>
    <w:uiPriority w:val="99"/>
    <w:semiHidden/>
    <w:unhideWhenUsed/>
    <w:rsid w:val="00BC4C0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C4C01"/>
    <w:rPr>
      <w:sz w:val="20"/>
      <w:szCs w:val="20"/>
    </w:rPr>
  </w:style>
  <w:style w:type="character" w:styleId="Odwoanieprzypisudolnego">
    <w:name w:val="footnote reference"/>
    <w:basedOn w:val="Domylnaczcionkaakapitu"/>
    <w:uiPriority w:val="99"/>
    <w:semiHidden/>
    <w:unhideWhenUsed/>
    <w:rsid w:val="00BC4C01"/>
    <w:rPr>
      <w:vertAlign w:val="superscript"/>
    </w:rPr>
  </w:style>
  <w:style w:type="paragraph" w:customStyle="1" w:styleId="ZPKTzmpktartykuempunktem">
    <w:name w:val="Z/PKT – zm. pkt artykułem (punktem)"/>
    <w:basedOn w:val="PKTpunkt"/>
    <w:uiPriority w:val="31"/>
    <w:qFormat/>
    <w:rsid w:val="00924B14"/>
    <w:pPr>
      <w:ind w:left="1020"/>
    </w:pPr>
  </w:style>
  <w:style w:type="paragraph" w:customStyle="1" w:styleId="USTustnpkodeksu">
    <w:name w:val="UST(§) – ust. (§ np. kodeksu)"/>
    <w:basedOn w:val="ARTartustawynprozporzdzenia"/>
    <w:uiPriority w:val="12"/>
    <w:qFormat/>
    <w:rsid w:val="00924B14"/>
    <w:pPr>
      <w:spacing w:before="0"/>
    </w:pPr>
    <w:rPr>
      <w:bCs/>
    </w:rPr>
  </w:style>
  <w:style w:type="paragraph" w:customStyle="1" w:styleId="PKTpunkt">
    <w:name w:val="PKT – punkt"/>
    <w:uiPriority w:val="13"/>
    <w:qFormat/>
    <w:rsid w:val="00924B14"/>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924B14"/>
    <w:pPr>
      <w:ind w:left="986" w:hanging="476"/>
    </w:pPr>
  </w:style>
  <w:style w:type="paragraph" w:customStyle="1" w:styleId="ZLITUSTzmustliter">
    <w:name w:val="Z_LIT/UST(§) – zm. ust. (§) literą"/>
    <w:basedOn w:val="USTustnpkodeksu"/>
    <w:uiPriority w:val="46"/>
    <w:qFormat/>
    <w:rsid w:val="00924B14"/>
    <w:pPr>
      <w:ind w:left="987"/>
    </w:pPr>
  </w:style>
  <w:style w:type="paragraph" w:customStyle="1" w:styleId="ZLITPKTzmpktliter">
    <w:name w:val="Z_LIT/PKT – zm. pkt literą"/>
    <w:basedOn w:val="PKTpunkt"/>
    <w:uiPriority w:val="47"/>
    <w:qFormat/>
    <w:rsid w:val="00924B14"/>
    <w:pPr>
      <w:ind w:left="1497"/>
    </w:pPr>
  </w:style>
  <w:style w:type="paragraph" w:customStyle="1" w:styleId="ZLITLITwPKTzmlitwpktliter">
    <w:name w:val="Z_LIT/LIT_w_PKT – zm. lit. w pkt literą"/>
    <w:basedOn w:val="LITlitera"/>
    <w:uiPriority w:val="48"/>
    <w:qFormat/>
    <w:rsid w:val="00924B14"/>
    <w:pPr>
      <w:ind w:left="1973"/>
    </w:pPr>
  </w:style>
  <w:style w:type="paragraph" w:customStyle="1" w:styleId="ZLITCZWSPLITzmczciwsplitliter">
    <w:name w:val="Z_LIT/CZ_WSP_LIT – zm. części wsp. lit. literą"/>
    <w:basedOn w:val="Normalny"/>
    <w:next w:val="LITlitera"/>
    <w:uiPriority w:val="51"/>
    <w:qFormat/>
    <w:rsid w:val="00924B14"/>
    <w:pPr>
      <w:spacing w:after="0" w:line="360" w:lineRule="auto"/>
      <w:ind w:left="987"/>
      <w:jc w:val="both"/>
    </w:pPr>
    <w:rPr>
      <w:rFonts w:ascii="Times" w:eastAsiaTheme="minorEastAsia" w:hAnsi="Times" w:cs="Arial"/>
      <w:bCs/>
      <w:sz w:val="24"/>
      <w:szCs w:val="24"/>
      <w:lang w:eastAsia="pl-PL"/>
    </w:rPr>
  </w:style>
  <w:style w:type="paragraph" w:customStyle="1" w:styleId="ZUSTzmustartykuempunktem">
    <w:name w:val="Z/UST(§) – zm. ust. (§) artykułem (punktem)"/>
    <w:basedOn w:val="Normalny"/>
    <w:uiPriority w:val="30"/>
    <w:qFormat/>
    <w:rsid w:val="00924B14"/>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2897</Words>
  <Characters>17384</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20241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cp:lastPrinted>2016-09-22T09:06:00Z</cp:lastPrinted>
  <dcterms:created xsi:type="dcterms:W3CDTF">2016-11-02T15:50:00Z</dcterms:created>
  <dcterms:modified xsi:type="dcterms:W3CDTF">2016-11-02T15:50:00Z</dcterms:modified>
</cp:coreProperties>
</file>