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42EA" w:rsidRDefault="000F42EA" w:rsidP="0063669E">
      <w:pPr>
        <w:keepNext/>
        <w:spacing w:after="0" w:line="360" w:lineRule="auto"/>
        <w:ind w:left="510"/>
        <w:jc w:val="center"/>
        <w:rPr>
          <w:rFonts w:ascii="Times" w:eastAsia="Times New Roman" w:hAnsi="Times" w:cs="Arial"/>
          <w:bCs/>
          <w:caps/>
          <w:kern w:val="24"/>
          <w:sz w:val="24"/>
          <w:szCs w:val="24"/>
          <w:lang w:eastAsia="pl-PL"/>
        </w:rPr>
      </w:pPr>
      <w:bookmarkStart w:id="0" w:name="_GoBack"/>
      <w:bookmarkEnd w:id="0"/>
      <w:r w:rsidRPr="000F42EA">
        <w:rPr>
          <w:rFonts w:ascii="Times" w:eastAsia="Times New Roman" w:hAnsi="Times" w:cs="Arial"/>
          <w:bCs/>
          <w:caps/>
          <w:kern w:val="24"/>
          <w:sz w:val="24"/>
          <w:szCs w:val="24"/>
          <w:lang w:eastAsia="pl-PL"/>
        </w:rPr>
        <w:t>UZASADNIENIE</w:t>
      </w:r>
    </w:p>
    <w:p w:rsidR="0063669E" w:rsidRPr="000F42EA" w:rsidRDefault="0063669E" w:rsidP="0063669E">
      <w:pPr>
        <w:keepNext/>
        <w:spacing w:before="120" w:after="0" w:line="360" w:lineRule="auto"/>
        <w:ind w:left="510"/>
        <w:jc w:val="center"/>
        <w:rPr>
          <w:rFonts w:ascii="Times" w:eastAsia="Times New Roman" w:hAnsi="Times" w:cs="Arial"/>
          <w:bCs/>
          <w:caps/>
          <w:kern w:val="24"/>
          <w:sz w:val="24"/>
          <w:szCs w:val="24"/>
          <w:lang w:eastAsia="pl-PL"/>
        </w:rPr>
      </w:pP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sz w:val="24"/>
          <w:szCs w:val="20"/>
          <w:lang w:eastAsia="pl-PL"/>
        </w:rPr>
        <w:t xml:space="preserve">Zmiana ustawy </w:t>
      </w:r>
      <w:r w:rsidR="00A16964">
        <w:rPr>
          <w:rFonts w:ascii="Times" w:eastAsia="Times New Roman" w:hAnsi="Times" w:cs="Arial"/>
          <w:sz w:val="24"/>
          <w:szCs w:val="20"/>
          <w:lang w:eastAsia="pl-PL"/>
        </w:rPr>
        <w:t xml:space="preserve">z dnia 20 lutego 2015 r. </w:t>
      </w:r>
      <w:r w:rsidRPr="000F42EA">
        <w:rPr>
          <w:rFonts w:ascii="Times" w:eastAsia="Times New Roman" w:hAnsi="Times" w:cs="Arial"/>
          <w:sz w:val="24"/>
          <w:szCs w:val="20"/>
          <w:lang w:eastAsia="pl-PL"/>
        </w:rPr>
        <w:t>o wspieran</w:t>
      </w:r>
      <w:r w:rsidR="004A2D4B">
        <w:rPr>
          <w:rFonts w:ascii="Times" w:eastAsia="Times New Roman" w:hAnsi="Times" w:cs="Arial"/>
          <w:sz w:val="24"/>
          <w:szCs w:val="20"/>
          <w:lang w:eastAsia="pl-PL"/>
        </w:rPr>
        <w:t>iu rozwoju obszarów wiejskich z </w:t>
      </w:r>
      <w:r w:rsidRPr="000F42EA">
        <w:rPr>
          <w:rFonts w:ascii="Times" w:eastAsia="Times New Roman" w:hAnsi="Times" w:cs="Arial"/>
          <w:sz w:val="24"/>
          <w:szCs w:val="20"/>
          <w:lang w:eastAsia="pl-PL"/>
        </w:rPr>
        <w:t>udziałem środków Europejskiego Funduszu Rolnego na rzecz Rozwoju Obszarów Wiejskich w ramach Programu Rozwoju Obszarów Wiejskich na lata 2014–2020</w:t>
      </w:r>
      <w:r w:rsidR="00A16964">
        <w:rPr>
          <w:rFonts w:ascii="Times" w:eastAsia="Times New Roman" w:hAnsi="Times" w:cs="Arial"/>
          <w:sz w:val="24"/>
          <w:szCs w:val="20"/>
          <w:lang w:eastAsia="pl-PL"/>
        </w:rPr>
        <w:t xml:space="preserve"> (Dz.</w:t>
      </w:r>
      <w:r w:rsidR="004A2D4B">
        <w:rPr>
          <w:rFonts w:ascii="Times" w:eastAsia="Times New Roman" w:hAnsi="Times" w:cs="Arial"/>
          <w:sz w:val="24"/>
          <w:szCs w:val="20"/>
          <w:lang w:eastAsia="pl-PL"/>
        </w:rPr>
        <w:t> </w:t>
      </w:r>
      <w:r w:rsidR="00A16964">
        <w:rPr>
          <w:rFonts w:ascii="Times" w:eastAsia="Times New Roman" w:hAnsi="Times" w:cs="Arial"/>
          <w:sz w:val="24"/>
          <w:szCs w:val="20"/>
          <w:lang w:eastAsia="pl-PL"/>
        </w:rPr>
        <w:t>U. poz. 349 i 188 oraz z 2016 r. poz. 337 i 1579)</w:t>
      </w:r>
      <w:r w:rsidRPr="000F42EA">
        <w:rPr>
          <w:rFonts w:ascii="Times" w:eastAsia="Times New Roman" w:hAnsi="Times" w:cs="Arial"/>
          <w:sz w:val="24"/>
          <w:szCs w:val="20"/>
          <w:lang w:eastAsia="pl-PL"/>
        </w:rPr>
        <w:t>, zwanej dalej „ustawą PROW 2014</w:t>
      </w:r>
      <w:r w:rsidRPr="000F42EA">
        <w:rPr>
          <w:rFonts w:ascii="Times" w:eastAsia="Times New Roman" w:hAnsi="Times" w:cs="Arial"/>
          <w:sz w:val="24"/>
          <w:szCs w:val="20"/>
          <w:lang w:eastAsia="pl-PL"/>
        </w:rPr>
        <w:sym w:font="Symbol" w:char="F02D"/>
      </w:r>
      <w:r w:rsidRPr="000F42EA">
        <w:rPr>
          <w:rFonts w:ascii="Times" w:eastAsia="Times New Roman" w:hAnsi="Times" w:cs="Arial"/>
          <w:sz w:val="24"/>
          <w:szCs w:val="20"/>
          <w:lang w:eastAsia="pl-PL"/>
        </w:rPr>
        <w:t>2020”, jest wynikiem zmiany Programu Rozwoju Obszarów Wiejskich na lata 2014</w:t>
      </w:r>
      <w:r w:rsidRPr="000F42EA">
        <w:rPr>
          <w:rFonts w:ascii="Times" w:eastAsia="Times New Roman" w:hAnsi="Times" w:cs="Arial"/>
          <w:sz w:val="24"/>
          <w:szCs w:val="20"/>
          <w:lang w:eastAsia="pl-PL"/>
        </w:rPr>
        <w:sym w:font="Symbol" w:char="F02D"/>
      </w:r>
      <w:r w:rsidRPr="000F42EA">
        <w:rPr>
          <w:rFonts w:ascii="Times" w:eastAsia="Times New Roman" w:hAnsi="Times" w:cs="Arial"/>
          <w:sz w:val="24"/>
          <w:szCs w:val="20"/>
          <w:lang w:eastAsia="pl-PL"/>
        </w:rPr>
        <w:t>2020, zwanego dalej „PROW 2014–2020”, oraz zebranych dotychczas doświadczeń</w:t>
      </w:r>
      <w:r w:rsidR="0063669E">
        <w:rPr>
          <w:rFonts w:ascii="Times" w:eastAsia="Times New Roman" w:hAnsi="Times" w:cs="Arial"/>
          <w:sz w:val="24"/>
          <w:szCs w:val="20"/>
          <w:lang w:eastAsia="pl-PL"/>
        </w:rPr>
        <w:t xml:space="preserve"> </w:t>
      </w:r>
      <w:r w:rsidRPr="000F42EA">
        <w:rPr>
          <w:rFonts w:ascii="Times" w:eastAsia="Times New Roman" w:hAnsi="Times" w:cs="Arial"/>
          <w:sz w:val="24"/>
          <w:szCs w:val="20"/>
          <w:lang w:eastAsia="pl-PL"/>
        </w:rPr>
        <w:t>z wdrażania PROW 2014–2020. Proponowane zmiany mają na celu przede wszystkim zapewnienie szybszego uruchomienia i prawidłowego wdrażania działań w ramach PROW 2014</w:t>
      </w:r>
      <w:r w:rsidRPr="000F42EA">
        <w:rPr>
          <w:rFonts w:ascii="Times" w:eastAsia="Times New Roman" w:hAnsi="Times" w:cs="Arial"/>
          <w:sz w:val="24"/>
          <w:szCs w:val="20"/>
          <w:lang w:eastAsia="pl-PL"/>
        </w:rPr>
        <w:sym w:font="Symbol" w:char="F02D"/>
      </w:r>
      <w:r w:rsidRPr="000F42EA">
        <w:rPr>
          <w:rFonts w:ascii="Times" w:eastAsia="Times New Roman" w:hAnsi="Times" w:cs="Arial"/>
          <w:sz w:val="24"/>
          <w:szCs w:val="20"/>
          <w:lang w:eastAsia="pl-PL"/>
        </w:rPr>
        <w:t>2020. Zmiany proponowane projektowaną ustawą mają również na celu wprowadzenie uproszczeń dla beneficjentów poszczególnych instrumentów wsparcia w ramach PROW 2014</w:t>
      </w:r>
      <w:r w:rsidRPr="000F42EA">
        <w:rPr>
          <w:rFonts w:ascii="Times" w:eastAsia="Times New Roman" w:hAnsi="Times" w:cs="Arial"/>
          <w:sz w:val="24"/>
          <w:szCs w:val="20"/>
          <w:lang w:eastAsia="pl-PL"/>
        </w:rPr>
        <w:sym w:font="Symbol" w:char="F02D"/>
      </w:r>
      <w:r w:rsidRPr="000F42EA">
        <w:rPr>
          <w:rFonts w:ascii="Times" w:eastAsia="Times New Roman" w:hAnsi="Times" w:cs="Arial"/>
          <w:sz w:val="24"/>
          <w:szCs w:val="20"/>
          <w:lang w:eastAsia="pl-PL"/>
        </w:rPr>
        <w:t>2020. Do osiągnięcia tych celów konieczne jest również dokonanie zmian</w:t>
      </w:r>
      <w:r w:rsidRPr="000F42EA">
        <w:rPr>
          <w:rFonts w:ascii="Times" w:eastAsia="Times New Roman" w:hAnsi="Times" w:cs="Arial"/>
          <w:bCs/>
          <w:sz w:val="24"/>
          <w:szCs w:val="20"/>
          <w:lang w:eastAsia="pl-PL"/>
        </w:rPr>
        <w:t xml:space="preserve"> w ustawie z</w:t>
      </w:r>
      <w:r w:rsidR="0063669E">
        <w:rPr>
          <w:rFonts w:ascii="Times" w:eastAsia="Times New Roman" w:hAnsi="Times" w:cs="Arial"/>
          <w:bCs/>
          <w:sz w:val="24"/>
          <w:szCs w:val="20"/>
          <w:lang w:eastAsia="pl-PL"/>
        </w:rPr>
        <w:t xml:space="preserve"> </w:t>
      </w:r>
      <w:r w:rsidR="004A2D4B">
        <w:rPr>
          <w:rFonts w:ascii="Times" w:eastAsia="Times New Roman" w:hAnsi="Times" w:cs="Arial"/>
          <w:bCs/>
          <w:sz w:val="24"/>
          <w:szCs w:val="20"/>
          <w:lang w:eastAsia="pl-PL"/>
        </w:rPr>
        <w:t>dnia 18 grudnia 2003 r. o </w:t>
      </w:r>
      <w:r w:rsidRPr="000F42EA">
        <w:rPr>
          <w:rFonts w:ascii="Times" w:eastAsia="Times New Roman" w:hAnsi="Times" w:cs="Arial"/>
          <w:bCs/>
          <w:sz w:val="24"/>
          <w:szCs w:val="20"/>
          <w:lang w:eastAsia="pl-PL"/>
        </w:rPr>
        <w:t>krajowym systemie ewidencji producentów, ewidencji gospodarstw rolnych oraz ewidencji wniosków o przyznanie płatności (Dz. U. z</w:t>
      </w:r>
      <w:r w:rsidR="004A2D4B">
        <w:rPr>
          <w:rFonts w:ascii="Times" w:eastAsia="Times New Roman" w:hAnsi="Times" w:cs="Arial"/>
          <w:bCs/>
          <w:sz w:val="24"/>
          <w:szCs w:val="20"/>
          <w:lang w:eastAsia="pl-PL"/>
        </w:rPr>
        <w:t xml:space="preserve"> 2015 r. poz. 807 i 1419 oraz z </w:t>
      </w:r>
      <w:r w:rsidRPr="000F42EA">
        <w:rPr>
          <w:rFonts w:ascii="Times" w:eastAsia="Times New Roman" w:hAnsi="Times" w:cs="Arial"/>
          <w:bCs/>
          <w:sz w:val="24"/>
          <w:szCs w:val="20"/>
          <w:lang w:eastAsia="pl-PL"/>
        </w:rPr>
        <w:t>2016 r. poz. 1605), ustawie z dnia 5 lutego 2015 r. o płatnościach w ramach systemów wsparcia bezpośredniego (Dz. U. poz. 1551 oraz z 2016 r. poz. 337 i 1579)</w:t>
      </w:r>
      <w:r w:rsidR="00A16964">
        <w:rPr>
          <w:rFonts w:ascii="Times" w:eastAsia="Times New Roman" w:hAnsi="Times" w:cs="Arial"/>
          <w:bCs/>
          <w:sz w:val="24"/>
          <w:szCs w:val="20"/>
          <w:lang w:eastAsia="pl-PL"/>
        </w:rPr>
        <w:t>,</w:t>
      </w:r>
      <w:r w:rsidR="0063669E">
        <w:rPr>
          <w:rFonts w:ascii="Times" w:eastAsia="Times New Roman" w:hAnsi="Times" w:cs="Arial"/>
          <w:bCs/>
          <w:sz w:val="24"/>
          <w:szCs w:val="20"/>
          <w:lang w:eastAsia="pl-PL"/>
        </w:rPr>
        <w:t xml:space="preserve"> </w:t>
      </w:r>
      <w:r w:rsidR="004A2D4B">
        <w:rPr>
          <w:rFonts w:ascii="Times" w:eastAsia="Times New Roman" w:hAnsi="Times" w:cs="Arial"/>
          <w:bCs/>
          <w:sz w:val="24"/>
          <w:szCs w:val="20"/>
          <w:lang w:eastAsia="pl-PL"/>
        </w:rPr>
        <w:t>ustawie z </w:t>
      </w:r>
      <w:r w:rsidRPr="000F42EA">
        <w:rPr>
          <w:rFonts w:ascii="Times" w:eastAsia="Times New Roman" w:hAnsi="Times" w:cs="Arial"/>
          <w:bCs/>
          <w:sz w:val="24"/>
          <w:szCs w:val="20"/>
          <w:lang w:eastAsia="pl-PL"/>
        </w:rPr>
        <w:t>dnia 6 grudnia 2006 r. o zasadach prowadzenia polityki</w:t>
      </w:r>
      <w:r w:rsidR="004A2D4B">
        <w:rPr>
          <w:rFonts w:ascii="Times" w:eastAsia="Times New Roman" w:hAnsi="Times" w:cs="Arial"/>
          <w:bCs/>
          <w:sz w:val="24"/>
          <w:szCs w:val="20"/>
          <w:lang w:eastAsia="pl-PL"/>
        </w:rPr>
        <w:t xml:space="preserve"> rozwoju (Dz. U. z 2016 r. poz. </w:t>
      </w:r>
      <w:r w:rsidRPr="000F42EA">
        <w:rPr>
          <w:rFonts w:ascii="Times" w:eastAsia="Times New Roman" w:hAnsi="Times" w:cs="Arial"/>
          <w:bCs/>
          <w:sz w:val="24"/>
          <w:szCs w:val="20"/>
          <w:lang w:eastAsia="pl-PL"/>
        </w:rPr>
        <w:t>383</w:t>
      </w:r>
      <w:r w:rsidR="00A16964">
        <w:rPr>
          <w:rFonts w:ascii="Times" w:eastAsia="Times New Roman" w:hAnsi="Times" w:cs="Arial"/>
          <w:bCs/>
          <w:sz w:val="24"/>
          <w:szCs w:val="20"/>
          <w:lang w:eastAsia="pl-PL"/>
        </w:rPr>
        <w:t xml:space="preserve"> i 1250</w:t>
      </w:r>
      <w:r w:rsidRPr="000F42EA">
        <w:rPr>
          <w:rFonts w:ascii="Times" w:eastAsia="Times New Roman" w:hAnsi="Times" w:cs="Arial"/>
          <w:bCs/>
          <w:sz w:val="24"/>
          <w:szCs w:val="20"/>
          <w:lang w:eastAsia="pl-PL"/>
        </w:rPr>
        <w:t>), ustawie z dnia 7 marca 2007 r. o wspieraniu rozwoju obszarów wiejskich</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z udziałem środków Europejskiego Funduszu Rolnego na rzecz Rozwoju Obszarów Wiejskich w ramach Programu Rozwoju Obszarów Wiejskich na lata</w:t>
      </w:r>
      <w:r w:rsidR="00280212">
        <w:rPr>
          <w:rFonts w:ascii="Times" w:eastAsia="Times New Roman" w:hAnsi="Times" w:cs="Arial"/>
          <w:bCs/>
          <w:sz w:val="24"/>
          <w:szCs w:val="20"/>
          <w:lang w:eastAsia="pl-PL"/>
        </w:rPr>
        <w:br/>
      </w:r>
      <w:r w:rsidRPr="000F42EA">
        <w:rPr>
          <w:rFonts w:ascii="Times" w:eastAsia="Times New Roman" w:hAnsi="Times" w:cs="Arial"/>
          <w:bCs/>
          <w:sz w:val="24"/>
          <w:szCs w:val="20"/>
          <w:lang w:eastAsia="pl-PL"/>
        </w:rPr>
        <w:t>2007–2013 (Dz. U.</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z 2016 r. poz.</w:t>
      </w:r>
      <w:r w:rsidR="00A16964">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1387 i 1579) oraz w ustawie z dnia 20 lutego 2015 r. o rozwoju lokalnym z udziałem lokalnej społeczności (Dz. U. poz.</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378)</w:t>
      </w:r>
      <w:r w:rsidR="00A16964">
        <w:rPr>
          <w:rFonts w:ascii="Times" w:eastAsia="Times New Roman" w:hAnsi="Times" w:cs="Arial"/>
          <w:bCs/>
          <w:sz w:val="24"/>
          <w:szCs w:val="20"/>
          <w:lang w:eastAsia="pl-PL"/>
        </w:rPr>
        <w:t>, zwanej dalej ustawą „RLKS”</w:t>
      </w:r>
      <w:r w:rsidRPr="000F42EA">
        <w:rPr>
          <w:rFonts w:ascii="Times" w:eastAsia="Times New Roman" w:hAnsi="Times" w:cs="Arial"/>
          <w:bCs/>
          <w:sz w:val="24"/>
          <w:szCs w:val="20"/>
          <w:lang w:eastAsia="pl-PL"/>
        </w:rPr>
        <w:t>.</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Zmiany zaproponowane w art. 1 pkt 1 i</w:t>
      </w:r>
      <w:r w:rsidR="00A16964">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3 projektu ustawy wynikają</w:t>
      </w:r>
      <w:r w:rsidR="0063669E">
        <w:rPr>
          <w:rFonts w:ascii="Times" w:eastAsia="Times New Roman" w:hAnsi="Times" w:cs="Arial"/>
          <w:bCs/>
          <w:sz w:val="24"/>
          <w:szCs w:val="20"/>
          <w:lang w:eastAsia="pl-PL"/>
        </w:rPr>
        <w:t xml:space="preserve"> </w:t>
      </w:r>
      <w:r w:rsidR="00280212">
        <w:rPr>
          <w:rFonts w:ascii="Times" w:eastAsia="Times New Roman" w:hAnsi="Times" w:cs="Arial"/>
          <w:bCs/>
          <w:sz w:val="24"/>
          <w:szCs w:val="20"/>
          <w:lang w:eastAsia="pl-PL"/>
        </w:rPr>
        <w:t>z doświadczeń w </w:t>
      </w:r>
      <w:r w:rsidRPr="000F42EA">
        <w:rPr>
          <w:rFonts w:ascii="Times" w:eastAsia="Times New Roman" w:hAnsi="Times" w:cs="Arial"/>
          <w:bCs/>
          <w:sz w:val="24"/>
          <w:szCs w:val="20"/>
          <w:lang w:eastAsia="pl-PL"/>
        </w:rPr>
        <w:t>realizacji w 2015 r. przez Krajową Stację Chemiczno-Rolniczą oraz podległe jej okręgowe stacje chemiczno-rolnicze zadania dotyczącego wykonywania analiz gleb.</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 xml:space="preserve">Ministerstwo Rolnictwa i Rozwoju Wsi podejmuje wysiłki mające na celu wdrożenie szerokiego monitoringu gleb. Jest to narzędzie, które ma wspierać prezentowanie postępów i osiągnięć w dziedzinie polityki rozwoju obszarów wiejskich oraz ocenę oddziaływania, efektywności, skuteczności i znaczenia interwencji z zakresu polityki </w:t>
      </w:r>
      <w:r w:rsidRPr="000F42EA">
        <w:rPr>
          <w:rFonts w:ascii="Times" w:eastAsia="Times New Roman" w:hAnsi="Times" w:cs="Arial"/>
          <w:bCs/>
          <w:sz w:val="24"/>
          <w:szCs w:val="20"/>
          <w:lang w:eastAsia="pl-PL"/>
        </w:rPr>
        <w:lastRenderedPageBreak/>
        <w:t>rozwoju obszarów wiejskich w zakresie oddziaływania (w tym PROW 2014</w:t>
      </w:r>
      <w:r w:rsidRPr="000F42EA">
        <w:rPr>
          <w:rFonts w:ascii="Times New Roman" w:eastAsia="Times New Roman" w:hAnsi="Times New Roman" w:cs="Times New Roman"/>
          <w:bCs/>
          <w:sz w:val="24"/>
          <w:szCs w:val="20"/>
          <w:lang w:eastAsia="pl-PL"/>
        </w:rPr>
        <w:t>–</w:t>
      </w:r>
      <w:r w:rsidRPr="000F42EA">
        <w:rPr>
          <w:rFonts w:ascii="Times" w:eastAsia="Times New Roman" w:hAnsi="Times" w:cs="Arial"/>
          <w:bCs/>
          <w:sz w:val="24"/>
          <w:szCs w:val="20"/>
          <w:lang w:eastAsia="pl-PL"/>
        </w:rPr>
        <w:t xml:space="preserve">2020) na glebę i w ten sposób pośrednio na stan </w:t>
      </w:r>
      <w:r w:rsidR="009C4014">
        <w:rPr>
          <w:rFonts w:ascii="Times" w:eastAsia="Times New Roman" w:hAnsi="Times" w:cs="Arial"/>
          <w:bCs/>
          <w:sz w:val="24"/>
          <w:szCs w:val="20"/>
          <w:lang w:eastAsia="pl-PL"/>
        </w:rPr>
        <w:t>wód.</w:t>
      </w:r>
      <w:r w:rsidR="005E0A60">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Wedle dotychczas przyjętych założeń prace terenowe (pobór prób glebowych i ich ocena laboratoryjna) są prowadzone przez Krajową Stację Chemiczno-Rolniczą i podległe jej okręgow</w:t>
      </w:r>
      <w:r w:rsidR="00280212">
        <w:rPr>
          <w:rFonts w:ascii="Times" w:eastAsia="Times New Roman" w:hAnsi="Times" w:cs="Arial"/>
          <w:bCs/>
          <w:sz w:val="24"/>
          <w:szCs w:val="20"/>
          <w:lang w:eastAsia="pl-PL"/>
        </w:rPr>
        <w:t>e stacje, zgodnie z art. 5 ust. </w:t>
      </w:r>
      <w:r w:rsidRPr="000F42EA">
        <w:rPr>
          <w:rFonts w:ascii="Times" w:eastAsia="Times New Roman" w:hAnsi="Times" w:cs="Arial"/>
          <w:bCs/>
          <w:sz w:val="24"/>
          <w:szCs w:val="20"/>
          <w:lang w:eastAsia="pl-PL"/>
        </w:rPr>
        <w:t>6 pkt 2 ustawy PROW 2014</w:t>
      </w:r>
      <w:r w:rsidRPr="000F42EA">
        <w:rPr>
          <w:rFonts w:ascii="Times New Roman" w:eastAsia="Times New Roman" w:hAnsi="Times New Roman" w:cs="Times New Roman"/>
          <w:bCs/>
          <w:sz w:val="24"/>
          <w:szCs w:val="20"/>
          <w:lang w:eastAsia="pl-PL"/>
        </w:rPr>
        <w:t>–</w:t>
      </w:r>
      <w:r w:rsidRPr="000F42EA">
        <w:rPr>
          <w:rFonts w:ascii="Times" w:eastAsia="Times New Roman" w:hAnsi="Times" w:cs="Arial"/>
          <w:bCs/>
          <w:sz w:val="24"/>
          <w:szCs w:val="20"/>
          <w:lang w:eastAsia="pl-PL"/>
        </w:rPr>
        <w:t>2020.</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 xml:space="preserve">Analiza zebranego i ocenionego przez </w:t>
      </w:r>
      <w:r w:rsidR="00A16964">
        <w:rPr>
          <w:rFonts w:ascii="Times" w:eastAsia="Times New Roman" w:hAnsi="Times" w:cs="Arial"/>
          <w:bCs/>
          <w:sz w:val="24"/>
          <w:szCs w:val="20"/>
          <w:lang w:eastAsia="pl-PL"/>
        </w:rPr>
        <w:t>s</w:t>
      </w:r>
      <w:r w:rsidRPr="000F42EA">
        <w:rPr>
          <w:rFonts w:ascii="Times" w:eastAsia="Times New Roman" w:hAnsi="Times" w:cs="Arial"/>
          <w:bCs/>
          <w:sz w:val="24"/>
          <w:szCs w:val="20"/>
          <w:lang w:eastAsia="pl-PL"/>
        </w:rPr>
        <w:t xml:space="preserve">tacje materiału jest prowadzona przez Instytutu Uprawy Nawożenia i Gleboznawstwa w Puławach, który w ramach </w:t>
      </w:r>
      <w:r w:rsidR="00A16964">
        <w:rPr>
          <w:rFonts w:ascii="Times" w:eastAsia="Times New Roman" w:hAnsi="Times" w:cs="Arial"/>
          <w:bCs/>
          <w:sz w:val="24"/>
          <w:szCs w:val="20"/>
          <w:lang w:eastAsia="pl-PL"/>
        </w:rPr>
        <w:t>p</w:t>
      </w:r>
      <w:r w:rsidRPr="000F42EA">
        <w:rPr>
          <w:rFonts w:ascii="Times" w:eastAsia="Times New Roman" w:hAnsi="Times" w:cs="Arial"/>
          <w:bCs/>
          <w:sz w:val="24"/>
          <w:szCs w:val="20"/>
          <w:lang w:eastAsia="pl-PL"/>
        </w:rPr>
        <w:t xml:space="preserve">rogramu </w:t>
      </w:r>
      <w:r w:rsidR="00A16964">
        <w:rPr>
          <w:rFonts w:ascii="Times" w:eastAsia="Times New Roman" w:hAnsi="Times" w:cs="Arial"/>
          <w:bCs/>
          <w:sz w:val="24"/>
          <w:szCs w:val="20"/>
          <w:lang w:eastAsia="pl-PL"/>
        </w:rPr>
        <w:t>w</w:t>
      </w:r>
      <w:r w:rsidRPr="000F42EA">
        <w:rPr>
          <w:rFonts w:ascii="Times" w:eastAsia="Times New Roman" w:hAnsi="Times" w:cs="Arial"/>
          <w:bCs/>
          <w:sz w:val="24"/>
          <w:szCs w:val="20"/>
          <w:lang w:eastAsia="pl-PL"/>
        </w:rPr>
        <w:t>ieloletniego pn. Wspieranie działań w zakresie ochrony i racjonalnego wykorzystania rolniczej przestrzeni produkcyjnej w Polsce oraz kształtowania jakości surowców roślinnych na lata 2016</w:t>
      </w:r>
      <w:r w:rsidRPr="000F42EA">
        <w:rPr>
          <w:rFonts w:ascii="Times New Roman" w:eastAsia="Times New Roman" w:hAnsi="Times New Roman" w:cs="Times New Roman"/>
          <w:bCs/>
          <w:sz w:val="24"/>
          <w:szCs w:val="20"/>
          <w:lang w:eastAsia="pl-PL"/>
        </w:rPr>
        <w:t>–</w:t>
      </w:r>
      <w:r w:rsidRPr="000F42EA">
        <w:rPr>
          <w:rFonts w:ascii="Times" w:eastAsia="Times New Roman" w:hAnsi="Times" w:cs="Arial"/>
          <w:bCs/>
          <w:sz w:val="24"/>
          <w:szCs w:val="20"/>
          <w:lang w:eastAsia="pl-PL"/>
        </w:rPr>
        <w:t>2020 prowadzi ocenę skutków polityki klimatyczno</w:t>
      </w:r>
      <w:r w:rsidR="0063669E">
        <w:rPr>
          <w:rFonts w:ascii="Times" w:eastAsia="Times New Roman" w:hAnsi="Times" w:cs="Arial"/>
          <w:bCs/>
          <w:sz w:val="24"/>
          <w:szCs w:val="20"/>
          <w:lang w:eastAsia="pl-PL"/>
        </w:rPr>
        <w:t>-</w:t>
      </w:r>
      <w:r w:rsidR="0063669E">
        <w:rPr>
          <w:rFonts w:ascii="Times" w:eastAsia="Times New Roman" w:hAnsi="Times" w:cs="Arial"/>
          <w:bCs/>
          <w:sz w:val="24"/>
          <w:szCs w:val="20"/>
          <w:lang w:eastAsia="pl-PL"/>
        </w:rPr>
        <w:br/>
      </w:r>
      <w:r w:rsidRPr="000F42EA">
        <w:rPr>
          <w:rFonts w:ascii="Times" w:eastAsia="Times New Roman" w:hAnsi="Times" w:cs="Arial"/>
          <w:bCs/>
          <w:sz w:val="24"/>
          <w:szCs w:val="20"/>
          <w:lang w:eastAsia="pl-PL"/>
        </w:rPr>
        <w:t>-energetycznej wspólnej polityki rolnej, a także wspiera działania mające na celu ograniczenie degradacji środowiska przyrodniczego (ochrona gleb, wód, powietrza).</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 xml:space="preserve">Realizacja w 2015 r. ww. zadania przez </w:t>
      </w:r>
      <w:r w:rsidR="00A16964">
        <w:rPr>
          <w:rFonts w:ascii="Times" w:eastAsia="Times New Roman" w:hAnsi="Times" w:cs="Arial"/>
          <w:bCs/>
          <w:sz w:val="24"/>
          <w:szCs w:val="20"/>
          <w:lang w:eastAsia="pl-PL"/>
        </w:rPr>
        <w:t>s</w:t>
      </w:r>
      <w:r w:rsidRPr="000F42EA">
        <w:rPr>
          <w:rFonts w:ascii="Times" w:eastAsia="Times New Roman" w:hAnsi="Times" w:cs="Arial"/>
          <w:bCs/>
          <w:sz w:val="24"/>
          <w:szCs w:val="20"/>
          <w:lang w:eastAsia="pl-PL"/>
        </w:rPr>
        <w:t xml:space="preserve">tacje </w:t>
      </w:r>
      <w:r w:rsidR="00A16964">
        <w:rPr>
          <w:rFonts w:ascii="Times" w:eastAsia="Times New Roman" w:hAnsi="Times" w:cs="Arial"/>
          <w:bCs/>
          <w:sz w:val="24"/>
          <w:szCs w:val="20"/>
          <w:lang w:eastAsia="pl-PL"/>
        </w:rPr>
        <w:t>c</w:t>
      </w:r>
      <w:r w:rsidRPr="000F42EA">
        <w:rPr>
          <w:rFonts w:ascii="Times" w:eastAsia="Times New Roman" w:hAnsi="Times" w:cs="Arial"/>
          <w:bCs/>
          <w:sz w:val="24"/>
          <w:szCs w:val="20"/>
          <w:lang w:eastAsia="pl-PL"/>
        </w:rPr>
        <w:t>hemiczno-</w:t>
      </w:r>
      <w:r w:rsidR="00A16964">
        <w:rPr>
          <w:rFonts w:ascii="Times" w:eastAsia="Times New Roman" w:hAnsi="Times" w:cs="Arial"/>
          <w:bCs/>
          <w:sz w:val="24"/>
          <w:szCs w:val="20"/>
          <w:lang w:eastAsia="pl-PL"/>
        </w:rPr>
        <w:t>r</w:t>
      </w:r>
      <w:r w:rsidRPr="000F42EA">
        <w:rPr>
          <w:rFonts w:ascii="Times" w:eastAsia="Times New Roman" w:hAnsi="Times" w:cs="Arial"/>
          <w:bCs/>
          <w:sz w:val="24"/>
          <w:szCs w:val="20"/>
          <w:lang w:eastAsia="pl-PL"/>
        </w:rPr>
        <w:t>olnicze ukazała potrzebę doprecyzowania przepisów ustawy PROW 2014</w:t>
      </w:r>
      <w:r w:rsidRPr="000F42EA">
        <w:rPr>
          <w:rFonts w:ascii="Times New Roman" w:eastAsia="Times New Roman" w:hAnsi="Times New Roman" w:cs="Times New Roman"/>
          <w:bCs/>
          <w:sz w:val="24"/>
          <w:szCs w:val="20"/>
          <w:lang w:eastAsia="pl-PL"/>
        </w:rPr>
        <w:t>–</w:t>
      </w:r>
      <w:r w:rsidRPr="000F42EA">
        <w:rPr>
          <w:rFonts w:ascii="Times" w:eastAsia="Times New Roman" w:hAnsi="Times" w:cs="Arial"/>
          <w:bCs/>
          <w:sz w:val="24"/>
          <w:szCs w:val="20"/>
          <w:lang w:eastAsia="pl-PL"/>
        </w:rPr>
        <w:t>2020. Za doprecyzowaniem przemawiają poniższe przesłanki</w:t>
      </w:r>
      <w:r w:rsidR="00A16964">
        <w:rPr>
          <w:rFonts w:ascii="Times" w:eastAsia="Times New Roman" w:hAnsi="Times" w:cs="Arial"/>
          <w:bCs/>
          <w:sz w:val="24"/>
          <w:szCs w:val="20"/>
          <w:lang w:eastAsia="pl-PL"/>
        </w:rPr>
        <w:t>.</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Obecne brzmienie przepisu art. 5 ust. 6 pkt 2</w:t>
      </w:r>
      <w:r w:rsidR="00A16964">
        <w:rPr>
          <w:rFonts w:ascii="Times" w:eastAsia="Times New Roman" w:hAnsi="Times" w:cs="Arial"/>
          <w:bCs/>
          <w:sz w:val="24"/>
          <w:szCs w:val="20"/>
          <w:lang w:eastAsia="pl-PL"/>
        </w:rPr>
        <w:t xml:space="preserve"> ustawy PROW 2014–2020</w:t>
      </w:r>
      <w:r w:rsidR="00280212">
        <w:rPr>
          <w:rFonts w:ascii="Times" w:eastAsia="Times New Roman" w:hAnsi="Times" w:cs="Arial"/>
          <w:bCs/>
          <w:sz w:val="24"/>
          <w:szCs w:val="20"/>
          <w:lang w:eastAsia="pl-PL"/>
        </w:rPr>
        <w:t xml:space="preserve"> o tworzeniu i </w:t>
      </w:r>
      <w:r w:rsidRPr="000F42EA">
        <w:rPr>
          <w:rFonts w:ascii="Times" w:eastAsia="Times New Roman" w:hAnsi="Times" w:cs="Arial"/>
          <w:bCs/>
          <w:sz w:val="24"/>
          <w:szCs w:val="20"/>
          <w:lang w:eastAsia="pl-PL"/>
        </w:rPr>
        <w:t>prowadzeniu baz</w:t>
      </w:r>
      <w:r w:rsidR="009C4014">
        <w:rPr>
          <w:rFonts w:ascii="Times" w:eastAsia="Times New Roman" w:hAnsi="Times" w:cs="Arial"/>
          <w:bCs/>
          <w:sz w:val="24"/>
          <w:szCs w:val="20"/>
          <w:lang w:eastAsia="pl-PL"/>
        </w:rPr>
        <w:t>y</w:t>
      </w:r>
      <w:r w:rsidRPr="000F42EA">
        <w:rPr>
          <w:rFonts w:ascii="Times" w:eastAsia="Times New Roman" w:hAnsi="Times" w:cs="Arial"/>
          <w:bCs/>
          <w:sz w:val="24"/>
          <w:szCs w:val="20"/>
          <w:lang w:eastAsia="pl-PL"/>
        </w:rPr>
        <w:t xml:space="preserve"> danych zawierając</w:t>
      </w:r>
      <w:r w:rsidR="00AE1F20">
        <w:rPr>
          <w:rFonts w:ascii="Times" w:eastAsia="Times New Roman" w:hAnsi="Times" w:cs="Arial"/>
          <w:bCs/>
          <w:sz w:val="24"/>
          <w:szCs w:val="20"/>
          <w:lang w:eastAsia="pl-PL"/>
        </w:rPr>
        <w:t>ej</w:t>
      </w:r>
      <w:r w:rsidRPr="000F42EA">
        <w:rPr>
          <w:rFonts w:ascii="Times" w:eastAsia="Times New Roman" w:hAnsi="Times" w:cs="Arial"/>
          <w:bCs/>
          <w:sz w:val="24"/>
          <w:szCs w:val="20"/>
          <w:lang w:eastAsia="pl-PL"/>
        </w:rPr>
        <w:t xml:space="preserve"> wyniki analiz gleb może być interpretowane niewłaściwie, zawężająco,</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tj. tworzenie baz</w:t>
      </w:r>
      <w:r w:rsidR="00AE1F20">
        <w:rPr>
          <w:rFonts w:ascii="Times" w:eastAsia="Times New Roman" w:hAnsi="Times" w:cs="Arial"/>
          <w:bCs/>
          <w:sz w:val="24"/>
          <w:szCs w:val="20"/>
          <w:lang w:eastAsia="pl-PL"/>
        </w:rPr>
        <w:t>y</w:t>
      </w:r>
      <w:r w:rsidRPr="000F42EA">
        <w:rPr>
          <w:rFonts w:ascii="Times" w:eastAsia="Times New Roman" w:hAnsi="Times" w:cs="Arial"/>
          <w:bCs/>
          <w:sz w:val="24"/>
          <w:szCs w:val="20"/>
          <w:lang w:eastAsia="pl-PL"/>
        </w:rPr>
        <w:t xml:space="preserve"> może być rozumiane jako przygotowanie aplikacji, przygotowanie struktury bazy danych. Natomiast prowadzenie baz</w:t>
      </w:r>
      <w:r w:rsidR="00AE1F20">
        <w:rPr>
          <w:rFonts w:ascii="Times" w:eastAsia="Times New Roman" w:hAnsi="Times" w:cs="Arial"/>
          <w:bCs/>
          <w:sz w:val="24"/>
          <w:szCs w:val="20"/>
          <w:lang w:eastAsia="pl-PL"/>
        </w:rPr>
        <w:t>y</w:t>
      </w:r>
      <w:r w:rsidRPr="000F42EA">
        <w:rPr>
          <w:rFonts w:ascii="Times" w:eastAsia="Times New Roman" w:hAnsi="Times" w:cs="Arial"/>
          <w:bCs/>
          <w:sz w:val="24"/>
          <w:szCs w:val="20"/>
          <w:lang w:eastAsia="pl-PL"/>
        </w:rPr>
        <w:t xml:space="preserve"> danych może być rozumiane jako utrzymanie baz</w:t>
      </w:r>
      <w:r w:rsidR="00AE1F20">
        <w:rPr>
          <w:rFonts w:ascii="Times" w:eastAsia="Times New Roman" w:hAnsi="Times" w:cs="Arial"/>
          <w:bCs/>
          <w:sz w:val="24"/>
          <w:szCs w:val="20"/>
          <w:lang w:eastAsia="pl-PL"/>
        </w:rPr>
        <w:t>y</w:t>
      </w:r>
      <w:r w:rsidRPr="000F42EA">
        <w:rPr>
          <w:rFonts w:ascii="Times" w:eastAsia="Times New Roman" w:hAnsi="Times" w:cs="Arial"/>
          <w:bCs/>
          <w:sz w:val="24"/>
          <w:szCs w:val="20"/>
          <w:lang w:eastAsia="pl-PL"/>
        </w:rPr>
        <w:t xml:space="preserve"> danych, uzupełnianie danych. Plan badań realizowanych przez Krajową Stację Chemiczno-Rolniczą wspólnie z okręgowymi stacjami wskazuje, że podmioty te wykonują również ocenę prób glebowych według określanych w tym </w:t>
      </w:r>
      <w:r w:rsidR="00AE1F20">
        <w:rPr>
          <w:rFonts w:ascii="Times" w:eastAsia="Times New Roman" w:hAnsi="Times" w:cs="Arial"/>
          <w:bCs/>
          <w:sz w:val="24"/>
          <w:szCs w:val="20"/>
          <w:lang w:eastAsia="pl-PL"/>
        </w:rPr>
        <w:t>p</w:t>
      </w:r>
      <w:r w:rsidRPr="000F42EA">
        <w:rPr>
          <w:rFonts w:ascii="Times" w:eastAsia="Times New Roman" w:hAnsi="Times" w:cs="Arial"/>
          <w:bCs/>
          <w:sz w:val="24"/>
          <w:szCs w:val="20"/>
          <w:lang w:eastAsia="pl-PL"/>
        </w:rPr>
        <w:t xml:space="preserve">lanie metod i terminu wykonania badań. </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 xml:space="preserve">Baza danych zawierająca wyniki analiz gleb </w:t>
      </w:r>
      <w:r w:rsidR="00AE1F20" w:rsidRPr="000F42EA">
        <w:rPr>
          <w:rFonts w:ascii="Times" w:eastAsia="Times New Roman" w:hAnsi="Times" w:cs="Arial"/>
          <w:bCs/>
          <w:sz w:val="24"/>
          <w:szCs w:val="20"/>
          <w:lang w:eastAsia="pl-PL"/>
        </w:rPr>
        <w:t xml:space="preserve">jest </w:t>
      </w:r>
      <w:r w:rsidRPr="000F42EA">
        <w:rPr>
          <w:rFonts w:ascii="Times" w:eastAsia="Times New Roman" w:hAnsi="Times" w:cs="Arial"/>
          <w:bCs/>
          <w:sz w:val="24"/>
          <w:szCs w:val="20"/>
          <w:lang w:eastAsia="pl-PL"/>
        </w:rPr>
        <w:t xml:space="preserve">tworzona przez Krajową Stację Chemiczno-Rolniczą w celu monitorowania i ewaluacji oddziaływania, efektywności, skuteczności i znaczenia działań z zakresu polityki rozwoju obszarów wiejskich. Baza danych parametrów glebowych zawierająca informacje dla wielolecia ma na celu ułatwienie monitorowania długofalowych efektów </w:t>
      </w:r>
      <w:r w:rsidRPr="000F42EA">
        <w:rPr>
          <w:rFonts w:ascii="Times" w:eastAsia="Times New Roman" w:hAnsi="Times" w:cs="TimesNewRoman,Bold"/>
          <w:bCs/>
          <w:sz w:val="24"/>
          <w:szCs w:val="20"/>
          <w:lang w:eastAsia="pl-PL"/>
        </w:rPr>
        <w:t>PROW 2014</w:t>
      </w:r>
      <w:r w:rsidR="0063669E">
        <w:rPr>
          <w:rFonts w:ascii="Times" w:eastAsia="Times New Roman" w:hAnsi="Times" w:cs="TimesNewRoman,Bold"/>
          <w:bCs/>
          <w:sz w:val="24"/>
          <w:szCs w:val="20"/>
          <w:lang w:eastAsia="pl-PL"/>
        </w:rPr>
        <w:t>–</w:t>
      </w:r>
      <w:r w:rsidRPr="000F42EA">
        <w:rPr>
          <w:rFonts w:ascii="Times" w:eastAsia="Times New Roman" w:hAnsi="Times" w:cs="TimesNewRoman,Bold"/>
          <w:bCs/>
          <w:sz w:val="24"/>
          <w:szCs w:val="20"/>
          <w:lang w:eastAsia="pl-PL"/>
        </w:rPr>
        <w:t xml:space="preserve">2020 (ocena średniookresowa </w:t>
      </w:r>
      <w:r w:rsidR="00AE1F20">
        <w:rPr>
          <w:rFonts w:ascii="Times" w:eastAsia="Times New Roman" w:hAnsi="Times" w:cs="TimesNewRoman,Bold"/>
          <w:bCs/>
          <w:sz w:val="24"/>
          <w:szCs w:val="20"/>
          <w:lang w:eastAsia="pl-PL"/>
        </w:rPr>
        <w:t>p</w:t>
      </w:r>
      <w:r w:rsidRPr="000F42EA">
        <w:rPr>
          <w:rFonts w:ascii="Times" w:eastAsia="Times New Roman" w:hAnsi="Times" w:cs="TimesNewRoman,Bold"/>
          <w:bCs/>
          <w:sz w:val="24"/>
          <w:szCs w:val="20"/>
          <w:lang w:eastAsia="pl-PL"/>
        </w:rPr>
        <w:t>rogramu oraz ocena ex</w:t>
      </w:r>
      <w:r w:rsidR="006C0375">
        <w:rPr>
          <w:rFonts w:ascii="Times" w:eastAsia="Times New Roman" w:hAnsi="Times" w:cs="TimesNewRoman,Bold"/>
          <w:bCs/>
          <w:sz w:val="24"/>
          <w:szCs w:val="20"/>
          <w:lang w:eastAsia="pl-PL"/>
        </w:rPr>
        <w:t xml:space="preserve"> </w:t>
      </w:r>
      <w:r w:rsidRPr="000F42EA">
        <w:rPr>
          <w:rFonts w:ascii="Times" w:eastAsia="Times New Roman" w:hAnsi="Times" w:cs="TimesNewRoman,Bold"/>
          <w:bCs/>
          <w:sz w:val="24"/>
          <w:szCs w:val="20"/>
          <w:lang w:eastAsia="pl-PL"/>
        </w:rPr>
        <w:t xml:space="preserve">post) przez umożliwienie oceny </w:t>
      </w:r>
      <w:r w:rsidRPr="000F42EA">
        <w:rPr>
          <w:rFonts w:ascii="Times" w:eastAsia="Times New Roman" w:hAnsi="Times" w:cs="TimesNewRoman"/>
          <w:bCs/>
          <w:sz w:val="24"/>
          <w:szCs w:val="20"/>
          <w:lang w:eastAsia="pl-PL"/>
        </w:rPr>
        <w:t xml:space="preserve">efektów wdrażania poszczególnych działań w ramach </w:t>
      </w:r>
      <w:r w:rsidRPr="000F42EA">
        <w:rPr>
          <w:rFonts w:ascii="Times" w:eastAsia="Times New Roman" w:hAnsi="Times" w:cs="TimesNewRoman,Bold"/>
          <w:bCs/>
          <w:sz w:val="24"/>
          <w:szCs w:val="20"/>
          <w:lang w:eastAsia="pl-PL"/>
        </w:rPr>
        <w:t>PROW 2014</w:t>
      </w:r>
      <w:r w:rsidR="0063669E">
        <w:rPr>
          <w:rFonts w:ascii="Times" w:eastAsia="Times New Roman" w:hAnsi="Times" w:cs="TimesNewRoman,Bold"/>
          <w:bCs/>
          <w:sz w:val="24"/>
          <w:szCs w:val="20"/>
          <w:lang w:eastAsia="pl-PL"/>
        </w:rPr>
        <w:t>–</w:t>
      </w:r>
      <w:r w:rsidRPr="000F42EA">
        <w:rPr>
          <w:rFonts w:ascii="Times" w:eastAsia="Times New Roman" w:hAnsi="Times" w:cs="TimesNewRoman,Bold"/>
          <w:bCs/>
          <w:sz w:val="24"/>
          <w:szCs w:val="20"/>
          <w:lang w:eastAsia="pl-PL"/>
        </w:rPr>
        <w:t xml:space="preserve">2020 oraz </w:t>
      </w:r>
      <w:r w:rsidRPr="000F42EA">
        <w:rPr>
          <w:rFonts w:ascii="Times" w:eastAsia="Times New Roman" w:hAnsi="Times" w:cs="Arial"/>
          <w:bCs/>
          <w:sz w:val="24"/>
          <w:szCs w:val="20"/>
          <w:lang w:eastAsia="pl-PL"/>
        </w:rPr>
        <w:t>oceny skuteczności działań podejmowanych w zakresie rozwoju obszarów wiejskich.</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lastRenderedPageBreak/>
        <w:t>Wypełnienie celów, o których mowa w art. 68 lit. a rozporządzenia Parlamentu Europejskiego i Rady (UE) nr 1305/2013 z dnia 17 grudnia 2013 r. w sprawie wsparcia rozwoju obszarów wiejskich przez Europejski Fundusz Rolny na rzecz Rozwoju Obszarów Wiejskich (EFRROW) i uchylając</w:t>
      </w:r>
      <w:r w:rsidR="00280212">
        <w:rPr>
          <w:rFonts w:ascii="Times" w:eastAsia="Times New Roman" w:hAnsi="Times" w:cs="Arial"/>
          <w:bCs/>
          <w:sz w:val="24"/>
          <w:szCs w:val="20"/>
          <w:lang w:eastAsia="pl-PL"/>
        </w:rPr>
        <w:t>ego rozporządzenie Rady (WE) nr </w:t>
      </w:r>
      <w:r w:rsidRPr="000F42EA">
        <w:rPr>
          <w:rFonts w:ascii="Times" w:eastAsia="Times New Roman" w:hAnsi="Times" w:cs="Arial"/>
          <w:bCs/>
          <w:sz w:val="24"/>
          <w:szCs w:val="20"/>
          <w:lang w:eastAsia="pl-PL"/>
        </w:rPr>
        <w:t xml:space="preserve">1698/2005 (Dz. Urz. UE L 347 z 20.12.2013, str. 487, z późn. zm.), </w:t>
      </w:r>
      <w:r w:rsidR="00AE1F20">
        <w:rPr>
          <w:rFonts w:ascii="Times" w:eastAsia="Times New Roman" w:hAnsi="Times" w:cs="Arial"/>
          <w:bCs/>
          <w:sz w:val="24"/>
          <w:szCs w:val="20"/>
          <w:lang w:eastAsia="pl-PL"/>
        </w:rPr>
        <w:t xml:space="preserve">zwanego dalej „rozporządzeniem nr 1305/2013”, </w:t>
      </w:r>
      <w:r w:rsidRPr="000F42EA">
        <w:rPr>
          <w:rFonts w:ascii="Times" w:eastAsia="Times New Roman" w:hAnsi="Times" w:cs="Arial"/>
          <w:bCs/>
          <w:sz w:val="24"/>
          <w:szCs w:val="20"/>
          <w:lang w:eastAsia="pl-PL"/>
        </w:rPr>
        <w:t>wymaga aby analizy glebowe, które mają przedstawiać postępy i osiągnięcia w dziedzinie polityki rozwoju obszarów wiejskich oraz ocenę oddziaływania, efektywności, skuteczności i znaczenia interwencji z zakresu polityki rozwoju obszarów wiejskich</w:t>
      </w:r>
      <w:r w:rsidR="00AE1F20">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były wspierane badaniami ankietowymi. Połączenie wyników badań glebowych i badań ankietowych pozwala w pełni ukazać obraz obserwowanych zmian i udzielić wyczerpującej odpowiedzi </w:t>
      </w:r>
      <w:r w:rsidR="00AE1F20">
        <w:rPr>
          <w:rFonts w:ascii="Times" w:eastAsia="Times New Roman" w:hAnsi="Times" w:cs="Arial"/>
          <w:bCs/>
          <w:sz w:val="24"/>
          <w:szCs w:val="20"/>
          <w:lang w:eastAsia="pl-PL"/>
        </w:rPr>
        <w:t xml:space="preserve">na pytanie </w:t>
      </w:r>
      <w:r w:rsidRPr="000F42EA">
        <w:rPr>
          <w:rFonts w:ascii="Times" w:eastAsia="Times New Roman" w:hAnsi="Times" w:cs="Arial"/>
          <w:bCs/>
          <w:sz w:val="24"/>
          <w:szCs w:val="20"/>
          <w:lang w:eastAsia="pl-PL"/>
        </w:rPr>
        <w:t>dlaczego zmiany te zachodzą. Z tego powodu tworzenie i prowadzenie baz</w:t>
      </w:r>
      <w:r w:rsidR="00AE1F20">
        <w:rPr>
          <w:rFonts w:ascii="Times" w:eastAsia="Times New Roman" w:hAnsi="Times" w:cs="Arial"/>
          <w:bCs/>
          <w:sz w:val="24"/>
          <w:szCs w:val="20"/>
          <w:lang w:eastAsia="pl-PL"/>
        </w:rPr>
        <w:t>y</w:t>
      </w:r>
      <w:r w:rsidRPr="000F42EA">
        <w:rPr>
          <w:rFonts w:ascii="Times" w:eastAsia="Times New Roman" w:hAnsi="Times" w:cs="Arial"/>
          <w:bCs/>
          <w:sz w:val="24"/>
          <w:szCs w:val="20"/>
          <w:lang w:eastAsia="pl-PL"/>
        </w:rPr>
        <w:t xml:space="preserve"> danych zawierającej wyniki analiz gleb w celu, o którym mowa w art. 68 lit. a rozporządzenia nr 1305/2013, powinno być wspierane przez badania ankietowe. </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 xml:space="preserve">Jednym z wymogów pakietu </w:t>
      </w:r>
      <w:r w:rsidR="00AE1F20">
        <w:rPr>
          <w:rFonts w:ascii="Times" w:eastAsia="Times New Roman" w:hAnsi="Times" w:cs="Arial"/>
          <w:bCs/>
          <w:sz w:val="24"/>
          <w:szCs w:val="20"/>
          <w:lang w:eastAsia="pl-PL"/>
        </w:rPr>
        <w:t>1 – R</w:t>
      </w:r>
      <w:r w:rsidRPr="000F42EA">
        <w:rPr>
          <w:rFonts w:ascii="Times" w:eastAsia="Times New Roman" w:hAnsi="Times" w:cs="Arial"/>
          <w:bCs/>
          <w:sz w:val="24"/>
          <w:szCs w:val="20"/>
          <w:lang w:eastAsia="pl-PL"/>
        </w:rPr>
        <w:t xml:space="preserve">olnictwo zrównoważone </w:t>
      </w:r>
      <w:r w:rsidR="00AE1F20">
        <w:rPr>
          <w:rFonts w:ascii="Times" w:eastAsia="Times New Roman" w:hAnsi="Times" w:cs="Arial"/>
          <w:bCs/>
          <w:sz w:val="24"/>
          <w:szCs w:val="20"/>
          <w:lang w:eastAsia="pl-PL"/>
        </w:rPr>
        <w:t xml:space="preserve">w ramach działania </w:t>
      </w:r>
      <w:r w:rsidRPr="000F42EA">
        <w:rPr>
          <w:rFonts w:ascii="Times" w:eastAsia="Times New Roman" w:hAnsi="Times" w:cs="Arial"/>
          <w:bCs/>
          <w:sz w:val="24"/>
          <w:szCs w:val="20"/>
          <w:lang w:eastAsia="pl-PL"/>
        </w:rPr>
        <w:t>„Działani</w:t>
      </w:r>
      <w:r w:rsidR="00AE1F20">
        <w:rPr>
          <w:rFonts w:ascii="Times" w:eastAsia="Times New Roman" w:hAnsi="Times" w:cs="Arial"/>
          <w:bCs/>
          <w:sz w:val="24"/>
          <w:szCs w:val="20"/>
          <w:lang w:eastAsia="pl-PL"/>
        </w:rPr>
        <w:t>e</w:t>
      </w:r>
      <w:r w:rsidRPr="000F42EA">
        <w:rPr>
          <w:rFonts w:ascii="Times" w:eastAsia="Times New Roman" w:hAnsi="Times" w:cs="Arial"/>
          <w:bCs/>
          <w:sz w:val="24"/>
          <w:szCs w:val="20"/>
          <w:lang w:eastAsia="pl-PL"/>
        </w:rPr>
        <w:t xml:space="preserve"> rolno-środowiskowo-klimatyczne” jest „dwukrotna chemiczna analiza gleby (pH, P, K, Mg i węgiel organiczny) – wykonana na gruntach ornych w pierwszym (lub poprzedzającym) i w piątym (lub poprzedzającym) roku realizacji pakietu.”. Wyniki tych analiz producenci rolni przesyłają w</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 xml:space="preserve">terminie </w:t>
      </w:r>
      <w:r w:rsidR="00280212">
        <w:rPr>
          <w:rFonts w:ascii="Times" w:eastAsia="Times New Roman" w:hAnsi="Times" w:cs="Arial"/>
          <w:bCs/>
          <w:sz w:val="24"/>
          <w:szCs w:val="20"/>
          <w:lang w:eastAsia="pl-PL"/>
        </w:rPr>
        <w:t>do dnia 31 października roku, w </w:t>
      </w:r>
      <w:r w:rsidRPr="000F42EA">
        <w:rPr>
          <w:rFonts w:ascii="Times" w:eastAsia="Times New Roman" w:hAnsi="Times" w:cs="Arial"/>
          <w:bCs/>
          <w:sz w:val="24"/>
          <w:szCs w:val="20"/>
          <w:lang w:eastAsia="pl-PL"/>
        </w:rPr>
        <w:t xml:space="preserve">którym </w:t>
      </w:r>
      <w:r w:rsidR="00AE1F20" w:rsidRPr="000F42EA">
        <w:rPr>
          <w:rFonts w:ascii="Times" w:eastAsia="Times New Roman" w:hAnsi="Times" w:cs="Arial"/>
          <w:bCs/>
          <w:sz w:val="24"/>
          <w:szCs w:val="20"/>
          <w:lang w:eastAsia="pl-PL"/>
        </w:rPr>
        <w:t xml:space="preserve">jest </w:t>
      </w:r>
      <w:r w:rsidRPr="000F42EA">
        <w:rPr>
          <w:rFonts w:ascii="Times" w:eastAsia="Times New Roman" w:hAnsi="Times" w:cs="Arial"/>
          <w:bCs/>
          <w:sz w:val="24"/>
          <w:szCs w:val="20"/>
          <w:lang w:eastAsia="pl-PL"/>
        </w:rPr>
        <w:t>składany wniosek o przyznanie pierwszej i piątej płatności rolno</w:t>
      </w:r>
      <w:r w:rsidR="0063669E">
        <w:rPr>
          <w:rFonts w:ascii="Times" w:eastAsia="Times New Roman" w:hAnsi="Times" w:cs="Arial"/>
          <w:bCs/>
          <w:sz w:val="24"/>
          <w:szCs w:val="20"/>
          <w:lang w:eastAsia="pl-PL"/>
        </w:rPr>
        <w:t>-</w:t>
      </w:r>
      <w:r w:rsidR="004A2D4B">
        <w:rPr>
          <w:rFonts w:ascii="Times" w:eastAsia="Times New Roman" w:hAnsi="Times" w:cs="Arial"/>
          <w:bCs/>
          <w:sz w:val="24"/>
          <w:szCs w:val="20"/>
          <w:lang w:eastAsia="pl-PL"/>
        </w:rPr>
        <w:br/>
        <w:t>-</w:t>
      </w:r>
      <w:r w:rsidRPr="000F42EA">
        <w:rPr>
          <w:rFonts w:ascii="Times" w:eastAsia="Times New Roman" w:hAnsi="Times" w:cs="Arial"/>
          <w:bCs/>
          <w:sz w:val="24"/>
          <w:szCs w:val="20"/>
          <w:lang w:eastAsia="pl-PL"/>
        </w:rPr>
        <w:t xml:space="preserve">środowiskowo-klimatycznej. Dlatego niezbędne jest upoważnienie do przekazywania ww. wyników analiz chemicznych gleb przez Agencję Restrukturyzacji i Modernizacji </w:t>
      </w:r>
      <w:r w:rsidR="00AE1F20">
        <w:rPr>
          <w:rFonts w:ascii="Times" w:eastAsia="Times New Roman" w:hAnsi="Times" w:cs="Arial"/>
          <w:bCs/>
          <w:sz w:val="24"/>
          <w:szCs w:val="20"/>
          <w:lang w:eastAsia="pl-PL"/>
        </w:rPr>
        <w:t xml:space="preserve">Rolnictwa (ARiMR) </w:t>
      </w:r>
      <w:r w:rsidRPr="000F42EA">
        <w:rPr>
          <w:rFonts w:ascii="Times" w:eastAsia="Times New Roman" w:hAnsi="Times" w:cs="Arial"/>
          <w:bCs/>
          <w:sz w:val="24"/>
          <w:szCs w:val="20"/>
          <w:lang w:eastAsia="pl-PL"/>
        </w:rPr>
        <w:t>do Krajowej Stacji Chemiczno-Rolniczej. Jest to bardzo ważne, gdyż Instytucja Zarządzająca</w:t>
      </w:r>
      <w:r w:rsidR="00BB34B0">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ustalając corocznie Plan prac (w tym zakres badanych parametrów gleb, liczbę punktów pomiarowych objętych badaniami agrochemicznymi) dla Krajowej Stacji Chemiczno-Rolniczej</w:t>
      </w:r>
      <w:r w:rsidR="00BB34B0">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bierze pod uwagę m.in. miejsca dotychczas prowadzonych prac terenowych (miejsca pobranych prób glebowych przez </w:t>
      </w:r>
      <w:r w:rsidR="00AE1F20">
        <w:rPr>
          <w:rFonts w:ascii="Times" w:eastAsia="Times New Roman" w:hAnsi="Times" w:cs="Arial"/>
          <w:bCs/>
          <w:sz w:val="24"/>
          <w:szCs w:val="20"/>
          <w:lang w:eastAsia="pl-PL"/>
        </w:rPr>
        <w:t>s</w:t>
      </w:r>
      <w:r w:rsidRPr="000F42EA">
        <w:rPr>
          <w:rFonts w:ascii="Times" w:eastAsia="Times New Roman" w:hAnsi="Times" w:cs="Arial"/>
          <w:bCs/>
          <w:sz w:val="24"/>
          <w:szCs w:val="20"/>
          <w:lang w:eastAsia="pl-PL"/>
        </w:rPr>
        <w:t xml:space="preserve">tacje) oraz pola, na których </w:t>
      </w:r>
      <w:r w:rsidR="00AE1F20" w:rsidRPr="000F42EA">
        <w:rPr>
          <w:rFonts w:ascii="Times" w:eastAsia="Times New Roman" w:hAnsi="Times" w:cs="Arial"/>
          <w:bCs/>
          <w:sz w:val="24"/>
          <w:szCs w:val="20"/>
          <w:lang w:eastAsia="pl-PL"/>
        </w:rPr>
        <w:t xml:space="preserve">są </w:t>
      </w:r>
      <w:r w:rsidRPr="000F42EA">
        <w:rPr>
          <w:rFonts w:ascii="Times" w:eastAsia="Times New Roman" w:hAnsi="Times" w:cs="Arial"/>
          <w:bCs/>
          <w:sz w:val="24"/>
          <w:szCs w:val="20"/>
          <w:lang w:eastAsia="pl-PL"/>
        </w:rPr>
        <w:t>wdrażane działania: „Rolnictwo ekologiczne”</w:t>
      </w:r>
      <w:r w:rsidR="00AE1F20">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„Działanie rolno</w:t>
      </w:r>
      <w:r w:rsidR="004A2D4B">
        <w:rPr>
          <w:rFonts w:ascii="Times" w:eastAsia="Times New Roman" w:hAnsi="Times" w:cs="Arial"/>
          <w:bCs/>
          <w:sz w:val="24"/>
          <w:szCs w:val="20"/>
          <w:lang w:eastAsia="pl-PL"/>
        </w:rPr>
        <w:t>-</w:t>
      </w:r>
      <w:r w:rsidR="004A2D4B">
        <w:rPr>
          <w:rFonts w:ascii="Times" w:eastAsia="Times New Roman" w:hAnsi="Times" w:cs="Arial"/>
          <w:bCs/>
          <w:sz w:val="24"/>
          <w:szCs w:val="20"/>
          <w:lang w:eastAsia="pl-PL"/>
        </w:rPr>
        <w:br/>
      </w:r>
      <w:r w:rsidRPr="000F42EA">
        <w:rPr>
          <w:rFonts w:ascii="Times" w:eastAsia="Times New Roman" w:hAnsi="Times" w:cs="Arial"/>
          <w:bCs/>
          <w:sz w:val="24"/>
          <w:szCs w:val="20"/>
          <w:lang w:eastAsia="pl-PL"/>
        </w:rPr>
        <w:t>-środowiskowo-klimatyczne”</w:t>
      </w:r>
      <w:r w:rsidR="00AE1F20">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„Inwestycje w rozwój obszarów leśnych i poprawę żywotności lasów”</w:t>
      </w:r>
      <w:r w:rsidR="00AE1F20">
        <w:rPr>
          <w:rFonts w:ascii="Times" w:eastAsia="Times New Roman" w:hAnsi="Times" w:cs="Arial"/>
          <w:bCs/>
          <w:sz w:val="24"/>
          <w:szCs w:val="20"/>
          <w:lang w:eastAsia="pl-PL"/>
        </w:rPr>
        <w:t xml:space="preserve"> oraz</w:t>
      </w:r>
      <w:r w:rsidRPr="000F42EA">
        <w:rPr>
          <w:rFonts w:ascii="Times" w:eastAsia="Times New Roman" w:hAnsi="Times" w:cs="Arial"/>
          <w:bCs/>
          <w:sz w:val="24"/>
          <w:szCs w:val="20"/>
          <w:lang w:eastAsia="pl-PL"/>
        </w:rPr>
        <w:t xml:space="preserve"> „Płatności dla obszarów z ograniczeniami naturalnymi lub innymi szczególnymi ograniczeniami”. Możliwość wykorzystania w ramach szerokiego monitoringu gleb danych pochodzących z wniosków o przyznanie płatności rolno</w:t>
      </w:r>
      <w:r w:rsidR="004A2D4B">
        <w:rPr>
          <w:rFonts w:ascii="Times" w:eastAsia="Times New Roman" w:hAnsi="Times" w:cs="Arial"/>
          <w:bCs/>
          <w:sz w:val="24"/>
          <w:szCs w:val="20"/>
          <w:lang w:eastAsia="pl-PL"/>
        </w:rPr>
        <w:t>-</w:t>
      </w:r>
      <w:r w:rsidR="004A2D4B">
        <w:rPr>
          <w:rFonts w:ascii="Times" w:eastAsia="Times New Roman" w:hAnsi="Times" w:cs="Arial"/>
          <w:bCs/>
          <w:sz w:val="24"/>
          <w:szCs w:val="20"/>
          <w:lang w:eastAsia="pl-PL"/>
        </w:rPr>
        <w:br/>
      </w:r>
      <w:r w:rsidRPr="000F42EA">
        <w:rPr>
          <w:rFonts w:ascii="Times" w:eastAsia="Times New Roman" w:hAnsi="Times" w:cs="Arial"/>
          <w:bCs/>
          <w:sz w:val="24"/>
          <w:szCs w:val="20"/>
          <w:lang w:eastAsia="pl-PL"/>
        </w:rPr>
        <w:t xml:space="preserve">-środowiskowo-klimatycznej pozwoliłoby zwiększyć zasięg przedmiotowego </w:t>
      </w:r>
      <w:r w:rsidRPr="000F42EA">
        <w:rPr>
          <w:rFonts w:ascii="Times" w:eastAsia="Times New Roman" w:hAnsi="Times" w:cs="Arial"/>
          <w:bCs/>
          <w:sz w:val="24"/>
          <w:szCs w:val="20"/>
          <w:lang w:eastAsia="pl-PL"/>
        </w:rPr>
        <w:lastRenderedPageBreak/>
        <w:t xml:space="preserve">monitoringu, a także wykluczyłoby sytuację, w których punkty wskazane do badań przez stacje pokrywałby się z działkami, które rolnicy objęli już badaniami. </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Mając na uwadze, że w przypadku gdy rolnik nie złoży dokumentów wymienionych w</w:t>
      </w:r>
      <w:r w:rsidR="00280212">
        <w:rPr>
          <w:rFonts w:ascii="Times" w:eastAsia="Times New Roman" w:hAnsi="Times" w:cs="Arial"/>
          <w:bCs/>
          <w:sz w:val="24"/>
          <w:szCs w:val="20"/>
          <w:lang w:eastAsia="pl-PL"/>
        </w:rPr>
        <w:t> </w:t>
      </w:r>
      <w:r w:rsidRPr="000F42EA">
        <w:rPr>
          <w:rFonts w:ascii="Times" w:eastAsia="Times New Roman" w:hAnsi="Times" w:cs="Arial"/>
          <w:bCs/>
          <w:sz w:val="24"/>
          <w:szCs w:val="20"/>
          <w:lang w:eastAsia="pl-PL"/>
        </w:rPr>
        <w:t>§</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21 ust. 1 rozporządzenia Ministra Rolnictwa i Rozwoju Wsi z</w:t>
      </w:r>
      <w:r w:rsidR="0063669E">
        <w:rPr>
          <w:rFonts w:ascii="Times" w:eastAsia="Times New Roman" w:hAnsi="Times" w:cs="Arial"/>
          <w:bCs/>
          <w:sz w:val="24"/>
          <w:szCs w:val="20"/>
          <w:lang w:eastAsia="pl-PL"/>
        </w:rPr>
        <w:t xml:space="preserve"> </w:t>
      </w:r>
      <w:r w:rsidR="00280212">
        <w:rPr>
          <w:rFonts w:ascii="Times" w:eastAsia="Times New Roman" w:hAnsi="Times" w:cs="Arial"/>
          <w:bCs/>
          <w:sz w:val="24"/>
          <w:szCs w:val="20"/>
          <w:lang w:eastAsia="pl-PL"/>
        </w:rPr>
        <w:t>dnia 18 marca 2015 </w:t>
      </w:r>
      <w:r w:rsidRPr="000F42EA">
        <w:rPr>
          <w:rFonts w:ascii="Times" w:eastAsia="Times New Roman" w:hAnsi="Times" w:cs="Arial"/>
          <w:bCs/>
          <w:sz w:val="24"/>
          <w:szCs w:val="20"/>
          <w:lang w:eastAsia="pl-PL"/>
        </w:rPr>
        <w:t>r. w sprawie szczegółowych warunków i trybu przyznawania pomocy finansowej w ramach działania „Działanie rolno-środowiskowo-klimatyczne” objętego Programem Rozwoju Obszarów Wiejskich na lata 2014</w:t>
      </w:r>
      <w:r w:rsidRPr="000F42EA">
        <w:rPr>
          <w:rFonts w:ascii="Times" w:eastAsia="Times New Roman" w:hAnsi="Times" w:cs="Arial"/>
          <w:bCs/>
          <w:sz w:val="24"/>
          <w:szCs w:val="20"/>
          <w:lang w:eastAsia="pl-PL"/>
        </w:rPr>
        <w:sym w:font="Symbol" w:char="F02D"/>
      </w:r>
      <w:r w:rsidRPr="000F42EA">
        <w:rPr>
          <w:rFonts w:ascii="Times" w:eastAsia="Times New Roman" w:hAnsi="Times" w:cs="Arial"/>
          <w:bCs/>
          <w:sz w:val="24"/>
          <w:szCs w:val="20"/>
          <w:lang w:eastAsia="pl-PL"/>
        </w:rPr>
        <w:t>2020” (Dz. U. poz. 415,</w:t>
      </w:r>
      <w:r w:rsidR="00AE1F20">
        <w:rPr>
          <w:rFonts w:ascii="Times" w:eastAsia="Times New Roman" w:hAnsi="Times" w:cs="Arial"/>
          <w:bCs/>
          <w:sz w:val="24"/>
          <w:szCs w:val="20"/>
          <w:lang w:eastAsia="pl-PL"/>
        </w:rPr>
        <w:t xml:space="preserve"> z 2015 r. poz. 765 oraz z 2016 r. poz. 326, 589 i 1367</w:t>
      </w:r>
      <w:r w:rsidRPr="000F42EA">
        <w:rPr>
          <w:rFonts w:ascii="Times" w:eastAsia="Times New Roman" w:hAnsi="Times" w:cs="Arial"/>
          <w:bCs/>
          <w:sz w:val="24"/>
          <w:szCs w:val="20"/>
          <w:lang w:eastAsia="pl-PL"/>
        </w:rPr>
        <w:t>) do dnia 31 października, kierownik biura powiatowego Agencji ARiMR wzywa na piśmie rolnika do dokonania tej czynności w</w:t>
      </w:r>
      <w:r w:rsidR="00280212">
        <w:rPr>
          <w:rFonts w:ascii="Times" w:eastAsia="Times New Roman" w:hAnsi="Times" w:cs="Arial"/>
          <w:bCs/>
          <w:sz w:val="24"/>
          <w:szCs w:val="20"/>
          <w:lang w:eastAsia="pl-PL"/>
        </w:rPr>
        <w:t> </w:t>
      </w:r>
      <w:r w:rsidRPr="000F42EA">
        <w:rPr>
          <w:rFonts w:ascii="Times" w:eastAsia="Times New Roman" w:hAnsi="Times" w:cs="Arial"/>
          <w:bCs/>
          <w:sz w:val="24"/>
          <w:szCs w:val="20"/>
          <w:lang w:eastAsia="pl-PL"/>
        </w:rPr>
        <w:t>terminie 7 dni od dnia doręczenia wezwania, zasadn</w:t>
      </w:r>
      <w:r w:rsidR="00BB34B0">
        <w:rPr>
          <w:rFonts w:ascii="Times" w:eastAsia="Times New Roman" w:hAnsi="Times" w:cs="Arial"/>
          <w:bCs/>
          <w:sz w:val="24"/>
          <w:szCs w:val="20"/>
          <w:lang w:eastAsia="pl-PL"/>
        </w:rPr>
        <w:t>e</w:t>
      </w:r>
      <w:r w:rsidRPr="000F42EA">
        <w:rPr>
          <w:rFonts w:ascii="Times" w:eastAsia="Times New Roman" w:hAnsi="Times" w:cs="Arial"/>
          <w:bCs/>
          <w:sz w:val="24"/>
          <w:szCs w:val="20"/>
          <w:lang w:eastAsia="pl-PL"/>
        </w:rPr>
        <w:t xml:space="preserve"> jest aby informacje z ARiMR przekazywane były do Krajowej Stacji Chemiczno-</w:t>
      </w:r>
      <w:r w:rsidR="00280212">
        <w:rPr>
          <w:rFonts w:ascii="Times" w:eastAsia="Times New Roman" w:hAnsi="Times" w:cs="Arial"/>
          <w:bCs/>
          <w:sz w:val="24"/>
          <w:szCs w:val="20"/>
          <w:lang w:eastAsia="pl-PL"/>
        </w:rPr>
        <w:t>Rolniczej w terminie do dnia 31 </w:t>
      </w:r>
      <w:r w:rsidRPr="000F42EA">
        <w:rPr>
          <w:rFonts w:ascii="Times" w:eastAsia="Times New Roman" w:hAnsi="Times" w:cs="Arial"/>
          <w:bCs/>
          <w:sz w:val="24"/>
          <w:szCs w:val="20"/>
          <w:lang w:eastAsia="pl-PL"/>
        </w:rPr>
        <w:t xml:space="preserve">grudnia każdego roku. </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Jednocześnie proponuje się, aby to kierownik biura powiatowego ARiMR bezpośrednio przekazywał Krajowej Stacji Chemiczno-Rolniczej kopie dokumentów z</w:t>
      </w:r>
      <w:r w:rsidR="00BB34B0">
        <w:rPr>
          <w:rFonts w:ascii="Times" w:eastAsia="Times New Roman" w:hAnsi="Times" w:cs="Arial"/>
          <w:bCs/>
          <w:sz w:val="24"/>
          <w:szCs w:val="20"/>
          <w:lang w:eastAsia="pl-PL"/>
        </w:rPr>
        <w:t>a</w:t>
      </w:r>
      <w:r w:rsidRPr="000F42EA">
        <w:rPr>
          <w:rFonts w:ascii="Times" w:eastAsia="Times New Roman" w:hAnsi="Times" w:cs="Arial"/>
          <w:bCs/>
          <w:sz w:val="24"/>
          <w:szCs w:val="20"/>
          <w:lang w:eastAsia="pl-PL"/>
        </w:rPr>
        <w:t>wierających wyniki analizy gleby oraz kopie oświadczeń o działkach rolnych, których dotyczą wyniki tej analizy.</w:t>
      </w:r>
      <w:r w:rsidR="0063669E">
        <w:rPr>
          <w:rFonts w:ascii="Times" w:eastAsia="Times New Roman" w:hAnsi="Times" w:cs="Arial"/>
          <w:bCs/>
          <w:sz w:val="24"/>
          <w:szCs w:val="20"/>
          <w:lang w:eastAsia="pl-PL"/>
        </w:rPr>
        <w:t xml:space="preserve"> </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 xml:space="preserve">Mając powyższe na uwadze, a także doświadczenia z realizacji w 2015 r. ww. zadania przez </w:t>
      </w:r>
      <w:r w:rsidR="00A965DA">
        <w:rPr>
          <w:rFonts w:ascii="Times" w:eastAsia="Times New Roman" w:hAnsi="Times" w:cs="Arial"/>
          <w:bCs/>
          <w:sz w:val="24"/>
          <w:szCs w:val="20"/>
          <w:lang w:eastAsia="pl-PL"/>
        </w:rPr>
        <w:t>s</w:t>
      </w:r>
      <w:r w:rsidRPr="000F42EA">
        <w:rPr>
          <w:rFonts w:ascii="Times" w:eastAsia="Times New Roman" w:hAnsi="Times" w:cs="Arial"/>
          <w:bCs/>
          <w:sz w:val="24"/>
          <w:szCs w:val="20"/>
          <w:lang w:eastAsia="pl-PL"/>
        </w:rPr>
        <w:t xml:space="preserve">tacje </w:t>
      </w:r>
      <w:r w:rsidR="00A965DA">
        <w:rPr>
          <w:rFonts w:ascii="Times" w:eastAsia="Times New Roman" w:hAnsi="Times" w:cs="Arial"/>
          <w:bCs/>
          <w:sz w:val="24"/>
          <w:szCs w:val="20"/>
          <w:lang w:eastAsia="pl-PL"/>
        </w:rPr>
        <w:t>c</w:t>
      </w:r>
      <w:r w:rsidRPr="000F42EA">
        <w:rPr>
          <w:rFonts w:ascii="Times" w:eastAsia="Times New Roman" w:hAnsi="Times" w:cs="Arial"/>
          <w:bCs/>
          <w:sz w:val="24"/>
          <w:szCs w:val="20"/>
          <w:lang w:eastAsia="pl-PL"/>
        </w:rPr>
        <w:t>hemiczno-</w:t>
      </w:r>
      <w:r w:rsidR="00A965DA">
        <w:rPr>
          <w:rFonts w:ascii="Times" w:eastAsia="Times New Roman" w:hAnsi="Times" w:cs="Arial"/>
          <w:bCs/>
          <w:sz w:val="24"/>
          <w:szCs w:val="20"/>
          <w:lang w:eastAsia="pl-PL"/>
        </w:rPr>
        <w:t>r</w:t>
      </w:r>
      <w:r w:rsidRPr="000F42EA">
        <w:rPr>
          <w:rFonts w:ascii="Times" w:eastAsia="Times New Roman" w:hAnsi="Times" w:cs="Arial"/>
          <w:bCs/>
          <w:sz w:val="24"/>
          <w:szCs w:val="20"/>
          <w:lang w:eastAsia="pl-PL"/>
        </w:rPr>
        <w:t xml:space="preserve">olnicze, </w:t>
      </w:r>
      <w:r w:rsidR="00A965DA">
        <w:rPr>
          <w:rFonts w:ascii="Times" w:eastAsia="Times New Roman" w:hAnsi="Times" w:cs="Arial"/>
          <w:bCs/>
          <w:sz w:val="24"/>
          <w:szCs w:val="20"/>
          <w:lang w:eastAsia="pl-PL"/>
        </w:rPr>
        <w:t>I</w:t>
      </w:r>
      <w:r w:rsidRPr="000F42EA">
        <w:rPr>
          <w:rFonts w:ascii="Times" w:eastAsia="Times New Roman" w:hAnsi="Times" w:cs="Arial"/>
          <w:bCs/>
          <w:sz w:val="24"/>
          <w:szCs w:val="20"/>
          <w:lang w:eastAsia="pl-PL"/>
        </w:rPr>
        <w:t xml:space="preserve">nstytucja </w:t>
      </w:r>
      <w:r w:rsidR="00A965DA">
        <w:rPr>
          <w:rFonts w:ascii="Times" w:eastAsia="Times New Roman" w:hAnsi="Times" w:cs="Arial"/>
          <w:bCs/>
          <w:sz w:val="24"/>
          <w:szCs w:val="20"/>
          <w:lang w:eastAsia="pl-PL"/>
        </w:rPr>
        <w:t>Z</w:t>
      </w:r>
      <w:r w:rsidRPr="000F42EA">
        <w:rPr>
          <w:rFonts w:ascii="Times" w:eastAsia="Times New Roman" w:hAnsi="Times" w:cs="Arial"/>
          <w:bCs/>
          <w:sz w:val="24"/>
          <w:szCs w:val="20"/>
          <w:lang w:eastAsia="pl-PL"/>
        </w:rPr>
        <w:t>arządzająca PROW 2014</w:t>
      </w:r>
      <w:r w:rsidRPr="000F42EA">
        <w:rPr>
          <w:rFonts w:ascii="Times" w:eastAsia="Times New Roman" w:hAnsi="Times" w:cs="Arial"/>
          <w:bCs/>
          <w:sz w:val="24"/>
          <w:szCs w:val="20"/>
          <w:lang w:eastAsia="pl-PL"/>
        </w:rPr>
        <w:sym w:font="Symbol" w:char="F02D"/>
      </w:r>
      <w:r w:rsidRPr="000F42EA">
        <w:rPr>
          <w:rFonts w:ascii="Times" w:eastAsia="Times New Roman" w:hAnsi="Times" w:cs="Arial"/>
          <w:bCs/>
          <w:sz w:val="24"/>
          <w:szCs w:val="20"/>
          <w:lang w:eastAsia="pl-PL"/>
        </w:rPr>
        <w:t>2020</w:t>
      </w:r>
      <w:r w:rsidR="00A965DA">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przygotowując Plan badań na 2017 r.</w:t>
      </w:r>
      <w:r w:rsidR="00A965DA">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doprecyzowała, że wyniki analiz gleb obejmują analizy glebowe oraz badania ankietowe. Kraj</w:t>
      </w:r>
      <w:r w:rsidR="00280212">
        <w:rPr>
          <w:rFonts w:ascii="Times" w:eastAsia="Times New Roman" w:hAnsi="Times" w:cs="Arial"/>
          <w:bCs/>
          <w:sz w:val="24"/>
          <w:szCs w:val="20"/>
          <w:lang w:eastAsia="pl-PL"/>
        </w:rPr>
        <w:t>owa Stacja Chemiczno-Rolnicza i </w:t>
      </w:r>
      <w:r w:rsidRPr="000F42EA">
        <w:rPr>
          <w:rFonts w:ascii="Times" w:eastAsia="Times New Roman" w:hAnsi="Times" w:cs="Arial"/>
          <w:bCs/>
          <w:sz w:val="24"/>
          <w:szCs w:val="20"/>
          <w:lang w:eastAsia="pl-PL"/>
        </w:rPr>
        <w:t>podległe jej stacje</w:t>
      </w:r>
      <w:r w:rsidR="00BB34B0">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realizując Plan w 2017 r.</w:t>
      </w:r>
      <w:r w:rsidR="00BB34B0">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będą wykonywały badania gleb i badania ankietowe. Z tego powodu nie było potrzeby rozstrzygać tej sprawy w przepisach przejściowych.</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0F42EA">
        <w:rPr>
          <w:rFonts w:ascii="Times" w:eastAsia="Times New Roman" w:hAnsi="Times" w:cs="Arial"/>
          <w:bCs/>
          <w:sz w:val="24"/>
          <w:szCs w:val="20"/>
          <w:lang w:eastAsia="pl-PL"/>
        </w:rPr>
        <w:t>Zmiany zawarte w art. 1 pkt 2 lit. a, pkt 10 i 12 lit. a projektu ustawy wynikają</w:t>
      </w:r>
      <w:r w:rsidR="0063669E">
        <w:rPr>
          <w:rFonts w:ascii="Times" w:eastAsia="Times New Roman" w:hAnsi="Times" w:cs="Arial"/>
          <w:bCs/>
          <w:sz w:val="24"/>
          <w:szCs w:val="20"/>
          <w:lang w:eastAsia="pl-PL"/>
        </w:rPr>
        <w:t xml:space="preserve"> </w:t>
      </w:r>
      <w:r w:rsidR="00280212">
        <w:rPr>
          <w:rFonts w:ascii="Times" w:eastAsia="Times New Roman" w:hAnsi="Times" w:cs="Arial"/>
          <w:bCs/>
          <w:sz w:val="24"/>
          <w:szCs w:val="20"/>
          <w:lang w:eastAsia="pl-PL"/>
        </w:rPr>
        <w:t>z </w:t>
      </w:r>
      <w:r w:rsidRPr="000F42EA">
        <w:rPr>
          <w:rFonts w:ascii="Times" w:eastAsia="Times New Roman" w:hAnsi="Times" w:cs="Arial"/>
          <w:bCs/>
          <w:sz w:val="24"/>
          <w:szCs w:val="20"/>
          <w:lang w:eastAsia="pl-PL"/>
        </w:rPr>
        <w:t>zaproponowanej przez ARiMR zmiany PROW 2014</w:t>
      </w:r>
      <w:r w:rsidRPr="000F42EA">
        <w:rPr>
          <w:rFonts w:ascii="Times" w:eastAsia="Times New Roman" w:hAnsi="Times" w:cs="Arial"/>
          <w:bCs/>
          <w:sz w:val="24"/>
          <w:szCs w:val="20"/>
          <w:lang w:eastAsia="pl-PL"/>
        </w:rPr>
        <w:sym w:font="Symbol" w:char="F02D"/>
      </w:r>
      <w:r w:rsidRPr="000F42EA">
        <w:rPr>
          <w:rFonts w:ascii="Times" w:eastAsia="Times New Roman" w:hAnsi="Times" w:cs="Arial"/>
          <w:bCs/>
          <w:sz w:val="24"/>
          <w:szCs w:val="20"/>
          <w:lang w:eastAsia="pl-PL"/>
        </w:rPr>
        <w:t>2020 w zakresie podmiotu wdrażającego działania „Transfer wiedzy</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i działalność informacyjna” oraz „Usługi doradcze, usługi z zakresu zarządzania gospodarstwem rolnym i usługi z zakresu zastępstw”. Zmiany te zostały zaopiniowane przez Komitet Monitorujący, przyjęte przez Radę Ministrów oraz zatwierdzone przez Komisję Europejską decyzją wykonawczą Komisji z dnia 27</w:t>
      </w:r>
      <w:r w:rsidR="00A965DA">
        <w:rPr>
          <w:rFonts w:ascii="Times" w:eastAsia="Times New Roman" w:hAnsi="Times" w:cs="Arial"/>
          <w:bCs/>
          <w:sz w:val="24"/>
          <w:szCs w:val="20"/>
          <w:lang w:eastAsia="pl-PL"/>
        </w:rPr>
        <w:t xml:space="preserve"> kwietnia </w:t>
      </w:r>
      <w:r w:rsidRPr="000F42EA">
        <w:rPr>
          <w:rFonts w:ascii="Times" w:eastAsia="Times New Roman" w:hAnsi="Times" w:cs="Arial"/>
          <w:bCs/>
          <w:sz w:val="24"/>
          <w:szCs w:val="20"/>
          <w:lang w:eastAsia="pl-PL"/>
        </w:rPr>
        <w:t xml:space="preserve">2016 r. </w:t>
      </w:r>
      <w:r w:rsidRPr="000F42EA">
        <w:rPr>
          <w:rFonts w:ascii="Times" w:eastAsia="Times New Roman" w:hAnsi="Times" w:cs="Arial"/>
          <w:sz w:val="24"/>
          <w:szCs w:val="20"/>
          <w:lang w:eastAsia="pl-PL"/>
        </w:rPr>
        <w:t xml:space="preserve">zatwierdzającą zmianę programu rozwoju obszarów wiejskich dla Polski do celów wsparcia w ramach Europejskiego Funduszu Rolnego na rzecz Rozwoju Obszarów Wiejskich oraz zmieniającą decyzję </w:t>
      </w:r>
      <w:r w:rsidRPr="000F42EA">
        <w:rPr>
          <w:rFonts w:ascii="Times" w:eastAsia="Times New Roman" w:hAnsi="Times" w:cs="Arial"/>
          <w:sz w:val="24"/>
          <w:szCs w:val="20"/>
          <w:lang w:eastAsia="pl-PL"/>
        </w:rPr>
        <w:lastRenderedPageBreak/>
        <w:t>wykonawczą Komisji C(2014) 9783</w:t>
      </w:r>
      <w:r w:rsidRPr="000F42EA">
        <w:rPr>
          <w:rFonts w:ascii="Times" w:eastAsia="Times New Roman" w:hAnsi="Times" w:cs="Arial"/>
          <w:bCs/>
          <w:sz w:val="24"/>
          <w:szCs w:val="20"/>
          <w:lang w:eastAsia="pl-PL"/>
        </w:rPr>
        <w:t>. Zgodnie z proponowanymi zmianami rezygnuje się</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z wyboru podmiotu wdrażającego w trybie przepisów o zamówieniach publicznych</w:t>
      </w:r>
      <w:r w:rsidR="0063669E">
        <w:rPr>
          <w:rFonts w:ascii="Times" w:eastAsia="Times New Roman" w:hAnsi="Times" w:cs="Arial"/>
          <w:bCs/>
          <w:sz w:val="24"/>
          <w:szCs w:val="20"/>
          <w:lang w:eastAsia="pl-PL"/>
        </w:rPr>
        <w:t xml:space="preserve"> </w:t>
      </w:r>
      <w:r w:rsidR="00280212">
        <w:rPr>
          <w:rFonts w:ascii="Times" w:eastAsia="Times New Roman" w:hAnsi="Times" w:cs="Arial"/>
          <w:bCs/>
          <w:sz w:val="24"/>
          <w:szCs w:val="20"/>
          <w:lang w:eastAsia="pl-PL"/>
        </w:rPr>
        <w:t>i </w:t>
      </w:r>
      <w:r w:rsidRPr="000F42EA">
        <w:rPr>
          <w:rFonts w:ascii="Times" w:eastAsia="Times New Roman" w:hAnsi="Times" w:cs="Arial"/>
          <w:bCs/>
          <w:sz w:val="24"/>
          <w:szCs w:val="20"/>
          <w:lang w:eastAsia="pl-PL"/>
        </w:rPr>
        <w:t>powierza wdrażanie tych działań ARiMR. Działania „Transfer wiedzy i działalność informacyjna” oraz „Usługi doradcze, usługi z zakresu zarządzania gospodarstwem rolnym</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i usługi z zakresu zastępstw” w ramach PROW 2014–2020 mają na celu m.in. wspomagać uczestników szkoleń i odbiorców usług doradczych w przygotowaniu do uczestniczenia</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 xml:space="preserve">w pozostałych działaniach wdrażanych w ramach </w:t>
      </w:r>
      <w:r w:rsidR="00A965DA">
        <w:rPr>
          <w:rFonts w:ascii="Times" w:eastAsia="Times New Roman" w:hAnsi="Times" w:cs="Arial"/>
          <w:bCs/>
          <w:sz w:val="24"/>
          <w:szCs w:val="20"/>
          <w:lang w:eastAsia="pl-PL"/>
        </w:rPr>
        <w:t>p</w:t>
      </w:r>
      <w:r w:rsidRPr="000F42EA">
        <w:rPr>
          <w:rFonts w:ascii="Times" w:eastAsia="Times New Roman" w:hAnsi="Times" w:cs="Arial"/>
          <w:bCs/>
          <w:sz w:val="24"/>
          <w:szCs w:val="20"/>
          <w:lang w:eastAsia="pl-PL"/>
        </w:rPr>
        <w:t>rogramu. Działanie „Transfer wiedzy</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i działalność informacyjna” ma w szczególności za zadanie poprawę poziomu wiedzy</w:t>
      </w:r>
      <w:r w:rsidR="00A965DA">
        <w:rPr>
          <w:rFonts w:ascii="Times" w:eastAsia="Times New Roman" w:hAnsi="Times" w:cs="Arial"/>
          <w:bCs/>
          <w:sz w:val="24"/>
          <w:szCs w:val="20"/>
          <w:lang w:eastAsia="pl-PL"/>
        </w:rPr>
        <w:t xml:space="preserve"> oraz</w:t>
      </w:r>
      <w:r w:rsidRPr="000F42EA">
        <w:rPr>
          <w:rFonts w:ascii="Times" w:eastAsia="Times New Roman" w:hAnsi="Times" w:cs="Arial"/>
          <w:bCs/>
          <w:sz w:val="24"/>
          <w:szCs w:val="20"/>
          <w:lang w:eastAsia="pl-PL"/>
        </w:rPr>
        <w:t xml:space="preserve"> wszechstronne doskonalenie zawodowe w zakresie rolnictwa i</w:t>
      </w:r>
      <w:r w:rsidR="00280212">
        <w:rPr>
          <w:rFonts w:ascii="Times" w:eastAsia="Times New Roman" w:hAnsi="Times" w:cs="Arial"/>
          <w:bCs/>
          <w:sz w:val="24"/>
          <w:szCs w:val="20"/>
          <w:lang w:eastAsia="pl-PL"/>
        </w:rPr>
        <w:t> </w:t>
      </w:r>
      <w:r w:rsidRPr="000F42EA">
        <w:rPr>
          <w:rFonts w:ascii="Times" w:eastAsia="Times New Roman" w:hAnsi="Times" w:cs="Arial"/>
          <w:bCs/>
          <w:sz w:val="24"/>
          <w:szCs w:val="20"/>
          <w:lang w:eastAsia="pl-PL"/>
        </w:rPr>
        <w:t>leśnictwa, a działanie „Usługi doradcze, usługi z zakresu zarządzania gospodarstwem rolnym i usługi z zakresu zastępstw” ma umożliwić wzmocnienie mechanizmów transferu wiedzy i innowacji przez doradztwo, które będzie dostosowane do indywidualnych potrzeb rolników lub właścicieli lasów. Dlatego też działania te powinny zostać uruchomione w</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możliwie jak najszybszych terminach, aby beneficjenci PROW 2014–2020 mogli pozyskaną wiedzę odpowiednio wcześnie wykorzystać.</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Analiza obowiązujących przepisów i zasad oraz dbałość o jak najszybsze uruchomienie ww. działań uzasadnia propozycję zmiany ponieważ:</w:t>
      </w:r>
    </w:p>
    <w:p w:rsidR="000F42EA" w:rsidRPr="000F42EA" w:rsidRDefault="000F42EA" w:rsidP="0063669E">
      <w:pPr>
        <w:spacing w:after="0" w:line="360" w:lineRule="auto"/>
        <w:ind w:left="510" w:hanging="510"/>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1)</w:t>
      </w:r>
      <w:r w:rsidRPr="000F42EA">
        <w:rPr>
          <w:rFonts w:ascii="Times" w:eastAsia="Times New Roman" w:hAnsi="Times" w:cs="Arial"/>
          <w:bCs/>
          <w:sz w:val="24"/>
          <w:szCs w:val="20"/>
          <w:lang w:eastAsia="pl-PL"/>
        </w:rPr>
        <w:tab/>
        <w:t>wybór podmiotu wdrażającego musi nastąpić w trybie zamówień publicznych,</w:t>
      </w:r>
      <w:r w:rsidR="0063669E">
        <w:rPr>
          <w:rFonts w:ascii="Times" w:eastAsia="Times New Roman" w:hAnsi="Times" w:cs="Arial"/>
          <w:bCs/>
          <w:sz w:val="24"/>
          <w:szCs w:val="20"/>
          <w:lang w:eastAsia="pl-PL"/>
        </w:rPr>
        <w:t xml:space="preserve"> </w:t>
      </w:r>
      <w:r w:rsidR="00280212">
        <w:rPr>
          <w:rFonts w:ascii="Times" w:eastAsia="Times New Roman" w:hAnsi="Times" w:cs="Arial"/>
          <w:bCs/>
          <w:sz w:val="24"/>
          <w:szCs w:val="20"/>
          <w:lang w:eastAsia="pl-PL"/>
        </w:rPr>
        <w:t>a </w:t>
      </w:r>
      <w:r w:rsidRPr="000F42EA">
        <w:rPr>
          <w:rFonts w:ascii="Times" w:eastAsia="Times New Roman" w:hAnsi="Times" w:cs="Arial"/>
          <w:bCs/>
          <w:sz w:val="24"/>
          <w:szCs w:val="20"/>
          <w:lang w:eastAsia="pl-PL"/>
        </w:rPr>
        <w:t>więc będzie procesem skomplikowanym i długotrwałym, co może spowodować,</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zbyt późne wdrożenie tych działań;</w:t>
      </w:r>
    </w:p>
    <w:p w:rsidR="000F42EA" w:rsidRPr="000F42EA" w:rsidRDefault="000F42EA" w:rsidP="0063669E">
      <w:pPr>
        <w:spacing w:after="0" w:line="360" w:lineRule="auto"/>
        <w:ind w:left="510" w:hanging="510"/>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2)</w:t>
      </w:r>
      <w:r w:rsidRPr="000F42EA">
        <w:rPr>
          <w:rFonts w:ascii="Times" w:eastAsia="Times New Roman" w:hAnsi="Times" w:cs="Arial"/>
          <w:bCs/>
          <w:sz w:val="24"/>
          <w:szCs w:val="20"/>
          <w:lang w:eastAsia="pl-PL"/>
        </w:rPr>
        <w:tab/>
        <w:t>wybór podmiotu wdrażającego „z rynku” pomimo prawidłowo przeprowadzonej procedury przetargowej może nie zapewnić właściwego zrealizowania zadania;</w:t>
      </w:r>
    </w:p>
    <w:p w:rsidR="000F42EA" w:rsidRPr="000F42EA" w:rsidRDefault="000F42EA" w:rsidP="0063669E">
      <w:pPr>
        <w:spacing w:after="0" w:line="360" w:lineRule="auto"/>
        <w:ind w:left="510" w:hanging="510"/>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3)</w:t>
      </w:r>
      <w:r w:rsidRPr="000F42EA">
        <w:rPr>
          <w:rFonts w:ascii="Times" w:eastAsia="Times New Roman" w:hAnsi="Times" w:cs="Arial"/>
          <w:bCs/>
          <w:sz w:val="24"/>
          <w:szCs w:val="20"/>
          <w:lang w:eastAsia="pl-PL"/>
        </w:rPr>
        <w:tab/>
        <w:t>w przypadku przeprowadzenia przetargu, umowa z wykonawcą ma charakter odpłatny, dlatego też ARiMR powinna mieć zapewnione finansowanie takiej umowy</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w latach 2017</w:t>
      </w:r>
      <w:r w:rsidRPr="000F42EA">
        <w:rPr>
          <w:rFonts w:ascii="Times" w:eastAsia="Times New Roman" w:hAnsi="Times" w:cs="Arial"/>
          <w:bCs/>
          <w:sz w:val="24"/>
          <w:szCs w:val="20"/>
          <w:lang w:eastAsia="pl-PL"/>
        </w:rPr>
        <w:sym w:font="Symbol" w:char="F02D"/>
      </w:r>
      <w:r w:rsidRPr="000F42EA">
        <w:rPr>
          <w:rFonts w:ascii="Times" w:eastAsia="Times New Roman" w:hAnsi="Times" w:cs="Arial"/>
          <w:bCs/>
          <w:sz w:val="24"/>
          <w:szCs w:val="20"/>
          <w:lang w:eastAsia="pl-PL"/>
        </w:rPr>
        <w:t>2023;</w:t>
      </w:r>
    </w:p>
    <w:p w:rsidR="000F42EA" w:rsidRPr="000F42EA" w:rsidRDefault="000F42EA" w:rsidP="0063669E">
      <w:pPr>
        <w:spacing w:after="0" w:line="360" w:lineRule="auto"/>
        <w:ind w:left="510" w:hanging="510"/>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4)</w:t>
      </w:r>
      <w:r w:rsidRPr="000F42EA">
        <w:rPr>
          <w:rFonts w:ascii="Times" w:eastAsia="Times New Roman" w:hAnsi="Times" w:cs="Arial"/>
          <w:bCs/>
          <w:sz w:val="24"/>
          <w:szCs w:val="20"/>
          <w:lang w:eastAsia="pl-PL"/>
        </w:rPr>
        <w:tab/>
        <w:t>ewentualne powierzenie zadań podmiotowi wdrażającemu w trybie przepisów</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o</w:t>
      </w:r>
      <w:r w:rsidR="00280212">
        <w:rPr>
          <w:rFonts w:ascii="Times" w:eastAsia="Times New Roman" w:hAnsi="Times" w:cs="Arial"/>
          <w:bCs/>
          <w:sz w:val="24"/>
          <w:szCs w:val="20"/>
          <w:lang w:eastAsia="pl-PL"/>
        </w:rPr>
        <w:t> </w:t>
      </w:r>
      <w:r w:rsidRPr="000F42EA">
        <w:rPr>
          <w:rFonts w:ascii="Times" w:eastAsia="Times New Roman" w:hAnsi="Times" w:cs="Arial"/>
          <w:bCs/>
          <w:sz w:val="24"/>
          <w:szCs w:val="20"/>
          <w:lang w:eastAsia="pl-PL"/>
        </w:rPr>
        <w:t>zamówieniach publicznych, będzie się wiązało z podpisaniem umowy odpłatnej</w:t>
      </w:r>
      <w:r w:rsidR="00A965DA">
        <w:rPr>
          <w:rFonts w:ascii="Times" w:eastAsia="Times New Roman" w:hAnsi="Times" w:cs="Arial"/>
          <w:bCs/>
          <w:sz w:val="24"/>
          <w:szCs w:val="20"/>
          <w:lang w:eastAsia="pl-PL"/>
        </w:rPr>
        <w:t>,</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a każdy odbiór wykonanych prac powinien być poprzedzony sprawdzeniem 100% zakresu podlegającego odbiorowi; powyższe oznacza w praktyce powielanie przez agencję płatniczą znacznej części zadań delegowanych do podmiotu wdrażającego oraz nieracjonalny wzrost kosztów wdrożenia działań;</w:t>
      </w:r>
    </w:p>
    <w:p w:rsidR="000F42EA" w:rsidRPr="000F42EA" w:rsidRDefault="000F42EA" w:rsidP="0063669E">
      <w:pPr>
        <w:spacing w:after="0" w:line="360" w:lineRule="auto"/>
        <w:ind w:left="510" w:hanging="510"/>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5)</w:t>
      </w:r>
      <w:r w:rsidRPr="000F42EA">
        <w:rPr>
          <w:rFonts w:ascii="Times" w:eastAsia="Times New Roman" w:hAnsi="Times" w:cs="Arial"/>
          <w:bCs/>
          <w:sz w:val="24"/>
          <w:szCs w:val="20"/>
          <w:lang w:eastAsia="pl-PL"/>
        </w:rPr>
        <w:tab/>
        <w:t xml:space="preserve">obecnie brak jeszcze szczegółowych zasad wdrażania przedmiotowych działań, harmonogramu ich wdrażania, liczby i rozłożenia w czasie przetargów </w:t>
      </w:r>
      <w:r w:rsidRPr="000F42EA">
        <w:rPr>
          <w:rFonts w:ascii="Times" w:eastAsia="Times New Roman" w:hAnsi="Times" w:cs="Arial"/>
          <w:bCs/>
          <w:sz w:val="24"/>
          <w:szCs w:val="20"/>
          <w:lang w:eastAsia="pl-PL"/>
        </w:rPr>
        <w:lastRenderedPageBreak/>
        <w:t>i</w:t>
      </w:r>
      <w:r w:rsidR="00280212">
        <w:rPr>
          <w:rFonts w:ascii="Times" w:eastAsia="Times New Roman" w:hAnsi="Times" w:cs="Arial"/>
          <w:bCs/>
          <w:sz w:val="24"/>
          <w:szCs w:val="20"/>
          <w:lang w:eastAsia="pl-PL"/>
        </w:rPr>
        <w:t> </w:t>
      </w:r>
      <w:r w:rsidRPr="000F42EA">
        <w:rPr>
          <w:rFonts w:ascii="Times" w:eastAsia="Times New Roman" w:hAnsi="Times" w:cs="Arial"/>
          <w:bCs/>
          <w:sz w:val="24"/>
          <w:szCs w:val="20"/>
          <w:lang w:eastAsia="pl-PL"/>
        </w:rPr>
        <w:t>konkursów, jakie podmiot wdrażający będzie organizował</w:t>
      </w:r>
      <w:r w:rsidR="00A965DA">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oraz zakresu merytorycznego tych konkursów, co uniemożliwia sprecyzowanie zamówienia</w:t>
      </w:r>
      <w:r w:rsidR="00A965DA">
        <w:rPr>
          <w:rFonts w:ascii="Times" w:eastAsia="Times New Roman" w:hAnsi="Times" w:cs="Arial"/>
          <w:bCs/>
          <w:sz w:val="24"/>
          <w:szCs w:val="20"/>
          <w:lang w:eastAsia="pl-PL"/>
        </w:rPr>
        <w:t>,</w:t>
      </w:r>
      <w:r w:rsidR="00280212">
        <w:rPr>
          <w:rFonts w:ascii="Times" w:eastAsia="Times New Roman" w:hAnsi="Times" w:cs="Arial"/>
          <w:bCs/>
          <w:sz w:val="24"/>
          <w:szCs w:val="20"/>
          <w:lang w:eastAsia="pl-PL"/>
        </w:rPr>
        <w:t xml:space="preserve"> a </w:t>
      </w:r>
      <w:r w:rsidRPr="000F42EA">
        <w:rPr>
          <w:rFonts w:ascii="Times" w:eastAsia="Times New Roman" w:hAnsi="Times" w:cs="Arial"/>
          <w:bCs/>
          <w:sz w:val="24"/>
          <w:szCs w:val="20"/>
          <w:lang w:eastAsia="pl-PL"/>
        </w:rPr>
        <w:t>potencjalnym wykonawcom skalkulowanie oferty.</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Na podstawie wymienionych powyżej argumentów zaproponowano powierzenie wdrażania działań „Transfer wiedzy i działalność informacyjna” oraz „Usługi doradcze, usługi z zakresu zarządzania gospodarstwem rolnym i usługi z zakresu zastępstw” ARiMR. Posiada ona bowiem odpowiednie zasoby kadrowe i strukturę organizacyjną, które umożliwią sprawne uruchomienie powyższych działań, a następnie ich wdrażanie i monitorowanie stopnia realizacji.</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Umożliwienie wdrażania ww. działań PROW 2014–2020 przez ARiMR pozwoli</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na prawidłowy przebieg tego procesu, ze względu na schemat organizacyjny przyjęty w</w:t>
      </w:r>
      <w:r w:rsidR="00280212">
        <w:rPr>
          <w:rFonts w:ascii="Times" w:eastAsia="Times New Roman" w:hAnsi="Times" w:cs="Arial"/>
          <w:bCs/>
          <w:sz w:val="24"/>
          <w:szCs w:val="20"/>
          <w:lang w:eastAsia="pl-PL"/>
        </w:rPr>
        <w:t> </w:t>
      </w:r>
      <w:r w:rsidRPr="000F42EA">
        <w:rPr>
          <w:rFonts w:ascii="Times" w:eastAsia="Times New Roman" w:hAnsi="Times" w:cs="Arial"/>
          <w:bCs/>
          <w:sz w:val="24"/>
          <w:szCs w:val="20"/>
          <w:lang w:eastAsia="pl-PL"/>
        </w:rPr>
        <w:t>ARiMR. Działania szkoleniowe i doradcze wymagają bowiem dość „niskiego” poziomu wdrażania, z pominięciem szczebla centralnego. W zakresie usług doradczych (poddziałanie „Wsparcie korzystania z usług doradczych” w ramach działania „Usługi doradcze, usługi</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 xml:space="preserve">z zakresu zarządzania gospodarstwem rolnym i usługi z zakresu zastępstw”), maksymalny poziom ich wdrażania nie może przekraczać poziomu województwa, co zapewni </w:t>
      </w:r>
      <w:r w:rsidR="00A965DA">
        <w:rPr>
          <w:rFonts w:ascii="Times" w:eastAsia="Times New Roman" w:hAnsi="Times" w:cs="Arial"/>
          <w:bCs/>
          <w:sz w:val="24"/>
          <w:szCs w:val="20"/>
          <w:lang w:eastAsia="pl-PL"/>
        </w:rPr>
        <w:t>zarówno</w:t>
      </w:r>
      <w:r w:rsidRPr="000F42EA">
        <w:rPr>
          <w:rFonts w:ascii="Times" w:eastAsia="Times New Roman" w:hAnsi="Times" w:cs="Arial"/>
          <w:bCs/>
          <w:sz w:val="24"/>
          <w:szCs w:val="20"/>
          <w:lang w:eastAsia="pl-PL"/>
        </w:rPr>
        <w:t xml:space="preserve"> dostęp do możliwości świadczenia tych usług prywatnym podmiotom doradczym</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 xml:space="preserve">na równi </w:t>
      </w:r>
      <w:r w:rsidR="00280212">
        <w:rPr>
          <w:rFonts w:ascii="Times" w:eastAsia="Times New Roman" w:hAnsi="Times" w:cs="Arial"/>
          <w:bCs/>
          <w:sz w:val="24"/>
          <w:szCs w:val="20"/>
          <w:lang w:eastAsia="pl-PL"/>
        </w:rPr>
        <w:t>z podmiotami państwowymi, jak i </w:t>
      </w:r>
      <w:r w:rsidRPr="000F42EA">
        <w:rPr>
          <w:rFonts w:ascii="Times" w:eastAsia="Times New Roman" w:hAnsi="Times" w:cs="Arial"/>
          <w:bCs/>
          <w:sz w:val="24"/>
          <w:szCs w:val="20"/>
          <w:lang w:eastAsia="pl-PL"/>
        </w:rPr>
        <w:t>realizację samych usług. Właściwe byłoby nawet podejście na poziomie powiatów lub ich grup, w oparciu o ich specyfikę i faktyczne potrzeby szeroko rozumianego sektora rolnego. Takie podejście będzie możliwe przez wykorzystanie struktury ARiMR (oddziały regionalne i biura powiatowe) i znajomość tem</w:t>
      </w:r>
      <w:r w:rsidR="00280212">
        <w:rPr>
          <w:rFonts w:ascii="Times" w:eastAsia="Times New Roman" w:hAnsi="Times" w:cs="Arial"/>
          <w:bCs/>
          <w:sz w:val="24"/>
          <w:szCs w:val="20"/>
          <w:lang w:eastAsia="pl-PL"/>
        </w:rPr>
        <w:t>atyki, a także bliski kontakt z </w:t>
      </w:r>
      <w:r w:rsidRPr="000F42EA">
        <w:rPr>
          <w:rFonts w:ascii="Times" w:eastAsia="Times New Roman" w:hAnsi="Times" w:cs="Arial"/>
          <w:bCs/>
          <w:sz w:val="24"/>
          <w:szCs w:val="20"/>
          <w:lang w:eastAsia="pl-PL"/>
        </w:rPr>
        <w:t>rolnikami. Działania szkoleniowe, czy to kierowane dla rolników (działanie „Transfer wiedzy i</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działalność informacyjna”)</w:t>
      </w:r>
      <w:r w:rsidR="00A965DA">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czy do doradców (poddziałanie „Wsparcie dla szkolenia doradców” w ramach działania „Usługi doradcze, usługi z zakresu zarządzania gospodarstwem rolnym i usługi z zakresu zastępstw”)</w:t>
      </w:r>
      <w:r w:rsidR="00A965DA">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także powinny być realizowane w ramach poszczególnych województw, z</w:t>
      </w:r>
      <w:r w:rsidR="00280212">
        <w:rPr>
          <w:rFonts w:ascii="Times" w:eastAsia="Times New Roman" w:hAnsi="Times" w:cs="Arial"/>
          <w:bCs/>
          <w:sz w:val="24"/>
          <w:szCs w:val="20"/>
          <w:lang w:eastAsia="pl-PL"/>
        </w:rPr>
        <w:t>e względu na ich różnorodność i </w:t>
      </w:r>
      <w:r w:rsidRPr="000F42EA">
        <w:rPr>
          <w:rFonts w:ascii="Times" w:eastAsia="Times New Roman" w:hAnsi="Times" w:cs="Arial"/>
          <w:bCs/>
          <w:sz w:val="24"/>
          <w:szCs w:val="20"/>
          <w:lang w:eastAsia="pl-PL"/>
        </w:rPr>
        <w:t>specyfikę, a tym samym różne potrzeby.</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Takie podejście nie wyklucza sytuacji, w której dane szkolenie czy usługa miałyby być realizowane w podobny sposób, na terenie całego kraju.</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 xml:space="preserve">Zmiana zaproponowana w art. 1 pkt 2 lit. b projektu ustawy umożliwi podmiotom wdrażającym powołanie organów opiniodawczo-doradczych w sprawach należących do </w:t>
      </w:r>
      <w:r w:rsidRPr="000F42EA">
        <w:rPr>
          <w:rFonts w:ascii="Times" w:eastAsia="Times New Roman" w:hAnsi="Times" w:cs="Arial"/>
          <w:bCs/>
          <w:sz w:val="24"/>
          <w:szCs w:val="20"/>
          <w:lang w:eastAsia="pl-PL"/>
        </w:rPr>
        <w:lastRenderedPageBreak/>
        <w:t xml:space="preserve">ich kompetencji. W skład takich organów wchodzić będą mogły osoby posiadające specjalistyczną wiedzę, również takie, które nie będą pracownikami podmiotu wdrażającego. Powyższe rozwiązanie, w przypadku operacji z zakresu wymagającego specjalistycznej wiedzy, pozwoli na zapewnienie właściwej oceny merytorycznej tych operacji. </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 xml:space="preserve">Zmiana zaproponowana w art. 1 pkt 4 projektu ustawy ma na celu zapewnienie możliwości przyznawania pomocy na operacje, w </w:t>
      </w:r>
      <w:r w:rsidR="00280212">
        <w:rPr>
          <w:rFonts w:ascii="Times" w:eastAsia="Times New Roman" w:hAnsi="Times" w:cs="Arial"/>
          <w:bCs/>
          <w:sz w:val="24"/>
          <w:szCs w:val="20"/>
          <w:lang w:eastAsia="pl-PL"/>
        </w:rPr>
        <w:t>przypadku wyczerpania środków w </w:t>
      </w:r>
      <w:r w:rsidRPr="000F42EA">
        <w:rPr>
          <w:rFonts w:ascii="Times" w:eastAsia="Times New Roman" w:hAnsi="Times" w:cs="Arial"/>
          <w:bCs/>
          <w:sz w:val="24"/>
          <w:szCs w:val="20"/>
          <w:lang w:eastAsia="pl-PL"/>
        </w:rPr>
        <w:t>ramach danego limitu środków na dany rok i jeżeli są dostępne środki w ramach limitu środków określonego na kolejny rok lub lata, które to limity określa rozporządzenie wydane</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na podstawie art. 18 ustawy</w:t>
      </w:r>
      <w:r w:rsidR="00A965DA">
        <w:rPr>
          <w:rFonts w:ascii="Times" w:eastAsia="Times New Roman" w:hAnsi="Times" w:cs="Arial"/>
          <w:bCs/>
          <w:sz w:val="24"/>
          <w:szCs w:val="20"/>
          <w:lang w:eastAsia="pl-PL"/>
        </w:rPr>
        <w:t xml:space="preserve"> PROW 2014–2020</w:t>
      </w:r>
      <w:r w:rsidRPr="000F42EA">
        <w:rPr>
          <w:rFonts w:ascii="Times" w:eastAsia="Times New Roman" w:hAnsi="Times" w:cs="Arial"/>
          <w:bCs/>
          <w:sz w:val="24"/>
          <w:szCs w:val="20"/>
          <w:lang w:eastAsia="pl-PL"/>
        </w:rPr>
        <w:t>. Zakłada się, że będzie to dotyczyło operacji</w:t>
      </w:r>
      <w:r w:rsidR="00A965DA">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co do których</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 xml:space="preserve">w wyniku np. wniesienia odwołania od decyzji o odmowie przyznania pomocy albo wezwania do usunięcia naruszenia prawa, albo uwzględnienia przez sąd administracyjny skargi na taką decyzję albo na odmowę przyznania pomocy przez podmiot wdrażający, odpowiednio właściwy organ albo podmiot wdrażający ustali, że pomoc powinna zostać przyznana. </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 xml:space="preserve">Zmiana zaproponowana w art. 1 pkt 5 projektu ustawy ma na celu zapewnienie możliwości przyznawania pomocy na operacje, w </w:t>
      </w:r>
      <w:r w:rsidR="00280212">
        <w:rPr>
          <w:rFonts w:ascii="Times" w:eastAsia="Times New Roman" w:hAnsi="Times" w:cs="Arial"/>
          <w:bCs/>
          <w:sz w:val="24"/>
          <w:szCs w:val="20"/>
          <w:lang w:eastAsia="pl-PL"/>
        </w:rPr>
        <w:t>przypadku wyczerpania środków w </w:t>
      </w:r>
      <w:r w:rsidRPr="000F42EA">
        <w:rPr>
          <w:rFonts w:ascii="Times" w:eastAsia="Times New Roman" w:hAnsi="Times" w:cs="Arial"/>
          <w:bCs/>
          <w:sz w:val="24"/>
          <w:szCs w:val="20"/>
          <w:lang w:eastAsia="pl-PL"/>
        </w:rPr>
        <w:t>ramach limitu środków wskazanego na podstawie przepisów o rozwoju lokalnym</w:t>
      </w:r>
      <w:r w:rsidR="0063669E">
        <w:rPr>
          <w:rFonts w:ascii="Times" w:eastAsia="Times New Roman" w:hAnsi="Times" w:cs="Arial"/>
          <w:bCs/>
          <w:sz w:val="24"/>
          <w:szCs w:val="20"/>
          <w:lang w:eastAsia="pl-PL"/>
        </w:rPr>
        <w:t xml:space="preserve"> </w:t>
      </w:r>
      <w:r w:rsidR="00280212">
        <w:rPr>
          <w:rFonts w:ascii="Times" w:eastAsia="Times New Roman" w:hAnsi="Times" w:cs="Arial"/>
          <w:bCs/>
          <w:sz w:val="24"/>
          <w:szCs w:val="20"/>
          <w:lang w:eastAsia="pl-PL"/>
        </w:rPr>
        <w:t>z </w:t>
      </w:r>
      <w:r w:rsidRPr="000F42EA">
        <w:rPr>
          <w:rFonts w:ascii="Times" w:eastAsia="Times New Roman" w:hAnsi="Times" w:cs="Arial"/>
          <w:bCs/>
          <w:sz w:val="24"/>
          <w:szCs w:val="20"/>
          <w:lang w:eastAsia="pl-PL"/>
        </w:rPr>
        <w:t>udziałem lokalnej społeczności, w ogłoszeniu o naborze wniosków o udzielenie wsparcia,</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o którym mowa w art. 35 ust. 1 lit. b rozpor</w:t>
      </w:r>
      <w:r w:rsidR="00280212">
        <w:rPr>
          <w:rFonts w:ascii="Times" w:eastAsia="Times New Roman" w:hAnsi="Times" w:cs="Arial"/>
          <w:bCs/>
          <w:sz w:val="24"/>
          <w:szCs w:val="20"/>
          <w:lang w:eastAsia="pl-PL"/>
        </w:rPr>
        <w:t>ządzenia nr 1303/2013 z dnia 17 </w:t>
      </w:r>
      <w:r w:rsidRPr="000F42EA">
        <w:rPr>
          <w:rFonts w:ascii="Times" w:eastAsia="Times New Roman" w:hAnsi="Times" w:cs="Arial"/>
          <w:bCs/>
          <w:sz w:val="24"/>
          <w:szCs w:val="20"/>
          <w:lang w:eastAsia="pl-PL"/>
        </w:rPr>
        <w:t>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w:t>
      </w:r>
      <w:r w:rsidR="00280212">
        <w:rPr>
          <w:rFonts w:ascii="Times" w:eastAsia="Times New Roman" w:hAnsi="Times" w:cs="Arial"/>
          <w:bCs/>
          <w:sz w:val="24"/>
          <w:szCs w:val="20"/>
          <w:lang w:eastAsia="pl-PL"/>
        </w:rPr>
        <w:t>opejskiego Funduszu Morskiego i </w:t>
      </w:r>
      <w:r w:rsidRPr="000F42EA">
        <w:rPr>
          <w:rFonts w:ascii="Times" w:eastAsia="Times New Roman" w:hAnsi="Times" w:cs="Arial"/>
          <w:bCs/>
          <w:sz w:val="24"/>
          <w:szCs w:val="20"/>
          <w:lang w:eastAsia="pl-PL"/>
        </w:rPr>
        <w:t xml:space="preserve">Rybackiego oraz uchylającego rozporządzenie Rady (WE) nr 1083/2006 (Dz. Urz. UE L347 z 20.12.2013, str. 320, z późn. zm.), na operacje realizowane przez podmioty inne niż lokalne grupy działania (LGD), jeżeli nie została wyczerpana kwota środków przewidzianych w umowie o warunkach i sposobie realizacji lokalnej strategii rozwoju (LSR) na realizację danego celu LSR </w:t>
      </w:r>
      <w:r w:rsidR="00280212">
        <w:rPr>
          <w:rFonts w:ascii="Times" w:eastAsia="Times New Roman" w:hAnsi="Times" w:cs="Arial"/>
          <w:bCs/>
          <w:sz w:val="24"/>
          <w:szCs w:val="20"/>
          <w:lang w:eastAsia="pl-PL"/>
        </w:rPr>
        <w:t>w ramach środków pochodzących z </w:t>
      </w:r>
      <w:r w:rsidRPr="000F42EA">
        <w:rPr>
          <w:rFonts w:ascii="Times" w:eastAsia="Times New Roman" w:hAnsi="Times" w:cs="Arial"/>
          <w:bCs/>
          <w:sz w:val="24"/>
          <w:szCs w:val="20"/>
          <w:lang w:eastAsia="pl-PL"/>
        </w:rPr>
        <w:t xml:space="preserve">Europejskiego Funduszu Rolnego na rzecz Rozwoju Obszarów Wiejskich. Zakłada się, że będzie to dotyczyło operacji, co do których w wyniku wezwania do usunięcia </w:t>
      </w:r>
      <w:r w:rsidRPr="000F42EA">
        <w:rPr>
          <w:rFonts w:ascii="Times" w:eastAsia="Times New Roman" w:hAnsi="Times" w:cs="Arial"/>
          <w:bCs/>
          <w:sz w:val="24"/>
          <w:szCs w:val="20"/>
          <w:lang w:eastAsia="pl-PL"/>
        </w:rPr>
        <w:lastRenderedPageBreak/>
        <w:t>naruszenia prawa albo uwzględnienia przez sąd administracyjny skargi na odmowę przyznania pomocy przez podmiot wdrażający, podmiot wdrażający ustali, że pomoc powinna zostać przyznana.</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Zmiana zaproponowana w art. 1 pkt 6 projektu ustawy ma na celu, w przypadku</w:t>
      </w:r>
      <w:r w:rsidR="00A965DA">
        <w:rPr>
          <w:rFonts w:ascii="Times" w:eastAsia="Times New Roman" w:hAnsi="Times" w:cs="Arial"/>
          <w:bCs/>
          <w:sz w:val="24"/>
          <w:szCs w:val="20"/>
          <w:lang w:eastAsia="pl-PL"/>
        </w:rPr>
        <w:t xml:space="preserve"> dzia</w:t>
      </w:r>
      <w:r w:rsidR="0063669E">
        <w:rPr>
          <w:rFonts w:ascii="Times" w:eastAsia="Times New Roman" w:hAnsi="Times" w:cs="Arial"/>
          <w:bCs/>
          <w:sz w:val="24"/>
          <w:szCs w:val="20"/>
          <w:lang w:eastAsia="pl-PL"/>
        </w:rPr>
        <w:t>ł</w:t>
      </w:r>
      <w:r w:rsidR="00A965DA">
        <w:rPr>
          <w:rFonts w:ascii="Times" w:eastAsia="Times New Roman" w:hAnsi="Times" w:cs="Arial"/>
          <w:bCs/>
          <w:sz w:val="24"/>
          <w:szCs w:val="20"/>
          <w:lang w:eastAsia="pl-PL"/>
        </w:rPr>
        <w:t>ania</w:t>
      </w:r>
      <w:r w:rsidRPr="000F42EA">
        <w:rPr>
          <w:rFonts w:ascii="Times" w:eastAsia="Times New Roman" w:hAnsi="Times" w:cs="Arial"/>
          <w:bCs/>
          <w:sz w:val="24"/>
          <w:szCs w:val="20"/>
          <w:lang w:eastAsia="pl-PL"/>
        </w:rPr>
        <w:t xml:space="preserve"> „Działani</w:t>
      </w:r>
      <w:r w:rsidR="00A965DA">
        <w:rPr>
          <w:rFonts w:ascii="Times" w:eastAsia="Times New Roman" w:hAnsi="Times" w:cs="Arial"/>
          <w:bCs/>
          <w:sz w:val="24"/>
          <w:szCs w:val="20"/>
          <w:lang w:eastAsia="pl-PL"/>
        </w:rPr>
        <w:t>e</w:t>
      </w:r>
      <w:r w:rsidRPr="000F42EA">
        <w:rPr>
          <w:rFonts w:ascii="Times" w:eastAsia="Times New Roman" w:hAnsi="Times" w:cs="Arial"/>
          <w:bCs/>
          <w:sz w:val="24"/>
          <w:szCs w:val="20"/>
          <w:lang w:eastAsia="pl-PL"/>
        </w:rPr>
        <w:t xml:space="preserve"> rolno-środowiskowo-klimatyczne”, działania „Rolnictwo </w:t>
      </w:r>
      <w:r w:rsidR="00A965DA">
        <w:rPr>
          <w:rFonts w:ascii="Times" w:eastAsia="Times New Roman" w:hAnsi="Times" w:cs="Arial"/>
          <w:bCs/>
          <w:sz w:val="24"/>
          <w:szCs w:val="20"/>
          <w:lang w:eastAsia="pl-PL"/>
        </w:rPr>
        <w:t>e</w:t>
      </w:r>
      <w:r w:rsidRPr="000F42EA">
        <w:rPr>
          <w:rFonts w:ascii="Times" w:eastAsia="Times New Roman" w:hAnsi="Times" w:cs="Arial"/>
          <w:bCs/>
          <w:sz w:val="24"/>
          <w:szCs w:val="20"/>
          <w:lang w:eastAsia="pl-PL"/>
        </w:rPr>
        <w:t>kologiczne”</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i działania „Płatności dla obszarów z ograniczeniami naturalnymi lub innymi szczególnymi ograniczeniami” (ONW) doprecyzowanie terminu, na kiedy wymagane jest posiadanie tytułu prawnego, do gruntu wchodzącego w skład Zasobu Własności Rolnej Skarbu Państwa (ZWRSP).</w:t>
      </w:r>
      <w:r w:rsidR="00A965DA">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Zaproponowano, aby posiadanie tytułu prawnego było wymagane na dzień 31 maja danego roku.</w:t>
      </w:r>
    </w:p>
    <w:p w:rsidR="000F42EA" w:rsidRPr="000F42EA" w:rsidRDefault="000F42EA" w:rsidP="0063669E">
      <w:pPr>
        <w:widowControl w:val="0"/>
        <w:autoSpaceDE w:val="0"/>
        <w:autoSpaceDN w:val="0"/>
        <w:adjustRightInd w:val="0"/>
        <w:spacing w:before="120" w:after="0" w:line="360" w:lineRule="auto"/>
        <w:jc w:val="both"/>
        <w:rPr>
          <w:rFonts w:ascii="Times New Roman" w:eastAsia="Times New Roman" w:hAnsi="Times New Roman" w:cs="Arial"/>
          <w:sz w:val="24"/>
          <w:szCs w:val="20"/>
          <w:lang w:eastAsia="pl-PL"/>
        </w:rPr>
      </w:pPr>
      <w:r w:rsidRPr="000F42EA">
        <w:rPr>
          <w:rFonts w:ascii="Times New Roman" w:eastAsia="Times New Roman" w:hAnsi="Times New Roman" w:cs="Arial"/>
          <w:sz w:val="24"/>
          <w:szCs w:val="20"/>
          <w:lang w:eastAsia="pl-PL"/>
        </w:rPr>
        <w:t xml:space="preserve">Zgodnie </w:t>
      </w:r>
      <w:r w:rsidR="00A965DA">
        <w:rPr>
          <w:rFonts w:ascii="Times New Roman" w:eastAsia="Times New Roman" w:hAnsi="Times New Roman" w:cs="Arial"/>
          <w:sz w:val="24"/>
          <w:szCs w:val="20"/>
          <w:lang w:eastAsia="pl-PL"/>
        </w:rPr>
        <w:t xml:space="preserve">z </w:t>
      </w:r>
      <w:r w:rsidRPr="000F42EA">
        <w:rPr>
          <w:rFonts w:ascii="Times New Roman" w:eastAsia="Times New Roman" w:hAnsi="Times New Roman" w:cs="Arial"/>
          <w:sz w:val="24"/>
          <w:szCs w:val="20"/>
          <w:lang w:eastAsia="pl-PL"/>
        </w:rPr>
        <w:t>art. 20 ust. 4 ustawy PROW 2014</w:t>
      </w:r>
      <w:r w:rsidRPr="000F42EA">
        <w:rPr>
          <w:rFonts w:ascii="Times New Roman" w:eastAsia="Times New Roman" w:hAnsi="Times New Roman" w:cs="Times New Roman"/>
          <w:sz w:val="24"/>
          <w:szCs w:val="20"/>
          <w:lang w:eastAsia="pl-PL"/>
        </w:rPr>
        <w:t>–</w:t>
      </w:r>
      <w:r w:rsidRPr="000F42EA">
        <w:rPr>
          <w:rFonts w:ascii="Times New Roman" w:eastAsia="Times New Roman" w:hAnsi="Times New Roman" w:cs="Arial"/>
          <w:sz w:val="24"/>
          <w:szCs w:val="20"/>
          <w:lang w:eastAsia="pl-PL"/>
        </w:rPr>
        <w:t>2020 ww. płatność do gruntu wchodzącego w</w:t>
      </w:r>
      <w:r w:rsidR="0063669E">
        <w:rPr>
          <w:rFonts w:ascii="Times New Roman" w:eastAsia="Times New Roman" w:hAnsi="Times New Roman" w:cs="Arial"/>
          <w:sz w:val="24"/>
          <w:szCs w:val="20"/>
          <w:lang w:eastAsia="pl-PL"/>
        </w:rPr>
        <w:t xml:space="preserve"> </w:t>
      </w:r>
      <w:r w:rsidRPr="000F42EA">
        <w:rPr>
          <w:rFonts w:ascii="Times New Roman" w:eastAsia="Times New Roman" w:hAnsi="Times New Roman" w:cs="Arial"/>
          <w:sz w:val="24"/>
          <w:szCs w:val="20"/>
          <w:lang w:eastAsia="pl-PL"/>
        </w:rPr>
        <w:t>skład ZWRSP, przysługuje rolnikowi, który ma do niego tytuł prawny. Rolnik, by potwierdzić ten fakt, zgodnie z § 19 ust. 1a rozporządzenia Ministra Rolnictwa i Rozwoju Wsi z dnia 18 marca 2015 r. w sprawie szczegółowych warunków i trybu przyznawania pomocy finansowej w</w:t>
      </w:r>
      <w:r w:rsidR="0063669E">
        <w:rPr>
          <w:rFonts w:ascii="Times New Roman" w:eastAsia="Times New Roman" w:hAnsi="Times New Roman" w:cs="Arial"/>
          <w:sz w:val="24"/>
          <w:szCs w:val="20"/>
          <w:lang w:eastAsia="pl-PL"/>
        </w:rPr>
        <w:t xml:space="preserve"> </w:t>
      </w:r>
      <w:r w:rsidRPr="000F42EA">
        <w:rPr>
          <w:rFonts w:ascii="Times New Roman" w:eastAsia="Times New Roman" w:hAnsi="Times New Roman" w:cs="Arial"/>
          <w:sz w:val="24"/>
          <w:szCs w:val="20"/>
          <w:lang w:eastAsia="pl-PL"/>
        </w:rPr>
        <w:t>ramach działania „Działanie rolno</w:t>
      </w:r>
      <w:r w:rsidR="004A2D4B">
        <w:rPr>
          <w:rFonts w:ascii="Times New Roman" w:eastAsia="Times New Roman" w:hAnsi="Times New Roman" w:cs="Arial"/>
          <w:sz w:val="24"/>
          <w:szCs w:val="20"/>
          <w:lang w:eastAsia="pl-PL"/>
        </w:rPr>
        <w:t>-</w:t>
      </w:r>
      <w:r w:rsidR="004A2D4B">
        <w:rPr>
          <w:rFonts w:ascii="Times New Roman" w:eastAsia="Times New Roman" w:hAnsi="Times New Roman" w:cs="Arial"/>
          <w:sz w:val="24"/>
          <w:szCs w:val="20"/>
          <w:lang w:eastAsia="pl-PL"/>
        </w:rPr>
        <w:br/>
      </w:r>
      <w:r w:rsidRPr="000F42EA">
        <w:rPr>
          <w:rFonts w:ascii="Times New Roman" w:eastAsia="Times New Roman" w:hAnsi="Times New Roman" w:cs="Arial"/>
          <w:sz w:val="24"/>
          <w:szCs w:val="20"/>
          <w:lang w:eastAsia="pl-PL"/>
        </w:rPr>
        <w:t>-środowiskowo-klimatyczne” objętego Programem Rozwoju Obszarów Wiejskich na lata 2014–2020, zgodnie z § 17 ust. 1b rozporządzenia Ministra Rolnictwa i Rozwoju Wsi z dnia 13 marca 2015 r. w sprawie szczegółowych warunków i trybu przyznawania pomocy finansowej w</w:t>
      </w:r>
      <w:r w:rsidR="0063669E">
        <w:rPr>
          <w:rFonts w:ascii="Times New Roman" w:eastAsia="Times New Roman" w:hAnsi="Times New Roman" w:cs="Arial"/>
          <w:sz w:val="24"/>
          <w:szCs w:val="20"/>
          <w:lang w:eastAsia="pl-PL"/>
        </w:rPr>
        <w:t xml:space="preserve"> </w:t>
      </w:r>
      <w:r w:rsidRPr="000F42EA">
        <w:rPr>
          <w:rFonts w:ascii="Times New Roman" w:eastAsia="Times New Roman" w:hAnsi="Times New Roman" w:cs="Arial"/>
          <w:sz w:val="24"/>
          <w:szCs w:val="20"/>
          <w:lang w:eastAsia="pl-PL"/>
        </w:rPr>
        <w:t>ramach działania „Rolnictwo ekologiczne” objętego Programem Rozwoju Obszarów Wiejskich na lata 2014–2020 (Dz. U. poz. 370, z późn. zm.) oraz zgodnie z § 5 ust. 1a rozporządzenia Ministra Ro</w:t>
      </w:r>
      <w:r w:rsidR="00280212">
        <w:rPr>
          <w:rFonts w:ascii="Times New Roman" w:eastAsia="Times New Roman" w:hAnsi="Times New Roman" w:cs="Arial"/>
          <w:sz w:val="24"/>
          <w:szCs w:val="20"/>
          <w:lang w:eastAsia="pl-PL"/>
        </w:rPr>
        <w:t>lnictwa i Rozwoju Wsi z dnia 13 </w:t>
      </w:r>
      <w:r w:rsidRPr="000F42EA">
        <w:rPr>
          <w:rFonts w:ascii="Times New Roman" w:eastAsia="Times New Roman" w:hAnsi="Times New Roman" w:cs="Arial"/>
          <w:sz w:val="24"/>
          <w:szCs w:val="20"/>
          <w:lang w:eastAsia="pl-PL"/>
        </w:rPr>
        <w:t>marca 2015 r. w sprawie szczegółowych warunków i</w:t>
      </w:r>
      <w:r w:rsidR="0063669E">
        <w:rPr>
          <w:rFonts w:ascii="Times New Roman" w:eastAsia="Times New Roman" w:hAnsi="Times New Roman" w:cs="Arial"/>
          <w:sz w:val="24"/>
          <w:szCs w:val="20"/>
          <w:lang w:eastAsia="pl-PL"/>
        </w:rPr>
        <w:t xml:space="preserve"> </w:t>
      </w:r>
      <w:r w:rsidRPr="000F42EA">
        <w:rPr>
          <w:rFonts w:ascii="Times New Roman" w:eastAsia="Times New Roman" w:hAnsi="Times New Roman" w:cs="Arial"/>
          <w:sz w:val="24"/>
          <w:szCs w:val="20"/>
          <w:lang w:eastAsia="pl-PL"/>
        </w:rPr>
        <w:t>trybu przyznawania pomocy finansowej w</w:t>
      </w:r>
      <w:r w:rsidR="0063669E">
        <w:rPr>
          <w:rFonts w:ascii="Times New Roman" w:eastAsia="Times New Roman" w:hAnsi="Times New Roman" w:cs="Arial"/>
          <w:sz w:val="24"/>
          <w:szCs w:val="20"/>
          <w:lang w:eastAsia="pl-PL"/>
        </w:rPr>
        <w:t xml:space="preserve"> </w:t>
      </w:r>
      <w:r w:rsidRPr="000F42EA">
        <w:rPr>
          <w:rFonts w:ascii="Times New Roman" w:eastAsia="Times New Roman" w:hAnsi="Times New Roman" w:cs="Arial"/>
          <w:sz w:val="24"/>
          <w:szCs w:val="20"/>
          <w:lang w:eastAsia="pl-PL"/>
        </w:rPr>
        <w:t>ramach działania „Płatności dla obszarów z</w:t>
      </w:r>
      <w:r w:rsidR="0063669E">
        <w:rPr>
          <w:rFonts w:ascii="Times New Roman" w:eastAsia="Times New Roman" w:hAnsi="Times New Roman" w:cs="Arial"/>
          <w:sz w:val="24"/>
          <w:szCs w:val="20"/>
          <w:lang w:eastAsia="pl-PL"/>
        </w:rPr>
        <w:t xml:space="preserve"> </w:t>
      </w:r>
      <w:r w:rsidRPr="000F42EA">
        <w:rPr>
          <w:rFonts w:ascii="Times New Roman" w:eastAsia="Times New Roman" w:hAnsi="Times New Roman" w:cs="Arial"/>
          <w:sz w:val="24"/>
          <w:szCs w:val="20"/>
          <w:lang w:eastAsia="pl-PL"/>
        </w:rPr>
        <w:t>ograniczeniami naturalnymi lub innymi szczególnymi ograniczeniami” objętego Programem Rozwoju Obszarów Wiejskich na lata 2014</w:t>
      </w:r>
      <w:r w:rsidRPr="000F42EA">
        <w:rPr>
          <w:rFonts w:ascii="Times New Roman" w:eastAsia="Times New Roman" w:hAnsi="Times New Roman" w:cs="Times New Roman"/>
          <w:sz w:val="24"/>
          <w:szCs w:val="20"/>
          <w:lang w:eastAsia="pl-PL"/>
        </w:rPr>
        <w:t>–</w:t>
      </w:r>
      <w:r w:rsidRPr="000F42EA">
        <w:rPr>
          <w:rFonts w:ascii="Times New Roman" w:eastAsia="Times New Roman" w:hAnsi="Times New Roman" w:cs="Arial"/>
          <w:sz w:val="24"/>
          <w:szCs w:val="20"/>
          <w:lang w:eastAsia="pl-PL"/>
        </w:rPr>
        <w:t>2020 (Dz. U. poz. 364, z późn. zm.), musi złożyć oświadczenie o posiadaniu tego tytułu do użytków rolnych, do których ubiega się o</w:t>
      </w:r>
      <w:r w:rsidR="0063669E">
        <w:rPr>
          <w:rFonts w:ascii="Times New Roman" w:eastAsia="Times New Roman" w:hAnsi="Times New Roman" w:cs="Arial"/>
          <w:sz w:val="24"/>
          <w:szCs w:val="20"/>
          <w:lang w:eastAsia="pl-PL"/>
        </w:rPr>
        <w:t xml:space="preserve"> </w:t>
      </w:r>
      <w:r w:rsidRPr="000F42EA">
        <w:rPr>
          <w:rFonts w:ascii="Times New Roman" w:eastAsia="Times New Roman" w:hAnsi="Times New Roman" w:cs="Arial"/>
          <w:sz w:val="24"/>
          <w:szCs w:val="20"/>
          <w:lang w:eastAsia="pl-PL"/>
        </w:rPr>
        <w:t>przyznanie płatności, w którym wskazuje, z czego wywodzi ten tytuł prawny. W przypadku działań „Rolnictwo ekologiczne” oraz „Działanie rolno-środowiskowo-klimatyczne”, pomimo, że posiadanie tytułu prawnego do gruntu, zgodnie z powyższą propozycją, jest wymagane na dzień 31 maja, to grunty objęte zobowiązaniem w ramach tych działań muszą pozostawać w użytkowaniu przez beneficjenta przez cały 5-letni okres trwania tych zobowiązań.</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lastRenderedPageBreak/>
        <w:t>W celu weryfikacji przedmiotowego warunku, ARiMR pozyskuje informacje dotyczące wszystkich działek ewidencyjnych wchodzących w skład ZWRSP, w</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 xml:space="preserve">tym dane podmiotów, które mają tytuł prawny do takich gruntów. Przedmiotowe dane udostępnia </w:t>
      </w:r>
      <w:r w:rsidR="00A965DA">
        <w:rPr>
          <w:rFonts w:ascii="Times" w:eastAsia="Times New Roman" w:hAnsi="Times" w:cs="Arial"/>
          <w:bCs/>
          <w:sz w:val="24"/>
          <w:szCs w:val="20"/>
          <w:lang w:eastAsia="pl-PL"/>
        </w:rPr>
        <w:t>ARiMR</w:t>
      </w:r>
      <w:r w:rsidRPr="000F42EA">
        <w:rPr>
          <w:rFonts w:ascii="Times" w:eastAsia="Times New Roman" w:hAnsi="Times" w:cs="Arial"/>
          <w:bCs/>
          <w:sz w:val="24"/>
          <w:szCs w:val="20"/>
          <w:lang w:eastAsia="pl-PL"/>
        </w:rPr>
        <w:t xml:space="preserve"> </w:t>
      </w:r>
      <w:r w:rsidR="004A2D4B">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Agencja Nieruchomości Rolnych (ANR), według stanu na dzień 31 maja danego roku, zgodnie z</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rozporządzeniem Ministra Rolnictwa i</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Rozwoju Wsi z dnia 21</w:t>
      </w:r>
      <w:r w:rsidR="00280212">
        <w:rPr>
          <w:rFonts w:ascii="Times" w:eastAsia="Times New Roman" w:hAnsi="Times" w:cs="Arial"/>
          <w:bCs/>
          <w:sz w:val="24"/>
          <w:szCs w:val="20"/>
          <w:lang w:eastAsia="pl-PL"/>
        </w:rPr>
        <w:t> </w:t>
      </w:r>
      <w:r w:rsidRPr="000F42EA">
        <w:rPr>
          <w:rFonts w:ascii="Times" w:eastAsia="Times New Roman" w:hAnsi="Times" w:cs="Arial"/>
          <w:bCs/>
          <w:sz w:val="24"/>
          <w:szCs w:val="20"/>
          <w:lang w:eastAsia="pl-PL"/>
        </w:rPr>
        <w:t>stycznia 2004 r. w sprawie warunków oraz trybu udostępniania danych przechowywanych w rejestrach i ewidencjach prowadzonych na podstawie odrębnych przepisów (Dz. U. poz. 90,</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z późn. zm.).</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Jednocześnie, zgodnie z art. 36 ust 5 rozporządzenia Parlamentu Europejskiego i Rady (UE) nr 1307/2013 z</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dnia 17 grudnia 2013 r. ustanawiającego przepisy dotyczące płatności bezpośrednich dla rolników na podstawie systemów wsparcia w ramach wspólnej polityki rolnej oraz uchylającego rozporz</w:t>
      </w:r>
      <w:r w:rsidR="00280212">
        <w:rPr>
          <w:rFonts w:ascii="Times" w:eastAsia="Times New Roman" w:hAnsi="Times" w:cs="Arial"/>
          <w:bCs/>
          <w:sz w:val="24"/>
          <w:szCs w:val="20"/>
          <w:lang w:eastAsia="pl-PL"/>
        </w:rPr>
        <w:t>ądzenie Rady (WE) nr 637/2008 i </w:t>
      </w:r>
      <w:r w:rsidRPr="000F42EA">
        <w:rPr>
          <w:rFonts w:ascii="Times" w:eastAsia="Times New Roman" w:hAnsi="Times" w:cs="Arial"/>
          <w:bCs/>
          <w:sz w:val="24"/>
          <w:szCs w:val="20"/>
          <w:lang w:eastAsia="pl-PL"/>
        </w:rPr>
        <w:t>rozporządzenie Rady (WE) nr 73/2009</w:t>
      </w:r>
      <w:r w:rsidR="000C7032">
        <w:rPr>
          <w:rFonts w:ascii="Times" w:eastAsia="Times New Roman" w:hAnsi="Times" w:cs="Arial"/>
          <w:bCs/>
          <w:sz w:val="24"/>
          <w:szCs w:val="20"/>
          <w:lang w:eastAsia="pl-PL"/>
        </w:rPr>
        <w:t xml:space="preserve"> (Dz. Urz. UE L 347 z 17.12.2013, str. 608, z</w:t>
      </w:r>
      <w:r w:rsidR="00280212">
        <w:rPr>
          <w:rFonts w:ascii="Times" w:eastAsia="Times New Roman" w:hAnsi="Times" w:cs="Arial"/>
          <w:bCs/>
          <w:sz w:val="24"/>
          <w:szCs w:val="20"/>
          <w:lang w:eastAsia="pl-PL"/>
        </w:rPr>
        <w:t> </w:t>
      </w:r>
      <w:r w:rsidR="000C7032">
        <w:rPr>
          <w:rFonts w:ascii="Times" w:eastAsia="Times New Roman" w:hAnsi="Times" w:cs="Arial"/>
          <w:bCs/>
          <w:sz w:val="24"/>
          <w:szCs w:val="20"/>
          <w:lang w:eastAsia="pl-PL"/>
        </w:rPr>
        <w:t>późn. zm.)</w:t>
      </w:r>
      <w:r w:rsidRPr="000F42EA">
        <w:rPr>
          <w:rFonts w:ascii="Times" w:eastAsia="Times New Roman" w:hAnsi="Times" w:cs="Arial"/>
          <w:bCs/>
          <w:sz w:val="24"/>
          <w:szCs w:val="20"/>
          <w:lang w:eastAsia="pl-PL"/>
        </w:rPr>
        <w:t>, kwalifikujące się hektary muszą pozostawać w posiadaniu rolnika w dniu ustalonym przez państwo członkowskie. Przepisy ustawy</w:t>
      </w:r>
      <w:r w:rsidR="000C7032">
        <w:rPr>
          <w:rFonts w:ascii="Times" w:eastAsia="Times New Roman" w:hAnsi="Times" w:cs="Arial"/>
          <w:bCs/>
          <w:sz w:val="24"/>
          <w:szCs w:val="20"/>
          <w:lang w:eastAsia="pl-PL"/>
        </w:rPr>
        <w:t xml:space="preserve"> z dnia 5 lutego 2015 r.</w:t>
      </w:r>
      <w:r w:rsidR="00280212">
        <w:rPr>
          <w:rFonts w:ascii="Times" w:eastAsia="Times New Roman" w:hAnsi="Times" w:cs="Arial"/>
          <w:bCs/>
          <w:sz w:val="24"/>
          <w:szCs w:val="20"/>
          <w:lang w:eastAsia="pl-PL"/>
        </w:rPr>
        <w:t xml:space="preserve"> o </w:t>
      </w:r>
      <w:r w:rsidRPr="000F42EA">
        <w:rPr>
          <w:rFonts w:ascii="Times" w:eastAsia="Times New Roman" w:hAnsi="Times" w:cs="Arial"/>
          <w:bCs/>
          <w:sz w:val="24"/>
          <w:szCs w:val="20"/>
          <w:lang w:eastAsia="pl-PL"/>
        </w:rPr>
        <w:t>płatnościach w</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ramach systemów wsparcia bezpośredniego stanowią, że płatność bezpośrednia do działki rolnej wchodzącej w</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skład ZWRSP przysługuje rolnikowi, który ma do tej działki tytuł prawny, na dzień</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31 maja danego roku.</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Mając na uwadze, że płatności ONW mają zbliżony charakter do płatności bezpośrednich</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proponuje się ujednolicenie przepisów dotyczących wdrażania tych płatności, dzięki czemu zapewniona jest ich prawidłowa realizacja oraz spełniona idea upraszczania przepisów i procedur. Rolnicy składają w</w:t>
      </w:r>
      <w:r w:rsidR="00280212">
        <w:rPr>
          <w:rFonts w:ascii="Times" w:eastAsia="Times New Roman" w:hAnsi="Times" w:cs="Arial"/>
          <w:bCs/>
          <w:sz w:val="24"/>
          <w:szCs w:val="20"/>
          <w:lang w:eastAsia="pl-PL"/>
        </w:rPr>
        <w:t>nioski o przyznanie płatności w </w:t>
      </w:r>
      <w:r w:rsidRPr="000F42EA">
        <w:rPr>
          <w:rFonts w:ascii="Times" w:eastAsia="Times New Roman" w:hAnsi="Times" w:cs="Arial"/>
          <w:bCs/>
          <w:sz w:val="24"/>
          <w:szCs w:val="20"/>
          <w:lang w:eastAsia="pl-PL"/>
        </w:rPr>
        <w:t>ramach m.in. płatności bezpośrednich oraz płatności ONW na jednym formularzu w</w:t>
      </w:r>
      <w:r w:rsidR="00280212">
        <w:rPr>
          <w:rFonts w:ascii="Times" w:eastAsia="Times New Roman" w:hAnsi="Times" w:cs="Arial"/>
          <w:bCs/>
          <w:sz w:val="24"/>
          <w:szCs w:val="20"/>
          <w:lang w:eastAsia="pl-PL"/>
        </w:rPr>
        <w:t> </w:t>
      </w:r>
      <w:r w:rsidRPr="000F42EA">
        <w:rPr>
          <w:rFonts w:ascii="Times" w:eastAsia="Times New Roman" w:hAnsi="Times" w:cs="Arial"/>
          <w:bCs/>
          <w:sz w:val="24"/>
          <w:szCs w:val="20"/>
          <w:lang w:eastAsia="pl-PL"/>
        </w:rPr>
        <w:t>tym samym terminie. Zharmonizowane są również terminy wydawania decyzji administracyjnej w</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sprawie o</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 xml:space="preserve">przyznanie pomocy oraz termin wypłaty tej pomocy. </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W związku z powyższym wskazane jest również ujednolicenie przepisów w zakresie terminu weryfikacji posiadania tytułu prawnego do powierzchni użytków rolnych zaliczanych do obszarów ONW, wchodzących w</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skład ZWRSP.</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Celem zmiany zawartej w art. 1 pkt 7 projektu ustawy jest doprecyzowanie,</w:t>
      </w:r>
      <w:r w:rsidR="0063669E">
        <w:rPr>
          <w:rFonts w:ascii="Times" w:eastAsia="Times New Roman" w:hAnsi="Times" w:cs="Arial"/>
          <w:bCs/>
          <w:sz w:val="24"/>
          <w:szCs w:val="20"/>
          <w:lang w:eastAsia="pl-PL"/>
        </w:rPr>
        <w:t xml:space="preserve"> </w:t>
      </w:r>
      <w:r w:rsidR="00280212">
        <w:rPr>
          <w:rFonts w:ascii="Times" w:eastAsia="Times New Roman" w:hAnsi="Times" w:cs="Arial"/>
          <w:bCs/>
          <w:sz w:val="24"/>
          <w:szCs w:val="20"/>
          <w:lang w:eastAsia="pl-PL"/>
        </w:rPr>
        <w:t>że w </w:t>
      </w:r>
      <w:r w:rsidRPr="000F42EA">
        <w:rPr>
          <w:rFonts w:ascii="Times" w:eastAsia="Times New Roman" w:hAnsi="Times" w:cs="Arial"/>
          <w:bCs/>
          <w:sz w:val="24"/>
          <w:szCs w:val="20"/>
          <w:lang w:eastAsia="pl-PL"/>
        </w:rPr>
        <w:t xml:space="preserve">ramach działania „Usługi doradcze, usługi z zakresu zarzadzania gospodarstwem rolnym i usługi z zakresu zastępstw” pomoc nie jest przyznawana na wniosek o jej przyznanie. Zgodnie z art. 15 rozporządzenia nr 1305/2013, wybór beneficjenta tego </w:t>
      </w:r>
      <w:r w:rsidRPr="000F42EA">
        <w:rPr>
          <w:rFonts w:ascii="Times" w:eastAsia="Times New Roman" w:hAnsi="Times" w:cs="Arial"/>
          <w:bCs/>
          <w:sz w:val="24"/>
          <w:szCs w:val="20"/>
          <w:lang w:eastAsia="pl-PL"/>
        </w:rPr>
        <w:lastRenderedPageBreak/>
        <w:t xml:space="preserve">działania powinien następować w trybie przepisów </w:t>
      </w:r>
      <w:r w:rsidR="000C7032">
        <w:rPr>
          <w:rFonts w:ascii="Times" w:eastAsia="Times New Roman" w:hAnsi="Times" w:cs="Arial"/>
          <w:bCs/>
          <w:sz w:val="24"/>
          <w:szCs w:val="20"/>
          <w:lang w:eastAsia="pl-PL"/>
        </w:rPr>
        <w:t>o</w:t>
      </w:r>
      <w:r w:rsidR="000C7032" w:rsidRPr="000F42EA">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zamówi</w:t>
      </w:r>
      <w:r w:rsidR="0063669E">
        <w:rPr>
          <w:rFonts w:ascii="Times" w:eastAsia="Times New Roman" w:hAnsi="Times" w:cs="Arial"/>
          <w:bCs/>
          <w:sz w:val="24"/>
          <w:szCs w:val="20"/>
          <w:lang w:eastAsia="pl-PL"/>
        </w:rPr>
        <w:t>eni</w:t>
      </w:r>
      <w:r w:rsidR="000C7032">
        <w:rPr>
          <w:rFonts w:ascii="Times" w:eastAsia="Times New Roman" w:hAnsi="Times" w:cs="Arial"/>
          <w:bCs/>
          <w:sz w:val="24"/>
          <w:szCs w:val="20"/>
          <w:lang w:eastAsia="pl-PL"/>
        </w:rPr>
        <w:t>ach</w:t>
      </w:r>
      <w:r w:rsidRPr="000F42EA">
        <w:rPr>
          <w:rFonts w:ascii="Times" w:eastAsia="Times New Roman" w:hAnsi="Times" w:cs="Arial"/>
          <w:bCs/>
          <w:sz w:val="24"/>
          <w:szCs w:val="20"/>
          <w:lang w:eastAsia="pl-PL"/>
        </w:rPr>
        <w:t xml:space="preserve"> publicznych, natomiast umowa zawierana pomiędzy ARiMR a be</w:t>
      </w:r>
      <w:r w:rsidR="00280212">
        <w:rPr>
          <w:rFonts w:ascii="Times" w:eastAsia="Times New Roman" w:hAnsi="Times" w:cs="Arial"/>
          <w:bCs/>
          <w:sz w:val="24"/>
          <w:szCs w:val="20"/>
          <w:lang w:eastAsia="pl-PL"/>
        </w:rPr>
        <w:t>neficjentem powinna być umową o </w:t>
      </w:r>
      <w:r w:rsidRPr="000F42EA">
        <w:rPr>
          <w:rFonts w:ascii="Times" w:eastAsia="Times New Roman" w:hAnsi="Times" w:cs="Arial"/>
          <w:bCs/>
          <w:sz w:val="24"/>
          <w:szCs w:val="20"/>
          <w:lang w:eastAsia="pl-PL"/>
        </w:rPr>
        <w:t>przyznaniu pomocy, jak to zostało określone w art. 34 ust. 5 ustawy PROW 2014</w:t>
      </w:r>
      <w:r w:rsidRPr="000F42EA">
        <w:rPr>
          <w:rFonts w:ascii="Times" w:eastAsia="Times New Roman" w:hAnsi="Times" w:cs="Arial"/>
          <w:bCs/>
          <w:sz w:val="24"/>
          <w:szCs w:val="20"/>
          <w:lang w:eastAsia="pl-PL"/>
        </w:rPr>
        <w:sym w:font="Symbol" w:char="F02D"/>
      </w:r>
      <w:r w:rsidRPr="000F42EA">
        <w:rPr>
          <w:rFonts w:ascii="Times" w:eastAsia="Times New Roman" w:hAnsi="Times" w:cs="Arial"/>
          <w:bCs/>
          <w:sz w:val="24"/>
          <w:szCs w:val="20"/>
          <w:lang w:eastAsia="pl-PL"/>
        </w:rPr>
        <w:t xml:space="preserve">2020, a wsparcie powinno być wypłacane na podstawie wniosku o płatność. </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Zmiana zaproponowana w art. 1 pkt 8 projektu ustawy polega na przeniesieniu do oddziałów regionalnych obsługi spraw związanych z przyznawaniem i wypłatą pomocy oraz realizacją zobowiązań wieloletnich, w ramach poddziałań „Pomoc w rozpoczęciu działalności na rzecz młodych rolników” i „Pomoc na rozpoczęcie działalności gospodarczej na rzecz rozwoju małych gospodarstw”, co zapewni lepszą i sprawniejszą realizację przedmiotowych zadań.</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Zmiana zaproponowana w art. 1 pkt 9 projektu ustawy polega na zmianie brzmienia</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art. 34 ust. 5 ustawy PROW 2014</w:t>
      </w:r>
      <w:r w:rsidRPr="000F42EA">
        <w:rPr>
          <w:rFonts w:ascii="Times" w:eastAsia="Times New Roman" w:hAnsi="Times" w:cs="Arial"/>
          <w:bCs/>
          <w:sz w:val="24"/>
          <w:szCs w:val="20"/>
          <w:lang w:eastAsia="pl-PL"/>
        </w:rPr>
        <w:sym w:font="Symbol" w:char="F02D"/>
      </w:r>
      <w:r w:rsidRPr="000F42EA">
        <w:rPr>
          <w:rFonts w:ascii="Times" w:eastAsia="Times New Roman" w:hAnsi="Times" w:cs="Arial"/>
          <w:bCs/>
          <w:sz w:val="24"/>
          <w:szCs w:val="20"/>
          <w:lang w:eastAsia="pl-PL"/>
        </w:rPr>
        <w:t>2020 i dotyczy wskazania trybu wyboru beneficjentów działania „Usługi doradcze, usługi z zakresu zar</w:t>
      </w:r>
      <w:r w:rsidR="00280212">
        <w:rPr>
          <w:rFonts w:ascii="Times" w:eastAsia="Times New Roman" w:hAnsi="Times" w:cs="Arial"/>
          <w:bCs/>
          <w:sz w:val="24"/>
          <w:szCs w:val="20"/>
          <w:lang w:eastAsia="pl-PL"/>
        </w:rPr>
        <w:t>ządzania gospodarstwem rolnym i </w:t>
      </w:r>
      <w:r w:rsidRPr="000F42EA">
        <w:rPr>
          <w:rFonts w:ascii="Times" w:eastAsia="Times New Roman" w:hAnsi="Times" w:cs="Arial"/>
          <w:bCs/>
          <w:sz w:val="24"/>
          <w:szCs w:val="20"/>
          <w:lang w:eastAsia="pl-PL"/>
        </w:rPr>
        <w:t>usługi</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 xml:space="preserve">z zakresu zastępstw”. Art. 15 ust. 3 rozporządzenia nr 1305/2013 wskazuje, że beneficjenci działania </w:t>
      </w:r>
      <w:r w:rsidR="000C7032" w:rsidRPr="000F42EA">
        <w:rPr>
          <w:rFonts w:ascii="Times" w:eastAsia="Times New Roman" w:hAnsi="Times" w:cs="Arial"/>
          <w:bCs/>
          <w:sz w:val="24"/>
          <w:szCs w:val="20"/>
          <w:lang w:eastAsia="pl-PL"/>
        </w:rPr>
        <w:t xml:space="preserve">są </w:t>
      </w:r>
      <w:r w:rsidRPr="000F42EA">
        <w:rPr>
          <w:rFonts w:ascii="Times" w:eastAsia="Times New Roman" w:hAnsi="Times" w:cs="Arial"/>
          <w:bCs/>
          <w:sz w:val="24"/>
          <w:szCs w:val="20"/>
          <w:lang w:eastAsia="pl-PL"/>
        </w:rPr>
        <w:t xml:space="preserve">wybierani </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w drodze zaproszenia do składania ofert, zaś procedura wyboru regulowana jest prawem zamówień publicznych. Dodatkowo, art. 7 rozporządzenia wykonawczego Komisji (UE)</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nr 808/2014 z dnia 17 lipca 2014 r. ustanawiającego zasady stosowania rozporządzenia Parlamentu Europejskiego i Rady (UE) nr 1305/2013 w sprawie wsparcia rozwoju obszarów wiejskich przez Europejski Fundusz Rolny na rzecz Rozwoju Obszarów Wiejskich (EFRROW) (Dz. Urz. UE L 227 z 31.07.2014, str. 18), zwanego dalej „rozporządzeniem</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nr 808/2014”</w:t>
      </w:r>
      <w:r w:rsidR="000C7032">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stanowi, że zaproszenia do składania ofert odbywają się z zastosowaniem unijnych i krajowych zasad udzielania zamówień publicznych. </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Obecne brzmienie art. 34 ust. 5 ustawy PROW 2014</w:t>
      </w:r>
      <w:r w:rsidRPr="000F42EA">
        <w:rPr>
          <w:rFonts w:ascii="Times" w:eastAsia="Times New Roman" w:hAnsi="Times" w:cs="Arial"/>
          <w:bCs/>
          <w:sz w:val="24"/>
          <w:szCs w:val="20"/>
          <w:lang w:eastAsia="pl-PL"/>
        </w:rPr>
        <w:sym w:font="Symbol" w:char="F02D"/>
      </w:r>
      <w:r w:rsidRPr="000F42EA">
        <w:rPr>
          <w:rFonts w:ascii="Times" w:eastAsia="Times New Roman" w:hAnsi="Times" w:cs="Arial"/>
          <w:bCs/>
          <w:sz w:val="24"/>
          <w:szCs w:val="20"/>
          <w:lang w:eastAsia="pl-PL"/>
        </w:rPr>
        <w:t xml:space="preserve">2020 zawęża możliwość wyłonienia beneficjentów do trybu przetargu nieograniczonego, podczas gdy ustawa </w:t>
      </w:r>
      <w:r w:rsidR="000C7032">
        <w:rPr>
          <w:rFonts w:ascii="Times" w:eastAsia="Times New Roman" w:hAnsi="Times" w:cs="Arial"/>
          <w:bCs/>
          <w:sz w:val="24"/>
          <w:szCs w:val="20"/>
          <w:lang w:eastAsia="pl-PL"/>
        </w:rPr>
        <w:t>z</w:t>
      </w:r>
      <w:r w:rsidR="00280212">
        <w:rPr>
          <w:rFonts w:ascii="Times" w:eastAsia="Times New Roman" w:hAnsi="Times" w:cs="Arial"/>
          <w:bCs/>
          <w:sz w:val="24"/>
          <w:szCs w:val="20"/>
          <w:lang w:eastAsia="pl-PL"/>
        </w:rPr>
        <w:t> </w:t>
      </w:r>
      <w:r w:rsidR="000C7032">
        <w:rPr>
          <w:rFonts w:ascii="Times" w:eastAsia="Times New Roman" w:hAnsi="Times" w:cs="Arial"/>
          <w:bCs/>
          <w:sz w:val="24"/>
          <w:szCs w:val="20"/>
          <w:lang w:eastAsia="pl-PL"/>
        </w:rPr>
        <w:t xml:space="preserve">dnia 29 stycznia 2004 r. – </w:t>
      </w:r>
      <w:r w:rsidRPr="000F42EA">
        <w:rPr>
          <w:rFonts w:ascii="Times" w:eastAsia="Times New Roman" w:hAnsi="Times" w:cs="Arial"/>
          <w:bCs/>
          <w:sz w:val="24"/>
          <w:szCs w:val="20"/>
          <w:lang w:eastAsia="pl-PL"/>
        </w:rPr>
        <w:t>Prawo zamówień publicznych</w:t>
      </w:r>
      <w:r w:rsidR="000C7032">
        <w:rPr>
          <w:rFonts w:ascii="Times" w:eastAsia="Times New Roman" w:hAnsi="Times" w:cs="Arial"/>
          <w:bCs/>
          <w:sz w:val="24"/>
          <w:szCs w:val="20"/>
          <w:lang w:eastAsia="pl-PL"/>
        </w:rPr>
        <w:t xml:space="preserve"> (Dz. U. z 2015 r. poz. 2</w:t>
      </w:r>
      <w:r w:rsidR="001911C6">
        <w:rPr>
          <w:rFonts w:ascii="Times" w:eastAsia="Times New Roman" w:hAnsi="Times" w:cs="Arial"/>
          <w:bCs/>
          <w:sz w:val="24"/>
          <w:szCs w:val="20"/>
          <w:lang w:eastAsia="pl-PL"/>
        </w:rPr>
        <w:t>1</w:t>
      </w:r>
      <w:r w:rsidR="000C7032">
        <w:rPr>
          <w:rFonts w:ascii="Times" w:eastAsia="Times New Roman" w:hAnsi="Times" w:cs="Arial"/>
          <w:bCs/>
          <w:sz w:val="24"/>
          <w:szCs w:val="20"/>
          <w:lang w:eastAsia="pl-PL"/>
        </w:rPr>
        <w:t>64 oraz z 2016 r. poz. 831, 996, 1020, 1250, 1265, 1579), zwana dalej „ustawą Prawo zamówień publicznych”,</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przewiduje także inne tryby udzielania zamówień.</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W celu jak najszybszego uruchomienia ww. działania zaproponowano ww. zmianę podmiotu wdrażającego. Jednocześnie jednak wymagany jest jak najszybszy wybór beneficjentów działania. Biorąc pod uwagę obecny etap wdrażania PROW 2014–2020</w:t>
      </w:r>
      <w:r w:rsidR="00625655">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pozostawienie wymogu wyłaniania beneficjentów jedynie w trybie przetargu </w:t>
      </w:r>
      <w:r w:rsidRPr="000F42EA">
        <w:rPr>
          <w:rFonts w:ascii="Times" w:eastAsia="Times New Roman" w:hAnsi="Times" w:cs="Arial"/>
          <w:bCs/>
          <w:sz w:val="24"/>
          <w:szCs w:val="20"/>
          <w:lang w:eastAsia="pl-PL"/>
        </w:rPr>
        <w:lastRenderedPageBreak/>
        <w:t>nieograniczonego w przypadku zaistnienia sytuacji, w której przetarg ten nie zostałby rozstrzygnięty, znacznie opóźniłoby uruchomienie działania i wydatkowanie środków PROW 2014–2020. Dlatego też, zasadne wydaje się umożliwienie skorzystania również z innych trybów udzielania zamówień publicznych, co pozwoli zamawiającemu wybrać optymalny tryb udzielenia konkretnego zamówienia przy jednoczesnym spełnieniu przesłanek, jakie muszą zachodzić, by możliwe było</w:t>
      </w:r>
      <w:r w:rsidR="00280212">
        <w:rPr>
          <w:rFonts w:ascii="Times" w:eastAsia="Times New Roman" w:hAnsi="Times" w:cs="Arial"/>
          <w:bCs/>
          <w:sz w:val="24"/>
          <w:szCs w:val="20"/>
          <w:lang w:eastAsia="pl-PL"/>
        </w:rPr>
        <w:t xml:space="preserve"> przeprowadzenie postępowania w </w:t>
      </w:r>
      <w:r w:rsidRPr="000F42EA">
        <w:rPr>
          <w:rFonts w:ascii="Times" w:eastAsia="Times New Roman" w:hAnsi="Times" w:cs="Arial"/>
          <w:bCs/>
          <w:sz w:val="24"/>
          <w:szCs w:val="20"/>
          <w:lang w:eastAsia="pl-PL"/>
        </w:rPr>
        <w:t>określonym trybie.</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Powołanie się, w treści ww. przepisów UE, na unijne i krajowe zasady udzielania zamówień publicznych oznacza stosowanie przepisów ustawy</w:t>
      </w:r>
      <w:r w:rsidR="00625655">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 xml:space="preserve"> Prawo zamówień publicznych nie tylko w zakresie wyboru beneficjenta</w:t>
      </w:r>
      <w:r w:rsidR="00F913E8">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lecz także w zakresie udzielenia mu zamówienia, czyli zawarcia z nim umowy o zamówienie publiczne. Wynika to bezwarunkowo z krajowych przepisów, regulujących kwestię zamówień publicznych.</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Zmiana zaproponowana w art. 1 pkt 11 projektu ustawy ma na celu uregulowanie kwestii możliwości określania zmniejszeń wartości wypłacanej pomocy, na etapie wydawania decyzji administracyjnej o wypłacie pomocy. Obecne brzmienie ustawy PROW 2014</w:t>
      </w:r>
      <w:r w:rsidRPr="000F42EA">
        <w:rPr>
          <w:rFonts w:ascii="Times" w:eastAsia="Times New Roman" w:hAnsi="Times" w:cs="Arial"/>
          <w:bCs/>
          <w:sz w:val="24"/>
          <w:szCs w:val="20"/>
          <w:lang w:eastAsia="pl-PL"/>
        </w:rPr>
        <w:sym w:font="Symbol" w:char="F02D"/>
      </w:r>
      <w:r w:rsidRPr="000F42EA">
        <w:rPr>
          <w:rFonts w:ascii="Times" w:eastAsia="Times New Roman" w:hAnsi="Times" w:cs="Arial"/>
          <w:bCs/>
          <w:sz w:val="24"/>
          <w:szCs w:val="20"/>
          <w:lang w:eastAsia="pl-PL"/>
        </w:rPr>
        <w:t>2020 dopuszcza możliwość określania zmniejszeń pomocy na etapie wydawania decyzji administracyjnej w sprawie o</w:t>
      </w:r>
      <w:r w:rsidR="00280212">
        <w:rPr>
          <w:rFonts w:ascii="Times" w:eastAsia="Times New Roman" w:hAnsi="Times" w:cs="Arial"/>
          <w:bCs/>
          <w:sz w:val="24"/>
          <w:szCs w:val="20"/>
          <w:lang w:eastAsia="pl-PL"/>
        </w:rPr>
        <w:t xml:space="preserve"> przyznanie pomocy. W związku z </w:t>
      </w:r>
      <w:r w:rsidRPr="000F42EA">
        <w:rPr>
          <w:rFonts w:ascii="Times" w:eastAsia="Times New Roman" w:hAnsi="Times" w:cs="Arial"/>
          <w:bCs/>
          <w:sz w:val="24"/>
          <w:szCs w:val="20"/>
          <w:lang w:eastAsia="pl-PL"/>
        </w:rPr>
        <w:t>tym, że w ramach działania „Tworzenie grup producentów i</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organizacji producentów” określenie kwoty pomocy, w tym jej ewentualne zmniejszenie w wyniku zastosowania sankcji, może nastąpić dopiero na etapie wydawania decyzji administracyjnej w sprawie o wypłatę pomocy, a nie w sprawie</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o przyznanie pomocy, konieczne jest wprowadzenie regulacji w tym zakresie.</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Zmiany zawarte w art. 1 pkt 12 lit. b projektu ustawy są związane</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z koniecznością przeprowadzania kontroli administracyjnej wniosków składanych</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w ramach pomocy technicznej</w:t>
      </w:r>
      <w:r w:rsidR="00F913E8">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w szczególności w zakresie dokumentacji przetargowej</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oraz księgowej, która ze względu na swoją obszerność wymaga złożenia w</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formie papierowej. Z tego względu proponuje się, aby wniosek o przyznanie po</w:t>
      </w:r>
      <w:r w:rsidR="00280212">
        <w:rPr>
          <w:rFonts w:ascii="Times" w:eastAsia="Times New Roman" w:hAnsi="Times" w:cs="Arial"/>
          <w:bCs/>
          <w:sz w:val="24"/>
          <w:szCs w:val="20"/>
          <w:lang w:eastAsia="pl-PL"/>
        </w:rPr>
        <w:t>mocy technicznej oraz wniosek o </w:t>
      </w:r>
      <w:r w:rsidRPr="000F42EA">
        <w:rPr>
          <w:rFonts w:ascii="Times" w:eastAsia="Times New Roman" w:hAnsi="Times" w:cs="Arial"/>
          <w:bCs/>
          <w:sz w:val="24"/>
          <w:szCs w:val="20"/>
          <w:lang w:eastAsia="pl-PL"/>
        </w:rPr>
        <w:t xml:space="preserve">płatność w odniesieniu do pomocy technicznej wraz z załącznikami nie mogły być składane za pomocą formularza umieszczonego na stronie internetowej agencji płatniczej. </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Zmiana zaproponowana w art. 1 pkt 13 projektu ustawy ma na celu uregulowanie kwestii konkurencyjnego trybu wyboru wykonawców poszczególnych zadań ujętych</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lastRenderedPageBreak/>
        <w:t>w</w:t>
      </w:r>
      <w:r w:rsidR="00280212">
        <w:rPr>
          <w:rFonts w:ascii="Times" w:eastAsia="Times New Roman" w:hAnsi="Times" w:cs="Arial"/>
          <w:bCs/>
          <w:sz w:val="24"/>
          <w:szCs w:val="20"/>
          <w:lang w:eastAsia="pl-PL"/>
        </w:rPr>
        <w:t> </w:t>
      </w:r>
      <w:r w:rsidRPr="000F42EA">
        <w:rPr>
          <w:rFonts w:ascii="Times" w:eastAsia="Times New Roman" w:hAnsi="Times" w:cs="Arial"/>
          <w:bCs/>
          <w:sz w:val="24"/>
          <w:szCs w:val="20"/>
          <w:lang w:eastAsia="pl-PL"/>
        </w:rPr>
        <w:t>zestawieniu rzeczowo-finansowym operacji oraz kar administracyjnych stosowanych</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w przypadku stwierdzenia niezgodności dotyc</w:t>
      </w:r>
      <w:r w:rsidR="00280212">
        <w:rPr>
          <w:rFonts w:ascii="Times" w:eastAsia="Times New Roman" w:hAnsi="Times" w:cs="Arial"/>
          <w:bCs/>
          <w:sz w:val="24"/>
          <w:szCs w:val="20"/>
          <w:lang w:eastAsia="pl-PL"/>
        </w:rPr>
        <w:t>zącej stosowania tego trybu i w </w:t>
      </w:r>
      <w:r w:rsidRPr="000F42EA">
        <w:rPr>
          <w:rFonts w:ascii="Times" w:eastAsia="Times New Roman" w:hAnsi="Times" w:cs="Arial"/>
          <w:bCs/>
          <w:sz w:val="24"/>
          <w:szCs w:val="20"/>
          <w:lang w:eastAsia="pl-PL"/>
        </w:rPr>
        <w:t>przypadku stwierdzenia niezgodności do</w:t>
      </w:r>
      <w:r w:rsidR="00280212">
        <w:rPr>
          <w:rFonts w:ascii="Times" w:eastAsia="Times New Roman" w:hAnsi="Times" w:cs="Arial"/>
          <w:bCs/>
          <w:sz w:val="24"/>
          <w:szCs w:val="20"/>
          <w:lang w:eastAsia="pl-PL"/>
        </w:rPr>
        <w:t>tyczącej stosowania przepisów o </w:t>
      </w:r>
      <w:r w:rsidRPr="000F42EA">
        <w:rPr>
          <w:rFonts w:ascii="Times" w:eastAsia="Times New Roman" w:hAnsi="Times" w:cs="Arial"/>
          <w:bCs/>
          <w:sz w:val="24"/>
          <w:szCs w:val="20"/>
          <w:lang w:eastAsia="pl-PL"/>
        </w:rPr>
        <w:t>zamówieniach publicznych. Obecnie kwestie t</w:t>
      </w:r>
      <w:r w:rsidR="00280212">
        <w:rPr>
          <w:rFonts w:ascii="Times" w:eastAsia="Times New Roman" w:hAnsi="Times" w:cs="Arial"/>
          <w:bCs/>
          <w:sz w:val="24"/>
          <w:szCs w:val="20"/>
          <w:lang w:eastAsia="pl-PL"/>
        </w:rPr>
        <w:t>e regulują postanowienia umów o </w:t>
      </w:r>
      <w:r w:rsidRPr="000F42EA">
        <w:rPr>
          <w:rFonts w:ascii="Times" w:eastAsia="Times New Roman" w:hAnsi="Times" w:cs="Arial"/>
          <w:bCs/>
          <w:sz w:val="24"/>
          <w:szCs w:val="20"/>
          <w:lang w:eastAsia="pl-PL"/>
        </w:rPr>
        <w:t>przyznaniu pomocy, co wynika</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 xml:space="preserve">z przepisów rozporządzeń dla działań, poddziałań </w:t>
      </w:r>
      <w:r w:rsidR="00280212">
        <w:rPr>
          <w:rFonts w:ascii="Times" w:eastAsia="Times New Roman" w:hAnsi="Times" w:cs="Arial"/>
          <w:bCs/>
          <w:sz w:val="24"/>
          <w:szCs w:val="20"/>
          <w:lang w:eastAsia="pl-PL"/>
        </w:rPr>
        <w:t>i </w:t>
      </w:r>
      <w:r w:rsidRPr="000F42EA">
        <w:rPr>
          <w:rFonts w:ascii="Times" w:eastAsia="Times New Roman" w:hAnsi="Times" w:cs="Arial"/>
          <w:bCs/>
          <w:sz w:val="24"/>
          <w:szCs w:val="20"/>
          <w:lang w:eastAsia="pl-PL"/>
        </w:rPr>
        <w:t xml:space="preserve">typów operacji. W ramach tych działań, poddziałań i typów operacji możliwe jest jednak ponoszenie kosztów ogólnych jeszcze przed zawarciem umowy. </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Zakłada się, że upublicznienie zapytania ofertowego jest kluczowe dla zapewnienia konkurencyjnego trybu wyboru wykonawców. Zgodnie z projektowanymi przepisami zapytanie ofertowe będzie zamieszczane na stronie internetowej prowadzonej przez ARiMR, którą może być jakakolwiek strona internetowa prowadzona przez ARiMR</w:t>
      </w:r>
      <w:r w:rsidR="00F913E8">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ale niekoniecznie strona ARiMR (</w:t>
      </w:r>
      <w:r w:rsidR="00F913E8" w:rsidRPr="0063669E">
        <w:rPr>
          <w:rFonts w:ascii="Times" w:eastAsia="Times New Roman" w:hAnsi="Times" w:cs="Arial"/>
          <w:bCs/>
          <w:sz w:val="24"/>
          <w:szCs w:val="20"/>
          <w:lang w:eastAsia="pl-PL"/>
        </w:rPr>
        <w:t>www.arimr.gov.pl</w:t>
      </w:r>
      <w:r w:rsidRPr="000F42EA">
        <w:rPr>
          <w:rFonts w:ascii="Times" w:eastAsia="Times New Roman" w:hAnsi="Times" w:cs="Arial"/>
          <w:bCs/>
          <w:sz w:val="24"/>
          <w:szCs w:val="20"/>
          <w:lang w:eastAsia="pl-PL"/>
        </w:rPr>
        <w:t>).</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W oddzielnym rozporządzeniu zostaną określone warunki i tryb konkurencyjnego wyboru wykonawców poszczególnych zadań ujętych w zestawieniu rzeczowo</w:t>
      </w:r>
      <w:r w:rsidR="004A2D4B">
        <w:rPr>
          <w:rFonts w:ascii="Times" w:eastAsia="Times New Roman" w:hAnsi="Times" w:cs="Arial"/>
          <w:bCs/>
          <w:sz w:val="24"/>
          <w:szCs w:val="20"/>
          <w:lang w:eastAsia="pl-PL"/>
        </w:rPr>
        <w:t>-</w:t>
      </w:r>
      <w:r w:rsidR="004A2D4B">
        <w:rPr>
          <w:rFonts w:ascii="Times" w:eastAsia="Times New Roman" w:hAnsi="Times" w:cs="Arial"/>
          <w:bCs/>
          <w:sz w:val="24"/>
          <w:szCs w:val="20"/>
          <w:lang w:eastAsia="pl-PL"/>
        </w:rPr>
        <w:br/>
      </w:r>
      <w:r w:rsidRPr="000F42EA">
        <w:rPr>
          <w:rFonts w:ascii="Times" w:eastAsia="Times New Roman" w:hAnsi="Times" w:cs="Arial"/>
          <w:bCs/>
          <w:sz w:val="24"/>
          <w:szCs w:val="20"/>
          <w:lang w:eastAsia="pl-PL"/>
        </w:rPr>
        <w:t>-finansowym operacji, w tym szczegółowe wymagania dotyczące zapytania ofertowego, mając na względzie zapewnienie stosowania przy tym wyborze zasad równego traktowania, uczciwej konkurencji i przejrzystości. W rozporządzeniu zostaną również określone warunki dokonywania zmniejszeń kwot po</w:t>
      </w:r>
      <w:r w:rsidR="00280212">
        <w:rPr>
          <w:rFonts w:ascii="Times" w:eastAsia="Times New Roman" w:hAnsi="Times" w:cs="Arial"/>
          <w:bCs/>
          <w:sz w:val="24"/>
          <w:szCs w:val="20"/>
          <w:lang w:eastAsia="pl-PL"/>
        </w:rPr>
        <w:t>mocy oraz pomocy technicznej, w </w:t>
      </w:r>
      <w:r w:rsidRPr="000F42EA">
        <w:rPr>
          <w:rFonts w:ascii="Times" w:eastAsia="Times New Roman" w:hAnsi="Times" w:cs="Arial"/>
          <w:bCs/>
          <w:sz w:val="24"/>
          <w:szCs w:val="20"/>
          <w:lang w:eastAsia="pl-PL"/>
        </w:rPr>
        <w:t xml:space="preserve">tym szczegółowe wymagania dotyczące zapytania ofertowego, w przypadku stwierdzenia niezgodności dotyczących stosowania tego trybu albo stosowania przepisów o zamówieniach publicznych. </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Takie rozwiązanie pozwoli podmiotom ubiegającym się o przyznanie pomocy</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na zapoznanie się z obowiązującymi wymogami (w tym odnośnie do kosztów ogólnych) jeszcze prze</w:t>
      </w:r>
      <w:r w:rsidR="005E0A60">
        <w:rPr>
          <w:rFonts w:ascii="Times" w:eastAsia="Times New Roman" w:hAnsi="Times" w:cs="Arial"/>
          <w:bCs/>
          <w:sz w:val="24"/>
          <w:szCs w:val="20"/>
          <w:lang w:eastAsia="pl-PL"/>
        </w:rPr>
        <w:t>d</w:t>
      </w:r>
      <w:r w:rsidRPr="000F42EA">
        <w:rPr>
          <w:rFonts w:ascii="Times" w:eastAsia="Times New Roman" w:hAnsi="Times" w:cs="Arial"/>
          <w:bCs/>
          <w:sz w:val="24"/>
          <w:szCs w:val="20"/>
          <w:lang w:eastAsia="pl-PL"/>
        </w:rPr>
        <w:t xml:space="preserve"> zawarciem umowy oraz zmniejszy ryzyko stosowania zmniejszeń kwot pomocy oraz pomocy technicznej.</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Zaproponowana zmiana będzie również dotyczyć pomocy technicznej, tak aby podejście do stosowania konkurencyjnego trybu wyboru wykonawców i kar administracyjnych stosowanych w przypadku stwierdzenia niezgodności dotyczącej stosowania tego trybu</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i w przypadku stwierdzenia niezgodności dotyczącej stosowania przepisów o zamówieniach publicznych było jednolite w całym PROW 2014</w:t>
      </w:r>
      <w:r w:rsidRPr="000F42EA">
        <w:rPr>
          <w:rFonts w:ascii="Times" w:eastAsia="Times New Roman" w:hAnsi="Times" w:cs="Arial"/>
          <w:bCs/>
          <w:sz w:val="24"/>
          <w:szCs w:val="20"/>
          <w:lang w:eastAsia="pl-PL"/>
        </w:rPr>
        <w:sym w:font="Symbol" w:char="F02D"/>
      </w:r>
      <w:r w:rsidRPr="000F42EA">
        <w:rPr>
          <w:rFonts w:ascii="Times" w:eastAsia="Times New Roman" w:hAnsi="Times" w:cs="Arial"/>
          <w:bCs/>
          <w:sz w:val="24"/>
          <w:szCs w:val="20"/>
          <w:lang w:eastAsia="pl-PL"/>
        </w:rPr>
        <w:t>2020.</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W ramach poddziałania „Wsparcie na wdrażanie operacji w ramach strategii rozwoju lokalnego kierowanego na społeczność”</w:t>
      </w:r>
      <w:r w:rsidRPr="000F42EA" w:rsidDel="00FE394D">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 xml:space="preserve">istnieje możliwość udzielenia wsparcia nie </w:t>
      </w:r>
      <w:r w:rsidRPr="000F42EA">
        <w:rPr>
          <w:rFonts w:ascii="Times" w:eastAsia="Times New Roman" w:hAnsi="Times" w:cs="Arial"/>
          <w:bCs/>
          <w:sz w:val="24"/>
          <w:szCs w:val="20"/>
          <w:lang w:eastAsia="pl-PL"/>
        </w:rPr>
        <w:lastRenderedPageBreak/>
        <w:t>tylko</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na operacje wybrane przez LGD i realizowane samodzielnie przez wielu różnych</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 xml:space="preserve">beneficjentów. Zgodnie z art. 17 ustawy </w:t>
      </w:r>
      <w:r w:rsidR="003A628A">
        <w:rPr>
          <w:rFonts w:ascii="Times" w:eastAsia="Times New Roman" w:hAnsi="Times" w:cs="Arial"/>
          <w:bCs/>
          <w:sz w:val="24"/>
          <w:szCs w:val="20"/>
          <w:lang w:eastAsia="pl-PL"/>
        </w:rPr>
        <w:t xml:space="preserve">RLKS </w:t>
      </w:r>
      <w:r w:rsidRPr="000F42EA">
        <w:rPr>
          <w:rFonts w:ascii="Times" w:eastAsia="Times New Roman" w:hAnsi="Times" w:cs="Arial"/>
          <w:bCs/>
          <w:sz w:val="24"/>
          <w:szCs w:val="20"/>
          <w:lang w:eastAsia="pl-PL"/>
        </w:rPr>
        <w:t>istnieje także możliwość udzielenia wsparcia LGD (która w takim wypadku jest beneficjentem realizującym operację, będącym stroną umowy o przyznaniu pomocy) na operacje, które dzielą się na projekty grantowe i operacje własne LGD.</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Zgodnie z art. 14 ust. 5 ustawy RLKS projekt grantowy jest operacją, której beneficjent będący LGD udziela innym podmiotom wybranym przez LGD, zwanym dalej „grantobiorcami”, grantów będących środkami finansowymi programu powierzonymi przez LGD grantobiorcom na realizację zadań służących osiągnięciu celu tej operacji. LGD</w:t>
      </w:r>
      <w:r w:rsidR="00E24EA3">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składając do właściwego podmiotu wdrażającego wniosek o przyznanie pomocy na projekt grantowy</w:t>
      </w:r>
      <w:r w:rsidR="00E24EA3">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nie określa w sposób szczegółowy wszystkich zadań</w:t>
      </w:r>
      <w:r w:rsidR="006942EB">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jakie mają być zrealizowane w ramach projektu grantowego, jedynie szczegółowo określając cele operacji objętej wnioskiem. Wybór grantobiorców, którzy zaproponują LGD realizację konkretnych zadań, które służyć będą osiągnięciu celów projektu grantowego, jest zadaniem LGD wskazanym w art. 36 ustawy z dnia 11 lipca 2014 r. o zasadach realizacji programów w zakresie polityki spójności finansowanych w</w:t>
      </w:r>
      <w:r w:rsidR="00280212">
        <w:rPr>
          <w:rFonts w:ascii="Times" w:eastAsia="Times New Roman" w:hAnsi="Times" w:cs="Arial"/>
          <w:bCs/>
          <w:sz w:val="24"/>
          <w:szCs w:val="20"/>
          <w:lang w:eastAsia="pl-PL"/>
        </w:rPr>
        <w:t> </w:t>
      </w:r>
      <w:r w:rsidRPr="000F42EA">
        <w:rPr>
          <w:rFonts w:ascii="Times" w:eastAsia="Times New Roman" w:hAnsi="Times" w:cs="Arial"/>
          <w:bCs/>
          <w:sz w:val="24"/>
          <w:szCs w:val="20"/>
          <w:lang w:eastAsia="pl-PL"/>
        </w:rPr>
        <w:t>perspektywie finansowej 2014–2020 (Dz. U. z 2016 r. p</w:t>
      </w:r>
      <w:r w:rsidR="00280212">
        <w:rPr>
          <w:rFonts w:ascii="Times" w:eastAsia="Times New Roman" w:hAnsi="Times" w:cs="Arial"/>
          <w:bCs/>
          <w:sz w:val="24"/>
          <w:szCs w:val="20"/>
          <w:lang w:eastAsia="pl-PL"/>
        </w:rPr>
        <w:t>oz. 217 i 1579), a także w art. </w:t>
      </w:r>
      <w:r w:rsidRPr="000F42EA">
        <w:rPr>
          <w:rFonts w:ascii="Times" w:eastAsia="Times New Roman" w:hAnsi="Times" w:cs="Arial"/>
          <w:bCs/>
          <w:sz w:val="24"/>
          <w:szCs w:val="20"/>
          <w:lang w:eastAsia="pl-PL"/>
        </w:rPr>
        <w:t>17 ustawy RLKS. Zatem z uwagi na odmienny charakter projektów grantowych, istnieje konieczność ich wyłączenia z regulacji zawartych w projektowanym art. 43a zmienianej ustawy PROW 2014</w:t>
      </w:r>
      <w:r w:rsidRPr="000F42EA">
        <w:rPr>
          <w:rFonts w:ascii="Times" w:eastAsia="Times New Roman" w:hAnsi="Times" w:cs="Arial"/>
          <w:bCs/>
          <w:sz w:val="24"/>
          <w:szCs w:val="20"/>
          <w:lang w:eastAsia="pl-PL"/>
        </w:rPr>
        <w:sym w:font="Symbol" w:char="F02D"/>
      </w:r>
      <w:r w:rsidRPr="000F42EA">
        <w:rPr>
          <w:rFonts w:ascii="Times" w:eastAsia="Times New Roman" w:hAnsi="Times" w:cs="Arial"/>
          <w:bCs/>
          <w:sz w:val="24"/>
          <w:szCs w:val="20"/>
          <w:lang w:eastAsia="pl-PL"/>
        </w:rPr>
        <w:t>2020.</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Pozostałe wyłączenia stosowania trybu konkurencyjnego wyboru wykonawców poszczególnych zadań ujętych w zestawieniu rzeczowo-finansowym operacji określone</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w projektowanym art. 43a ust. 5 zmienianej ustawy PROW 2014–2020 wynikają ze specyfiki poszczególnych instrumentów wsparcia w ramach PROW 2014</w:t>
      </w:r>
      <w:r w:rsidRPr="000F42EA">
        <w:rPr>
          <w:rFonts w:ascii="Times" w:eastAsia="Times New Roman" w:hAnsi="Times" w:cs="Arial"/>
          <w:bCs/>
          <w:sz w:val="24"/>
          <w:szCs w:val="20"/>
          <w:lang w:eastAsia="pl-PL"/>
        </w:rPr>
        <w:sym w:font="Symbol" w:char="F02D"/>
      </w:r>
      <w:r w:rsidRPr="000F42EA">
        <w:rPr>
          <w:rFonts w:ascii="Times" w:eastAsia="Times New Roman" w:hAnsi="Times" w:cs="Arial"/>
          <w:bCs/>
          <w:sz w:val="24"/>
          <w:szCs w:val="20"/>
          <w:lang w:eastAsia="pl-PL"/>
        </w:rPr>
        <w:t>2020.</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 xml:space="preserve">Regulacje zawarte w projektowanym art. 43a zmienianej ustawy </w:t>
      </w:r>
      <w:r w:rsidR="006942EB">
        <w:rPr>
          <w:rFonts w:ascii="Times" w:eastAsia="Times New Roman" w:hAnsi="Times" w:cs="Arial"/>
          <w:bCs/>
          <w:sz w:val="24"/>
          <w:szCs w:val="20"/>
          <w:lang w:eastAsia="pl-PL"/>
        </w:rPr>
        <w:t xml:space="preserve">PROW 2014–2020 </w:t>
      </w:r>
      <w:r w:rsidRPr="000F42EA">
        <w:rPr>
          <w:rFonts w:ascii="Times" w:eastAsia="Times New Roman" w:hAnsi="Times" w:cs="Arial"/>
          <w:bCs/>
          <w:sz w:val="24"/>
          <w:szCs w:val="20"/>
          <w:lang w:eastAsia="pl-PL"/>
        </w:rPr>
        <w:t>będą miały zastosowanie również do ponoszenia kosztów ponoszonych:</w:t>
      </w:r>
    </w:p>
    <w:p w:rsidR="000F42EA" w:rsidRPr="000F42EA" w:rsidRDefault="0063669E" w:rsidP="0063669E">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1)</w:t>
      </w:r>
      <w:r w:rsidR="000F42EA" w:rsidRPr="000F42EA">
        <w:rPr>
          <w:rFonts w:ascii="Times" w:eastAsia="Times New Roman" w:hAnsi="Times" w:cs="Arial"/>
          <w:bCs/>
          <w:sz w:val="24"/>
          <w:szCs w:val="20"/>
          <w:lang w:eastAsia="pl-PL"/>
        </w:rPr>
        <w:tab/>
        <w:t>w związku z pełnieniem funkcji jednostki centralnej przez jednostkę sektora finansów publicznych albo fundację, której jedynym fundatorem jest Skarb Państwa, upoważnionych do pełnienia tej funkcji – takie rozwiązanie wynika</w:t>
      </w:r>
      <w:r>
        <w:rPr>
          <w:rFonts w:ascii="Times" w:eastAsia="Times New Roman" w:hAnsi="Times" w:cs="Arial"/>
          <w:bCs/>
          <w:sz w:val="24"/>
          <w:szCs w:val="20"/>
          <w:lang w:eastAsia="pl-PL"/>
        </w:rPr>
        <w:t xml:space="preserve"> </w:t>
      </w:r>
      <w:r w:rsidR="00280212">
        <w:rPr>
          <w:rFonts w:ascii="Times" w:eastAsia="Times New Roman" w:hAnsi="Times" w:cs="Arial"/>
          <w:bCs/>
          <w:sz w:val="24"/>
          <w:szCs w:val="20"/>
          <w:lang w:eastAsia="pl-PL"/>
        </w:rPr>
        <w:t>z </w:t>
      </w:r>
      <w:r w:rsidR="000F42EA" w:rsidRPr="000F42EA">
        <w:rPr>
          <w:rFonts w:ascii="Times" w:eastAsia="Times New Roman" w:hAnsi="Times" w:cs="Arial"/>
          <w:bCs/>
          <w:sz w:val="24"/>
          <w:szCs w:val="20"/>
          <w:lang w:eastAsia="pl-PL"/>
        </w:rPr>
        <w:t>projektowanego art. 55 ust. 5a pkt 2 lit. b zmienianej ustawy</w:t>
      </w:r>
      <w:r w:rsidR="006942EB">
        <w:rPr>
          <w:rFonts w:ascii="Times" w:eastAsia="Times New Roman" w:hAnsi="Times" w:cs="Arial"/>
          <w:bCs/>
          <w:sz w:val="24"/>
          <w:szCs w:val="20"/>
          <w:lang w:eastAsia="pl-PL"/>
        </w:rPr>
        <w:t xml:space="preserve"> PROW 2014–2020</w:t>
      </w:r>
      <w:r w:rsidR="000F42EA" w:rsidRPr="000F42EA">
        <w:rPr>
          <w:rFonts w:ascii="Times" w:eastAsia="Times New Roman" w:hAnsi="Times" w:cs="Arial"/>
          <w:bCs/>
          <w:sz w:val="24"/>
          <w:szCs w:val="20"/>
          <w:lang w:eastAsia="pl-PL"/>
        </w:rPr>
        <w:t>;</w:t>
      </w:r>
    </w:p>
    <w:p w:rsidR="000F42EA" w:rsidRPr="000F42EA" w:rsidRDefault="0063669E" w:rsidP="0063669E">
      <w:pPr>
        <w:spacing w:after="0" w:line="360" w:lineRule="auto"/>
        <w:ind w:left="510" w:hanging="510"/>
        <w:jc w:val="both"/>
        <w:rPr>
          <w:rFonts w:ascii="Times" w:eastAsia="Times New Roman" w:hAnsi="Times" w:cs="Arial"/>
          <w:bCs/>
          <w:sz w:val="24"/>
          <w:szCs w:val="20"/>
          <w:lang w:eastAsia="pl-PL"/>
        </w:rPr>
      </w:pPr>
      <w:r>
        <w:rPr>
          <w:rFonts w:ascii="Times" w:eastAsia="Times New Roman" w:hAnsi="Times" w:cs="Arial"/>
          <w:bCs/>
          <w:sz w:val="24"/>
          <w:szCs w:val="20"/>
          <w:lang w:eastAsia="pl-PL"/>
        </w:rPr>
        <w:t>2)</w:t>
      </w:r>
      <w:r w:rsidR="000F42EA" w:rsidRPr="000F42EA">
        <w:rPr>
          <w:rFonts w:ascii="Times" w:eastAsia="Times New Roman" w:hAnsi="Times" w:cs="Arial"/>
          <w:bCs/>
          <w:sz w:val="24"/>
          <w:szCs w:val="20"/>
          <w:lang w:eastAsia="pl-PL"/>
        </w:rPr>
        <w:tab/>
        <w:t xml:space="preserve">na realizację operacji w ramach dwuletniego planu operacyjnego przez partnera </w:t>
      </w:r>
      <w:r w:rsidR="006942EB">
        <w:rPr>
          <w:rFonts w:ascii="Times" w:eastAsia="Times New Roman" w:hAnsi="Times" w:cs="Arial"/>
          <w:bCs/>
          <w:sz w:val="24"/>
          <w:szCs w:val="20"/>
          <w:lang w:eastAsia="pl-PL"/>
        </w:rPr>
        <w:t>Krajowej Sieci Obszarów Wiejskich (</w:t>
      </w:r>
      <w:r w:rsidR="000F42EA" w:rsidRPr="000F42EA">
        <w:rPr>
          <w:rFonts w:ascii="Times" w:eastAsia="Times New Roman" w:hAnsi="Times" w:cs="Arial"/>
          <w:bCs/>
          <w:sz w:val="24"/>
          <w:szCs w:val="20"/>
          <w:lang w:eastAsia="pl-PL"/>
        </w:rPr>
        <w:t>KSOW</w:t>
      </w:r>
      <w:r w:rsidR="006942EB">
        <w:rPr>
          <w:rFonts w:ascii="Times" w:eastAsia="Times New Roman" w:hAnsi="Times" w:cs="Arial"/>
          <w:bCs/>
          <w:sz w:val="24"/>
          <w:szCs w:val="20"/>
          <w:lang w:eastAsia="pl-PL"/>
        </w:rPr>
        <w:t>)</w:t>
      </w:r>
      <w:r w:rsidR="00280212">
        <w:rPr>
          <w:rFonts w:ascii="Times" w:eastAsia="Times New Roman" w:hAnsi="Times" w:cs="Arial"/>
          <w:bCs/>
          <w:sz w:val="24"/>
          <w:szCs w:val="20"/>
          <w:lang w:eastAsia="pl-PL"/>
        </w:rPr>
        <w:t xml:space="preserve"> – takie rozwiązanie wynika z </w:t>
      </w:r>
      <w:r w:rsidR="000F42EA" w:rsidRPr="000F42EA">
        <w:rPr>
          <w:rFonts w:ascii="Times" w:eastAsia="Times New Roman" w:hAnsi="Times" w:cs="Arial"/>
          <w:bCs/>
          <w:sz w:val="24"/>
          <w:szCs w:val="20"/>
          <w:lang w:eastAsia="pl-PL"/>
        </w:rPr>
        <w:t>projektowanego art. 57h zmienianej ustawy</w:t>
      </w:r>
      <w:r w:rsidR="006942EB">
        <w:rPr>
          <w:rFonts w:ascii="Times" w:eastAsia="Times New Roman" w:hAnsi="Times" w:cs="Arial"/>
          <w:bCs/>
          <w:sz w:val="24"/>
          <w:szCs w:val="20"/>
          <w:lang w:eastAsia="pl-PL"/>
        </w:rPr>
        <w:t xml:space="preserve"> PROW 2014–2020</w:t>
      </w:r>
      <w:r w:rsidR="000F42EA" w:rsidRPr="000F42EA">
        <w:rPr>
          <w:rFonts w:ascii="Times" w:eastAsia="Times New Roman" w:hAnsi="Times" w:cs="Arial"/>
          <w:bCs/>
          <w:sz w:val="24"/>
          <w:szCs w:val="20"/>
          <w:lang w:eastAsia="pl-PL"/>
        </w:rPr>
        <w:t>.</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lastRenderedPageBreak/>
        <w:t>Różnica w stosowaniu przepisów art. 43a przez podmioty wymienione w ww. pkt 1 i 2 będzie polegać na tym, że te wskazane w pkt 1 będą obowiązane stosować je wprost,</w:t>
      </w:r>
      <w:r w:rsidR="0063669E">
        <w:rPr>
          <w:rFonts w:ascii="Times" w:eastAsia="Times New Roman" w:hAnsi="Times" w:cs="Arial"/>
          <w:bCs/>
          <w:sz w:val="24"/>
          <w:szCs w:val="20"/>
          <w:lang w:eastAsia="pl-PL"/>
        </w:rPr>
        <w:t xml:space="preserve"> </w:t>
      </w:r>
      <w:r w:rsidR="00280212">
        <w:rPr>
          <w:rFonts w:ascii="Times" w:eastAsia="Times New Roman" w:hAnsi="Times" w:cs="Arial"/>
          <w:bCs/>
          <w:sz w:val="24"/>
          <w:szCs w:val="20"/>
          <w:lang w:eastAsia="pl-PL"/>
        </w:rPr>
        <w:t>a </w:t>
      </w:r>
      <w:r w:rsidRPr="000F42EA">
        <w:rPr>
          <w:rFonts w:ascii="Times" w:eastAsia="Times New Roman" w:hAnsi="Times" w:cs="Arial"/>
          <w:bCs/>
          <w:sz w:val="24"/>
          <w:szCs w:val="20"/>
          <w:lang w:eastAsia="pl-PL"/>
        </w:rPr>
        <w:t>partnerzy KSOW odpowiednio, czyli z uwzględnieniem stosownych zmian, wynikających</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z różnic istniejących w zakresie praw i obowiązków pomiędzy podmiotami ubiegającymi się o przyznani</w:t>
      </w:r>
      <w:r w:rsidR="00280212">
        <w:rPr>
          <w:rFonts w:ascii="Times" w:eastAsia="Times New Roman" w:hAnsi="Times" w:cs="Arial"/>
          <w:bCs/>
          <w:sz w:val="24"/>
          <w:szCs w:val="20"/>
          <w:lang w:eastAsia="pl-PL"/>
        </w:rPr>
        <w:t>e pomocy i pomocy technicznej i </w:t>
      </w:r>
      <w:r w:rsidRPr="000F42EA">
        <w:rPr>
          <w:rFonts w:ascii="Times" w:eastAsia="Times New Roman" w:hAnsi="Times" w:cs="Arial"/>
          <w:bCs/>
          <w:sz w:val="24"/>
          <w:szCs w:val="20"/>
          <w:lang w:eastAsia="pl-PL"/>
        </w:rPr>
        <w:t xml:space="preserve">beneficjentami a partnerami KSOW. Ponadto projektowana ustawa w art. 57h ust. 3 </w:t>
      </w:r>
      <w:r w:rsidR="006942EB">
        <w:rPr>
          <w:rFonts w:ascii="Times" w:eastAsia="Times New Roman" w:hAnsi="Times" w:cs="Arial"/>
          <w:bCs/>
          <w:sz w:val="24"/>
          <w:szCs w:val="20"/>
          <w:lang w:eastAsia="pl-PL"/>
        </w:rPr>
        <w:t>zmieni</w:t>
      </w:r>
      <w:r w:rsidR="00C00D4C">
        <w:rPr>
          <w:rFonts w:ascii="Times" w:eastAsia="Times New Roman" w:hAnsi="Times" w:cs="Arial"/>
          <w:bCs/>
          <w:sz w:val="24"/>
          <w:szCs w:val="20"/>
          <w:lang w:eastAsia="pl-PL"/>
        </w:rPr>
        <w:t>a</w:t>
      </w:r>
      <w:r w:rsidR="006942EB">
        <w:rPr>
          <w:rFonts w:ascii="Times" w:eastAsia="Times New Roman" w:hAnsi="Times" w:cs="Arial"/>
          <w:bCs/>
          <w:sz w:val="24"/>
          <w:szCs w:val="20"/>
          <w:lang w:eastAsia="pl-PL"/>
        </w:rPr>
        <w:t xml:space="preserve">nej ustawy PROW 2014–2020 </w:t>
      </w:r>
      <w:r w:rsidRPr="000F42EA">
        <w:rPr>
          <w:rFonts w:ascii="Times" w:eastAsia="Times New Roman" w:hAnsi="Times" w:cs="Arial"/>
          <w:bCs/>
          <w:sz w:val="24"/>
          <w:szCs w:val="20"/>
          <w:lang w:eastAsia="pl-PL"/>
        </w:rPr>
        <w:t xml:space="preserve">wprowadza przepis szczególny dotyczący stosowania konkurencyjnego trybu wyboru wykonawcy przez partnera KSOW będącego jednostką sektora finansów publicznych oraz inną </w:t>
      </w:r>
      <w:r w:rsidRPr="000F42EA">
        <w:rPr>
          <w:rFonts w:ascii="Times" w:eastAsia="Times New Roman" w:hAnsi="Times" w:cs="Arial"/>
          <w:bCs/>
          <w:sz w:val="24"/>
          <w:szCs w:val="24"/>
          <w:lang w:eastAsia="pl-PL"/>
        </w:rPr>
        <w:t xml:space="preserve">państwową jednostką organizacyjną nieposiadającą osobowości prawnej, a także związkiem tych jednostek, czyli przez podmiot obowiązany do stosowania ustawy </w:t>
      </w:r>
      <w:r w:rsidR="002762A3">
        <w:rPr>
          <w:rFonts w:ascii="Times" w:eastAsia="Times New Roman" w:hAnsi="Times" w:cs="Arial"/>
          <w:bCs/>
          <w:sz w:val="24"/>
          <w:szCs w:val="24"/>
          <w:lang w:eastAsia="pl-PL"/>
        </w:rPr>
        <w:t xml:space="preserve">– </w:t>
      </w:r>
      <w:r w:rsidRPr="000F42EA">
        <w:rPr>
          <w:rFonts w:ascii="Times" w:eastAsia="Times New Roman" w:hAnsi="Times" w:cs="Arial"/>
          <w:bCs/>
          <w:sz w:val="24"/>
          <w:szCs w:val="20"/>
          <w:lang w:eastAsia="pl-PL"/>
        </w:rPr>
        <w:t>Prawo zamówień</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publicznych. W takim przypadku nie będą badane powiązania kapitałowe pomiędzy takim podmiotem a wykonawcą zamówienia publicznego,</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a powiązania osobowe będą badane w stosunku do osób wykonujących po stronie takiego partnera KSOW czynności związane z przygotowaniem oraz przeprowadzeniem postępowania o udzielenie zamówienia publicznego w zakresie określonym przepisami</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art. 17 ust. 1 pkt 1</w:t>
      </w:r>
      <w:r w:rsidRPr="000F42EA">
        <w:rPr>
          <w:rFonts w:ascii="Times" w:eastAsia="Times New Roman" w:hAnsi="Times" w:cs="Arial"/>
          <w:bCs/>
          <w:sz w:val="24"/>
          <w:szCs w:val="20"/>
          <w:lang w:eastAsia="pl-PL"/>
        </w:rPr>
        <w:sym w:font="Symbol" w:char="F02D"/>
      </w:r>
      <w:r w:rsidRPr="000F42EA">
        <w:rPr>
          <w:rFonts w:ascii="Times" w:eastAsia="Times New Roman" w:hAnsi="Times" w:cs="Arial"/>
          <w:bCs/>
          <w:sz w:val="24"/>
          <w:szCs w:val="20"/>
          <w:lang w:eastAsia="pl-PL"/>
        </w:rPr>
        <w:t>4</w:t>
      </w:r>
      <w:r w:rsidRPr="000F42EA">
        <w:rPr>
          <w:rFonts w:ascii="Times" w:eastAsia="Times New Roman" w:hAnsi="Times" w:cs="Arial"/>
          <w:bCs/>
          <w:sz w:val="24"/>
          <w:szCs w:val="24"/>
          <w:lang w:eastAsia="pl-PL"/>
        </w:rPr>
        <w:t xml:space="preserve"> ustawy </w:t>
      </w:r>
      <w:r w:rsidR="002762A3">
        <w:rPr>
          <w:rFonts w:ascii="Times" w:eastAsia="Times New Roman" w:hAnsi="Times" w:cs="Arial"/>
          <w:bCs/>
          <w:sz w:val="24"/>
          <w:szCs w:val="24"/>
          <w:lang w:eastAsia="pl-PL"/>
        </w:rPr>
        <w:t xml:space="preserve">– </w:t>
      </w:r>
      <w:r w:rsidRPr="000F42EA">
        <w:rPr>
          <w:rFonts w:ascii="Times" w:eastAsia="Times New Roman" w:hAnsi="Times" w:cs="Arial"/>
          <w:bCs/>
          <w:sz w:val="24"/>
          <w:szCs w:val="20"/>
          <w:lang w:eastAsia="pl-PL"/>
        </w:rPr>
        <w:t>Prawo zamówień</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publicznych.</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Zmiana zaproponowana w art. 1 pkt 14 ma na celu umożliwienie przeprowadzania kontroli beneficjentów działania „Tworzenie grup producentów i organizacji producentów” po wypłacie płatności ostatecznej w celu sprawdzenia zobowiązań, które będą dotyczyć okresu po otrzymaniu tej płatności (m.in. zobowiązania do utrzymania prowadzonej działalności).</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Zmiana zaproponowana w art. 1 pkt 15 projektu ustawy ma na celu umożliwienie powierzenia przez agencję płatniczą przeprowadzania wizyt, o których mowa w art. 48 ust. 5 rozporządzenia wykonawczego Komisji (UE) nr 809/2014 z dnia 17 lipca 2014 r. ustanawiającego zasady stosowania rozporządzenia Parlamentu Europejskiego i Rady (UE)</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nr 1306/2013 w odniesieniu do zintegrowanego systemu zarządzania i kontroli, środków rozwoju obszarów wiejskich oraz zasady wzajemnej zgodności (Dz. Urz. UE L 227</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z 31.07.2014, str. 69, z późn. zm.)</w:t>
      </w:r>
      <w:r w:rsidR="006942EB">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innym jednostkom organizacyjnym dysponującym odpowiednimi warunkami organizacyjnymi, kadrowymi i technicznymi również w ramach poddziałania „Wsparcie inwestycji w przetwarzanie produktów rolnych, obrót nimi lub ich rozwój”. Zmiana ta wpłynie na niezależność terminu </w:t>
      </w:r>
      <w:r w:rsidRPr="000F42EA">
        <w:rPr>
          <w:rFonts w:ascii="Times" w:eastAsia="Times New Roman" w:hAnsi="Times" w:cs="Arial"/>
          <w:bCs/>
          <w:sz w:val="24"/>
          <w:szCs w:val="20"/>
          <w:lang w:eastAsia="pl-PL"/>
        </w:rPr>
        <w:lastRenderedPageBreak/>
        <w:t xml:space="preserve">naborów wniosków w ramach ww. poddziałania od możliwości kadrowo-technicznych służb kontrolnych ARiMR. </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Zmiana zaproponowana w art. 1 pkt 16 projektu ustawy wprowadza</w:t>
      </w:r>
      <w:r w:rsidR="00C00D4C">
        <w:rPr>
          <w:rFonts w:ascii="Times" w:eastAsia="Times New Roman" w:hAnsi="Times" w:cs="Arial"/>
          <w:bCs/>
          <w:sz w:val="24"/>
          <w:szCs w:val="20"/>
          <w:lang w:eastAsia="pl-PL"/>
        </w:rPr>
        <w:t xml:space="preserve"> przepis dotyczący</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zmiany decyzji</w:t>
      </w:r>
      <w:r w:rsidR="00C00D4C">
        <w:rPr>
          <w:rFonts w:ascii="Times" w:eastAsia="Times New Roman" w:hAnsi="Times" w:cs="Arial"/>
          <w:bCs/>
          <w:sz w:val="24"/>
          <w:szCs w:val="20"/>
          <w:lang w:eastAsia="pl-PL"/>
        </w:rPr>
        <w:t xml:space="preserve">, który </w:t>
      </w:r>
      <w:r w:rsidRPr="000F42EA">
        <w:rPr>
          <w:rFonts w:ascii="Times" w:eastAsia="Times New Roman" w:hAnsi="Times" w:cs="Arial"/>
          <w:bCs/>
          <w:sz w:val="24"/>
          <w:szCs w:val="20"/>
          <w:lang w:eastAsia="pl-PL"/>
        </w:rPr>
        <w:t xml:space="preserve">jest wykonaniem dyspozycji art. 163 ustawy z dnia 14 czerwca 1960 r. </w:t>
      </w:r>
      <w:r w:rsidR="00C00D4C">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Kodeks postępowania administracyjnego (</w:t>
      </w:r>
      <w:r w:rsidR="00280212">
        <w:rPr>
          <w:rFonts w:ascii="Times" w:eastAsia="Times New Roman" w:hAnsi="Times" w:cs="Arial"/>
          <w:bCs/>
          <w:sz w:val="24"/>
          <w:szCs w:val="20"/>
          <w:lang w:eastAsia="pl-PL"/>
        </w:rPr>
        <w:t>Dz. U. z 2016 r. poz. 23, 868 i </w:t>
      </w:r>
      <w:r w:rsidRPr="000F42EA">
        <w:rPr>
          <w:rFonts w:ascii="Times" w:eastAsia="Times New Roman" w:hAnsi="Times" w:cs="Arial"/>
          <w:bCs/>
          <w:sz w:val="24"/>
          <w:szCs w:val="20"/>
          <w:lang w:eastAsia="pl-PL"/>
        </w:rPr>
        <w:t>1579),</w:t>
      </w:r>
      <w:r w:rsidR="0063669E">
        <w:rPr>
          <w:rFonts w:ascii="Times" w:eastAsia="Times New Roman" w:hAnsi="Times" w:cs="Arial"/>
          <w:bCs/>
          <w:sz w:val="24"/>
          <w:szCs w:val="20"/>
          <w:lang w:eastAsia="pl-PL"/>
        </w:rPr>
        <w:t xml:space="preserve"> </w:t>
      </w:r>
      <w:r w:rsidR="00C00D4C">
        <w:rPr>
          <w:rFonts w:ascii="Times" w:eastAsia="Times New Roman" w:hAnsi="Times" w:cs="Arial"/>
          <w:bCs/>
          <w:sz w:val="24"/>
          <w:szCs w:val="20"/>
          <w:lang w:eastAsia="pl-PL"/>
        </w:rPr>
        <w:t>zwane dalej „Kodeksem postępowania administracyjnego”,</w:t>
      </w:r>
      <w:r w:rsidRPr="000F42EA">
        <w:rPr>
          <w:rFonts w:ascii="Times" w:eastAsia="Times New Roman" w:hAnsi="Times" w:cs="Arial"/>
          <w:bCs/>
          <w:sz w:val="24"/>
          <w:szCs w:val="20"/>
          <w:lang w:eastAsia="pl-PL"/>
        </w:rPr>
        <w:t xml:space="preserve"> zgodnie z którym organ administracji publicznej może zmienić decyzję</w:t>
      </w:r>
      <w:r w:rsidR="00C00D4C">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na mocy której strona nabyła prawo, także w innych przypadkach oraz na innych zasadach niż określone w rozdziale 13 Kodeksu postepowania administracyjnego, o ile przewidują to przepisy szczególne. Projektowany przepis </w:t>
      </w:r>
      <w:r w:rsidR="00C00D4C">
        <w:rPr>
          <w:rFonts w:ascii="Times" w:eastAsia="Times New Roman" w:hAnsi="Times" w:cs="Arial"/>
          <w:bCs/>
          <w:sz w:val="24"/>
          <w:szCs w:val="20"/>
          <w:lang w:eastAsia="pl-PL"/>
        </w:rPr>
        <w:t xml:space="preserve">stanowić będzie podstawę prawną do dokonania </w:t>
      </w:r>
      <w:r w:rsidRPr="000F42EA">
        <w:rPr>
          <w:rFonts w:ascii="Times" w:eastAsia="Times New Roman" w:hAnsi="Times" w:cs="Arial"/>
          <w:bCs/>
          <w:sz w:val="24"/>
          <w:szCs w:val="20"/>
          <w:lang w:eastAsia="pl-PL"/>
        </w:rPr>
        <w:t>zmiany decyzji w sprawie o przyznanie pomocy bez zgody strony</w:t>
      </w:r>
      <w:r w:rsidR="00C00D4C">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w przypadku gdy po jej wydaniu okaże się, w wyniku przeprowadzonych kontroli administracyjnych lub kontroli na miejscu, że kwota przyznanej pomocy jest</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inna niż kwota należna. Proponowany przepis będzie miał jedynie zastosowanie, gdy kwota tej pomocy nie została jeszcze wypłacona, a ponadto gdy nie upłynął termin jej wypłaty.</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Takie rozwiązanie w sytuacji, gdy wiadomo, że kwota płatności jest inna niż należna pozwoli na dokonanie korekty wysokości tej pomocy bez konieczności wszczynania postępowania w sprawie ustalenia kwoty nienależnie pobranych środków. Brak takiego przepisu powoduje, że nawet gdy organ</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przed wypłatą pomocy stwierdzi, że należna kwota jest niższa niż przyznana to i</w:t>
      </w:r>
      <w:r w:rsidR="00280212">
        <w:rPr>
          <w:rFonts w:ascii="Times" w:eastAsia="Times New Roman" w:hAnsi="Times" w:cs="Arial"/>
          <w:bCs/>
          <w:sz w:val="24"/>
          <w:szCs w:val="20"/>
          <w:lang w:eastAsia="pl-PL"/>
        </w:rPr>
        <w:t> </w:t>
      </w:r>
      <w:r w:rsidRPr="000F42EA">
        <w:rPr>
          <w:rFonts w:ascii="Times" w:eastAsia="Times New Roman" w:hAnsi="Times" w:cs="Arial"/>
          <w:bCs/>
          <w:sz w:val="24"/>
          <w:szCs w:val="20"/>
          <w:lang w:eastAsia="pl-PL"/>
        </w:rPr>
        <w:t>tak musi wypłacić pomoc w nienależnej wysokości, a następnie wszcząć postępowanie w</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sprawie ustalenia kwoty nienależnej. Wszczęcie postępowania będzie następowało na podstawie zawiadomienia o jego wszczęciu, które będzie wysyłane do rolnika. Jednocześnie rolnikowi od tej decyzji zmieniającej będzie przysługiwało odwołanie do organu wyższego stopnia.</w:t>
      </w:r>
      <w:r w:rsidR="0063669E">
        <w:rPr>
          <w:rFonts w:ascii="Times" w:eastAsia="Times New Roman" w:hAnsi="Times" w:cs="Arial"/>
          <w:bCs/>
          <w:sz w:val="24"/>
          <w:szCs w:val="20"/>
          <w:lang w:eastAsia="pl-PL"/>
        </w:rPr>
        <w:t xml:space="preserve"> </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Zmiana zawarta w art. 1 pkt 17 projektu ustawy ma na celu umożliwienie beneficjentom działań „Działanie rolno-środowiskowo-klimatyczne” i „Rolnictwo ekologiczne</w:t>
      </w:r>
      <w:r w:rsidR="001911C6">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korzystania również z usług doradców rolniczych, działających na mocy art. 51 ust. 1 ustawy PROW 2014</w:t>
      </w:r>
      <w:r w:rsidRPr="000F42EA">
        <w:rPr>
          <w:rFonts w:ascii="Times" w:eastAsia="Times New Roman" w:hAnsi="Times" w:cs="Arial"/>
          <w:bCs/>
          <w:sz w:val="24"/>
          <w:szCs w:val="20"/>
          <w:lang w:eastAsia="pl-PL"/>
        </w:rPr>
        <w:sym w:font="Symbol" w:char="F02D"/>
      </w:r>
      <w:r w:rsidRPr="000F42EA">
        <w:rPr>
          <w:rFonts w:ascii="Times" w:eastAsia="Times New Roman" w:hAnsi="Times" w:cs="Arial"/>
          <w:bCs/>
          <w:sz w:val="24"/>
          <w:szCs w:val="20"/>
          <w:lang w:eastAsia="pl-PL"/>
        </w:rPr>
        <w:t xml:space="preserve">2020. </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0F42EA">
        <w:rPr>
          <w:rFonts w:ascii="Times" w:eastAsia="Times New Roman" w:hAnsi="Times" w:cs="Arial"/>
          <w:sz w:val="24"/>
          <w:szCs w:val="20"/>
          <w:lang w:eastAsia="pl-PL"/>
        </w:rPr>
        <w:t>Celem zmian zawartych w art. 1 pkt 18 i 19 projektu ustawy jest umożliwienie uzyskania przez doradcę rolniczego określonych specjalizacji, dzięki czemu podmiot ubiegający się o przyznanie pomocy oraz beneficjent PROW 2014</w:t>
      </w:r>
      <w:r w:rsidRPr="000F42EA">
        <w:rPr>
          <w:rFonts w:ascii="Times New Roman" w:eastAsia="Times New Roman" w:hAnsi="Times New Roman" w:cs="Times New Roman"/>
          <w:sz w:val="24"/>
          <w:szCs w:val="20"/>
          <w:lang w:eastAsia="pl-PL"/>
        </w:rPr>
        <w:t>–</w:t>
      </w:r>
      <w:r w:rsidRPr="000F42EA">
        <w:rPr>
          <w:rFonts w:ascii="Times" w:eastAsia="Times New Roman" w:hAnsi="Times" w:cs="Arial"/>
          <w:sz w:val="24"/>
          <w:szCs w:val="20"/>
          <w:lang w:eastAsia="pl-PL"/>
        </w:rPr>
        <w:t xml:space="preserve">2020 będzie mógł uzyskać bardziej ukierunkowaną i specjalistyczną pomoc. Zaproponowano również </w:t>
      </w:r>
      <w:r w:rsidRPr="000F42EA">
        <w:rPr>
          <w:rFonts w:ascii="Times" w:eastAsia="Times New Roman" w:hAnsi="Times" w:cs="Arial"/>
          <w:sz w:val="24"/>
          <w:szCs w:val="20"/>
          <w:lang w:eastAsia="pl-PL"/>
        </w:rPr>
        <w:lastRenderedPageBreak/>
        <w:t>zmiany uwzględniające przeprowadzenie szkoleń i zdanie egzaminu w zakresie danej specjalizacji.</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Obecnie od doradcy rolniczego oczekuje się dużo większego zakresu wiedzy, niż to było w poprzednim okresie programowania, zasadne więc jest wprowadzenie podziału</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 xml:space="preserve">na specjalizacje. Proponuje się 3 specjalizacje, tj. specjalizację w zakresie rolnictwa ekologicznego, przedsiębiorczości i ekonomiki gospodarstwa rolnego. </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Ponadto obowiązujące przepisy nie regulują kwestii powtarzania egzaminu i nie uwzględniają braku możliwości przystąpienia do egzaminu. Proponuje się, by ogłoszenie</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o szkoleniu wskazywało trzy terminy przeprowadzenia egzaminu, co umożliwi wybór dogodnego dla doradcy terminu przystąpienia do egzaminu oraz pozwoli na przystąpienie do egzaminu osobom, któr</w:t>
      </w:r>
      <w:r w:rsidR="00280212">
        <w:rPr>
          <w:rFonts w:ascii="Times" w:eastAsia="Times New Roman" w:hAnsi="Times" w:cs="Arial"/>
          <w:bCs/>
          <w:sz w:val="24"/>
          <w:szCs w:val="20"/>
          <w:lang w:eastAsia="pl-PL"/>
        </w:rPr>
        <w:t>e nie miały takiej możliwości w </w:t>
      </w:r>
      <w:r w:rsidRPr="000F42EA">
        <w:rPr>
          <w:rFonts w:ascii="Times" w:eastAsia="Times New Roman" w:hAnsi="Times" w:cs="Arial"/>
          <w:bCs/>
          <w:sz w:val="24"/>
          <w:szCs w:val="20"/>
          <w:lang w:eastAsia="pl-PL"/>
        </w:rPr>
        <w:t>terminie wcześniejszym i osobom, które nie zdały tego egzaminu</w:t>
      </w:r>
      <w:r w:rsidR="00C00D4C">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 xml:space="preserve">Zmiana zawarta w art. 1 pkt 20 projektu ustawy dotyczy sposobów realizacji niektórych zadań jednostki centralnej KSOW. </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 xml:space="preserve">Zmiana art. 55 ust. 2 pkt 2 </w:t>
      </w:r>
      <w:r w:rsidR="00C00D4C">
        <w:rPr>
          <w:rFonts w:ascii="Times" w:eastAsia="Times New Roman" w:hAnsi="Times" w:cs="Arial"/>
          <w:bCs/>
          <w:sz w:val="24"/>
          <w:szCs w:val="20"/>
          <w:lang w:eastAsia="pl-PL"/>
        </w:rPr>
        <w:t xml:space="preserve">ustawy PROW 2014–2020 </w:t>
      </w:r>
      <w:r w:rsidRPr="000F42EA">
        <w:rPr>
          <w:rFonts w:ascii="Times" w:eastAsia="Times New Roman" w:hAnsi="Times" w:cs="Arial"/>
          <w:bCs/>
          <w:sz w:val="24"/>
          <w:szCs w:val="20"/>
          <w:lang w:eastAsia="pl-PL"/>
        </w:rPr>
        <w:t>wskazuje podmioty uczestniczące w opracowaniu planu działania i dwuletnich planów operacyjnych. W związku z tym, że to jednostka centralna jest odpowiedzialna za ich opracowanie i przedłożenie do akceptacji grupie roboczej ds. KSOW, tj. organowi, o którym mowa w art. 57 ust. 1 ustawy</w:t>
      </w:r>
      <w:r w:rsidR="00C00D4C">
        <w:rPr>
          <w:rFonts w:ascii="Times" w:eastAsia="Times New Roman" w:hAnsi="Times" w:cs="Arial"/>
          <w:bCs/>
          <w:sz w:val="24"/>
          <w:szCs w:val="20"/>
          <w:lang w:eastAsia="pl-PL"/>
        </w:rPr>
        <w:t xml:space="preserve"> PROW 2014–2020</w:t>
      </w:r>
      <w:r w:rsidRPr="000F42EA">
        <w:rPr>
          <w:rFonts w:ascii="Times" w:eastAsia="Times New Roman" w:hAnsi="Times" w:cs="Arial"/>
          <w:bCs/>
          <w:sz w:val="24"/>
          <w:szCs w:val="20"/>
          <w:lang w:eastAsia="pl-PL"/>
        </w:rPr>
        <w:t>, powinna ona mieć możliwość nieuwzględnienia propozycji działań i operacji, które otrzyma od wskazanych w</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tym przepisie podmiotów (m.in. na ich podstawie te plany zostaną opracowane), a także propozycji zmian tych planów, jeżeli te propozycje nie będą zgodne z przepisami prawa, PROW 2014</w:t>
      </w:r>
      <w:r w:rsidRPr="000F42EA">
        <w:rPr>
          <w:rFonts w:ascii="Times" w:eastAsia="Times New Roman" w:hAnsi="Times" w:cs="Arial"/>
          <w:bCs/>
          <w:sz w:val="24"/>
          <w:szCs w:val="20"/>
          <w:lang w:eastAsia="pl-PL"/>
        </w:rPr>
        <w:sym w:font="Symbol" w:char="F02D"/>
      </w:r>
      <w:r w:rsidRPr="000F42EA">
        <w:rPr>
          <w:rFonts w:ascii="Times" w:eastAsia="Times New Roman" w:hAnsi="Times" w:cs="Arial"/>
          <w:bCs/>
          <w:sz w:val="24"/>
          <w:szCs w:val="20"/>
          <w:lang w:eastAsia="pl-PL"/>
        </w:rPr>
        <w:t>2020 i planem działania. Jednostka centralna powinna mieć w związku z tym również prawo zgłaszania uwag do tych propozycji oraz wzywania tych podmiotów do udzielenia wyjaśnień. Niepoprawienie tych propozycji i nieudzielenie wyjaśnień przez te podmioty będzie skutkować ich nieuwzględnieniem w tych planach, jeżeli będą niezgodne z</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 xml:space="preserve">ww. warunkami ich objęcia tymi planami. Z tego wynika dodanie w art. 55 ust. 2a–2d. Propozycje zgłoszone do dwuletniego planu operacyjnego na podstawie art. 55 ust. 2a pkt 2 będą dotyczyć wyłącznie operacji własnych, opracowanych przez jednostki regionalne, wojewódzkie ośrodki doradztwa rolniczego, CDR, podmioty wdrażające oraz agencję płatniczą. Operacje zgłoszone do dwuletniego planu operacyjnego przez partnerów KSOW, które zostaną wybrane przez właściwe jednostki zgodnie z zasadami </w:t>
      </w:r>
      <w:r w:rsidRPr="000F42EA">
        <w:rPr>
          <w:rFonts w:ascii="Times" w:eastAsia="Times New Roman" w:hAnsi="Times" w:cs="Arial"/>
          <w:bCs/>
          <w:sz w:val="24"/>
          <w:szCs w:val="20"/>
          <w:lang w:eastAsia="pl-PL"/>
        </w:rPr>
        <w:lastRenderedPageBreak/>
        <w:t>określonymi</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w projektowanej ustawie i przepisami wydanymi na podstawie art. 58 ustawy</w:t>
      </w:r>
      <w:r w:rsidR="00C00D4C">
        <w:rPr>
          <w:rFonts w:ascii="Times" w:eastAsia="Times New Roman" w:hAnsi="Times" w:cs="Arial"/>
          <w:bCs/>
          <w:sz w:val="24"/>
          <w:szCs w:val="20"/>
          <w:lang w:eastAsia="pl-PL"/>
        </w:rPr>
        <w:t xml:space="preserve"> PROW 2014–2020</w:t>
      </w:r>
      <w:r w:rsidRPr="000F42EA">
        <w:rPr>
          <w:rFonts w:ascii="Times" w:eastAsia="Times New Roman" w:hAnsi="Times" w:cs="Arial"/>
          <w:bCs/>
          <w:sz w:val="24"/>
          <w:szCs w:val="20"/>
          <w:lang w:eastAsia="pl-PL"/>
        </w:rPr>
        <w:t>, zostaną zawarte w tym planie. Jednostka centralna nie będzie mogła ich nie uwzględnić ani zgłosić do nich uwag, jak również wezwać jednostki, które je wybrały, do wyjaśnień. Obydwa plany będą również zawierać propozycje działań i operacji jednostki centralnej.</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Zmiana polegająca na dodaniu w art. 55 w ust. 2 ustawy PROW 2014</w:t>
      </w:r>
      <w:r w:rsidRPr="000F42EA">
        <w:rPr>
          <w:rFonts w:ascii="Times" w:eastAsia="Times New Roman" w:hAnsi="Times" w:cs="Arial"/>
          <w:bCs/>
          <w:sz w:val="24"/>
          <w:szCs w:val="20"/>
          <w:lang w:eastAsia="pl-PL"/>
        </w:rPr>
        <w:sym w:font="Symbol" w:char="F02D"/>
      </w:r>
      <w:r w:rsidRPr="000F42EA">
        <w:rPr>
          <w:rFonts w:ascii="Times" w:eastAsia="Times New Roman" w:hAnsi="Times" w:cs="Arial"/>
          <w:bCs/>
          <w:sz w:val="24"/>
          <w:szCs w:val="20"/>
          <w:lang w:eastAsia="pl-PL"/>
        </w:rPr>
        <w:t>2020 pkt 3 ma</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 xml:space="preserve">na celu wskazanie, że jednostka centralna również, tak jak jednostki regionalne, realizuje plan działania i że jest to jedno z jej najważniejszych zadań. </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sz w:val="24"/>
          <w:szCs w:val="24"/>
          <w:lang w:eastAsia="pl-PL"/>
        </w:rPr>
      </w:pPr>
      <w:r w:rsidRPr="000F42EA">
        <w:rPr>
          <w:rFonts w:ascii="Times" w:eastAsia="Times New Roman" w:hAnsi="Times" w:cs="Arial"/>
          <w:sz w:val="24"/>
          <w:szCs w:val="20"/>
          <w:lang w:eastAsia="pl-PL"/>
        </w:rPr>
        <w:t xml:space="preserve">Dodanie w art. 55 </w:t>
      </w:r>
      <w:r w:rsidR="00C00D4C">
        <w:rPr>
          <w:rFonts w:ascii="Times" w:eastAsia="Times New Roman" w:hAnsi="Times" w:cs="Arial"/>
          <w:sz w:val="24"/>
          <w:szCs w:val="20"/>
          <w:lang w:eastAsia="pl-PL"/>
        </w:rPr>
        <w:t xml:space="preserve">ustawy PROW 2014–2020 </w:t>
      </w:r>
      <w:r w:rsidRPr="000F42EA">
        <w:rPr>
          <w:rFonts w:ascii="Times" w:eastAsia="Times New Roman" w:hAnsi="Times" w:cs="Arial"/>
          <w:sz w:val="24"/>
          <w:szCs w:val="20"/>
          <w:lang w:eastAsia="pl-PL"/>
        </w:rPr>
        <w:t>ust</w:t>
      </w:r>
      <w:r w:rsidR="00C00D4C">
        <w:rPr>
          <w:rFonts w:ascii="Times" w:eastAsia="Times New Roman" w:hAnsi="Times" w:cs="Arial"/>
          <w:sz w:val="24"/>
          <w:szCs w:val="20"/>
          <w:lang w:eastAsia="pl-PL"/>
        </w:rPr>
        <w:t>.</w:t>
      </w:r>
      <w:r w:rsidRPr="000F42EA">
        <w:rPr>
          <w:rFonts w:ascii="Times" w:eastAsia="Times New Roman" w:hAnsi="Times" w:cs="Arial"/>
          <w:sz w:val="24"/>
          <w:szCs w:val="20"/>
          <w:lang w:eastAsia="pl-PL"/>
        </w:rPr>
        <w:t xml:space="preserve"> 5b, rozszerzającego zakres umowy dotacji celowej o</w:t>
      </w:r>
      <w:r w:rsidR="0063669E">
        <w:rPr>
          <w:rFonts w:ascii="Times" w:eastAsia="Times New Roman" w:hAnsi="Times" w:cs="Arial"/>
          <w:sz w:val="24"/>
          <w:szCs w:val="20"/>
          <w:lang w:eastAsia="pl-PL"/>
        </w:rPr>
        <w:t xml:space="preserve"> </w:t>
      </w:r>
      <w:r w:rsidRPr="000F42EA">
        <w:rPr>
          <w:rFonts w:ascii="Times" w:eastAsia="Times New Roman" w:hAnsi="Times" w:cs="Arial"/>
          <w:sz w:val="24"/>
          <w:szCs w:val="20"/>
          <w:lang w:eastAsia="pl-PL"/>
        </w:rPr>
        <w:t xml:space="preserve">dodatkowe elementy oprócz </w:t>
      </w:r>
      <w:r w:rsidR="00280212">
        <w:rPr>
          <w:rFonts w:ascii="Times" w:eastAsia="Times New Roman" w:hAnsi="Times" w:cs="Arial"/>
          <w:sz w:val="24"/>
          <w:szCs w:val="20"/>
          <w:lang w:eastAsia="pl-PL"/>
        </w:rPr>
        <w:t>tych wynikających z przepisów o </w:t>
      </w:r>
      <w:r w:rsidRPr="000F42EA">
        <w:rPr>
          <w:rFonts w:ascii="Times" w:eastAsia="Times New Roman" w:hAnsi="Times" w:cs="Arial"/>
          <w:sz w:val="24"/>
          <w:szCs w:val="20"/>
          <w:lang w:eastAsia="pl-PL"/>
        </w:rPr>
        <w:t xml:space="preserve">finansach publicznych, jest podyktowane tym, że w przypadku operacji realizowanych przez partnerów KSOW, to zarówno fundacja, której udzielona zostanie dotacja celowa na finansowanie realizacji zadań jednostki centralnej, jak i minister właściwy do spraw rozwoju wsi, który przyzna tę dotację tej fundacji, będą zaangażowani w rozpatrywanie wniosku partnera KSOW o refundację kosztów poniesionych na realizację operacji. </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 xml:space="preserve">Zmiana zaproponowana w art. 1 pkt 21 </w:t>
      </w:r>
      <w:r w:rsidR="00C00D4C">
        <w:rPr>
          <w:rFonts w:ascii="Times" w:eastAsia="Times New Roman" w:hAnsi="Times" w:cs="Arial"/>
          <w:bCs/>
          <w:sz w:val="24"/>
          <w:szCs w:val="20"/>
          <w:lang w:eastAsia="pl-PL"/>
        </w:rPr>
        <w:t xml:space="preserve">projektu ustawy </w:t>
      </w:r>
      <w:r w:rsidRPr="000F42EA">
        <w:rPr>
          <w:rFonts w:ascii="Times" w:eastAsia="Times New Roman" w:hAnsi="Times" w:cs="Arial"/>
          <w:bCs/>
          <w:sz w:val="24"/>
          <w:szCs w:val="20"/>
          <w:lang w:eastAsia="pl-PL"/>
        </w:rPr>
        <w:t>jest odpowiedzią na sygnały płynące</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od jednostek regionalnych i ma na celu ujednolicenie przepisów określających zakres zadań wojewódzkiej grupy roboczej, czyli organu opiniodawczo-d</w:t>
      </w:r>
      <w:r w:rsidR="00280212">
        <w:rPr>
          <w:rFonts w:ascii="Times" w:eastAsia="Times New Roman" w:hAnsi="Times" w:cs="Arial"/>
          <w:bCs/>
          <w:sz w:val="24"/>
          <w:szCs w:val="20"/>
          <w:lang w:eastAsia="pl-PL"/>
        </w:rPr>
        <w:t>oradczego w </w:t>
      </w:r>
      <w:r w:rsidRPr="000F42EA">
        <w:rPr>
          <w:rFonts w:ascii="Times" w:eastAsia="Times New Roman" w:hAnsi="Times" w:cs="Arial"/>
          <w:bCs/>
          <w:sz w:val="24"/>
          <w:szCs w:val="20"/>
          <w:lang w:eastAsia="pl-PL"/>
        </w:rPr>
        <w:t>zakresie KSOW</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w województwie, o którym mowa w art. 57 ust. 2 ustawy</w:t>
      </w:r>
      <w:r w:rsidR="005D380A">
        <w:rPr>
          <w:rFonts w:ascii="Times" w:eastAsia="Times New Roman" w:hAnsi="Times" w:cs="Arial"/>
          <w:bCs/>
          <w:sz w:val="24"/>
          <w:szCs w:val="20"/>
          <w:lang w:eastAsia="pl-PL"/>
        </w:rPr>
        <w:t xml:space="preserve"> PROW 2014–2020</w:t>
      </w:r>
      <w:r w:rsidRPr="000F42EA">
        <w:rPr>
          <w:rFonts w:ascii="Times" w:eastAsia="Times New Roman" w:hAnsi="Times" w:cs="Arial"/>
          <w:bCs/>
          <w:sz w:val="24"/>
          <w:szCs w:val="20"/>
          <w:lang w:eastAsia="pl-PL"/>
        </w:rPr>
        <w:t>, powoływanego</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w każdym województwie. W związku z tym, że organ ten działa na terenie województwa, zajmuje stanowisko</w:t>
      </w:r>
      <w:r w:rsidR="00280212">
        <w:rPr>
          <w:rFonts w:ascii="Times" w:eastAsia="Times New Roman" w:hAnsi="Times" w:cs="Arial"/>
          <w:bCs/>
          <w:sz w:val="24"/>
          <w:szCs w:val="20"/>
          <w:lang w:eastAsia="pl-PL"/>
        </w:rPr>
        <w:t xml:space="preserve"> na temat funkcjonowania KSOW w </w:t>
      </w:r>
      <w:r w:rsidRPr="000F42EA">
        <w:rPr>
          <w:rFonts w:ascii="Times" w:eastAsia="Times New Roman" w:hAnsi="Times" w:cs="Arial"/>
          <w:bCs/>
          <w:sz w:val="24"/>
          <w:szCs w:val="20"/>
          <w:lang w:eastAsia="pl-PL"/>
        </w:rPr>
        <w:t>województwie, w jego skład wchodzą przedstawiciele podmiotów działających na rzecz rozwoju obszarów</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 xml:space="preserve">z województwa, to również wszystkie swoje zadania powinien wykonywać w zakresie dotyczącym województwa. </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Zmiany zaproponowane w art. 1 pkt 22 i 23 projektu ustawy mają na celu jednolite uregulowanie w całym kraju zasad, warunków, kryteriów i trybu wyboru operacji zgłoszonych przez partnerów KSOW do realizacji w ramach dwuletnich planów operacyjnych. Za ich wdrożenie będzie odpowiedzialna jednostka centralna,</w:t>
      </w:r>
      <w:r w:rsidR="00280212">
        <w:rPr>
          <w:rFonts w:ascii="Times" w:eastAsia="Times New Roman" w:hAnsi="Times" w:cs="Arial"/>
          <w:bCs/>
          <w:sz w:val="24"/>
          <w:szCs w:val="20"/>
          <w:lang w:eastAsia="pl-PL"/>
        </w:rPr>
        <w:t xml:space="preserve"> a w </w:t>
      </w:r>
      <w:r w:rsidRPr="000F42EA">
        <w:rPr>
          <w:rFonts w:ascii="Times" w:eastAsia="Times New Roman" w:hAnsi="Times" w:cs="Arial"/>
          <w:bCs/>
          <w:sz w:val="24"/>
          <w:szCs w:val="20"/>
          <w:lang w:eastAsia="pl-PL"/>
        </w:rPr>
        <w:t xml:space="preserve">przypadku upoważnienia jednostki sektora finansów publicznych albo fundacji, której jedynym fundatorem jest Skarb Państwa, do pełnienia funkcji jednostki centralnej – instytucja zarządzająca. Dotychczasowe doświadczenia wskazują, że brak </w:t>
      </w:r>
      <w:r w:rsidRPr="000F42EA">
        <w:rPr>
          <w:rFonts w:ascii="Times" w:eastAsia="Times New Roman" w:hAnsi="Times" w:cs="Arial"/>
          <w:bCs/>
          <w:sz w:val="24"/>
          <w:szCs w:val="20"/>
          <w:lang w:eastAsia="pl-PL"/>
        </w:rPr>
        <w:lastRenderedPageBreak/>
        <w:t>odpowiednich przepisów</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na poziomie ustawy uniemożliwia jednolite podejście w całym kraju do zawierania umów</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z partnerami KSOW oraz przekazywania im środków publicznych w związku z realizacją operacji. O</w:t>
      </w:r>
      <w:r w:rsidR="00280212">
        <w:rPr>
          <w:rFonts w:ascii="Times" w:eastAsia="Times New Roman" w:hAnsi="Times" w:cs="Arial"/>
          <w:bCs/>
          <w:sz w:val="24"/>
          <w:szCs w:val="20"/>
          <w:lang w:eastAsia="pl-PL"/>
        </w:rPr>
        <w:t>prócz partnerów KSOW operacje w </w:t>
      </w:r>
      <w:r w:rsidRPr="000F42EA">
        <w:rPr>
          <w:rFonts w:ascii="Times" w:eastAsia="Times New Roman" w:hAnsi="Times" w:cs="Arial"/>
          <w:bCs/>
          <w:sz w:val="24"/>
          <w:szCs w:val="20"/>
          <w:lang w:eastAsia="pl-PL"/>
        </w:rPr>
        <w:t xml:space="preserve">ramach dwuletniego planu operacyjnego realizują: jednostka centralna, </w:t>
      </w:r>
      <w:r w:rsidR="00E76C3C">
        <w:rPr>
          <w:rFonts w:ascii="Times" w:eastAsia="Times New Roman" w:hAnsi="Times" w:cs="Arial"/>
          <w:bCs/>
          <w:sz w:val="24"/>
          <w:szCs w:val="20"/>
          <w:lang w:eastAsia="pl-PL"/>
        </w:rPr>
        <w:br/>
      </w:r>
      <w:r w:rsidRPr="000F42EA">
        <w:rPr>
          <w:rFonts w:ascii="Times" w:eastAsia="Times New Roman" w:hAnsi="Times" w:cs="Arial"/>
          <w:bCs/>
          <w:sz w:val="24"/>
          <w:szCs w:val="20"/>
          <w:lang w:eastAsia="pl-PL"/>
        </w:rPr>
        <w:t>a w przypadku upoważnienia jednostki sektora finansów publicznych albo fundacji, której jedynym fundatorem jest Skarb Państwa, do pełnienia funkcji jednostki centralnej również instytucja zarządzająca, jednostki regionalne, wojewódzkie ośrodki doradztwa rolniczego, CDR, podmioty wdrażające oraz agencja płatnicza.</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 xml:space="preserve">Partnerzy KSOW, którzy chcieliby realizować swoje projekty w ramach dwuletnich planów operacyjnych, będą mogli brać udział w konkursach ogłaszanych przez jednostkę centralną, a w przypadku upoważnienia </w:t>
      </w:r>
      <w:bookmarkStart w:id="1" w:name="__DdeLink__4287_797130995"/>
      <w:r w:rsidRPr="000F42EA">
        <w:rPr>
          <w:rFonts w:ascii="Times" w:eastAsia="Times New Roman" w:hAnsi="Times" w:cs="Arial"/>
          <w:bCs/>
          <w:sz w:val="24"/>
          <w:szCs w:val="20"/>
          <w:lang w:eastAsia="pl-PL"/>
        </w:rPr>
        <w:t>jednostki sektora finansów publicznych albo fundacji, której jedynym fundatorem jest Skarb Państwa</w:t>
      </w:r>
      <w:bookmarkEnd w:id="1"/>
      <w:r w:rsidRPr="000F42EA">
        <w:rPr>
          <w:rFonts w:ascii="Times" w:eastAsia="Times New Roman" w:hAnsi="Times" w:cs="Arial"/>
          <w:bCs/>
          <w:sz w:val="24"/>
          <w:szCs w:val="20"/>
          <w:lang w:eastAsia="pl-PL"/>
        </w:rPr>
        <w:t xml:space="preserve">, do pełnienia funkcji jednostki centralnej – instytucję zarządzającą, która również opracuje formularze, na których będą składane wnioski o wybór operacji oraz zawierane umowy z partnerami KSOW na realizację tych operacji. Zasady, tryb, warunki i kryteria wyboru operacji w ramach konkursów będą jednolite dla całego kraju. Konkursy będą ogłaszane dla każdego dwuletniego planu operacyjnego odrębnie. Wybór operacji będzie przebiegał w trzech etapach: 1 </w:t>
      </w:r>
      <w:r w:rsidR="004A2D4B">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ocena formalna wniosku,</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 xml:space="preserve">2 </w:t>
      </w:r>
      <w:r w:rsidR="004A2D4B">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ocena operacji pod względem spełnienia warunków wyboru, 3 </w:t>
      </w:r>
      <w:r w:rsidR="004A2D4B">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ocena operacji pod względem spełnienia kryteriów wyboru. </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Co do zasady ocena spełnienia wymogów formalnych wniosku o wybór operacji,</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 xml:space="preserve">warunków i kryteriów wyboru operacji oraz dokonanie na tej podstawie wyboru operacji należeć będzie do jednej instytucji na każdym poziomie. W przypadku operacji realizowanych na poziomie krajowym będzie to jednostka centralna, operacji realizowanych w województwie </w:t>
      </w:r>
      <w:r w:rsidR="004A2D4B">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jednostka regiona</w:t>
      </w:r>
      <w:r w:rsidR="00280212">
        <w:rPr>
          <w:rFonts w:ascii="Times" w:eastAsia="Times New Roman" w:hAnsi="Times" w:cs="Arial"/>
          <w:bCs/>
          <w:sz w:val="24"/>
          <w:szCs w:val="20"/>
          <w:lang w:eastAsia="pl-PL"/>
        </w:rPr>
        <w:t>lna, a operacji realizowanych w </w:t>
      </w:r>
      <w:r w:rsidRPr="000F42EA">
        <w:rPr>
          <w:rFonts w:ascii="Times" w:eastAsia="Times New Roman" w:hAnsi="Times" w:cs="Arial"/>
          <w:bCs/>
          <w:sz w:val="24"/>
          <w:szCs w:val="20"/>
          <w:lang w:eastAsia="pl-PL"/>
        </w:rPr>
        <w:t xml:space="preserve">ramach Sieci na rzecz innowacji w rolnictwie i </w:t>
      </w:r>
      <w:r w:rsidR="00280212">
        <w:rPr>
          <w:rFonts w:ascii="Times" w:eastAsia="Times New Roman" w:hAnsi="Times" w:cs="Arial"/>
          <w:bCs/>
          <w:sz w:val="24"/>
          <w:szCs w:val="20"/>
          <w:lang w:eastAsia="pl-PL"/>
        </w:rPr>
        <w:t>na obszarach wiejskich – CDR. W </w:t>
      </w:r>
      <w:r w:rsidRPr="000F42EA">
        <w:rPr>
          <w:rFonts w:ascii="Times" w:eastAsia="Times New Roman" w:hAnsi="Times" w:cs="Arial"/>
          <w:bCs/>
          <w:sz w:val="24"/>
          <w:szCs w:val="20"/>
          <w:lang w:eastAsia="pl-PL"/>
        </w:rPr>
        <w:t>przypadku operacji realizowanych na poziomie krajowym oraz w ramach Sieci na rzecz innowacji w rolnictwie</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 xml:space="preserve">i obszarach wiejskich w województwie, czynności związane z oceną spełnienia wymogów formalnych wniosku i warunków wyboru operacji a oceną spełnienia kryteriów wyboru operacji zostały podzielone pomiędzy odpowiednio jednostkę centralną i instytucję zarządzającą, w przypadku upoważnienia do pełnienia funkcji jednostki centralnej jednostki sektora finansów publicznych albo fundacji, której jedynym fundatorem jest Skarb Państwa, oraz wojewódzkie ośrodki </w:t>
      </w:r>
      <w:r w:rsidRPr="000F42EA">
        <w:rPr>
          <w:rFonts w:ascii="Times" w:eastAsia="Times New Roman" w:hAnsi="Times" w:cs="Arial"/>
          <w:bCs/>
          <w:sz w:val="24"/>
          <w:szCs w:val="20"/>
          <w:lang w:eastAsia="pl-PL"/>
        </w:rPr>
        <w:lastRenderedPageBreak/>
        <w:t>doradztwa rolniczego i CDR. W tych przypadkach ocena spełnienia kryteriów wyboru operacji i wybór operacji należeć będzie do instytucji zarządzającej i CDR, a ocena spełnienia wymogów formalnych wniosku i warunków wyboru operacji odpowiednio do jednostki sektora finansów publicznych albo fundacji, której jedynym fundatorem jest Skarb Państwa, pełniącej funkcję jednostki centralnej</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 xml:space="preserve">i do wojewódzkiego ośrodka doradztwa rolniczego. Taki podział wynika z funkcji, jakie pełnią te podmioty i ich odpowiedzialności w ramach struktury KSOW. Ocenę spełnienia warunków wyboru </w:t>
      </w:r>
      <w:r w:rsidR="005D380A">
        <w:rPr>
          <w:rFonts w:ascii="Times" w:eastAsia="Times New Roman" w:hAnsi="Times" w:cs="Arial"/>
          <w:bCs/>
          <w:sz w:val="24"/>
          <w:szCs w:val="20"/>
          <w:lang w:eastAsia="pl-PL"/>
        </w:rPr>
        <w:t xml:space="preserve">operacji </w:t>
      </w:r>
      <w:r w:rsidRPr="000F42EA">
        <w:rPr>
          <w:rFonts w:ascii="Times" w:eastAsia="Times New Roman" w:hAnsi="Times" w:cs="Arial"/>
          <w:bCs/>
          <w:sz w:val="24"/>
          <w:szCs w:val="20"/>
          <w:lang w:eastAsia="pl-PL"/>
        </w:rPr>
        <w:t>będzie poprzedzać ocena spełnienia wymogów formalnych wniosku</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o wybór operacji, dokonywana przez tę samą jednostkę, czyli przez jednostkę regionalną, jednostkę sektora finansów publicznych albo fundację, której jedynym fundatorem jest Skarb Państwa, pełniącą funkcję jednostki centralnej i przez wojewódzki ośrodek doradztwa rolniczego. Na tym etapie konkursu wniosek może zostać pozostawiony bez rozpatrzenia,</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 xml:space="preserve">co będzie oznaczać, że operacja nie będzie podlegać ocenie pod względem spełniania warunków i kryteriów wyboru operacji. Następnie </w:t>
      </w:r>
      <w:r w:rsidR="005D380A" w:rsidRPr="000F42EA">
        <w:rPr>
          <w:rFonts w:ascii="Times" w:eastAsia="Times New Roman" w:hAnsi="Times" w:cs="Arial"/>
          <w:bCs/>
          <w:sz w:val="24"/>
          <w:szCs w:val="20"/>
          <w:lang w:eastAsia="pl-PL"/>
        </w:rPr>
        <w:t xml:space="preserve">jest </w:t>
      </w:r>
      <w:r w:rsidRPr="000F42EA">
        <w:rPr>
          <w:rFonts w:ascii="Times" w:eastAsia="Times New Roman" w:hAnsi="Times" w:cs="Arial"/>
          <w:bCs/>
          <w:sz w:val="24"/>
          <w:szCs w:val="20"/>
          <w:lang w:eastAsia="pl-PL"/>
        </w:rPr>
        <w:t>dokonywana ocena spełnienia warunków wyboru operacji. Jeżeli operacja nie spełni tych warunków, oznacza to, że nie podlega dalszej ocenie. Partner, który został poinformowany, że jego operacja nie spełnia warunków wyboru, będzie mógł złożyć skargę na to rozstrzygnięcie</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do wojewódzkiego sądu administracyjnego, na którego obszarze właściwości ma siedzibę jednostka, która wydała zaskarżone rozstrzygnięcie. Złożenie skargi powinno być poprzedzone wezwaniem właściwej jednostki do usunięcia naruszenia prawa. Na tym etapie stroną postępowania przed sądem administracyjnym będzie jednostka regionalna, jednostka sektora finansów publicznych albo fundacja, której jedynym fundatorem jest Skarb Państwa, pełniąca</w:t>
      </w:r>
      <w:r w:rsidR="00280212">
        <w:rPr>
          <w:rFonts w:ascii="Times" w:eastAsia="Times New Roman" w:hAnsi="Times" w:cs="Arial"/>
          <w:bCs/>
          <w:sz w:val="24"/>
          <w:szCs w:val="20"/>
          <w:lang w:eastAsia="pl-PL"/>
        </w:rPr>
        <w:t xml:space="preserve"> funkcję jednostki centralnej i </w:t>
      </w:r>
      <w:r w:rsidRPr="000F42EA">
        <w:rPr>
          <w:rFonts w:ascii="Times" w:eastAsia="Times New Roman" w:hAnsi="Times" w:cs="Arial"/>
          <w:bCs/>
          <w:sz w:val="24"/>
          <w:szCs w:val="20"/>
          <w:lang w:eastAsia="pl-PL"/>
        </w:rPr>
        <w:t xml:space="preserve">wojewódzki ośrodek doradztwa rolniczego. Jeżeli operacja spełnia warunki wyboru, podlega następnie ocenie pod względem spełnienia kryteriów wyboru operacji, dokonywanej przez instytucję zarządzającą, jednostkę regionalną i CDR. Jeżeli podczas dokonywania tej oceny zostanie stwierdzone, że wniosek o wybór operacji nie spełnia wymogów formalnych lub nie są spełnione warunki wyboru operacji, instytucja zarządzająca zwraca ten wniosek jednostce sektora finansów publicznych albo fundacji, której jedynym fundatorem jest Skarb Państwa, pełniącej </w:t>
      </w:r>
      <w:r w:rsidR="00280212">
        <w:rPr>
          <w:rFonts w:ascii="Times" w:eastAsia="Times New Roman" w:hAnsi="Times" w:cs="Arial"/>
          <w:bCs/>
          <w:sz w:val="24"/>
          <w:szCs w:val="20"/>
          <w:lang w:eastAsia="pl-PL"/>
        </w:rPr>
        <w:t>funkcję jednostki centralnej, a </w:t>
      </w:r>
      <w:r w:rsidRPr="000F42EA">
        <w:rPr>
          <w:rFonts w:ascii="Times" w:eastAsia="Times New Roman" w:hAnsi="Times" w:cs="Arial"/>
          <w:bCs/>
          <w:sz w:val="24"/>
          <w:szCs w:val="20"/>
          <w:lang w:eastAsia="pl-PL"/>
        </w:rPr>
        <w:t xml:space="preserve">CDR wojewódzkiemu ośrodkowi doradztwa rolniczego, wskazując sposób załatwienia sprawy, które to wskazanie jest dla tych podmiotów wiążące. Ten przypadek nie dotyczy jednostki regionalnej, która ocenia zarówno spełnienie przez </w:t>
      </w:r>
      <w:r w:rsidRPr="000F42EA">
        <w:rPr>
          <w:rFonts w:ascii="Times" w:eastAsia="Times New Roman" w:hAnsi="Times" w:cs="Arial"/>
          <w:bCs/>
          <w:sz w:val="24"/>
          <w:szCs w:val="20"/>
          <w:lang w:eastAsia="pl-PL"/>
        </w:rPr>
        <w:lastRenderedPageBreak/>
        <w:t>wniosek o wybór operacji wymogów formalnych, jak i spełnienie przez operację warunków i</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kryteriów jej wyboru. Jeżeli jednak dokonanie oceny spełnienia warunków wyboru operacji stanowiło przedmiot rozstrzygnięcia zawartego w prawomocnym wyroku sądu administracyjnego, takie rozstrzygnięci</w:t>
      </w:r>
      <w:r w:rsidR="00280212">
        <w:rPr>
          <w:rFonts w:ascii="Times" w:eastAsia="Times New Roman" w:hAnsi="Times" w:cs="Arial"/>
          <w:bCs/>
          <w:sz w:val="24"/>
          <w:szCs w:val="20"/>
          <w:lang w:eastAsia="pl-PL"/>
        </w:rPr>
        <w:t>e ma powagę rzeczy osądzonej, a </w:t>
      </w:r>
      <w:r w:rsidRPr="000F42EA">
        <w:rPr>
          <w:rFonts w:ascii="Times" w:eastAsia="Times New Roman" w:hAnsi="Times" w:cs="Arial"/>
          <w:bCs/>
          <w:sz w:val="24"/>
          <w:szCs w:val="20"/>
          <w:lang w:eastAsia="pl-PL"/>
        </w:rPr>
        <w:t>instytucja zarządzająca i CDR, nawet jeżeli stwierdzą, że pomimo rozstrzygnięcia sądu w tej sprawie nie są spełnione warunki wyboru operacji, nie mogą zwrócić wniosku odpowiednio jednostce sektora finansów publicznych albo fundacji, której jedynym fundatorem jest Skarb Państwa, pełniącej funkcję jednostki c</w:t>
      </w:r>
      <w:r w:rsidR="00280212">
        <w:rPr>
          <w:rFonts w:ascii="Times" w:eastAsia="Times New Roman" w:hAnsi="Times" w:cs="Arial"/>
          <w:bCs/>
          <w:sz w:val="24"/>
          <w:szCs w:val="20"/>
          <w:lang w:eastAsia="pl-PL"/>
        </w:rPr>
        <w:t>entralnej i </w:t>
      </w:r>
      <w:r w:rsidRPr="000F42EA">
        <w:rPr>
          <w:rFonts w:ascii="Times" w:eastAsia="Times New Roman" w:hAnsi="Times" w:cs="Arial"/>
          <w:bCs/>
          <w:sz w:val="24"/>
          <w:szCs w:val="20"/>
          <w:lang w:eastAsia="pl-PL"/>
        </w:rPr>
        <w:t>wojewódzkiemu ośrodkowi doradztwa rolniczego, wskazując sposób załatwienia sprawy. W wyniku oceny operacji pod względem spełnienia kryteriów wyboru, operacja zostaje wybrana albo otrzymuje negatywną ocenę, skutkującą tym, że operacja nie może zostać wybrana z powodu nieuzyskania wymaganej liczby punktów albo że nie mieści się w limicie środków przewidzianych na realizację operacji w</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ramach konkursu, pomimo uzyskania wymaganej liczby punktów. Jeżeli operacja nie zmieści się w dostępnym w ramach konkursu limicie środków przeznaczonych na operacje partnerów KSOW, nie może to być jedyna przesłanka złożenia skargi do sądu. Jeżeli operacja otrzymała negatywną ocenę pod względem spełnienia kryteriów wyboru, dokonaną przez instytucję zarządzającą, jednostkę regionalną i CDR, partnerowi KSOW przysługuje prawo wniesienia do sądu administracyjnego skargi na to rozstrzygnięcie. Jednostka, która wybrała operację partnera KSOW, zawiera z nim umowę na realizację tej operacji, jednak w</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przypadku upoważnienia do pełnienia funkcji jednostki centralnej jednostki sektora finansów publicznych albo fundacji, której jedynym fundatorem jest Skarb Państwa, umowę z</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partnerem KSOW zawiera ta jednostka albo fundacja, a w przypadku operacji</w:t>
      </w:r>
      <w:r w:rsidR="00280212">
        <w:rPr>
          <w:rFonts w:ascii="Times" w:eastAsia="Times New Roman" w:hAnsi="Times" w:cs="Arial"/>
          <w:bCs/>
          <w:sz w:val="24"/>
          <w:szCs w:val="20"/>
          <w:lang w:eastAsia="pl-PL"/>
        </w:rPr>
        <w:t xml:space="preserve"> realizowanych w województwie w </w:t>
      </w:r>
      <w:r w:rsidRPr="000F42EA">
        <w:rPr>
          <w:rFonts w:ascii="Times" w:eastAsia="Times New Roman" w:hAnsi="Times" w:cs="Arial"/>
          <w:bCs/>
          <w:sz w:val="24"/>
          <w:szCs w:val="20"/>
          <w:lang w:eastAsia="pl-PL"/>
        </w:rPr>
        <w:t xml:space="preserve">ramach </w:t>
      </w:r>
      <w:r w:rsidRPr="000F42EA">
        <w:rPr>
          <w:rFonts w:ascii="Times" w:eastAsia="Times New Roman" w:hAnsi="Times" w:cs="Arial"/>
          <w:sz w:val="24"/>
          <w:szCs w:val="20"/>
          <w:lang w:eastAsia="pl-PL"/>
        </w:rPr>
        <w:t xml:space="preserve">Sieci na rzecz innowacji w rolnictwie i na obszarach wiejskich </w:t>
      </w:r>
      <w:r w:rsidR="004A2D4B">
        <w:rPr>
          <w:rFonts w:ascii="Times" w:eastAsia="Times New Roman" w:hAnsi="Times" w:cs="Arial"/>
          <w:sz w:val="24"/>
          <w:szCs w:val="20"/>
          <w:lang w:eastAsia="pl-PL"/>
        </w:rPr>
        <w:t>–</w:t>
      </w:r>
      <w:r w:rsidRPr="000F42EA">
        <w:rPr>
          <w:rFonts w:ascii="Times" w:eastAsia="Times New Roman" w:hAnsi="Times" w:cs="Arial"/>
          <w:sz w:val="24"/>
          <w:szCs w:val="20"/>
          <w:lang w:eastAsia="pl-PL"/>
        </w:rPr>
        <w:t xml:space="preserve"> </w:t>
      </w:r>
      <w:r w:rsidRPr="000F42EA">
        <w:rPr>
          <w:rFonts w:ascii="Times" w:eastAsia="Times New Roman" w:hAnsi="Times" w:cs="Arial"/>
          <w:bCs/>
          <w:sz w:val="24"/>
          <w:szCs w:val="20"/>
          <w:lang w:eastAsia="pl-PL"/>
        </w:rPr>
        <w:t xml:space="preserve">wojewódzki ośrodek doradztwa rolniczego. W przypadku operacji realizowanych w województwie w pozostałym zakresie, umowę z partnerem KSOW </w:t>
      </w:r>
      <w:r w:rsidR="00280212">
        <w:rPr>
          <w:rFonts w:ascii="Times" w:eastAsia="Times New Roman" w:hAnsi="Times" w:cs="Arial"/>
          <w:bCs/>
          <w:sz w:val="24"/>
          <w:szCs w:val="20"/>
          <w:lang w:eastAsia="pl-PL"/>
        </w:rPr>
        <w:t>zawiera jednostka regionalna. W </w:t>
      </w:r>
      <w:r w:rsidRPr="000F42EA">
        <w:rPr>
          <w:rFonts w:ascii="Times" w:eastAsia="Times New Roman" w:hAnsi="Times" w:cs="Arial"/>
          <w:bCs/>
          <w:sz w:val="24"/>
          <w:szCs w:val="20"/>
          <w:lang w:eastAsia="pl-PL"/>
        </w:rPr>
        <w:t>przypadku upoważnienia do pełnienia funkcji jednostki centralnej jednostki sektora finansów publicznych albo fundacji, której jedynym f</w:t>
      </w:r>
      <w:r w:rsidR="00280212">
        <w:rPr>
          <w:rFonts w:ascii="Times" w:eastAsia="Times New Roman" w:hAnsi="Times" w:cs="Arial"/>
          <w:bCs/>
          <w:sz w:val="24"/>
          <w:szCs w:val="20"/>
          <w:lang w:eastAsia="pl-PL"/>
        </w:rPr>
        <w:t>undatorem jest Skarb Państwa, w </w:t>
      </w:r>
      <w:r w:rsidRPr="000F42EA">
        <w:rPr>
          <w:rFonts w:ascii="Times" w:eastAsia="Times New Roman" w:hAnsi="Times" w:cs="Arial"/>
          <w:bCs/>
          <w:sz w:val="24"/>
          <w:szCs w:val="20"/>
          <w:lang w:eastAsia="pl-PL"/>
        </w:rPr>
        <w:t xml:space="preserve">rozliczanie umów zawartych z partnerami KSOW na realizację operacji będą zaangażowane trzy podmioty: upoważniona jednostka albo fundacja, minister właściwy do spraw rozwoju wsi, będący instytucją zarządzającą, oraz urząd obsługujący tego ministra. Takie rozwiązanie wynika z tego, że: </w:t>
      </w:r>
    </w:p>
    <w:p w:rsidR="000F42EA" w:rsidRPr="000F42EA" w:rsidRDefault="000F42EA" w:rsidP="0063669E">
      <w:pPr>
        <w:spacing w:before="120" w:after="0" w:line="360" w:lineRule="auto"/>
        <w:ind w:left="510" w:hanging="510"/>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lastRenderedPageBreak/>
        <w:t>1)</w:t>
      </w:r>
      <w:r w:rsidRPr="000F42EA">
        <w:rPr>
          <w:rFonts w:ascii="Times" w:eastAsia="Times New Roman" w:hAnsi="Times" w:cs="Arial"/>
          <w:bCs/>
          <w:sz w:val="24"/>
          <w:szCs w:val="20"/>
          <w:lang w:eastAsia="pl-PL"/>
        </w:rPr>
        <w:tab/>
        <w:t>zadania jednostki centralnej, w przypadku upoważnienia do pełnienia jej funkcji, będzie wykonywać inny podmiot niż minister, a do tych zadań należy m.in. zawieranie umów z</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 xml:space="preserve">partnerami KSOW na realizację operacji; </w:t>
      </w:r>
    </w:p>
    <w:p w:rsidR="000F42EA" w:rsidRPr="000F42EA" w:rsidRDefault="000F42EA" w:rsidP="0063669E">
      <w:pPr>
        <w:spacing w:after="0" w:line="360" w:lineRule="auto"/>
        <w:ind w:left="510" w:hanging="510"/>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2)</w:t>
      </w:r>
      <w:r w:rsidRPr="000F42EA">
        <w:rPr>
          <w:rFonts w:ascii="Times" w:eastAsia="Times New Roman" w:hAnsi="Times" w:cs="Arial"/>
          <w:bCs/>
          <w:sz w:val="24"/>
          <w:szCs w:val="20"/>
          <w:lang w:eastAsia="pl-PL"/>
        </w:rPr>
        <w:tab/>
        <w:t xml:space="preserve">upoważnienie do pełnienia funkcji jednostki centralnej zostanie udzielone przez instytucję zarządzającą, czyli ministra właściwego do spraw rozwoju wsi; </w:t>
      </w:r>
    </w:p>
    <w:p w:rsidR="000F42EA" w:rsidRPr="000F42EA" w:rsidRDefault="000F42EA" w:rsidP="0063669E">
      <w:pPr>
        <w:spacing w:after="0" w:line="360" w:lineRule="auto"/>
        <w:ind w:left="510" w:hanging="510"/>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3)</w:t>
      </w:r>
      <w:r w:rsidRPr="000F42EA">
        <w:rPr>
          <w:rFonts w:ascii="Times" w:eastAsia="Times New Roman" w:hAnsi="Times" w:cs="Arial"/>
          <w:bCs/>
          <w:sz w:val="24"/>
          <w:szCs w:val="20"/>
          <w:lang w:eastAsia="pl-PL"/>
        </w:rPr>
        <w:tab/>
        <w:t xml:space="preserve">środki przeznaczone dla partnerów KSOW na realizację operacji są w budżecie urzędu obsługującego ministra właściwego do spraw rozwoju wsi, który to urząd będzie refundował partnerowi KSOW koszty przez niego poniesione na realizację operacji oraz będzie otrzymywał zwrot </w:t>
      </w:r>
      <w:r w:rsidR="00280212">
        <w:rPr>
          <w:rFonts w:ascii="Times" w:eastAsia="Times New Roman" w:hAnsi="Times" w:cs="Arial"/>
          <w:bCs/>
          <w:sz w:val="24"/>
          <w:szCs w:val="20"/>
          <w:lang w:eastAsia="pl-PL"/>
        </w:rPr>
        <w:t>tych środków od partnera KSOW w </w:t>
      </w:r>
      <w:r w:rsidRPr="000F42EA">
        <w:rPr>
          <w:rFonts w:ascii="Times" w:eastAsia="Times New Roman" w:hAnsi="Times" w:cs="Arial"/>
          <w:bCs/>
          <w:sz w:val="24"/>
          <w:szCs w:val="20"/>
          <w:lang w:eastAsia="pl-PL"/>
        </w:rPr>
        <w:t>przypadku stwierdzenia przez upra</w:t>
      </w:r>
      <w:r w:rsidR="00280212">
        <w:rPr>
          <w:rFonts w:ascii="Times" w:eastAsia="Times New Roman" w:hAnsi="Times" w:cs="Arial"/>
          <w:bCs/>
          <w:sz w:val="24"/>
          <w:szCs w:val="20"/>
          <w:lang w:eastAsia="pl-PL"/>
        </w:rPr>
        <w:t>wniony organ nieprawidłowości w </w:t>
      </w:r>
      <w:r w:rsidRPr="000F42EA">
        <w:rPr>
          <w:rFonts w:ascii="Times" w:eastAsia="Times New Roman" w:hAnsi="Times" w:cs="Arial"/>
          <w:bCs/>
          <w:sz w:val="24"/>
          <w:szCs w:val="20"/>
          <w:lang w:eastAsia="pl-PL"/>
        </w:rPr>
        <w:t xml:space="preserve">wydatkowaniu tych środków. </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0F42EA">
        <w:rPr>
          <w:rFonts w:ascii="Times" w:eastAsia="Times New Roman" w:hAnsi="Times" w:cs="Arial"/>
          <w:sz w:val="24"/>
          <w:szCs w:val="20"/>
          <w:lang w:eastAsia="pl-PL"/>
        </w:rPr>
        <w:t>W art. 2 zaproponowano zmianę w ustawie z dnia 18 grudnia 2003 r. o krajowym systemie ewidencji producentów, ewidencji gospodarstw rolnych oraz ewidencji wniosków o</w:t>
      </w:r>
      <w:r w:rsidR="0063669E">
        <w:rPr>
          <w:rFonts w:ascii="Times" w:eastAsia="Times New Roman" w:hAnsi="Times" w:cs="Arial"/>
          <w:sz w:val="24"/>
          <w:szCs w:val="20"/>
          <w:lang w:eastAsia="pl-PL"/>
        </w:rPr>
        <w:t xml:space="preserve"> </w:t>
      </w:r>
      <w:r w:rsidRPr="000F42EA">
        <w:rPr>
          <w:rFonts w:ascii="Times" w:eastAsia="Times New Roman" w:hAnsi="Times" w:cs="Arial"/>
          <w:sz w:val="24"/>
          <w:szCs w:val="20"/>
          <w:lang w:eastAsia="pl-PL"/>
        </w:rPr>
        <w:t>przyznanie płatności, która dopuszcz</w:t>
      </w:r>
      <w:r w:rsidR="00280212">
        <w:rPr>
          <w:rFonts w:ascii="Times" w:eastAsia="Times New Roman" w:hAnsi="Times" w:cs="Arial"/>
          <w:sz w:val="24"/>
          <w:szCs w:val="20"/>
          <w:lang w:eastAsia="pl-PL"/>
        </w:rPr>
        <w:t>a numer rachunku prowadzonego w </w:t>
      </w:r>
      <w:r w:rsidRPr="000F42EA">
        <w:rPr>
          <w:rFonts w:ascii="Times" w:eastAsia="Times New Roman" w:hAnsi="Times" w:cs="Arial"/>
          <w:sz w:val="24"/>
          <w:szCs w:val="20"/>
          <w:lang w:eastAsia="pl-PL"/>
        </w:rPr>
        <w:t>spółdzielczej kasie oszczędnościowo-kredytowej jako alternatywną wobec numeru rachunku bankowego daną w</w:t>
      </w:r>
      <w:r w:rsidR="0063669E">
        <w:rPr>
          <w:rFonts w:ascii="Times" w:eastAsia="Times New Roman" w:hAnsi="Times" w:cs="Arial"/>
          <w:sz w:val="24"/>
          <w:szCs w:val="20"/>
          <w:lang w:eastAsia="pl-PL"/>
        </w:rPr>
        <w:t xml:space="preserve"> </w:t>
      </w:r>
      <w:r w:rsidRPr="000F42EA">
        <w:rPr>
          <w:rFonts w:ascii="Times" w:eastAsia="Times New Roman" w:hAnsi="Times" w:cs="Arial"/>
          <w:sz w:val="24"/>
          <w:szCs w:val="20"/>
          <w:lang w:eastAsia="pl-PL"/>
        </w:rPr>
        <w:t xml:space="preserve">ewidencji producentów. </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0F42EA">
        <w:rPr>
          <w:rFonts w:ascii="Times" w:eastAsia="Times New Roman" w:hAnsi="Times" w:cs="Arial"/>
          <w:sz w:val="24"/>
          <w:szCs w:val="20"/>
          <w:lang w:eastAsia="pl-PL"/>
        </w:rPr>
        <w:t>Jednocześnie w projektowanym art. 13 proponuje się zachowanie w mocy przepisów wydanych na podstawie art. 17 ustawy z dnia 18 grudnia 2003 r. o krajowym systemie ewidencji producentów, ewidencji gospodarstw rolnych oraz ewidencji wniosków o</w:t>
      </w:r>
      <w:r w:rsidR="00280212">
        <w:rPr>
          <w:rFonts w:ascii="Times" w:eastAsia="Times New Roman" w:hAnsi="Times" w:cs="Arial"/>
          <w:sz w:val="24"/>
          <w:szCs w:val="20"/>
          <w:lang w:eastAsia="pl-PL"/>
        </w:rPr>
        <w:t> </w:t>
      </w:r>
      <w:r w:rsidRPr="000F42EA">
        <w:rPr>
          <w:rFonts w:ascii="Times" w:eastAsia="Times New Roman" w:hAnsi="Times" w:cs="Arial"/>
          <w:sz w:val="24"/>
          <w:szCs w:val="20"/>
          <w:lang w:eastAsia="pl-PL"/>
        </w:rPr>
        <w:t xml:space="preserve">przyznanie płatności. Wydane na podstawie art. 17 ww. ustawy rozporządzenie Ministra Rolnictwa i Rozwoju </w:t>
      </w:r>
      <w:r w:rsidR="005D380A">
        <w:rPr>
          <w:rFonts w:ascii="Times" w:eastAsia="Times New Roman" w:hAnsi="Times" w:cs="Arial"/>
          <w:sz w:val="24"/>
          <w:szCs w:val="20"/>
          <w:lang w:eastAsia="pl-PL"/>
        </w:rPr>
        <w:t>W</w:t>
      </w:r>
      <w:r w:rsidRPr="000F42EA">
        <w:rPr>
          <w:rFonts w:ascii="Times" w:eastAsia="Times New Roman" w:hAnsi="Times" w:cs="Arial"/>
          <w:sz w:val="24"/>
          <w:szCs w:val="20"/>
          <w:lang w:eastAsia="pl-PL"/>
        </w:rPr>
        <w:t xml:space="preserve">si z dnia 24 grudnia 2014 r. </w:t>
      </w:r>
      <w:r w:rsidR="005D380A" w:rsidRPr="000F42EA">
        <w:rPr>
          <w:rFonts w:ascii="Times" w:eastAsia="Times New Roman" w:hAnsi="Times" w:cs="Arial"/>
          <w:sz w:val="24"/>
          <w:szCs w:val="20"/>
          <w:lang w:eastAsia="pl-PL"/>
        </w:rPr>
        <w:t>w sprawie szczegółowych wymagań, jakie powinien spełniać wniosek o wpis do ewidencji producentów (Dz. U. z</w:t>
      </w:r>
      <w:r w:rsidR="00280212">
        <w:rPr>
          <w:rFonts w:ascii="Times" w:eastAsia="Times New Roman" w:hAnsi="Times" w:cs="Arial"/>
          <w:sz w:val="24"/>
          <w:szCs w:val="20"/>
          <w:lang w:eastAsia="pl-PL"/>
        </w:rPr>
        <w:t> </w:t>
      </w:r>
      <w:r w:rsidR="005D380A" w:rsidRPr="000F42EA">
        <w:rPr>
          <w:rFonts w:ascii="Times" w:eastAsia="Times New Roman" w:hAnsi="Times" w:cs="Arial"/>
          <w:sz w:val="24"/>
          <w:szCs w:val="20"/>
          <w:lang w:eastAsia="pl-PL"/>
        </w:rPr>
        <w:t>2014 r. poz. 1964 i z 2015 r. poz. 367)</w:t>
      </w:r>
      <w:r w:rsidR="005D380A">
        <w:rPr>
          <w:rFonts w:ascii="Times" w:eastAsia="Times New Roman" w:hAnsi="Times" w:cs="Arial"/>
          <w:sz w:val="24"/>
          <w:szCs w:val="20"/>
          <w:lang w:eastAsia="pl-PL"/>
        </w:rPr>
        <w:t xml:space="preserve"> </w:t>
      </w:r>
      <w:r w:rsidRPr="000F42EA">
        <w:rPr>
          <w:rFonts w:ascii="Times" w:eastAsia="Times New Roman" w:hAnsi="Times" w:cs="Arial"/>
          <w:sz w:val="24"/>
          <w:szCs w:val="20"/>
          <w:lang w:eastAsia="pl-PL"/>
        </w:rPr>
        <w:t>określa</w:t>
      </w:r>
      <w:r w:rsidR="0063669E">
        <w:rPr>
          <w:rFonts w:ascii="Times" w:eastAsia="Times New Roman" w:hAnsi="Times" w:cs="Arial"/>
          <w:sz w:val="24"/>
          <w:szCs w:val="20"/>
          <w:lang w:eastAsia="pl-PL"/>
        </w:rPr>
        <w:t xml:space="preserve"> </w:t>
      </w:r>
      <w:r w:rsidRPr="000F42EA">
        <w:rPr>
          <w:rFonts w:ascii="Times" w:eastAsia="Times New Roman" w:hAnsi="Times" w:cs="Arial"/>
          <w:sz w:val="24"/>
          <w:szCs w:val="20"/>
          <w:lang w:eastAsia="pl-PL"/>
        </w:rPr>
        <w:t>szczegółowe wymagania, jakie powinien spełniać wniosek o wpis do ewidencji producentów.</w:t>
      </w:r>
    </w:p>
    <w:p w:rsidR="005D380A" w:rsidRDefault="000F42EA" w:rsidP="0063669E">
      <w:pPr>
        <w:suppressAutoHyphens/>
        <w:autoSpaceDE w:val="0"/>
        <w:autoSpaceDN w:val="0"/>
        <w:adjustRightInd w:val="0"/>
        <w:spacing w:before="120" w:after="0" w:line="360" w:lineRule="auto"/>
        <w:jc w:val="both"/>
        <w:rPr>
          <w:rFonts w:ascii="Times" w:eastAsia="Times New Roman" w:hAnsi="Times" w:cs="Arial"/>
          <w:sz w:val="24"/>
          <w:szCs w:val="20"/>
          <w:lang w:eastAsia="pl-PL"/>
        </w:rPr>
      </w:pPr>
      <w:r w:rsidRPr="000F42EA">
        <w:rPr>
          <w:rFonts w:ascii="Times" w:eastAsia="Times New Roman" w:hAnsi="Times" w:cs="Arial"/>
          <w:sz w:val="24"/>
          <w:szCs w:val="20"/>
          <w:lang w:eastAsia="pl-PL"/>
        </w:rPr>
        <w:t xml:space="preserve">W wyniku zmiany art. 7 ustawy </w:t>
      </w:r>
      <w:r w:rsidR="005D380A">
        <w:rPr>
          <w:rFonts w:ascii="Times" w:eastAsia="Times New Roman" w:hAnsi="Times" w:cs="Arial"/>
          <w:sz w:val="24"/>
          <w:szCs w:val="20"/>
          <w:lang w:eastAsia="pl-PL"/>
        </w:rPr>
        <w:t xml:space="preserve">z dnia 18 grudnia 2003 r. </w:t>
      </w:r>
      <w:r w:rsidRPr="000F42EA">
        <w:rPr>
          <w:rFonts w:ascii="Times" w:eastAsia="Times New Roman" w:hAnsi="Times" w:cs="Arial"/>
          <w:sz w:val="24"/>
          <w:szCs w:val="20"/>
          <w:lang w:eastAsia="pl-PL"/>
        </w:rPr>
        <w:t>o krajowym systemie ewidencji producentów, ewidencji gospodarstw ro</w:t>
      </w:r>
      <w:r w:rsidR="00280212">
        <w:rPr>
          <w:rFonts w:ascii="Times" w:eastAsia="Times New Roman" w:hAnsi="Times" w:cs="Arial"/>
          <w:sz w:val="24"/>
          <w:szCs w:val="20"/>
          <w:lang w:eastAsia="pl-PL"/>
        </w:rPr>
        <w:t>lnych oraz ewidencji wniosków o </w:t>
      </w:r>
      <w:r w:rsidRPr="000F42EA">
        <w:rPr>
          <w:rFonts w:ascii="Times" w:eastAsia="Times New Roman" w:hAnsi="Times" w:cs="Arial"/>
          <w:sz w:val="24"/>
          <w:szCs w:val="20"/>
          <w:lang w:eastAsia="pl-PL"/>
        </w:rPr>
        <w:t>przyznanie płatności pośrednio dochodzi również do zmiany wytycznej do wydania ww. rozporządzenia. Zatem, według zasad techniki prawodawczej, z dniem wejścia</w:t>
      </w:r>
      <w:r w:rsidR="00280212">
        <w:rPr>
          <w:rFonts w:ascii="Times" w:eastAsia="Times New Roman" w:hAnsi="Times" w:cs="Arial"/>
          <w:sz w:val="24"/>
          <w:szCs w:val="20"/>
          <w:lang w:eastAsia="pl-PL"/>
        </w:rPr>
        <w:t xml:space="preserve"> w </w:t>
      </w:r>
      <w:r w:rsidRPr="000F42EA">
        <w:rPr>
          <w:rFonts w:ascii="Times" w:eastAsia="Times New Roman" w:hAnsi="Times" w:cs="Arial"/>
          <w:sz w:val="24"/>
          <w:szCs w:val="20"/>
          <w:lang w:eastAsia="pl-PL"/>
        </w:rPr>
        <w:t xml:space="preserve">życie ustawy to rozporządzenie utraci moc. Z tych powodów proponuje się utrzymanie w mocy </w:t>
      </w:r>
      <w:r w:rsidR="005D380A">
        <w:rPr>
          <w:rFonts w:ascii="Times" w:eastAsia="Times New Roman" w:hAnsi="Times" w:cs="Arial"/>
          <w:sz w:val="24"/>
          <w:szCs w:val="20"/>
          <w:lang w:eastAsia="pl-PL"/>
        </w:rPr>
        <w:t xml:space="preserve">ww. </w:t>
      </w:r>
      <w:r w:rsidRPr="000F42EA">
        <w:rPr>
          <w:rFonts w:ascii="Times" w:eastAsia="Times New Roman" w:hAnsi="Times" w:cs="Arial"/>
          <w:sz w:val="24"/>
          <w:szCs w:val="20"/>
          <w:lang w:eastAsia="pl-PL"/>
        </w:rPr>
        <w:t>rozporządzenia Ministra R</w:t>
      </w:r>
      <w:r w:rsidR="00280212">
        <w:rPr>
          <w:rFonts w:ascii="Times" w:eastAsia="Times New Roman" w:hAnsi="Times" w:cs="Arial"/>
          <w:sz w:val="24"/>
          <w:szCs w:val="20"/>
          <w:lang w:eastAsia="pl-PL"/>
        </w:rPr>
        <w:t>olnictwa i Rozwoju Wsi z </w:t>
      </w:r>
      <w:r w:rsidRPr="000F42EA">
        <w:rPr>
          <w:rFonts w:ascii="Times" w:eastAsia="Times New Roman" w:hAnsi="Times" w:cs="Arial"/>
          <w:sz w:val="24"/>
          <w:szCs w:val="20"/>
          <w:lang w:eastAsia="pl-PL"/>
        </w:rPr>
        <w:t xml:space="preserve">dnia </w:t>
      </w:r>
      <w:r w:rsidR="00E76C3C">
        <w:rPr>
          <w:rFonts w:ascii="Times" w:eastAsia="Times New Roman" w:hAnsi="Times" w:cs="Arial"/>
          <w:sz w:val="24"/>
          <w:szCs w:val="20"/>
          <w:lang w:eastAsia="pl-PL"/>
        </w:rPr>
        <w:br/>
      </w:r>
      <w:r w:rsidRPr="000F42EA">
        <w:rPr>
          <w:rFonts w:ascii="Times" w:eastAsia="Times New Roman" w:hAnsi="Times" w:cs="Arial"/>
          <w:sz w:val="24"/>
          <w:szCs w:val="20"/>
          <w:lang w:eastAsia="pl-PL"/>
        </w:rPr>
        <w:t>24 grudnia 2014 r.</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lastRenderedPageBreak/>
        <w:t>Zmiana zaproponowana w art. 3 projektu ustawy polega na dodaniu ust. 2a w art. 14kc ustawy z dnia 6 grudnia 2006 r. o zasadach prowadzenia polityki rozwoju, co ma na celu usprawnienie procesu zatwierdzenia przez Komisję Europejską propozycji zmian PROW 2014</w:t>
      </w:r>
      <w:r w:rsidRPr="000F42EA">
        <w:rPr>
          <w:rFonts w:ascii="Times" w:eastAsia="Times New Roman" w:hAnsi="Times" w:cs="Arial"/>
          <w:bCs/>
          <w:sz w:val="24"/>
          <w:szCs w:val="20"/>
          <w:lang w:eastAsia="pl-PL"/>
        </w:rPr>
        <w:sym w:font="Symbol" w:char="F02D"/>
      </w:r>
      <w:r w:rsidRPr="000F42EA">
        <w:rPr>
          <w:rFonts w:ascii="Times" w:eastAsia="Times New Roman" w:hAnsi="Times" w:cs="Arial"/>
          <w:bCs/>
          <w:sz w:val="24"/>
          <w:szCs w:val="20"/>
          <w:lang w:eastAsia="pl-PL"/>
        </w:rPr>
        <w:t xml:space="preserve">2020, przez uelastycznienie procesu negocjacji. </w:t>
      </w:r>
    </w:p>
    <w:p w:rsidR="000F42EA" w:rsidRPr="000F42EA" w:rsidRDefault="000F42EA" w:rsidP="00727A09">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Zgodnie z art. 30 ust. 2 rozporządzenia Parlamentu Europejskiego i Rady (UE)</w:t>
      </w:r>
      <w:r w:rsidR="0063669E">
        <w:rPr>
          <w:rFonts w:ascii="Times" w:eastAsia="Times New Roman" w:hAnsi="Times" w:cs="Arial"/>
          <w:bCs/>
          <w:sz w:val="24"/>
          <w:szCs w:val="20"/>
          <w:lang w:eastAsia="pl-PL"/>
        </w:rPr>
        <w:t xml:space="preserve"> </w:t>
      </w:r>
      <w:r w:rsidR="00280212">
        <w:rPr>
          <w:rFonts w:ascii="Times" w:eastAsia="Times New Roman" w:hAnsi="Times" w:cs="Arial"/>
          <w:bCs/>
          <w:sz w:val="24"/>
          <w:szCs w:val="20"/>
          <w:lang w:eastAsia="pl-PL"/>
        </w:rPr>
        <w:t>nr </w:t>
      </w:r>
      <w:r w:rsidRPr="000F42EA">
        <w:rPr>
          <w:rFonts w:ascii="Times" w:eastAsia="Times New Roman" w:hAnsi="Times" w:cs="Arial"/>
          <w:bCs/>
          <w:sz w:val="24"/>
          <w:szCs w:val="20"/>
          <w:lang w:eastAsia="pl-PL"/>
        </w:rPr>
        <w:t>1303/2013</w:t>
      </w:r>
      <w:r w:rsidR="005D380A">
        <w:rPr>
          <w:rFonts w:ascii="Times" w:eastAsia="Times New Roman" w:hAnsi="Times" w:cs="Arial"/>
          <w:bCs/>
          <w:sz w:val="24"/>
          <w:szCs w:val="20"/>
          <w:lang w:eastAsia="pl-PL"/>
        </w:rPr>
        <w:t xml:space="preserve">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w:t>
      </w:r>
      <w:r w:rsidR="00280212">
        <w:rPr>
          <w:rFonts w:ascii="Times" w:eastAsia="Times New Roman" w:hAnsi="Times" w:cs="Arial"/>
          <w:bCs/>
          <w:sz w:val="24"/>
          <w:szCs w:val="20"/>
          <w:lang w:eastAsia="pl-PL"/>
        </w:rPr>
        <w:t> </w:t>
      </w:r>
      <w:r w:rsidR="005D380A">
        <w:rPr>
          <w:rFonts w:ascii="Times" w:eastAsia="Times New Roman" w:hAnsi="Times" w:cs="Arial"/>
          <w:bCs/>
          <w:sz w:val="24"/>
          <w:szCs w:val="20"/>
          <w:lang w:eastAsia="pl-PL"/>
        </w:rPr>
        <w:t xml:space="preserve">Europejskiego Funduszu Morskiego i Rybackiego oraz </w:t>
      </w:r>
      <w:r w:rsidR="00987A9F">
        <w:rPr>
          <w:rFonts w:ascii="Times" w:eastAsia="Times New Roman" w:hAnsi="Times" w:cs="Arial"/>
          <w:bCs/>
          <w:sz w:val="24"/>
          <w:szCs w:val="20"/>
          <w:lang w:eastAsia="pl-PL"/>
        </w:rPr>
        <w:t xml:space="preserve">zmieniającego rozporządzenie Rady (WE) nr 1083/2006 (Dz. Urz. UE L 347 z 20.12.2013, str. 320, z późn. zm.), zwanego dalej </w:t>
      </w:r>
      <w:r w:rsidR="00727A09">
        <w:rPr>
          <w:rFonts w:ascii="Times" w:eastAsia="Times New Roman" w:hAnsi="Times" w:cs="Arial"/>
          <w:bCs/>
          <w:sz w:val="24"/>
          <w:szCs w:val="20"/>
          <w:lang w:eastAsia="pl-PL"/>
        </w:rPr>
        <w:t>„rozporządzeniem nr 1303/2013”,</w:t>
      </w:r>
      <w:r w:rsidRPr="000F42EA">
        <w:rPr>
          <w:rFonts w:ascii="Times" w:eastAsia="Times New Roman" w:hAnsi="Times" w:cs="Arial"/>
          <w:bCs/>
          <w:sz w:val="24"/>
          <w:szCs w:val="20"/>
          <w:lang w:eastAsia="pl-PL"/>
        </w:rPr>
        <w:t xml:space="preserve"> Komisja Europejska dokonuje oceny wniosku o zmianę programu</w:t>
      </w:r>
      <w:r w:rsidR="00727A09">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biorąc pod uwagę uzasadnienie tych zmian. Komisja Europejska może przedstawić uwagi dotyczące proponowanych zmian, a państwo członkowskie przedstawia wszelkie niezbędne dodatkowe informacje. W obecnym stanie prawnym minister właściwy do spraw rozwoju wsi nie ma umocowania ustawowego do przedstawiania wszelkich niezbędnych informacji oraz uwzględniania uwag zgłoszonych przez Komisję Europejską w zakresie dotyczącym oceny przekazanego do zatwierdzenia projektu zmiany PROW 2014</w:t>
      </w:r>
      <w:r w:rsidRPr="000F42EA">
        <w:rPr>
          <w:rFonts w:ascii="Times" w:eastAsia="Times New Roman" w:hAnsi="Times" w:cs="Arial"/>
          <w:bCs/>
          <w:sz w:val="24"/>
          <w:szCs w:val="20"/>
          <w:lang w:eastAsia="pl-PL"/>
        </w:rPr>
        <w:sym w:font="Symbol" w:char="F02D"/>
      </w:r>
      <w:r w:rsidRPr="000F42EA">
        <w:rPr>
          <w:rFonts w:ascii="Times" w:eastAsia="Times New Roman" w:hAnsi="Times" w:cs="Arial"/>
          <w:bCs/>
          <w:sz w:val="24"/>
          <w:szCs w:val="20"/>
          <w:lang w:eastAsia="pl-PL"/>
        </w:rPr>
        <w:t xml:space="preserve">2020. </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Taki stan prawny powoduje, że odniesienie się przez ministra właściwego do spraw rozwoju wsi do uwag będących przedmiotem zgłoszonego wniosku, wymaga przeprowadzenia ponownej procedury, o</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której m</w:t>
      </w:r>
      <w:r w:rsidR="00280212">
        <w:rPr>
          <w:rFonts w:ascii="Times" w:eastAsia="Times New Roman" w:hAnsi="Times" w:cs="Arial"/>
          <w:bCs/>
          <w:sz w:val="24"/>
          <w:szCs w:val="20"/>
          <w:lang w:eastAsia="pl-PL"/>
        </w:rPr>
        <w:t>owa w art. 14kc ustawy z dnia 6 </w:t>
      </w:r>
      <w:r w:rsidRPr="000F42EA">
        <w:rPr>
          <w:rFonts w:ascii="Times" w:eastAsia="Times New Roman" w:hAnsi="Times" w:cs="Arial"/>
          <w:bCs/>
          <w:sz w:val="24"/>
          <w:szCs w:val="20"/>
          <w:lang w:eastAsia="pl-PL"/>
        </w:rPr>
        <w:t>grudnia 2006 r. o zasadach prowadzenia polityki rozwoju i zasadniczo może wydłużać</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i komplikować negocjacje z Komisją Europejską dotyczące proponowanych zmian programu</w:t>
      </w:r>
      <w:r w:rsidR="00A96D0D">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a w konsekwencji opóźniać ich przyjęcie. Należy podkreślić, iż zgodnie</w:t>
      </w:r>
      <w:r w:rsidR="0063669E">
        <w:rPr>
          <w:rFonts w:ascii="Times" w:eastAsia="Times New Roman" w:hAnsi="Times" w:cs="Arial"/>
          <w:bCs/>
          <w:sz w:val="24"/>
          <w:szCs w:val="20"/>
          <w:lang w:eastAsia="pl-PL"/>
        </w:rPr>
        <w:t xml:space="preserve"> </w:t>
      </w:r>
      <w:r w:rsidR="00280212">
        <w:rPr>
          <w:rFonts w:ascii="Times" w:eastAsia="Times New Roman" w:hAnsi="Times" w:cs="Arial"/>
          <w:bCs/>
          <w:sz w:val="24"/>
          <w:szCs w:val="20"/>
          <w:lang w:eastAsia="pl-PL"/>
        </w:rPr>
        <w:t>z art. </w:t>
      </w:r>
      <w:r w:rsidRPr="000F42EA">
        <w:rPr>
          <w:rFonts w:ascii="Times" w:eastAsia="Times New Roman" w:hAnsi="Times" w:cs="Arial"/>
          <w:bCs/>
          <w:sz w:val="24"/>
          <w:szCs w:val="20"/>
          <w:lang w:eastAsia="pl-PL"/>
        </w:rPr>
        <w:t>4 ust. 2 rozporządzenia nr 808/2014, instytucja zarządzająca może składać jeden wniosek o zmianę PROW 2014</w:t>
      </w:r>
      <w:r w:rsidRPr="000F42EA">
        <w:rPr>
          <w:rFonts w:ascii="Times" w:eastAsia="Times New Roman" w:hAnsi="Times" w:cs="Arial"/>
          <w:bCs/>
          <w:sz w:val="24"/>
          <w:szCs w:val="20"/>
          <w:lang w:eastAsia="pl-PL"/>
        </w:rPr>
        <w:sym w:font="Symbol" w:char="F02D"/>
      </w:r>
      <w:r w:rsidRPr="000F42EA">
        <w:rPr>
          <w:rFonts w:ascii="Times" w:eastAsia="Times New Roman" w:hAnsi="Times" w:cs="Arial"/>
          <w:bCs/>
          <w:sz w:val="24"/>
          <w:szCs w:val="20"/>
          <w:lang w:eastAsia="pl-PL"/>
        </w:rPr>
        <w:t xml:space="preserve">2020 w roku kalendarzowym. </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Zakłada się, że zaproponowana zmiana usprawni i przyśpieszy zatwierdzanie przez Komisję Europejską projektów zmian PROW 2014</w:t>
      </w:r>
      <w:r w:rsidRPr="000F42EA">
        <w:rPr>
          <w:rFonts w:ascii="Times" w:eastAsia="Times New Roman" w:hAnsi="Times" w:cs="Arial"/>
          <w:bCs/>
          <w:sz w:val="24"/>
          <w:szCs w:val="20"/>
          <w:lang w:eastAsia="pl-PL"/>
        </w:rPr>
        <w:sym w:font="Symbol" w:char="F02D"/>
      </w:r>
      <w:r w:rsidRPr="000F42EA">
        <w:rPr>
          <w:rFonts w:ascii="Times" w:eastAsia="Times New Roman" w:hAnsi="Times" w:cs="Arial"/>
          <w:bCs/>
          <w:sz w:val="24"/>
          <w:szCs w:val="20"/>
          <w:lang w:eastAsia="pl-PL"/>
        </w:rPr>
        <w:t xml:space="preserve">2020, co w konsekwencji wpłynie pozytywnie na pełne wykorzystanie środków programu. </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lastRenderedPageBreak/>
        <w:t>Zmiana zaproponowana w art. 4 projektu ustawy polega na dodaniu w art. 4 ust. 1a</w:t>
      </w:r>
      <w:r w:rsidR="0063669E">
        <w:rPr>
          <w:rFonts w:ascii="Times" w:eastAsia="Times New Roman" w:hAnsi="Times" w:cs="Arial"/>
          <w:bCs/>
          <w:sz w:val="24"/>
          <w:szCs w:val="20"/>
          <w:lang w:eastAsia="pl-PL"/>
        </w:rPr>
        <w:t xml:space="preserve"> </w:t>
      </w:r>
      <w:r w:rsidR="00280212">
        <w:rPr>
          <w:rFonts w:ascii="Times" w:eastAsia="Times New Roman" w:hAnsi="Times" w:cs="Arial"/>
          <w:bCs/>
          <w:sz w:val="24"/>
          <w:szCs w:val="20"/>
          <w:lang w:eastAsia="pl-PL"/>
        </w:rPr>
        <w:t>w </w:t>
      </w:r>
      <w:r w:rsidRPr="000F42EA">
        <w:rPr>
          <w:rFonts w:ascii="Times" w:eastAsia="Times New Roman" w:hAnsi="Times" w:cs="Arial"/>
          <w:bCs/>
          <w:sz w:val="24"/>
          <w:szCs w:val="20"/>
          <w:lang w:eastAsia="pl-PL"/>
        </w:rPr>
        <w:t>ustawie z dnia 7 marca 2007 r. o wspieraniu rozwoju obszarów wiejskich z udziałem środków Europejskiego Funduszu Rolnego na rze</w:t>
      </w:r>
      <w:r w:rsidR="00280212">
        <w:rPr>
          <w:rFonts w:ascii="Times" w:eastAsia="Times New Roman" w:hAnsi="Times" w:cs="Arial"/>
          <w:bCs/>
          <w:sz w:val="24"/>
          <w:szCs w:val="20"/>
          <w:lang w:eastAsia="pl-PL"/>
        </w:rPr>
        <w:t>cz Rozwoju Obszarów Wiejskich w </w:t>
      </w:r>
      <w:r w:rsidRPr="000F42EA">
        <w:rPr>
          <w:rFonts w:ascii="Times" w:eastAsia="Times New Roman" w:hAnsi="Times" w:cs="Arial"/>
          <w:bCs/>
          <w:sz w:val="24"/>
          <w:szCs w:val="20"/>
          <w:lang w:eastAsia="pl-PL"/>
        </w:rPr>
        <w:t>ramach Programu Rozwoju Obszarów Wiejskich na lata 2007</w:t>
      </w:r>
      <w:r w:rsidRPr="000F42EA">
        <w:rPr>
          <w:rFonts w:ascii="Times" w:eastAsia="Times New Roman" w:hAnsi="Times" w:cs="Arial"/>
          <w:bCs/>
          <w:sz w:val="24"/>
          <w:szCs w:val="20"/>
          <w:lang w:eastAsia="pl-PL"/>
        </w:rPr>
        <w:sym w:font="Symbol" w:char="F02D"/>
      </w:r>
      <w:r w:rsidRPr="000F42EA">
        <w:rPr>
          <w:rFonts w:ascii="Times" w:eastAsia="Times New Roman" w:hAnsi="Times" w:cs="Arial"/>
          <w:bCs/>
          <w:sz w:val="24"/>
          <w:szCs w:val="20"/>
          <w:lang w:eastAsia="pl-PL"/>
        </w:rPr>
        <w:t>2013. Ma to na celu umożliwienie dokonywania zmian na podstawie art. 154 albo art. 155 Kodeksu postępowania administracyjnego decyzji wydanych na podstawie art. 4 ust. 1 pkt 4, chyba że taka zmiana jest sprzeczna z kryteriami określonymi w art. 16 ust. 1 lit. b rozporządzenia nr 1305/2013. Potrzeba wprowadzenia p</w:t>
      </w:r>
      <w:r w:rsidR="00280212">
        <w:rPr>
          <w:rFonts w:ascii="Times" w:eastAsia="Times New Roman" w:hAnsi="Times" w:cs="Arial"/>
          <w:bCs/>
          <w:sz w:val="24"/>
          <w:szCs w:val="20"/>
          <w:lang w:eastAsia="pl-PL"/>
        </w:rPr>
        <w:t>rojektowanej regulacji wynika z </w:t>
      </w:r>
      <w:r w:rsidRPr="000F42EA">
        <w:rPr>
          <w:rFonts w:ascii="Times" w:eastAsia="Times New Roman" w:hAnsi="Times" w:cs="Arial"/>
          <w:bCs/>
          <w:sz w:val="24"/>
          <w:szCs w:val="20"/>
          <w:lang w:eastAsia="pl-PL"/>
        </w:rPr>
        <w:t>faktu, że opisy systemów jakości żywności uznanych za krajowe stanowią załączniki do decyzji ministra właściwego do spraw rozwoju wsi, a w przypadku wprowadzenia zmian w opisie danego systemu należy umożliwić administratorom systemów wnioskowanie o zmianę załącznika do danej decyzji. Zmiany opisów systemów jakości żywności uznanych za krajowe wynikają najczęściej z postępu technologicznego albo zmiany przepisów regulujących np. kwestie chowu zwierząt, jakości żywności, etykietowania żywności. W związku z powyższym należy umożliwić administratorom wnioskowanie o tego rodzaju zmiany przy zachowaniu przez dany system statusu krajowego systemu jakości żywności. Należy jednocześnie podkreślić, że wymagania</w:t>
      </w:r>
      <w:r w:rsidR="00987A9F">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jakie musi spełnić krajowy system jakości żywności, aby kwalifikować się do w</w:t>
      </w:r>
      <w:r w:rsidR="00097D93">
        <w:rPr>
          <w:rFonts w:ascii="Times" w:eastAsia="Times New Roman" w:hAnsi="Times" w:cs="Arial"/>
          <w:bCs/>
          <w:sz w:val="24"/>
          <w:szCs w:val="20"/>
          <w:lang w:eastAsia="pl-PL"/>
        </w:rPr>
        <w:t>s</w:t>
      </w:r>
      <w:r w:rsidRPr="000F42EA">
        <w:rPr>
          <w:rFonts w:ascii="Times" w:eastAsia="Times New Roman" w:hAnsi="Times" w:cs="Arial"/>
          <w:bCs/>
          <w:sz w:val="24"/>
          <w:szCs w:val="20"/>
          <w:lang w:eastAsia="pl-PL"/>
        </w:rPr>
        <w:t>parcia</w:t>
      </w:r>
      <w:r w:rsidR="0063669E">
        <w:rPr>
          <w:rFonts w:ascii="Times" w:eastAsia="Times New Roman" w:hAnsi="Times" w:cs="Arial"/>
          <w:bCs/>
          <w:sz w:val="24"/>
          <w:szCs w:val="20"/>
          <w:lang w:eastAsia="pl-PL"/>
        </w:rPr>
        <w:t xml:space="preserve"> </w:t>
      </w:r>
      <w:r w:rsidR="00280212">
        <w:rPr>
          <w:rFonts w:ascii="Times" w:eastAsia="Times New Roman" w:hAnsi="Times" w:cs="Arial"/>
          <w:bCs/>
          <w:sz w:val="24"/>
          <w:szCs w:val="20"/>
          <w:lang w:eastAsia="pl-PL"/>
        </w:rPr>
        <w:t>z </w:t>
      </w:r>
      <w:r w:rsidRPr="000F42EA">
        <w:rPr>
          <w:rFonts w:ascii="Times" w:eastAsia="Times New Roman" w:hAnsi="Times" w:cs="Arial"/>
          <w:bCs/>
          <w:sz w:val="24"/>
          <w:szCs w:val="20"/>
          <w:lang w:eastAsia="pl-PL"/>
        </w:rPr>
        <w:t>PROW 2014</w:t>
      </w:r>
      <w:r w:rsidRPr="000F42EA">
        <w:rPr>
          <w:rFonts w:ascii="Times" w:eastAsia="Times New Roman" w:hAnsi="Times" w:cs="Arial"/>
          <w:bCs/>
          <w:sz w:val="24"/>
          <w:szCs w:val="20"/>
          <w:lang w:eastAsia="pl-PL"/>
        </w:rPr>
        <w:sym w:font="Symbol" w:char="F02D"/>
      </w:r>
      <w:r w:rsidRPr="000F42EA">
        <w:rPr>
          <w:rFonts w:ascii="Times" w:eastAsia="Times New Roman" w:hAnsi="Times" w:cs="Arial"/>
          <w:bCs/>
          <w:sz w:val="24"/>
          <w:szCs w:val="20"/>
          <w:lang w:eastAsia="pl-PL"/>
        </w:rPr>
        <w:t>2020 są co do zasady zbieżne</w:t>
      </w:r>
      <w:r w:rsidR="00280212">
        <w:rPr>
          <w:rFonts w:ascii="Times" w:eastAsia="Times New Roman" w:hAnsi="Times" w:cs="Arial"/>
          <w:bCs/>
          <w:sz w:val="24"/>
          <w:szCs w:val="20"/>
          <w:lang w:eastAsia="pl-PL"/>
        </w:rPr>
        <w:t xml:space="preserve"> z wymaganiami obowiązującymi w </w:t>
      </w:r>
      <w:r w:rsidRPr="000F42EA">
        <w:rPr>
          <w:rFonts w:ascii="Times" w:eastAsia="Times New Roman" w:hAnsi="Times" w:cs="Arial"/>
          <w:bCs/>
          <w:sz w:val="24"/>
          <w:szCs w:val="20"/>
          <w:lang w:eastAsia="pl-PL"/>
        </w:rPr>
        <w:t>okresie programowania na lata 2007</w:t>
      </w:r>
      <w:r w:rsidRPr="000F42EA">
        <w:rPr>
          <w:rFonts w:ascii="Times" w:eastAsia="Times New Roman" w:hAnsi="Times" w:cs="Arial"/>
          <w:bCs/>
          <w:sz w:val="24"/>
          <w:szCs w:val="20"/>
          <w:lang w:eastAsia="pl-PL"/>
        </w:rPr>
        <w:sym w:font="Symbol" w:char="F02D"/>
      </w:r>
      <w:r w:rsidRPr="000F42EA">
        <w:rPr>
          <w:rFonts w:ascii="Times" w:eastAsia="Times New Roman" w:hAnsi="Times" w:cs="Arial"/>
          <w:bCs/>
          <w:sz w:val="24"/>
          <w:szCs w:val="20"/>
          <w:lang w:eastAsia="pl-PL"/>
        </w:rPr>
        <w:t>2013.</w:t>
      </w:r>
    </w:p>
    <w:p w:rsidR="000F42EA" w:rsidRPr="000F42EA" w:rsidRDefault="000F42EA" w:rsidP="00097D93">
      <w:pPr>
        <w:tabs>
          <w:tab w:val="left" w:pos="5954"/>
        </w:tabs>
        <w:suppressAutoHyphens/>
        <w:autoSpaceDE w:val="0"/>
        <w:autoSpaceDN w:val="0"/>
        <w:adjustRightInd w:val="0"/>
        <w:spacing w:before="120" w:after="0" w:line="360" w:lineRule="auto"/>
        <w:jc w:val="both"/>
        <w:rPr>
          <w:rFonts w:ascii="Times New Roman" w:eastAsia="Times New Roman" w:hAnsi="Times New Roman" w:cs="Arial"/>
          <w:sz w:val="24"/>
          <w:szCs w:val="20"/>
          <w:lang w:eastAsia="pl-PL"/>
        </w:rPr>
      </w:pPr>
      <w:r w:rsidRPr="000F42EA">
        <w:rPr>
          <w:rFonts w:ascii="Times" w:eastAsia="Times New Roman" w:hAnsi="Times" w:cs="Arial"/>
          <w:sz w:val="24"/>
          <w:szCs w:val="20"/>
          <w:lang w:eastAsia="pl-PL"/>
        </w:rPr>
        <w:t>Zmiana zaproponowana w art. 2, jak również rozwiązania wynikające z obowiązującej obecnie ustawy PROW 2014</w:t>
      </w:r>
      <w:r w:rsidRPr="000F42EA">
        <w:rPr>
          <w:rFonts w:ascii="Times" w:eastAsia="Times New Roman" w:hAnsi="Times" w:cs="Arial"/>
          <w:sz w:val="24"/>
          <w:szCs w:val="20"/>
          <w:lang w:eastAsia="pl-PL"/>
        </w:rPr>
        <w:sym w:font="Symbol" w:char="F02D"/>
      </w:r>
      <w:r w:rsidRPr="000F42EA">
        <w:rPr>
          <w:rFonts w:ascii="Times" w:eastAsia="Times New Roman" w:hAnsi="Times" w:cs="Arial"/>
          <w:sz w:val="24"/>
          <w:szCs w:val="20"/>
          <w:lang w:eastAsia="pl-PL"/>
        </w:rPr>
        <w:t xml:space="preserve">2020, korespondują z zaproponowanymi w art. 5 zmianami przepisów </w:t>
      </w:r>
      <w:r w:rsidRPr="000F42EA">
        <w:rPr>
          <w:rFonts w:ascii="Times New Roman" w:eastAsia="Times New Roman" w:hAnsi="Times New Roman" w:cs="Arial"/>
          <w:sz w:val="24"/>
          <w:szCs w:val="20"/>
          <w:lang w:eastAsia="pl-PL"/>
        </w:rPr>
        <w:t xml:space="preserve">ustawy </w:t>
      </w:r>
      <w:r w:rsidRPr="000F42EA">
        <w:rPr>
          <w:rFonts w:ascii="Times" w:eastAsia="Times New Roman" w:hAnsi="Times" w:cs="Arial"/>
          <w:sz w:val="24"/>
          <w:szCs w:val="20"/>
          <w:lang w:eastAsia="pl-PL"/>
        </w:rPr>
        <w:t>z dnia 5 lutego 2015 r. o płatnościach w ramach systemów wsparcia bezpośredniego</w:t>
      </w:r>
      <w:r w:rsidRPr="000F42EA">
        <w:rPr>
          <w:rFonts w:ascii="Times New Roman" w:eastAsia="Times New Roman" w:hAnsi="Times New Roman" w:cs="Arial"/>
          <w:sz w:val="24"/>
          <w:szCs w:val="20"/>
          <w:lang w:eastAsia="pl-PL"/>
        </w:rPr>
        <w:t xml:space="preserve">. </w:t>
      </w:r>
      <w:r w:rsidRPr="000F42EA">
        <w:rPr>
          <w:rFonts w:ascii="Times" w:eastAsia="Times New Roman" w:hAnsi="Times" w:cs="Times New Roman"/>
          <w:bCs/>
          <w:sz w:val="24"/>
          <w:szCs w:val="24"/>
          <w:lang w:eastAsia="pl-PL"/>
        </w:rPr>
        <w:t>Proponowane zmiany polegają na uwzględnieniu (obok rachunku bankowego) rachunku prowadzonego w spółdzielczej kasie oszczędnościowo</w:t>
      </w:r>
      <w:r w:rsidR="004A2D4B">
        <w:rPr>
          <w:rFonts w:ascii="Times" w:eastAsia="Times New Roman" w:hAnsi="Times" w:cs="Times New Roman"/>
          <w:bCs/>
          <w:sz w:val="24"/>
          <w:szCs w:val="24"/>
          <w:lang w:eastAsia="pl-PL"/>
        </w:rPr>
        <w:t>-</w:t>
      </w:r>
      <w:r w:rsidRPr="000F42EA">
        <w:rPr>
          <w:rFonts w:ascii="Times" w:eastAsia="Times New Roman" w:hAnsi="Times" w:cs="Times New Roman"/>
          <w:bCs/>
          <w:sz w:val="24"/>
          <w:szCs w:val="24"/>
          <w:lang w:eastAsia="pl-PL"/>
        </w:rPr>
        <w:t xml:space="preserve">-kredytowej we wszystkich przepisach, w których jest mowa o uznaniu przyznanej płatności na rachunku </w:t>
      </w:r>
      <w:r w:rsidR="00987A9F">
        <w:rPr>
          <w:rFonts w:ascii="Times" w:eastAsia="Times New Roman" w:hAnsi="Times" w:cs="Times New Roman"/>
          <w:bCs/>
          <w:sz w:val="24"/>
          <w:szCs w:val="24"/>
          <w:lang w:eastAsia="pl-PL"/>
        </w:rPr>
        <w:t>i</w:t>
      </w:r>
      <w:r w:rsidRPr="000F42EA">
        <w:rPr>
          <w:rFonts w:ascii="Times" w:eastAsia="Times New Roman" w:hAnsi="Times" w:cs="Times New Roman"/>
          <w:bCs/>
          <w:sz w:val="24"/>
          <w:szCs w:val="24"/>
          <w:lang w:eastAsia="pl-PL"/>
        </w:rPr>
        <w:t xml:space="preserve"> przekazaniu płatności na rachunek rolnika.</w:t>
      </w:r>
      <w:r w:rsidRPr="000F42EA">
        <w:rPr>
          <w:rFonts w:ascii="Times" w:eastAsia="Times New Roman" w:hAnsi="Times" w:cs="Times New Roman"/>
          <w:sz w:val="24"/>
          <w:szCs w:val="24"/>
          <w:lang w:eastAsia="pl-PL"/>
        </w:rPr>
        <w:t xml:space="preserve"> </w:t>
      </w:r>
      <w:r w:rsidRPr="000F42EA">
        <w:rPr>
          <w:rFonts w:ascii="Times" w:eastAsia="Times New Roman" w:hAnsi="Times" w:cs="Times New Roman"/>
          <w:bCs/>
          <w:sz w:val="24"/>
          <w:szCs w:val="24"/>
          <w:lang w:eastAsia="pl-PL"/>
        </w:rPr>
        <w:t>Dzięki temu środki przyznane w ramach wsparcia bezpośredniego będą mogły zostać przekazane na rachunek rolnika, który nie posiada rachunku bankowego, o ile posiada rachunek w</w:t>
      </w:r>
      <w:r w:rsidR="00280212">
        <w:rPr>
          <w:rFonts w:ascii="Times" w:eastAsia="Times New Roman" w:hAnsi="Times" w:cs="Times New Roman"/>
          <w:bCs/>
          <w:sz w:val="24"/>
          <w:szCs w:val="24"/>
          <w:lang w:eastAsia="pl-PL"/>
        </w:rPr>
        <w:t> </w:t>
      </w:r>
      <w:r w:rsidRPr="000F42EA">
        <w:rPr>
          <w:rFonts w:ascii="Times" w:eastAsia="Times New Roman" w:hAnsi="Times" w:cs="Times New Roman"/>
          <w:bCs/>
          <w:sz w:val="24"/>
          <w:szCs w:val="24"/>
          <w:lang w:eastAsia="pl-PL"/>
        </w:rPr>
        <w:t>spółdzielczej kasie oszczędnościowo-kredytowej. Jednocześnie zostanie zapewniona jednolitość przepisów w tym zakresie z</w:t>
      </w:r>
      <w:r w:rsidR="0063669E">
        <w:rPr>
          <w:rFonts w:ascii="Times" w:eastAsia="Times New Roman" w:hAnsi="Times" w:cs="Times New Roman"/>
          <w:bCs/>
          <w:sz w:val="24"/>
          <w:szCs w:val="24"/>
          <w:lang w:eastAsia="pl-PL"/>
        </w:rPr>
        <w:t xml:space="preserve"> </w:t>
      </w:r>
      <w:r w:rsidRPr="000F42EA">
        <w:rPr>
          <w:rFonts w:ascii="Times" w:eastAsia="Times New Roman" w:hAnsi="Times" w:cs="Times New Roman"/>
          <w:bCs/>
          <w:sz w:val="24"/>
          <w:szCs w:val="24"/>
          <w:lang w:eastAsia="pl-PL"/>
        </w:rPr>
        <w:t xml:space="preserve">regulacjami ustawy </w:t>
      </w:r>
      <w:r w:rsidRPr="000F42EA">
        <w:rPr>
          <w:rFonts w:ascii="Times" w:eastAsia="Times New Roman" w:hAnsi="Times" w:cs="Arial"/>
          <w:sz w:val="24"/>
          <w:szCs w:val="20"/>
          <w:lang w:eastAsia="pl-PL"/>
        </w:rPr>
        <w:t>PROW 2014</w:t>
      </w:r>
      <w:r w:rsidRPr="000F42EA">
        <w:rPr>
          <w:rFonts w:ascii="Times" w:eastAsia="Times New Roman" w:hAnsi="Times" w:cs="Arial"/>
          <w:sz w:val="24"/>
          <w:szCs w:val="20"/>
          <w:lang w:eastAsia="pl-PL"/>
        </w:rPr>
        <w:sym w:font="Symbol" w:char="F02D"/>
      </w:r>
      <w:r w:rsidRPr="000F42EA">
        <w:rPr>
          <w:rFonts w:ascii="Times" w:eastAsia="Times New Roman" w:hAnsi="Times" w:cs="Arial"/>
          <w:sz w:val="24"/>
          <w:szCs w:val="20"/>
          <w:lang w:eastAsia="pl-PL"/>
        </w:rPr>
        <w:t>2020,</w:t>
      </w:r>
      <w:r w:rsidRPr="000F42EA">
        <w:rPr>
          <w:rFonts w:ascii="Times New Roman" w:eastAsia="Times New Roman" w:hAnsi="Times New Roman" w:cs="Times New Roman"/>
          <w:i/>
          <w:iCs/>
          <w:sz w:val="24"/>
          <w:szCs w:val="24"/>
          <w:lang w:eastAsia="pl-PL"/>
        </w:rPr>
        <w:t xml:space="preserve"> </w:t>
      </w:r>
      <w:r w:rsidRPr="000F42EA">
        <w:rPr>
          <w:rFonts w:ascii="Times" w:eastAsia="Times New Roman" w:hAnsi="Times" w:cs="Times New Roman"/>
          <w:bCs/>
          <w:sz w:val="24"/>
          <w:szCs w:val="24"/>
          <w:lang w:eastAsia="pl-PL"/>
        </w:rPr>
        <w:t>które dopuszczają przekazywanie środków przyznan</w:t>
      </w:r>
      <w:r w:rsidR="00280212">
        <w:rPr>
          <w:rFonts w:ascii="Times" w:eastAsia="Times New Roman" w:hAnsi="Times" w:cs="Times New Roman"/>
          <w:bCs/>
          <w:sz w:val="24"/>
          <w:szCs w:val="24"/>
          <w:lang w:eastAsia="pl-PL"/>
        </w:rPr>
        <w:t>ych w ramach PROW na rachunek w </w:t>
      </w:r>
      <w:r w:rsidRPr="000F42EA">
        <w:rPr>
          <w:rFonts w:ascii="Times" w:eastAsia="Times New Roman" w:hAnsi="Times" w:cs="Times New Roman"/>
          <w:bCs/>
          <w:sz w:val="24"/>
          <w:szCs w:val="24"/>
          <w:lang w:eastAsia="pl-PL"/>
        </w:rPr>
        <w:t>spółdzielczej kasie oszczędnościowo-kredytowej.</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Times New Roman"/>
          <w:sz w:val="24"/>
          <w:szCs w:val="24"/>
          <w:lang w:eastAsia="pl-PL"/>
        </w:rPr>
      </w:pPr>
      <w:r w:rsidRPr="000F42EA">
        <w:rPr>
          <w:rFonts w:ascii="Times New Roman" w:eastAsia="Times New Roman" w:hAnsi="Times New Roman" w:cs="Arial"/>
          <w:sz w:val="24"/>
          <w:szCs w:val="20"/>
          <w:lang w:eastAsia="pl-PL"/>
        </w:rPr>
        <w:lastRenderedPageBreak/>
        <w:t xml:space="preserve">Jest to istotne z tego względu, że sprawy o przyznanie płatności w ramach systemów wsparcia bezpośredniego (dalej „płatności bezpośrednich”) oraz sprawy o przyznanie pomocy w ramach niektórych działań </w:t>
      </w:r>
      <w:r w:rsidR="00987A9F">
        <w:rPr>
          <w:rFonts w:ascii="Times New Roman" w:eastAsia="Times New Roman" w:hAnsi="Times New Roman" w:cs="Arial"/>
          <w:sz w:val="24"/>
          <w:szCs w:val="20"/>
          <w:lang w:eastAsia="pl-PL"/>
        </w:rPr>
        <w:t>PROW 2014–2020</w:t>
      </w:r>
      <w:r w:rsidR="00987A9F" w:rsidRPr="000F42EA">
        <w:rPr>
          <w:rFonts w:ascii="Times New Roman" w:eastAsia="Times New Roman" w:hAnsi="Times New Roman" w:cs="Arial"/>
          <w:sz w:val="24"/>
          <w:szCs w:val="20"/>
          <w:lang w:eastAsia="pl-PL"/>
        </w:rPr>
        <w:t xml:space="preserve"> </w:t>
      </w:r>
      <w:r w:rsidRPr="000F42EA">
        <w:rPr>
          <w:rFonts w:ascii="Times New Roman" w:eastAsia="Times New Roman" w:hAnsi="Times New Roman" w:cs="Arial"/>
          <w:sz w:val="24"/>
          <w:szCs w:val="20"/>
          <w:lang w:eastAsia="pl-PL"/>
        </w:rPr>
        <w:t xml:space="preserve">(tzw. działań obszarowych </w:t>
      </w:r>
      <w:r w:rsidR="004A2D4B">
        <w:rPr>
          <w:rFonts w:ascii="Times New Roman" w:eastAsia="Times New Roman" w:hAnsi="Times New Roman" w:cs="Arial"/>
          <w:sz w:val="24"/>
          <w:szCs w:val="20"/>
          <w:lang w:eastAsia="pl-PL"/>
        </w:rPr>
        <w:t>–</w:t>
      </w:r>
      <w:r w:rsidRPr="000F42EA">
        <w:rPr>
          <w:rFonts w:ascii="Times New Roman" w:eastAsia="Times New Roman" w:hAnsi="Times New Roman" w:cs="Arial"/>
          <w:sz w:val="24"/>
          <w:szCs w:val="20"/>
          <w:lang w:eastAsia="pl-PL"/>
        </w:rPr>
        <w:t xml:space="preserve"> posługując się nomenklaturą stosowaną w przepisach Unii Europejskiej) mogą być rozstrzygnięte jedną decyzją administracyjną. W </w:t>
      </w:r>
      <w:r w:rsidR="00987A9F">
        <w:rPr>
          <w:rFonts w:ascii="Times New Roman" w:eastAsia="Times New Roman" w:hAnsi="Times New Roman" w:cs="Arial"/>
          <w:sz w:val="24"/>
          <w:szCs w:val="20"/>
          <w:lang w:eastAsia="pl-PL"/>
        </w:rPr>
        <w:t>praktyce</w:t>
      </w:r>
      <w:r w:rsidRPr="000F42EA">
        <w:rPr>
          <w:rFonts w:ascii="Times New Roman" w:eastAsia="Times New Roman" w:hAnsi="Times New Roman" w:cs="Arial"/>
          <w:sz w:val="24"/>
          <w:szCs w:val="20"/>
          <w:lang w:eastAsia="pl-PL"/>
        </w:rPr>
        <w:t xml:space="preserve"> całe postępowanie w sprawie o przyznanie pomocy w</w:t>
      </w:r>
      <w:r w:rsidR="0063669E">
        <w:rPr>
          <w:rFonts w:ascii="Times New Roman" w:eastAsia="Times New Roman" w:hAnsi="Times New Roman" w:cs="Arial"/>
          <w:sz w:val="24"/>
          <w:szCs w:val="20"/>
          <w:lang w:eastAsia="pl-PL"/>
        </w:rPr>
        <w:t xml:space="preserve"> </w:t>
      </w:r>
      <w:r w:rsidRPr="000F42EA">
        <w:rPr>
          <w:rFonts w:ascii="Times New Roman" w:eastAsia="Times New Roman" w:hAnsi="Times New Roman" w:cs="Arial"/>
          <w:sz w:val="24"/>
          <w:szCs w:val="20"/>
          <w:lang w:eastAsia="pl-PL"/>
        </w:rPr>
        <w:t xml:space="preserve">ramach takich działań oraz w sprawie o przyznanie płatności bezpośrednich toczy się według takich samych reguł, </w:t>
      </w:r>
      <w:r w:rsidR="00280212">
        <w:rPr>
          <w:rFonts w:ascii="Times New Roman" w:eastAsia="Times New Roman" w:hAnsi="Times New Roman" w:cs="Arial"/>
          <w:sz w:val="24"/>
          <w:szCs w:val="20"/>
          <w:lang w:eastAsia="pl-PL"/>
        </w:rPr>
        <w:t>począwszy od tego, że wniosek o </w:t>
      </w:r>
      <w:r w:rsidRPr="000F42EA">
        <w:rPr>
          <w:rFonts w:ascii="Times New Roman" w:eastAsia="Times New Roman" w:hAnsi="Times New Roman" w:cs="Arial"/>
          <w:sz w:val="24"/>
          <w:szCs w:val="20"/>
          <w:lang w:eastAsia="pl-PL"/>
        </w:rPr>
        <w:t xml:space="preserve">przyznanie tej pomocy oraz tych płatności jest składany na jednym formularzu. </w:t>
      </w:r>
      <w:r w:rsidRPr="000F42EA">
        <w:rPr>
          <w:rFonts w:ascii="Times" w:eastAsia="Times New Roman" w:hAnsi="Times" w:cs="Times New Roman"/>
          <w:bCs/>
          <w:sz w:val="24"/>
          <w:szCs w:val="24"/>
          <w:lang w:eastAsia="pl-PL"/>
        </w:rPr>
        <w:t xml:space="preserve">Powyższe działania oraz systemy wsparcia bezpośredniego </w:t>
      </w:r>
      <w:r w:rsidR="00987A9F" w:rsidRPr="000F42EA">
        <w:rPr>
          <w:rFonts w:ascii="Times" w:eastAsia="Times New Roman" w:hAnsi="Times" w:cs="Times New Roman"/>
          <w:bCs/>
          <w:sz w:val="24"/>
          <w:szCs w:val="24"/>
          <w:lang w:eastAsia="pl-PL"/>
        </w:rPr>
        <w:t xml:space="preserve">są </w:t>
      </w:r>
      <w:r w:rsidRPr="000F42EA">
        <w:rPr>
          <w:rFonts w:ascii="Times" w:eastAsia="Times New Roman" w:hAnsi="Times" w:cs="Times New Roman"/>
          <w:bCs/>
          <w:sz w:val="24"/>
          <w:szCs w:val="24"/>
          <w:lang w:eastAsia="pl-PL"/>
        </w:rPr>
        <w:t xml:space="preserve">objęte zintegrowanym systemem zarządzania i kontroli, którego obowiązek ustanowienia spoczywa na państwie członkowskim Unii Europejskiej (art. 67 ust. 1 i 2 rozporządzenia </w:t>
      </w:r>
      <w:r w:rsidR="00C35BC4">
        <w:rPr>
          <w:rFonts w:ascii="Times" w:eastAsia="Times New Roman" w:hAnsi="Times" w:cs="Times New Roman"/>
          <w:bCs/>
          <w:sz w:val="24"/>
          <w:szCs w:val="24"/>
          <w:lang w:eastAsia="pl-PL"/>
        </w:rPr>
        <w:t xml:space="preserve">Parlamentu Europejskiego i Rady (UE) </w:t>
      </w:r>
      <w:r w:rsidRPr="000F42EA">
        <w:rPr>
          <w:rFonts w:ascii="Times" w:eastAsia="Times New Roman" w:hAnsi="Times" w:cs="Times New Roman"/>
          <w:bCs/>
          <w:sz w:val="24"/>
          <w:szCs w:val="24"/>
          <w:lang w:eastAsia="pl-PL"/>
        </w:rPr>
        <w:t>nr 1306/2013</w:t>
      </w:r>
      <w:r w:rsidR="00C35BC4">
        <w:rPr>
          <w:rFonts w:ascii="Times" w:eastAsia="Times New Roman" w:hAnsi="Times" w:cs="Times New Roman"/>
          <w:bCs/>
          <w:sz w:val="24"/>
          <w:szCs w:val="24"/>
          <w:lang w:eastAsia="pl-PL"/>
        </w:rPr>
        <w:t xml:space="preserve"> z dnia 17 grudnia 2013 r. w sprawie finansowania wspólnej polityki rolnej, zarządzania nią i monitorowania jej oraz uchylającego rozporządzenie Rady (EWG) nr 352/78, (WE) nr 165/94, (WE) nr</w:t>
      </w:r>
      <w:r w:rsidR="00280212">
        <w:rPr>
          <w:rFonts w:ascii="Times" w:eastAsia="Times New Roman" w:hAnsi="Times" w:cs="Times New Roman"/>
          <w:bCs/>
          <w:sz w:val="24"/>
          <w:szCs w:val="24"/>
          <w:lang w:eastAsia="pl-PL"/>
        </w:rPr>
        <w:t> </w:t>
      </w:r>
      <w:r w:rsidR="00C35BC4">
        <w:rPr>
          <w:rFonts w:ascii="Times" w:eastAsia="Times New Roman" w:hAnsi="Times" w:cs="Times New Roman"/>
          <w:bCs/>
          <w:sz w:val="24"/>
          <w:szCs w:val="24"/>
          <w:lang w:eastAsia="pl-PL"/>
        </w:rPr>
        <w:t>2799/98, (WE) nr 814/200, (WE) nr 1290/2005</w:t>
      </w:r>
      <w:r w:rsidR="00B31EA3">
        <w:rPr>
          <w:rFonts w:ascii="Times" w:eastAsia="Times New Roman" w:hAnsi="Times" w:cs="Times New Roman"/>
          <w:bCs/>
          <w:sz w:val="24"/>
          <w:szCs w:val="24"/>
          <w:lang w:eastAsia="pl-PL"/>
        </w:rPr>
        <w:t xml:space="preserve"> i</w:t>
      </w:r>
      <w:r w:rsidR="00C35BC4">
        <w:rPr>
          <w:rFonts w:ascii="Times" w:eastAsia="Times New Roman" w:hAnsi="Times" w:cs="Times New Roman"/>
          <w:bCs/>
          <w:sz w:val="24"/>
          <w:szCs w:val="24"/>
          <w:lang w:eastAsia="pl-PL"/>
        </w:rPr>
        <w:t xml:space="preserve"> (WE) nr 485/2008 (Dz. Urz. UE L 347 z 20.12.2013, str. 549, z późn. zm.</w:t>
      </w:r>
      <w:r w:rsidRPr="000F42EA">
        <w:rPr>
          <w:rFonts w:ascii="Times" w:eastAsia="Times New Roman" w:hAnsi="Times" w:cs="Times New Roman"/>
          <w:bCs/>
          <w:sz w:val="24"/>
          <w:szCs w:val="24"/>
          <w:lang w:eastAsia="pl-PL"/>
        </w:rPr>
        <w:t xml:space="preserve">). Sprawy dotyczące przyznania wsparcia </w:t>
      </w:r>
      <w:r w:rsidRPr="000F42EA">
        <w:rPr>
          <w:rFonts w:ascii="Times New Roman" w:eastAsia="Times New Roman" w:hAnsi="Times New Roman" w:cs="Times New Roman"/>
          <w:bCs/>
          <w:sz w:val="24"/>
          <w:szCs w:val="24"/>
          <w:lang w:eastAsia="pl-PL"/>
        </w:rPr>
        <w:t xml:space="preserve">mogą być rozstrzygnięte jedną decyzją administracyjną. </w:t>
      </w:r>
      <w:r w:rsidRPr="000F42EA">
        <w:rPr>
          <w:rFonts w:ascii="Times" w:eastAsia="Times New Roman" w:hAnsi="Times" w:cs="Times New Roman"/>
          <w:bCs/>
          <w:sz w:val="24"/>
          <w:szCs w:val="24"/>
          <w:lang w:eastAsia="pl-PL"/>
        </w:rPr>
        <w:t>Z tych względów należy ujednolicić także przepisy mówiące o sposobie dokonania płatności i zezwolić na dokonywanie tych płatności zarówno na rachunki banko</w:t>
      </w:r>
      <w:r w:rsidR="00280212">
        <w:rPr>
          <w:rFonts w:ascii="Times" w:eastAsia="Times New Roman" w:hAnsi="Times" w:cs="Times New Roman"/>
          <w:bCs/>
          <w:sz w:val="24"/>
          <w:szCs w:val="24"/>
          <w:lang w:eastAsia="pl-PL"/>
        </w:rPr>
        <w:t>we, jak i rachunki prowadzone w </w:t>
      </w:r>
      <w:r w:rsidRPr="000F42EA">
        <w:rPr>
          <w:rFonts w:ascii="Times" w:eastAsia="Times New Roman" w:hAnsi="Times" w:cs="Times New Roman"/>
          <w:bCs/>
          <w:sz w:val="24"/>
          <w:szCs w:val="24"/>
          <w:lang w:eastAsia="pl-PL"/>
        </w:rPr>
        <w:t>spółdzielczych kasach oszczędnościowo</w:t>
      </w:r>
      <w:r w:rsidR="00C35BC4">
        <w:rPr>
          <w:rFonts w:ascii="Times" w:eastAsia="Times New Roman" w:hAnsi="Times" w:cs="Times New Roman"/>
          <w:bCs/>
          <w:sz w:val="24"/>
          <w:szCs w:val="24"/>
          <w:lang w:eastAsia="pl-PL"/>
        </w:rPr>
        <w:t>-</w:t>
      </w:r>
      <w:r w:rsidRPr="000F42EA">
        <w:rPr>
          <w:rFonts w:ascii="Times" w:eastAsia="Times New Roman" w:hAnsi="Times" w:cs="Times New Roman"/>
          <w:bCs/>
          <w:sz w:val="24"/>
          <w:szCs w:val="24"/>
          <w:lang w:eastAsia="pl-PL"/>
        </w:rPr>
        <w:t>kredytowych.</w:t>
      </w:r>
      <w:r w:rsidRPr="000F42EA">
        <w:rPr>
          <w:rFonts w:ascii="Times" w:eastAsia="Times New Roman" w:hAnsi="Times" w:cs="Times New Roman"/>
          <w:sz w:val="24"/>
          <w:szCs w:val="24"/>
          <w:lang w:eastAsia="pl-PL"/>
        </w:rPr>
        <w:t xml:space="preserve"> Jednocześnie proponuje się, aby zmieniane przepisy umożliwiające </w:t>
      </w:r>
      <w:r w:rsidRPr="000F42EA">
        <w:rPr>
          <w:rFonts w:ascii="Times" w:eastAsia="Times New Roman" w:hAnsi="Times" w:cs="Times New Roman"/>
          <w:bCs/>
          <w:sz w:val="24"/>
          <w:szCs w:val="24"/>
          <w:lang w:eastAsia="pl-PL"/>
        </w:rPr>
        <w:t>dokonywanie płatności na rachunki prowadzone w spółdzielczych kasach oszczędnościowo</w:t>
      </w:r>
      <w:r w:rsidR="00C35BC4">
        <w:rPr>
          <w:rFonts w:ascii="Times" w:eastAsia="Times New Roman" w:hAnsi="Times" w:cs="Times New Roman"/>
          <w:bCs/>
          <w:sz w:val="24"/>
          <w:szCs w:val="24"/>
          <w:lang w:eastAsia="pl-PL"/>
        </w:rPr>
        <w:t>-</w:t>
      </w:r>
      <w:r w:rsidRPr="000F42EA">
        <w:rPr>
          <w:rFonts w:ascii="Times" w:eastAsia="Times New Roman" w:hAnsi="Times" w:cs="Times New Roman"/>
          <w:bCs/>
          <w:sz w:val="24"/>
          <w:szCs w:val="24"/>
          <w:lang w:eastAsia="pl-PL"/>
        </w:rPr>
        <w:t>k</w:t>
      </w:r>
      <w:r w:rsidR="00280212">
        <w:rPr>
          <w:rFonts w:ascii="Times" w:eastAsia="Times New Roman" w:hAnsi="Times" w:cs="Times New Roman"/>
          <w:bCs/>
          <w:sz w:val="24"/>
          <w:szCs w:val="24"/>
          <w:lang w:eastAsia="pl-PL"/>
        </w:rPr>
        <w:t>redytowych obowiązywały także w </w:t>
      </w:r>
      <w:r w:rsidRPr="000F42EA">
        <w:rPr>
          <w:rFonts w:ascii="Times" w:eastAsia="Times New Roman" w:hAnsi="Times" w:cs="Arial"/>
          <w:sz w:val="24"/>
          <w:szCs w:val="20"/>
          <w:lang w:eastAsia="pl-PL"/>
        </w:rPr>
        <w:t>sprawach objętych postępowaniami wszczętymi i niezakończonymi przed dniem wejścia w życie projektowanej ustawy, tj. tak, aby umożliwić wszystkim beneficjentom skorzystanie z tej możliwości od dnia wejścia w</w:t>
      </w:r>
      <w:r w:rsidR="0063669E">
        <w:rPr>
          <w:rFonts w:ascii="Times" w:eastAsia="Times New Roman" w:hAnsi="Times" w:cs="Arial"/>
          <w:sz w:val="24"/>
          <w:szCs w:val="20"/>
          <w:lang w:eastAsia="pl-PL"/>
        </w:rPr>
        <w:t xml:space="preserve"> </w:t>
      </w:r>
      <w:r w:rsidRPr="000F42EA">
        <w:rPr>
          <w:rFonts w:ascii="Times" w:eastAsia="Times New Roman" w:hAnsi="Times" w:cs="Arial"/>
          <w:sz w:val="24"/>
          <w:szCs w:val="20"/>
          <w:lang w:eastAsia="pl-PL"/>
        </w:rPr>
        <w:t>życie projektowanej ustawy (a</w:t>
      </w:r>
      <w:r w:rsidR="00280212">
        <w:rPr>
          <w:rFonts w:ascii="Times" w:eastAsia="Times New Roman" w:hAnsi="Times" w:cs="Times New Roman"/>
          <w:sz w:val="24"/>
          <w:szCs w:val="24"/>
          <w:lang w:eastAsia="pl-PL"/>
        </w:rPr>
        <w:t>rt. 12 pkt </w:t>
      </w:r>
      <w:r w:rsidRPr="000F42EA">
        <w:rPr>
          <w:rFonts w:ascii="Times" w:eastAsia="Times New Roman" w:hAnsi="Times" w:cs="Times New Roman"/>
          <w:sz w:val="24"/>
          <w:szCs w:val="24"/>
          <w:lang w:eastAsia="pl-PL"/>
        </w:rPr>
        <w:t>1 projektu ustawy).</w:t>
      </w:r>
    </w:p>
    <w:p w:rsidR="000F42EA" w:rsidRPr="000F42EA" w:rsidRDefault="000F42EA" w:rsidP="0063669E">
      <w:pPr>
        <w:suppressAutoHyphens/>
        <w:autoSpaceDE w:val="0"/>
        <w:autoSpaceDN w:val="0"/>
        <w:adjustRightInd w:val="0"/>
        <w:spacing w:before="120" w:after="0" w:line="360" w:lineRule="auto"/>
        <w:jc w:val="both"/>
        <w:rPr>
          <w:rFonts w:ascii="Times New Roman" w:eastAsia="Times New Roman" w:hAnsi="Times New Roman" w:cs="Arial"/>
          <w:sz w:val="24"/>
          <w:szCs w:val="20"/>
          <w:lang w:eastAsia="pl-PL"/>
        </w:rPr>
      </w:pPr>
      <w:r w:rsidRPr="000F42EA">
        <w:rPr>
          <w:rFonts w:ascii="Times" w:eastAsia="Times New Roman" w:hAnsi="Times" w:cs="Arial"/>
          <w:sz w:val="24"/>
          <w:szCs w:val="20"/>
          <w:lang w:eastAsia="pl-PL"/>
        </w:rPr>
        <w:t>Zmiana ustawy</w:t>
      </w:r>
      <w:r w:rsidR="00C35BC4">
        <w:rPr>
          <w:rFonts w:ascii="Times" w:eastAsia="Times New Roman" w:hAnsi="Times" w:cs="Arial"/>
          <w:sz w:val="24"/>
          <w:szCs w:val="20"/>
          <w:lang w:eastAsia="pl-PL"/>
        </w:rPr>
        <w:t xml:space="preserve"> PROW 2014–2020</w:t>
      </w:r>
      <w:r w:rsidRPr="000F42EA">
        <w:rPr>
          <w:rFonts w:ascii="Times" w:eastAsia="Times New Roman" w:hAnsi="Times" w:cs="Arial"/>
          <w:sz w:val="24"/>
          <w:szCs w:val="20"/>
          <w:lang w:eastAsia="pl-PL"/>
        </w:rPr>
        <w:t>, zaproponowana w art. 1 pkt 16</w:t>
      </w:r>
      <w:r w:rsidR="00C35BC4">
        <w:rPr>
          <w:rFonts w:ascii="Times" w:eastAsia="Times New Roman" w:hAnsi="Times" w:cs="Arial"/>
          <w:sz w:val="24"/>
          <w:szCs w:val="20"/>
          <w:lang w:eastAsia="pl-PL"/>
        </w:rPr>
        <w:t xml:space="preserve"> projektu ustawy</w:t>
      </w:r>
      <w:r w:rsidRPr="000F42EA">
        <w:rPr>
          <w:rFonts w:ascii="Times" w:eastAsia="Times New Roman" w:hAnsi="Times" w:cs="Arial"/>
          <w:sz w:val="24"/>
          <w:szCs w:val="20"/>
          <w:lang w:eastAsia="pl-PL"/>
        </w:rPr>
        <w:t xml:space="preserve">, powoduje konieczność dostosowania brzmienia art. 41a ust. 1 </w:t>
      </w:r>
      <w:r w:rsidRPr="000F42EA">
        <w:rPr>
          <w:rFonts w:ascii="Times" w:eastAsia="Times New Roman" w:hAnsi="Times" w:cs="Times New Roman"/>
          <w:bCs/>
          <w:sz w:val="24"/>
          <w:szCs w:val="24"/>
          <w:lang w:eastAsia="pl-PL"/>
        </w:rPr>
        <w:t xml:space="preserve">ustawy </w:t>
      </w:r>
      <w:r w:rsidR="00C35BC4">
        <w:rPr>
          <w:rFonts w:ascii="Times" w:eastAsia="Times New Roman" w:hAnsi="Times" w:cs="Times New Roman"/>
          <w:bCs/>
          <w:sz w:val="24"/>
          <w:szCs w:val="24"/>
          <w:lang w:eastAsia="pl-PL"/>
        </w:rPr>
        <w:t xml:space="preserve">z dnia 5 lutego 2015 r. </w:t>
      </w:r>
      <w:r w:rsidRPr="000F42EA">
        <w:rPr>
          <w:rFonts w:ascii="Times" w:eastAsia="Times New Roman" w:hAnsi="Times" w:cs="Arial"/>
          <w:sz w:val="24"/>
          <w:szCs w:val="20"/>
          <w:lang w:eastAsia="pl-PL"/>
        </w:rPr>
        <w:t>o płatnościach</w:t>
      </w:r>
      <w:r w:rsidR="0063669E">
        <w:rPr>
          <w:rFonts w:ascii="Times" w:eastAsia="Times New Roman" w:hAnsi="Times" w:cs="Arial"/>
          <w:sz w:val="24"/>
          <w:szCs w:val="20"/>
          <w:lang w:eastAsia="pl-PL"/>
        </w:rPr>
        <w:t xml:space="preserve"> </w:t>
      </w:r>
      <w:r w:rsidRPr="000F42EA">
        <w:rPr>
          <w:rFonts w:ascii="Times" w:eastAsia="Times New Roman" w:hAnsi="Times" w:cs="Arial"/>
          <w:sz w:val="24"/>
          <w:szCs w:val="20"/>
          <w:lang w:eastAsia="pl-PL"/>
        </w:rPr>
        <w:t xml:space="preserve">w ramach systemów wsparcia bezpośredniego w celu zapewnienia jednolitości. Zapewnienie spójnego brzmienia obu przepisów jest szczególnie istotne w związku z tym, że płatności bezpośrednie i obszarowe w ramach PROW </w:t>
      </w:r>
      <w:r w:rsidR="00C35BC4">
        <w:rPr>
          <w:rFonts w:ascii="Times" w:eastAsia="Times New Roman" w:hAnsi="Times" w:cs="Arial"/>
          <w:sz w:val="24"/>
          <w:szCs w:val="20"/>
          <w:lang w:eastAsia="pl-PL"/>
        </w:rPr>
        <w:t xml:space="preserve">2014–2020 </w:t>
      </w:r>
      <w:r w:rsidRPr="000F42EA">
        <w:rPr>
          <w:rFonts w:ascii="Times" w:eastAsia="Times New Roman" w:hAnsi="Times" w:cs="Arial"/>
          <w:sz w:val="24"/>
          <w:szCs w:val="20"/>
          <w:lang w:eastAsia="pl-PL"/>
        </w:rPr>
        <w:t xml:space="preserve">mogą być przyznawane w jednej decyzji administracyjnej. </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lastRenderedPageBreak/>
        <w:t>Zmiany zaproponowane w art. 6 projektowanej ustawy dotyczą instytucji protestu (procedury odwoławczej), określonej w art. 22 ustawy RLKS, mającej zastosowanie</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do wsparcia, o którym mowa w art. 35 ust. 1 lit. b rozporządzenia nr 13</w:t>
      </w:r>
      <w:r w:rsidR="00280212">
        <w:rPr>
          <w:rFonts w:ascii="Times" w:eastAsia="Times New Roman" w:hAnsi="Times" w:cs="Arial"/>
          <w:bCs/>
          <w:sz w:val="24"/>
          <w:szCs w:val="20"/>
          <w:lang w:eastAsia="pl-PL"/>
        </w:rPr>
        <w:t>03/2013, tj. </w:t>
      </w:r>
      <w:r w:rsidRPr="000F42EA">
        <w:rPr>
          <w:rFonts w:ascii="Times" w:eastAsia="Times New Roman" w:hAnsi="Times" w:cs="Arial"/>
          <w:bCs/>
          <w:sz w:val="24"/>
          <w:szCs w:val="20"/>
          <w:lang w:eastAsia="pl-PL"/>
        </w:rPr>
        <w:t>m.in.</w:t>
      </w:r>
      <w:r w:rsidR="00280212">
        <w:rPr>
          <w:rFonts w:ascii="Times" w:eastAsia="Times New Roman" w:hAnsi="Times" w:cs="Arial"/>
          <w:bCs/>
          <w:sz w:val="24"/>
          <w:szCs w:val="20"/>
          <w:lang w:eastAsia="pl-PL"/>
        </w:rPr>
        <w:t> </w:t>
      </w:r>
      <w:r w:rsidRPr="000F42EA">
        <w:rPr>
          <w:rFonts w:ascii="Times" w:eastAsia="Times New Roman" w:hAnsi="Times" w:cs="Arial"/>
          <w:bCs/>
          <w:sz w:val="24"/>
          <w:szCs w:val="20"/>
          <w:lang w:eastAsia="pl-PL"/>
        </w:rPr>
        <w:t>do pomocy udzielanej w ramach poddziałania „Wsparcie na wdrażanie operacji</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w ramach strategii rozwoju lokalnego kierowanego przez społeczność”. Art</w:t>
      </w:r>
      <w:r w:rsidR="00C35BC4">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22 ust. 1 ustawy RLKS w obecnym brzmieniu wskazuje przypadki, kiedy wnioskodawcy przysługuje prawo wniesienia protestu. Prawo to przysługuje jeśli operacja: uzyskała negatywną ocenę zgodności z lokalną strategią rozwoju (art. 22 ust. 1 pkt 1),</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nie uzyskała minimalnej liczby punktów, o której mowa w art. 19 ust. 4 pkt 2</w:t>
      </w:r>
      <w:r w:rsidR="0063669E">
        <w:rPr>
          <w:rFonts w:ascii="Times" w:eastAsia="Times New Roman" w:hAnsi="Times" w:cs="Arial"/>
          <w:bCs/>
          <w:sz w:val="24"/>
          <w:szCs w:val="20"/>
          <w:lang w:eastAsia="pl-PL"/>
        </w:rPr>
        <w:t xml:space="preserve"> </w:t>
      </w:r>
      <w:r w:rsidR="00280212">
        <w:rPr>
          <w:rFonts w:ascii="Times" w:eastAsia="Times New Roman" w:hAnsi="Times" w:cs="Arial"/>
          <w:bCs/>
          <w:sz w:val="24"/>
          <w:szCs w:val="20"/>
          <w:lang w:eastAsia="pl-PL"/>
        </w:rPr>
        <w:t>lit. b, tj. w </w:t>
      </w:r>
      <w:r w:rsidRPr="000F42EA">
        <w:rPr>
          <w:rFonts w:ascii="Times" w:eastAsia="Times New Roman" w:hAnsi="Times" w:cs="Arial"/>
          <w:bCs/>
          <w:sz w:val="24"/>
          <w:szCs w:val="20"/>
          <w:lang w:eastAsia="pl-PL"/>
        </w:rPr>
        <w:t>ramach oceny spełniania kryteriów wyboru (art. 22 ust. 1 pkt 2) albo w dniu przekazania przez LGD wniosków o udzielanie wsparci</w:t>
      </w:r>
      <w:r w:rsidR="00280212">
        <w:rPr>
          <w:rFonts w:ascii="Times" w:eastAsia="Times New Roman" w:hAnsi="Times" w:cs="Arial"/>
          <w:bCs/>
          <w:sz w:val="24"/>
          <w:szCs w:val="20"/>
          <w:lang w:eastAsia="pl-PL"/>
        </w:rPr>
        <w:t>a, o którym mowa w art. 35 ust. </w:t>
      </w:r>
      <w:r w:rsidRPr="000F42EA">
        <w:rPr>
          <w:rFonts w:ascii="Times" w:eastAsia="Times New Roman" w:hAnsi="Times" w:cs="Arial"/>
          <w:bCs/>
          <w:sz w:val="24"/>
          <w:szCs w:val="20"/>
          <w:lang w:eastAsia="pl-PL"/>
        </w:rPr>
        <w:t>1</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lit. b rozporządzenia nr 1303/2013, do zarzą</w:t>
      </w:r>
      <w:r w:rsidR="00280212">
        <w:rPr>
          <w:rFonts w:ascii="Times" w:eastAsia="Times New Roman" w:hAnsi="Times" w:cs="Arial"/>
          <w:bCs/>
          <w:sz w:val="24"/>
          <w:szCs w:val="20"/>
          <w:lang w:eastAsia="pl-PL"/>
        </w:rPr>
        <w:t>du województwa nie mieści się w </w:t>
      </w:r>
      <w:r w:rsidRPr="000F42EA">
        <w:rPr>
          <w:rFonts w:ascii="Times" w:eastAsia="Times New Roman" w:hAnsi="Times" w:cs="Arial"/>
          <w:bCs/>
          <w:sz w:val="24"/>
          <w:szCs w:val="20"/>
          <w:lang w:eastAsia="pl-PL"/>
        </w:rPr>
        <w:t>limicie środków wskazanym w ogłoszeniu o naborze tych wniosków (art. 22 ust. 1 pkt 3).</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Oznacza to, że od rozstrzygnięć LGD w zakresie pozostałych elementów,</w:t>
      </w:r>
      <w:r w:rsidR="0063669E">
        <w:rPr>
          <w:rFonts w:ascii="Times" w:eastAsia="Times New Roman" w:hAnsi="Times" w:cs="Arial"/>
          <w:bCs/>
          <w:sz w:val="24"/>
          <w:szCs w:val="20"/>
          <w:lang w:eastAsia="pl-PL"/>
        </w:rPr>
        <w:t xml:space="preserve"> </w:t>
      </w:r>
      <w:r w:rsidR="00280212">
        <w:rPr>
          <w:rFonts w:ascii="Times" w:eastAsia="Times New Roman" w:hAnsi="Times" w:cs="Arial"/>
          <w:bCs/>
          <w:sz w:val="24"/>
          <w:szCs w:val="20"/>
          <w:lang w:eastAsia="pl-PL"/>
        </w:rPr>
        <w:t>tj.: terminu i </w:t>
      </w:r>
      <w:r w:rsidRPr="000F42EA">
        <w:rPr>
          <w:rFonts w:ascii="Times" w:eastAsia="Times New Roman" w:hAnsi="Times" w:cs="Arial"/>
          <w:bCs/>
          <w:sz w:val="24"/>
          <w:szCs w:val="20"/>
          <w:lang w:eastAsia="pl-PL"/>
        </w:rPr>
        <w:t>miejsca składania wniosków (art. 19 ust. 4 pkt 1 lit. a), formy wsparcia</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(art. 19 ust. 4 pkt 1 lit. b), zakresu tematycznego operacji (art. 19 ust. 4 pkt 1 lit. c) oraz warunków udzielenia wsparcia (art. 19 ust. 4 pkt 2 lit. a), protest nie przysługuje</w:t>
      </w:r>
      <w:r w:rsidR="00C35BC4">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choć negatywne rozstrzygnięcia w tym zakresie de facto prowadzą do tego, że operacja nie jest wybrana. Zgodnie z dotychczasowym brzmieniem art. 22 ustawy RLKS protest również nie przysługuje w sytuacji ustalenia kwoty wsparcia na poziomie niższym niż wnioskowana,</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a to również jest sytuacja, w której wnioskodawca powinien mieć prawo kontroli rozstrzygnięcia LGD.</w:t>
      </w:r>
    </w:p>
    <w:p w:rsidR="00C35BC4"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 xml:space="preserve">Projektowane zmiany w art. 21 i </w:t>
      </w:r>
      <w:r w:rsidR="00C35BC4">
        <w:rPr>
          <w:rFonts w:ascii="Times" w:eastAsia="Times New Roman" w:hAnsi="Times" w:cs="Arial"/>
          <w:bCs/>
          <w:sz w:val="24"/>
          <w:szCs w:val="20"/>
          <w:lang w:eastAsia="pl-PL"/>
        </w:rPr>
        <w:t xml:space="preserve">art. </w:t>
      </w:r>
      <w:r w:rsidRPr="000F42EA">
        <w:rPr>
          <w:rFonts w:ascii="Times" w:eastAsia="Times New Roman" w:hAnsi="Times" w:cs="Arial"/>
          <w:bCs/>
          <w:sz w:val="24"/>
          <w:szCs w:val="20"/>
          <w:lang w:eastAsia="pl-PL"/>
        </w:rPr>
        <w:t xml:space="preserve">22 </w:t>
      </w:r>
      <w:r w:rsidR="00C35BC4">
        <w:rPr>
          <w:rFonts w:ascii="Times" w:eastAsia="Times New Roman" w:hAnsi="Times" w:cs="Arial"/>
          <w:bCs/>
          <w:sz w:val="24"/>
          <w:szCs w:val="20"/>
          <w:lang w:eastAsia="pl-PL"/>
        </w:rPr>
        <w:t xml:space="preserve">ustawy RLKS </w:t>
      </w:r>
      <w:r w:rsidRPr="000F42EA">
        <w:rPr>
          <w:rFonts w:ascii="Times" w:eastAsia="Times New Roman" w:hAnsi="Times" w:cs="Arial"/>
          <w:bCs/>
          <w:sz w:val="24"/>
          <w:szCs w:val="20"/>
          <w:lang w:eastAsia="pl-PL"/>
        </w:rPr>
        <w:t>sprawią, że protest przysługiwać będzie w</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przypadku każdego rozstrzygnięcia LGD dotyczącego wniosku o udzielenie wsparcia, niekorzystnego dla wnioskodawcy.</w:t>
      </w:r>
      <w:r w:rsidR="00280212">
        <w:rPr>
          <w:rFonts w:ascii="Times" w:eastAsia="Times New Roman" w:hAnsi="Times" w:cs="Arial"/>
          <w:bCs/>
          <w:sz w:val="24"/>
          <w:szCs w:val="20"/>
          <w:lang w:eastAsia="pl-PL"/>
        </w:rPr>
        <w:t xml:space="preserve"> Zmiany spowodują kompleksowe i </w:t>
      </w:r>
      <w:r w:rsidRPr="000F42EA">
        <w:rPr>
          <w:rFonts w:ascii="Times" w:eastAsia="Times New Roman" w:hAnsi="Times" w:cs="Arial"/>
          <w:bCs/>
          <w:sz w:val="24"/>
          <w:szCs w:val="20"/>
          <w:lang w:eastAsia="pl-PL"/>
        </w:rPr>
        <w:t>całościowe uregulowanie zasad post</w:t>
      </w:r>
      <w:r w:rsidR="00067E7C">
        <w:rPr>
          <w:rFonts w:ascii="Times" w:eastAsia="Times New Roman" w:hAnsi="Times" w:cs="Arial"/>
          <w:bCs/>
          <w:sz w:val="24"/>
          <w:szCs w:val="20"/>
          <w:lang w:eastAsia="pl-PL"/>
        </w:rPr>
        <w:t>ę</w:t>
      </w:r>
      <w:r w:rsidRPr="000F42EA">
        <w:rPr>
          <w:rFonts w:ascii="Times" w:eastAsia="Times New Roman" w:hAnsi="Times" w:cs="Arial"/>
          <w:bCs/>
          <w:sz w:val="24"/>
          <w:szCs w:val="20"/>
          <w:lang w:eastAsia="pl-PL"/>
        </w:rPr>
        <w:t>powania LGD w zakresie wyboru operacji</w:t>
      </w:r>
      <w:r w:rsidR="00C35BC4">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co jest konieczne do prawidłowego przyznawania pomocy w ramach PROW 2014</w:t>
      </w:r>
      <w:r w:rsidRPr="000F42EA">
        <w:rPr>
          <w:rFonts w:ascii="Times" w:eastAsia="Times New Roman" w:hAnsi="Times" w:cs="Arial"/>
          <w:bCs/>
          <w:sz w:val="24"/>
          <w:szCs w:val="20"/>
          <w:lang w:eastAsia="pl-PL"/>
        </w:rPr>
        <w:sym w:font="Symbol" w:char="F02D"/>
      </w:r>
      <w:r w:rsidRPr="000F42EA">
        <w:rPr>
          <w:rFonts w:ascii="Times" w:eastAsia="Times New Roman" w:hAnsi="Times" w:cs="Arial"/>
          <w:bCs/>
          <w:sz w:val="24"/>
          <w:szCs w:val="20"/>
          <w:lang w:eastAsia="pl-PL"/>
        </w:rPr>
        <w:t xml:space="preserve">2020. </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 xml:space="preserve">Dodatkowo proponuje się dodać pkt 2a w art. 22 ust. 8 do zmienianej ustawy o </w:t>
      </w:r>
      <w:r w:rsidR="00C35BC4">
        <w:rPr>
          <w:rFonts w:ascii="Times" w:eastAsia="Times New Roman" w:hAnsi="Times" w:cs="Arial"/>
          <w:bCs/>
          <w:sz w:val="24"/>
          <w:szCs w:val="20"/>
          <w:lang w:eastAsia="pl-PL"/>
        </w:rPr>
        <w:t>RLKS</w:t>
      </w:r>
      <w:r w:rsidRPr="000F42EA">
        <w:rPr>
          <w:rFonts w:ascii="Times" w:eastAsia="Times New Roman" w:hAnsi="Times" w:cs="Arial"/>
          <w:bCs/>
          <w:sz w:val="24"/>
          <w:szCs w:val="20"/>
          <w:lang w:eastAsia="pl-PL"/>
        </w:rPr>
        <w:t xml:space="preserve">, który jasno wskazywał będzie, że art. 60 ustawy </w:t>
      </w:r>
      <w:r w:rsidR="00C35BC4">
        <w:rPr>
          <w:rFonts w:ascii="Times" w:eastAsia="Times New Roman" w:hAnsi="Times" w:cs="Arial"/>
          <w:bCs/>
          <w:sz w:val="24"/>
          <w:szCs w:val="20"/>
          <w:lang w:eastAsia="pl-PL"/>
        </w:rPr>
        <w:t xml:space="preserve">z dnia 11 lipca 2014 r. </w:t>
      </w:r>
      <w:r w:rsidRPr="000F42EA">
        <w:rPr>
          <w:rFonts w:ascii="Times" w:eastAsia="Times New Roman" w:hAnsi="Times" w:cs="Arial"/>
          <w:bCs/>
          <w:sz w:val="24"/>
          <w:szCs w:val="20"/>
          <w:lang w:eastAsia="pl-PL"/>
        </w:rPr>
        <w:t>o zasadach realizacji programów w zakresie polityki spójności finansowanych</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 xml:space="preserve">w perspektywie finansowej 2014–2020 (oraz art. 24 § 1 Kodeksu postępowania administracyjnego) </w:t>
      </w:r>
      <w:r w:rsidRPr="000F42EA">
        <w:rPr>
          <w:rFonts w:ascii="Times" w:eastAsia="Times New Roman" w:hAnsi="Times" w:cs="Arial"/>
          <w:bCs/>
          <w:sz w:val="24"/>
          <w:szCs w:val="20"/>
          <w:lang w:eastAsia="pl-PL"/>
        </w:rPr>
        <w:lastRenderedPageBreak/>
        <w:t xml:space="preserve">stosuje się odpowiednio do postępowania wszczętego </w:t>
      </w:r>
      <w:r w:rsidR="00280212">
        <w:rPr>
          <w:rFonts w:ascii="Times" w:eastAsia="Times New Roman" w:hAnsi="Times" w:cs="Arial"/>
          <w:bCs/>
          <w:sz w:val="24"/>
          <w:szCs w:val="20"/>
          <w:lang w:eastAsia="pl-PL"/>
        </w:rPr>
        <w:t>na skutek wniesienia protestu w </w:t>
      </w:r>
      <w:r w:rsidRPr="000F42EA">
        <w:rPr>
          <w:rFonts w:ascii="Times" w:eastAsia="Times New Roman" w:hAnsi="Times" w:cs="Arial"/>
          <w:bCs/>
          <w:sz w:val="24"/>
          <w:szCs w:val="20"/>
          <w:lang w:eastAsia="pl-PL"/>
        </w:rPr>
        <w:t>takim zakresie, który nie wyklucza dokonywanie czynności</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na poziomie LGD przez te same osoby, które dokonały pierwotnego wyboru operacji.</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W przeciwnym wypadku udział LGD w postępowaniu wszczętym na skutek wniesienia protestu naruszałby reguły podejmowania decyzji przez LGD określone w prz</w:t>
      </w:r>
      <w:r w:rsidR="00280212">
        <w:rPr>
          <w:rFonts w:ascii="Times" w:eastAsia="Times New Roman" w:hAnsi="Times" w:cs="Arial"/>
          <w:bCs/>
          <w:sz w:val="24"/>
          <w:szCs w:val="20"/>
          <w:lang w:eastAsia="pl-PL"/>
        </w:rPr>
        <w:t>episach art. 32 ust. 2 lit. b i </w:t>
      </w:r>
      <w:r w:rsidRPr="000F42EA">
        <w:rPr>
          <w:rFonts w:ascii="Times" w:eastAsia="Times New Roman" w:hAnsi="Times" w:cs="Arial"/>
          <w:bCs/>
          <w:sz w:val="24"/>
          <w:szCs w:val="20"/>
          <w:lang w:eastAsia="pl-PL"/>
        </w:rPr>
        <w:t>art. 34 ust. 3 lit. b rozporządzenia nr 1303/2013.</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 xml:space="preserve">Ponadto zmieniana ustawa </w:t>
      </w:r>
      <w:r w:rsidR="009F0FE6">
        <w:rPr>
          <w:rFonts w:ascii="Times" w:eastAsia="Times New Roman" w:hAnsi="Times" w:cs="Arial"/>
          <w:bCs/>
          <w:sz w:val="24"/>
          <w:szCs w:val="20"/>
          <w:lang w:eastAsia="pl-PL"/>
        </w:rPr>
        <w:t xml:space="preserve">RLKS </w:t>
      </w:r>
      <w:r w:rsidRPr="000F42EA">
        <w:rPr>
          <w:rFonts w:ascii="Times" w:eastAsia="Times New Roman" w:hAnsi="Times" w:cs="Arial"/>
          <w:bCs/>
          <w:sz w:val="24"/>
          <w:szCs w:val="20"/>
          <w:lang w:eastAsia="pl-PL"/>
        </w:rPr>
        <w:t>w art. 23 zawiera m.in. przepisy określające termin przekazania zarządowi województwa przez LGD wniosków o udzielenie wsparcia wybranych w ramach przeprowadzonego konkursu, tryb i termin uzupełnienia tej dokumentacji oraz termin wykonania przez wnioskodawc</w:t>
      </w:r>
      <w:r w:rsidR="00280212">
        <w:rPr>
          <w:rFonts w:ascii="Times" w:eastAsia="Times New Roman" w:hAnsi="Times" w:cs="Arial"/>
          <w:bCs/>
          <w:sz w:val="24"/>
          <w:szCs w:val="20"/>
          <w:lang w:eastAsia="pl-PL"/>
        </w:rPr>
        <w:t>ę określonych czynności w </w:t>
      </w:r>
      <w:r w:rsidRPr="000F42EA">
        <w:rPr>
          <w:rFonts w:ascii="Times" w:eastAsia="Times New Roman" w:hAnsi="Times" w:cs="Arial"/>
          <w:bCs/>
          <w:sz w:val="24"/>
          <w:szCs w:val="20"/>
          <w:lang w:eastAsia="pl-PL"/>
        </w:rPr>
        <w:t>toku postępowania</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w sprawie przyznania pomocy, a także termin i tryb wzywania do usunięcia braków</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lub oczywistych omyłek w złożonych wnioskach o udzielenie wsparcia. Z uwagi</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na brzmienie ust. 1 i 2 art. 23 zmienianej ustawy</w:t>
      </w:r>
      <w:r w:rsidR="009F0FE6">
        <w:rPr>
          <w:rFonts w:ascii="Times" w:eastAsia="Times New Roman" w:hAnsi="Times" w:cs="Arial"/>
          <w:bCs/>
          <w:sz w:val="24"/>
          <w:szCs w:val="20"/>
          <w:lang w:eastAsia="pl-PL"/>
        </w:rPr>
        <w:t xml:space="preserve"> o RLKS</w:t>
      </w:r>
      <w:r w:rsidRPr="000F42EA">
        <w:rPr>
          <w:rFonts w:ascii="Times" w:eastAsia="Times New Roman" w:hAnsi="Times" w:cs="Arial"/>
          <w:bCs/>
          <w:sz w:val="24"/>
          <w:szCs w:val="20"/>
          <w:lang w:eastAsia="pl-PL"/>
        </w:rPr>
        <w:t>, w których mowa o przekazywaniu wniosków o udzielenie wsparcia w ramach operacji realizowanych przez podmioty inne niż LGD, mogłyby powstać wątpliwości, czy regulacje zawarte w ust. 3</w:t>
      </w:r>
      <w:r w:rsidRPr="000F42EA">
        <w:rPr>
          <w:rFonts w:ascii="Times" w:eastAsia="Times New Roman" w:hAnsi="Times" w:cs="Arial"/>
          <w:bCs/>
          <w:sz w:val="24"/>
          <w:szCs w:val="20"/>
          <w:lang w:eastAsia="pl-PL"/>
        </w:rPr>
        <w:sym w:font="Symbol" w:char="F02D"/>
      </w:r>
      <w:r w:rsidRPr="000F42EA">
        <w:rPr>
          <w:rFonts w:ascii="Times" w:eastAsia="Times New Roman" w:hAnsi="Times" w:cs="Arial"/>
          <w:bCs/>
          <w:sz w:val="24"/>
          <w:szCs w:val="20"/>
          <w:lang w:eastAsia="pl-PL"/>
        </w:rPr>
        <w:t>6 tego artykułu dotyczą wyłącznie operacji realizowanych przez podmioty inne niż LGD, gdyż to wnioski</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o przyznanie pomocy w tzw. „klasycznej ścieżce” składane są do LGD, która po dokonaniu wyboru operacji przekazuje je do właściwego zarządu województwa, czy również operacji własnych LGD i projektów grantowych, w ramach których wnioski o przyznanie pomocy LGD składa się bezpośrednio do zarządu województwa. Aby uniknąć wątpliwości w tym zakresie proponuje się doprecyzowanie tej kwestii przez jednoznaczne wskazanie,</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że regulacje zawarte w ust. 3</w:t>
      </w:r>
      <w:r w:rsidRPr="000F42EA">
        <w:rPr>
          <w:rFonts w:ascii="Times" w:eastAsia="Times New Roman" w:hAnsi="Times" w:cs="Arial"/>
          <w:bCs/>
          <w:sz w:val="24"/>
          <w:szCs w:val="20"/>
          <w:lang w:eastAsia="pl-PL"/>
        </w:rPr>
        <w:sym w:font="Symbol" w:char="F02D"/>
      </w:r>
      <w:r w:rsidRPr="000F42EA">
        <w:rPr>
          <w:rFonts w:ascii="Times" w:eastAsia="Times New Roman" w:hAnsi="Times" w:cs="Arial"/>
          <w:bCs/>
          <w:sz w:val="24"/>
          <w:szCs w:val="20"/>
          <w:lang w:eastAsia="pl-PL"/>
        </w:rPr>
        <w:t xml:space="preserve">6 dotyczą także projektów grantowych i operacji własnych LGD, co znalazło odzwierciedlenie w art. </w:t>
      </w:r>
      <w:r w:rsidR="009F0FE6">
        <w:rPr>
          <w:rFonts w:ascii="Times" w:eastAsia="Times New Roman" w:hAnsi="Times" w:cs="Arial"/>
          <w:bCs/>
          <w:sz w:val="24"/>
          <w:szCs w:val="20"/>
          <w:lang w:eastAsia="pl-PL"/>
        </w:rPr>
        <w:t>6</w:t>
      </w:r>
      <w:r w:rsidRPr="000F42EA">
        <w:rPr>
          <w:rFonts w:ascii="Times" w:eastAsia="Times New Roman" w:hAnsi="Times" w:cs="Arial"/>
          <w:bCs/>
          <w:sz w:val="24"/>
          <w:szCs w:val="20"/>
          <w:lang w:eastAsia="pl-PL"/>
        </w:rPr>
        <w:t xml:space="preserve"> pkt 3 projektowanej ustawy.</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Art. 7 projektowanej ustawy zawiera przepis przejściowy dotyczący zmiany zaproponowanej w art. 1 pkt 3 projektowanej ustawy i stanowi o terminie</w:t>
      </w:r>
      <w:r w:rsidR="009F0FE6">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w jakim kierownik biura powiatowego ARiMR przekazuje Krajowej Stacji Chemiczno</w:t>
      </w:r>
      <w:r w:rsidR="004A2D4B">
        <w:rPr>
          <w:rFonts w:ascii="Times" w:eastAsia="Times New Roman" w:hAnsi="Times" w:cs="Arial"/>
          <w:bCs/>
          <w:sz w:val="24"/>
          <w:szCs w:val="20"/>
          <w:lang w:eastAsia="pl-PL"/>
        </w:rPr>
        <w:t>-</w:t>
      </w:r>
      <w:r w:rsidR="004A2D4B">
        <w:rPr>
          <w:rFonts w:ascii="Times" w:eastAsia="Times New Roman" w:hAnsi="Times" w:cs="Arial"/>
          <w:bCs/>
          <w:sz w:val="24"/>
          <w:szCs w:val="20"/>
          <w:lang w:eastAsia="pl-PL"/>
        </w:rPr>
        <w:br/>
      </w:r>
      <w:r w:rsidRPr="000F42EA">
        <w:rPr>
          <w:rFonts w:ascii="Times" w:eastAsia="Times New Roman" w:hAnsi="Times" w:cs="Arial"/>
          <w:bCs/>
          <w:sz w:val="24"/>
          <w:szCs w:val="20"/>
          <w:lang w:eastAsia="pl-PL"/>
        </w:rPr>
        <w:t>-Rolniczej kopie dokumentów zawierających wyniki ana</w:t>
      </w:r>
      <w:r w:rsidR="00280212">
        <w:rPr>
          <w:rFonts w:ascii="Times" w:eastAsia="Times New Roman" w:hAnsi="Times" w:cs="Arial"/>
          <w:bCs/>
          <w:sz w:val="24"/>
          <w:szCs w:val="20"/>
          <w:lang w:eastAsia="pl-PL"/>
        </w:rPr>
        <w:t>lizy gleby i kopie oświadczeń o </w:t>
      </w:r>
      <w:r w:rsidRPr="000F42EA">
        <w:rPr>
          <w:rFonts w:ascii="Times" w:eastAsia="Times New Roman" w:hAnsi="Times" w:cs="Arial"/>
          <w:bCs/>
          <w:sz w:val="24"/>
          <w:szCs w:val="20"/>
          <w:lang w:eastAsia="pl-PL"/>
        </w:rPr>
        <w:t xml:space="preserve">działkach rolnych, których dotyczą wyniki tej analizy, które zostały złożone w 2015 r. i 2016 r. przez rolników ubiegających się o przyznanie płatności w ramach działania </w:t>
      </w:r>
      <w:r w:rsidR="009F0FE6">
        <w:rPr>
          <w:rFonts w:ascii="Times" w:eastAsia="Times New Roman" w:hAnsi="Times" w:cs="Arial"/>
          <w:bCs/>
          <w:sz w:val="24"/>
          <w:szCs w:val="20"/>
          <w:lang w:eastAsia="pl-PL"/>
        </w:rPr>
        <w:t xml:space="preserve">„Działanie </w:t>
      </w:r>
      <w:r w:rsidRPr="000F42EA">
        <w:rPr>
          <w:rFonts w:ascii="Times" w:eastAsia="Times New Roman" w:hAnsi="Times" w:cs="Arial"/>
          <w:bCs/>
          <w:sz w:val="24"/>
          <w:szCs w:val="20"/>
          <w:lang w:eastAsia="pl-PL"/>
        </w:rPr>
        <w:t>rolno-środowiskowo-klimatyczne</w:t>
      </w:r>
      <w:r w:rsidR="001911C6">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lastRenderedPageBreak/>
        <w:t>Art. 8 projektowanej ustawy zawiera przepis przejściowy dotyczący zmiany zaproponowanej w art. 1 pkt 8 projektowanej ustawy i określa reguły dotyczące właściwości w odniesieniu do post</w:t>
      </w:r>
      <w:r w:rsidR="009F0FE6">
        <w:rPr>
          <w:rFonts w:ascii="Times" w:eastAsia="Times New Roman" w:hAnsi="Times" w:cs="Arial"/>
          <w:bCs/>
          <w:sz w:val="24"/>
          <w:szCs w:val="20"/>
          <w:lang w:eastAsia="pl-PL"/>
        </w:rPr>
        <w:t>ę</w:t>
      </w:r>
      <w:r w:rsidRPr="000F42EA">
        <w:rPr>
          <w:rFonts w:ascii="Times" w:eastAsia="Times New Roman" w:hAnsi="Times" w:cs="Arial"/>
          <w:bCs/>
          <w:sz w:val="24"/>
          <w:szCs w:val="20"/>
          <w:lang w:eastAsia="pl-PL"/>
        </w:rPr>
        <w:t>powań nadzwyczajnych, tj. który organ (kierownik biura powiatowego</w:t>
      </w:r>
      <w:r w:rsidR="009F0FE6">
        <w:rPr>
          <w:rFonts w:ascii="Times" w:eastAsia="Times New Roman" w:hAnsi="Times" w:cs="Arial"/>
          <w:bCs/>
          <w:sz w:val="24"/>
          <w:szCs w:val="20"/>
          <w:lang w:eastAsia="pl-PL"/>
        </w:rPr>
        <w:t xml:space="preserve"> ARiMR</w:t>
      </w:r>
      <w:r w:rsidRPr="000F42EA">
        <w:rPr>
          <w:rFonts w:ascii="Times" w:eastAsia="Times New Roman" w:hAnsi="Times" w:cs="Arial"/>
          <w:bCs/>
          <w:sz w:val="24"/>
          <w:szCs w:val="20"/>
          <w:lang w:eastAsia="pl-PL"/>
        </w:rPr>
        <w:t xml:space="preserve"> czy dyrektor oddziału regionalnego</w:t>
      </w:r>
      <w:r w:rsidR="009F0FE6">
        <w:rPr>
          <w:rFonts w:ascii="Times" w:eastAsia="Times New Roman" w:hAnsi="Times" w:cs="Arial"/>
          <w:bCs/>
          <w:sz w:val="24"/>
          <w:szCs w:val="20"/>
          <w:lang w:eastAsia="pl-PL"/>
        </w:rPr>
        <w:t xml:space="preserve"> ARiMR</w:t>
      </w:r>
      <w:r w:rsidRPr="000F42EA">
        <w:rPr>
          <w:rFonts w:ascii="Times" w:eastAsia="Times New Roman" w:hAnsi="Times" w:cs="Arial"/>
          <w:bCs/>
          <w:sz w:val="24"/>
          <w:szCs w:val="20"/>
          <w:lang w:eastAsia="pl-PL"/>
        </w:rPr>
        <w:t>) jest właściwy do prowadzenia spraw wszczętych</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 xml:space="preserve">i niezakończonych ostateczną decyzją przed dniem wejścia w życie </w:t>
      </w:r>
      <w:r w:rsidR="009F0FE6">
        <w:rPr>
          <w:rFonts w:ascii="Times" w:eastAsia="Times New Roman" w:hAnsi="Times" w:cs="Arial"/>
          <w:bCs/>
          <w:sz w:val="24"/>
          <w:szCs w:val="20"/>
          <w:lang w:eastAsia="pl-PL"/>
        </w:rPr>
        <w:t xml:space="preserve">niniejszej </w:t>
      </w:r>
      <w:r w:rsidRPr="000F42EA">
        <w:rPr>
          <w:rFonts w:ascii="Times" w:eastAsia="Times New Roman" w:hAnsi="Times" w:cs="Arial"/>
          <w:bCs/>
          <w:sz w:val="24"/>
          <w:szCs w:val="20"/>
          <w:lang w:eastAsia="pl-PL"/>
        </w:rPr>
        <w:t>ustawy, do uchylenia, zmi</w:t>
      </w:r>
      <w:r w:rsidR="00280212">
        <w:rPr>
          <w:rFonts w:ascii="Times" w:eastAsia="Times New Roman" w:hAnsi="Times" w:cs="Arial"/>
          <w:bCs/>
          <w:sz w:val="24"/>
          <w:szCs w:val="20"/>
          <w:lang w:eastAsia="pl-PL"/>
        </w:rPr>
        <w:t>any, stwierdzenia nieważności i </w:t>
      </w:r>
      <w:r w:rsidRPr="000F42EA">
        <w:rPr>
          <w:rFonts w:ascii="Times" w:eastAsia="Times New Roman" w:hAnsi="Times" w:cs="Arial"/>
          <w:bCs/>
          <w:sz w:val="24"/>
          <w:szCs w:val="20"/>
          <w:lang w:eastAsia="pl-PL"/>
        </w:rPr>
        <w:t>wznowienia postępowania w sprawach, które zostały zakończone ostateczną decyzją, która została wydana na podstawie dotychczasowych przepisów. Przepis określa również kwestię przekazania dyrektorowi akt spraw, które dotychczas prowadził kierownik, oraz postępowanie w przypadku odwołań od decyzji w</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sprawie dotyczącej pomocy.</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Art. 9 projektowanej ustawy zawiera przepis przejściowy stanowiący, że przepisów</w:t>
      </w:r>
      <w:r w:rsidR="0063669E">
        <w:rPr>
          <w:rFonts w:ascii="Times" w:eastAsia="Times New Roman" w:hAnsi="Times" w:cs="Arial"/>
          <w:bCs/>
          <w:sz w:val="24"/>
          <w:szCs w:val="20"/>
          <w:lang w:eastAsia="pl-PL"/>
        </w:rPr>
        <w:t xml:space="preserve"> </w:t>
      </w:r>
      <w:r w:rsidR="00280212">
        <w:rPr>
          <w:rFonts w:ascii="Times" w:eastAsia="Times New Roman" w:hAnsi="Times" w:cs="Arial"/>
          <w:bCs/>
          <w:sz w:val="24"/>
          <w:szCs w:val="20"/>
          <w:lang w:eastAsia="pl-PL"/>
        </w:rPr>
        <w:t>art. </w:t>
      </w:r>
      <w:r w:rsidRPr="000F42EA">
        <w:rPr>
          <w:rFonts w:ascii="Times" w:eastAsia="Times New Roman" w:hAnsi="Times" w:cs="Arial"/>
          <w:bCs/>
          <w:sz w:val="24"/>
          <w:szCs w:val="20"/>
          <w:lang w:eastAsia="pl-PL"/>
        </w:rPr>
        <w:t xml:space="preserve">43a </w:t>
      </w:r>
      <w:r w:rsidR="009F0FE6">
        <w:rPr>
          <w:rFonts w:ascii="Times" w:eastAsia="Times New Roman" w:hAnsi="Times" w:cs="Arial"/>
          <w:bCs/>
          <w:sz w:val="24"/>
          <w:szCs w:val="20"/>
          <w:lang w:eastAsia="pl-PL"/>
        </w:rPr>
        <w:t xml:space="preserve">ustawy PROW 2014–2020 </w:t>
      </w:r>
      <w:r w:rsidRPr="000F42EA">
        <w:rPr>
          <w:rFonts w:ascii="Times" w:eastAsia="Times New Roman" w:hAnsi="Times" w:cs="Arial"/>
          <w:bCs/>
          <w:sz w:val="24"/>
          <w:szCs w:val="20"/>
          <w:lang w:eastAsia="pl-PL"/>
        </w:rPr>
        <w:t>dotyczących trybu konkurencyjnego wyboru wykonawców nie stosuje się do ponoszenia kosztów kwalifikowalnych objętych umowami o przyznaniu pomocy lub pomocy technicznej zawartymi przed dniem wejścia w życie niniejszej ustawy, a w przypadku podmiotów obowiązanych do stosowania przepisów o zamówieniach publicznych – również do kosztów kwalifikowalnych objętych umowami o przyznaniu pomocy lub pomocy technicznej zawartymi po dniu wejścia w życie</w:t>
      </w:r>
      <w:r w:rsidR="009F0FE6">
        <w:rPr>
          <w:rFonts w:ascii="Times" w:eastAsia="Times New Roman" w:hAnsi="Times" w:cs="Arial"/>
          <w:bCs/>
          <w:sz w:val="24"/>
          <w:szCs w:val="20"/>
          <w:lang w:eastAsia="pl-PL"/>
        </w:rPr>
        <w:t xml:space="preserve"> niniejszej</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 xml:space="preserve">ustawy, jeżeli przed dniem </w:t>
      </w:r>
      <w:r w:rsidR="009F0FE6">
        <w:rPr>
          <w:rFonts w:ascii="Times" w:eastAsia="Times New Roman" w:hAnsi="Times" w:cs="Arial"/>
          <w:bCs/>
          <w:sz w:val="24"/>
          <w:szCs w:val="20"/>
          <w:lang w:eastAsia="pl-PL"/>
        </w:rPr>
        <w:t xml:space="preserve">jej </w:t>
      </w:r>
      <w:r w:rsidRPr="000F42EA">
        <w:rPr>
          <w:rFonts w:ascii="Times" w:eastAsia="Times New Roman" w:hAnsi="Times" w:cs="Arial"/>
          <w:bCs/>
          <w:sz w:val="24"/>
          <w:szCs w:val="20"/>
          <w:lang w:eastAsia="pl-PL"/>
        </w:rPr>
        <w:t>wej</w:t>
      </w:r>
      <w:r w:rsidR="00280212">
        <w:rPr>
          <w:rFonts w:ascii="Times" w:eastAsia="Times New Roman" w:hAnsi="Times" w:cs="Arial"/>
          <w:bCs/>
          <w:sz w:val="24"/>
          <w:szCs w:val="20"/>
          <w:lang w:eastAsia="pl-PL"/>
        </w:rPr>
        <w:t>ścia w </w:t>
      </w:r>
      <w:r w:rsidRPr="000F42EA">
        <w:rPr>
          <w:rFonts w:ascii="Times" w:eastAsia="Times New Roman" w:hAnsi="Times" w:cs="Arial"/>
          <w:bCs/>
          <w:sz w:val="24"/>
          <w:szCs w:val="20"/>
          <w:lang w:eastAsia="pl-PL"/>
        </w:rPr>
        <w:t>życie zapytanie ofertowe dotyczące udzielania zamówienia publicznego obejmującego te koszty zostało przekazane do wykona</w:t>
      </w:r>
      <w:r w:rsidR="00280212">
        <w:rPr>
          <w:rFonts w:ascii="Times" w:eastAsia="Times New Roman" w:hAnsi="Times" w:cs="Arial"/>
          <w:bCs/>
          <w:sz w:val="24"/>
          <w:szCs w:val="20"/>
          <w:lang w:eastAsia="pl-PL"/>
        </w:rPr>
        <w:t>wcy lub zostało upublicznione w </w:t>
      </w:r>
      <w:r w:rsidRPr="000F42EA">
        <w:rPr>
          <w:rFonts w:ascii="Times" w:eastAsia="Times New Roman" w:hAnsi="Times" w:cs="Arial"/>
          <w:bCs/>
          <w:sz w:val="24"/>
          <w:szCs w:val="20"/>
          <w:lang w:eastAsia="pl-PL"/>
        </w:rPr>
        <w:t xml:space="preserve">inny sposób lub została zawarta umowa o udzielenie zamówienia publicznego obejmującego te koszty. </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Ponadto w związku z tym, że na podstawie art. 57h ust. 2</w:t>
      </w:r>
      <w:r w:rsidR="009F0FE6">
        <w:rPr>
          <w:rFonts w:ascii="Times" w:eastAsia="Times New Roman" w:hAnsi="Times" w:cs="Arial"/>
          <w:bCs/>
          <w:sz w:val="24"/>
          <w:szCs w:val="20"/>
          <w:lang w:eastAsia="pl-PL"/>
        </w:rPr>
        <w:t xml:space="preserve"> ustawy PROW 2014–2020</w:t>
      </w:r>
      <w:r w:rsidRPr="000F42EA">
        <w:rPr>
          <w:rFonts w:ascii="Times" w:eastAsia="Times New Roman" w:hAnsi="Times" w:cs="Arial"/>
          <w:bCs/>
          <w:sz w:val="24"/>
          <w:szCs w:val="20"/>
          <w:lang w:eastAsia="pl-PL"/>
        </w:rPr>
        <w:t>, przepisy art. 43a ust. 2</w:t>
      </w:r>
      <w:r w:rsidRPr="000F42EA">
        <w:rPr>
          <w:rFonts w:ascii="Times" w:eastAsia="Times New Roman" w:hAnsi="Times" w:cs="Arial"/>
          <w:bCs/>
          <w:sz w:val="24"/>
          <w:szCs w:val="20"/>
          <w:lang w:eastAsia="pl-PL"/>
        </w:rPr>
        <w:sym w:font="Symbol" w:char="F02D"/>
      </w:r>
      <w:r w:rsidRPr="000F42EA">
        <w:rPr>
          <w:rFonts w:ascii="Times" w:eastAsia="Times New Roman" w:hAnsi="Times" w:cs="Arial"/>
          <w:bCs/>
          <w:sz w:val="24"/>
          <w:szCs w:val="20"/>
          <w:lang w:eastAsia="pl-PL"/>
        </w:rPr>
        <w:t>5</w:t>
      </w:r>
      <w:r w:rsidR="009F0FE6">
        <w:rPr>
          <w:rFonts w:ascii="Times" w:eastAsia="Times New Roman" w:hAnsi="Times" w:cs="Arial"/>
          <w:bCs/>
          <w:sz w:val="24"/>
          <w:szCs w:val="20"/>
          <w:lang w:eastAsia="pl-PL"/>
        </w:rPr>
        <w:t xml:space="preserve"> tej ustawy</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 xml:space="preserve">i </w:t>
      </w:r>
      <w:r w:rsidR="009F0FE6">
        <w:rPr>
          <w:rFonts w:ascii="Times" w:eastAsia="Times New Roman" w:hAnsi="Times" w:cs="Arial"/>
          <w:bCs/>
          <w:sz w:val="24"/>
          <w:szCs w:val="20"/>
          <w:lang w:eastAsia="pl-PL"/>
        </w:rPr>
        <w:t xml:space="preserve">przepisy </w:t>
      </w:r>
      <w:r w:rsidRPr="000F42EA">
        <w:rPr>
          <w:rFonts w:ascii="Times" w:eastAsia="Times New Roman" w:hAnsi="Times" w:cs="Arial"/>
          <w:bCs/>
          <w:sz w:val="24"/>
          <w:szCs w:val="20"/>
          <w:lang w:eastAsia="pl-PL"/>
        </w:rPr>
        <w:t xml:space="preserve">wydane na podstawie art. 43a ust. 6 </w:t>
      </w:r>
      <w:r w:rsidR="009F0FE6">
        <w:rPr>
          <w:rFonts w:ascii="Times" w:eastAsia="Times New Roman" w:hAnsi="Times" w:cs="Arial"/>
          <w:bCs/>
          <w:sz w:val="24"/>
          <w:szCs w:val="20"/>
          <w:lang w:eastAsia="pl-PL"/>
        </w:rPr>
        <w:t xml:space="preserve">tej ustawy </w:t>
      </w:r>
      <w:r w:rsidRPr="000F42EA">
        <w:rPr>
          <w:rFonts w:ascii="Times" w:eastAsia="Times New Roman" w:hAnsi="Times" w:cs="Arial"/>
          <w:bCs/>
          <w:sz w:val="24"/>
          <w:szCs w:val="20"/>
          <w:lang w:eastAsia="pl-PL"/>
        </w:rPr>
        <w:t>stosuje się odpowiednio do kosztów ponoszonych przez partnerów KSOW na realizację operacji w ramach dwuletniego planu operacyj</w:t>
      </w:r>
      <w:r w:rsidR="00280212">
        <w:rPr>
          <w:rFonts w:ascii="Times" w:eastAsia="Times New Roman" w:hAnsi="Times" w:cs="Arial"/>
          <w:bCs/>
          <w:sz w:val="24"/>
          <w:szCs w:val="20"/>
          <w:lang w:eastAsia="pl-PL"/>
        </w:rPr>
        <w:t>nego, który ponosi je zgodnie z </w:t>
      </w:r>
      <w:r w:rsidRPr="000F42EA">
        <w:rPr>
          <w:rFonts w:ascii="Times" w:eastAsia="Times New Roman" w:hAnsi="Times" w:cs="Arial"/>
          <w:bCs/>
          <w:sz w:val="24"/>
          <w:szCs w:val="20"/>
          <w:lang w:eastAsia="pl-PL"/>
        </w:rPr>
        <w:t>art. 43a ust. 1</w:t>
      </w:r>
      <w:r w:rsidR="009F0FE6">
        <w:rPr>
          <w:rFonts w:ascii="Times" w:eastAsia="Times New Roman" w:hAnsi="Times" w:cs="Arial"/>
          <w:bCs/>
          <w:sz w:val="24"/>
          <w:szCs w:val="20"/>
          <w:lang w:eastAsia="pl-PL"/>
        </w:rPr>
        <w:t xml:space="preserve"> tej ustawy</w:t>
      </w:r>
      <w:r w:rsidRPr="000F42EA">
        <w:rPr>
          <w:rFonts w:ascii="Times" w:eastAsia="Times New Roman" w:hAnsi="Times" w:cs="Arial"/>
          <w:bCs/>
          <w:sz w:val="24"/>
          <w:szCs w:val="20"/>
          <w:lang w:eastAsia="pl-PL"/>
        </w:rPr>
        <w:t xml:space="preserve">, w art. </w:t>
      </w:r>
      <w:r w:rsidR="009F0FE6">
        <w:rPr>
          <w:rFonts w:ascii="Times" w:eastAsia="Times New Roman" w:hAnsi="Times" w:cs="Arial"/>
          <w:bCs/>
          <w:sz w:val="24"/>
          <w:szCs w:val="20"/>
          <w:lang w:eastAsia="pl-PL"/>
        </w:rPr>
        <w:t>9</w:t>
      </w:r>
      <w:r w:rsidRPr="000F42EA">
        <w:rPr>
          <w:rFonts w:ascii="Times" w:eastAsia="Times New Roman" w:hAnsi="Times" w:cs="Arial"/>
          <w:bCs/>
          <w:sz w:val="24"/>
          <w:szCs w:val="20"/>
          <w:lang w:eastAsia="pl-PL"/>
        </w:rPr>
        <w:t xml:space="preserve"> projektowanej ustawy wprowadzono ust. 2 pkt 1 zawierający przepis przejściowy dotyczący kosztów ponoszonych przez partnerów KSOW</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na realizację operacji w ramach dwuletniego planu operacyjnego. Zgodnie z</w:t>
      </w:r>
      <w:r w:rsidR="00280212">
        <w:rPr>
          <w:rFonts w:ascii="Times" w:eastAsia="Times New Roman" w:hAnsi="Times" w:cs="Arial"/>
          <w:bCs/>
          <w:sz w:val="24"/>
          <w:szCs w:val="20"/>
          <w:lang w:eastAsia="pl-PL"/>
        </w:rPr>
        <w:t> </w:t>
      </w:r>
      <w:r w:rsidRPr="000F42EA">
        <w:rPr>
          <w:rFonts w:ascii="Times" w:eastAsia="Times New Roman" w:hAnsi="Times" w:cs="Arial"/>
          <w:bCs/>
          <w:sz w:val="24"/>
          <w:szCs w:val="20"/>
          <w:lang w:eastAsia="pl-PL"/>
        </w:rPr>
        <w:t>nim, przepisów</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 xml:space="preserve">art. 43a nie stosuje się do kosztów objętych umową na realizację operacji partnera KSOW zawartą przed dniem wejścia </w:t>
      </w:r>
      <w:r w:rsidR="00280212">
        <w:rPr>
          <w:rFonts w:ascii="Times" w:eastAsia="Times New Roman" w:hAnsi="Times" w:cs="Arial"/>
          <w:bCs/>
          <w:sz w:val="24"/>
          <w:szCs w:val="20"/>
          <w:lang w:eastAsia="pl-PL"/>
        </w:rPr>
        <w:t>w życie projektowanej ustawy, a </w:t>
      </w:r>
      <w:r w:rsidRPr="000F42EA">
        <w:rPr>
          <w:rFonts w:ascii="Times" w:eastAsia="Times New Roman" w:hAnsi="Times" w:cs="Arial"/>
          <w:bCs/>
          <w:sz w:val="24"/>
          <w:szCs w:val="20"/>
          <w:lang w:eastAsia="pl-PL"/>
        </w:rPr>
        <w:t>w przypadku partnerów KSOW obowiąz</w:t>
      </w:r>
      <w:r w:rsidR="00280212">
        <w:rPr>
          <w:rFonts w:ascii="Times" w:eastAsia="Times New Roman" w:hAnsi="Times" w:cs="Arial"/>
          <w:bCs/>
          <w:sz w:val="24"/>
          <w:szCs w:val="20"/>
          <w:lang w:eastAsia="pl-PL"/>
        </w:rPr>
        <w:t xml:space="preserve">anych do stosowania przepisów </w:t>
      </w:r>
      <w:r w:rsidR="00280212">
        <w:rPr>
          <w:rFonts w:ascii="Times" w:eastAsia="Times New Roman" w:hAnsi="Times" w:cs="Arial"/>
          <w:bCs/>
          <w:sz w:val="24"/>
          <w:szCs w:val="20"/>
          <w:lang w:eastAsia="pl-PL"/>
        </w:rPr>
        <w:lastRenderedPageBreak/>
        <w:t>o </w:t>
      </w:r>
      <w:r w:rsidRPr="000F42EA">
        <w:rPr>
          <w:rFonts w:ascii="Times" w:eastAsia="Times New Roman" w:hAnsi="Times" w:cs="Arial"/>
          <w:bCs/>
          <w:sz w:val="24"/>
          <w:szCs w:val="20"/>
          <w:lang w:eastAsia="pl-PL"/>
        </w:rPr>
        <w:t>zamówieniach publicznych – również do kosztów objętych umową zawartą po dniu wejścia w życie projektowanej ustawy</w:t>
      </w:r>
      <w:r w:rsidR="009F0FE6">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jeżeli przed dniem wejścia w życie tej ustawy zapytanie ofertowe dotyczące udzielenia zamówienia publicznego obejmującego te koszty zostało przekazane do wykonawcy lub zostało upublicznione w inny sposób lub została zawarta umowa o udzielenie zamówienia publicznego obejmującego te koszty. </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 xml:space="preserve">Ponadto w związku z tym, że na podstawie art. 55 ust. 5a pkt 2 lit. b </w:t>
      </w:r>
      <w:r w:rsidR="009F0FE6">
        <w:rPr>
          <w:rFonts w:ascii="Times" w:eastAsia="Times New Roman" w:hAnsi="Times" w:cs="Arial"/>
          <w:bCs/>
          <w:sz w:val="24"/>
          <w:szCs w:val="20"/>
          <w:lang w:eastAsia="pl-PL"/>
        </w:rPr>
        <w:t xml:space="preserve">ustawy PROW 2014–2020 </w:t>
      </w:r>
      <w:r w:rsidRPr="000F42EA">
        <w:rPr>
          <w:rFonts w:ascii="Times" w:eastAsia="Times New Roman" w:hAnsi="Times" w:cs="Arial"/>
          <w:bCs/>
          <w:sz w:val="24"/>
          <w:szCs w:val="20"/>
          <w:lang w:eastAsia="pl-PL"/>
        </w:rPr>
        <w:t>fundacja, której jedynym fundatorem jest Skarb Państwa, upoważniona do pełnienia funkcji jednostki centralnej, ponosi koszty związane z pełnieniem tej funkcji zgodnie z art. 43a ust. 1</w:t>
      </w:r>
      <w:r w:rsidR="009F0FE6">
        <w:rPr>
          <w:rFonts w:ascii="Times" w:eastAsia="Times New Roman" w:hAnsi="Times" w:cs="Arial"/>
          <w:bCs/>
          <w:sz w:val="24"/>
          <w:szCs w:val="20"/>
          <w:lang w:eastAsia="pl-PL"/>
        </w:rPr>
        <w:t xml:space="preserve"> tej ustawy</w:t>
      </w:r>
      <w:r w:rsidRPr="000F42EA">
        <w:rPr>
          <w:rFonts w:ascii="Times" w:eastAsia="Times New Roman" w:hAnsi="Times" w:cs="Arial"/>
          <w:bCs/>
          <w:sz w:val="24"/>
          <w:szCs w:val="20"/>
          <w:lang w:eastAsia="pl-PL"/>
        </w:rPr>
        <w:t>, do ponoszenia których stosuje się przepisy tego artykułu określone w ust. 2</w:t>
      </w:r>
      <w:r w:rsidRPr="000F42EA">
        <w:rPr>
          <w:rFonts w:ascii="Times" w:eastAsia="Times New Roman" w:hAnsi="Times" w:cs="Arial"/>
          <w:bCs/>
          <w:sz w:val="24"/>
          <w:szCs w:val="20"/>
          <w:lang w:eastAsia="pl-PL"/>
        </w:rPr>
        <w:sym w:font="Symbol" w:char="F02D"/>
      </w:r>
      <w:r w:rsidRPr="000F42EA">
        <w:rPr>
          <w:rFonts w:ascii="Times" w:eastAsia="Times New Roman" w:hAnsi="Times" w:cs="Arial"/>
          <w:bCs/>
          <w:sz w:val="24"/>
          <w:szCs w:val="20"/>
          <w:lang w:eastAsia="pl-PL"/>
        </w:rPr>
        <w:t>5</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oraz wydane na podstawie ust. 6, w art. 9 ust. 2 projektowanej ustawy</w:t>
      </w:r>
      <w:r w:rsidR="00CA3956">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wprowadzono pkt 2 zawierający przepis przejściowy dotyczący kosztów ponoszonych w związku z pełnieniem tej funkcji przez tę funda</w:t>
      </w:r>
      <w:r w:rsidR="00280212">
        <w:rPr>
          <w:rFonts w:ascii="Times" w:eastAsia="Times New Roman" w:hAnsi="Times" w:cs="Arial"/>
          <w:bCs/>
          <w:sz w:val="24"/>
          <w:szCs w:val="20"/>
          <w:lang w:eastAsia="pl-PL"/>
        </w:rPr>
        <w:t>cję. Zgodnie z </w:t>
      </w:r>
      <w:r w:rsidRPr="000F42EA">
        <w:rPr>
          <w:rFonts w:ascii="Times" w:eastAsia="Times New Roman" w:hAnsi="Times" w:cs="Arial"/>
          <w:bCs/>
          <w:sz w:val="24"/>
          <w:szCs w:val="20"/>
          <w:lang w:eastAsia="pl-PL"/>
        </w:rPr>
        <w:t xml:space="preserve">nim, przepisów art. 43a </w:t>
      </w:r>
      <w:r w:rsidR="00905DAA">
        <w:rPr>
          <w:rFonts w:ascii="Times" w:eastAsia="Times New Roman" w:hAnsi="Times" w:cs="Arial"/>
          <w:bCs/>
          <w:sz w:val="24"/>
          <w:szCs w:val="20"/>
          <w:lang w:eastAsia="pl-PL"/>
        </w:rPr>
        <w:t xml:space="preserve">ustawy PROW 2014–2020 </w:t>
      </w:r>
      <w:r w:rsidRPr="000F42EA">
        <w:rPr>
          <w:rFonts w:ascii="Times" w:eastAsia="Times New Roman" w:hAnsi="Times" w:cs="Arial"/>
          <w:bCs/>
          <w:sz w:val="24"/>
          <w:szCs w:val="20"/>
          <w:lang w:eastAsia="pl-PL"/>
        </w:rPr>
        <w:t xml:space="preserve">nie stosuje się do kosztów objętych umową dotacji celowej udzielonej tej fundacji przez ministra właściwego do spraw rozwoju wsi, z której to dotacji </w:t>
      </w:r>
      <w:r w:rsidR="00905DAA" w:rsidRPr="000F42EA">
        <w:rPr>
          <w:rFonts w:ascii="Times" w:eastAsia="Times New Roman" w:hAnsi="Times" w:cs="Arial"/>
          <w:bCs/>
          <w:sz w:val="24"/>
          <w:szCs w:val="20"/>
          <w:lang w:eastAsia="pl-PL"/>
        </w:rPr>
        <w:t xml:space="preserve">jest </w:t>
      </w:r>
      <w:r w:rsidRPr="000F42EA">
        <w:rPr>
          <w:rFonts w:ascii="Times" w:eastAsia="Times New Roman" w:hAnsi="Times" w:cs="Arial"/>
          <w:bCs/>
          <w:sz w:val="24"/>
          <w:szCs w:val="20"/>
          <w:lang w:eastAsia="pl-PL"/>
        </w:rPr>
        <w:t xml:space="preserve">finansowana realizacja zadań jednostki centralnej, jeżeli przed dniem wejścia w życie </w:t>
      </w:r>
      <w:r w:rsidR="00905DAA">
        <w:rPr>
          <w:rFonts w:ascii="Times" w:eastAsia="Times New Roman" w:hAnsi="Times" w:cs="Arial"/>
          <w:bCs/>
          <w:sz w:val="24"/>
          <w:szCs w:val="20"/>
          <w:lang w:eastAsia="pl-PL"/>
        </w:rPr>
        <w:t>projektowanej</w:t>
      </w:r>
      <w:r w:rsidR="00905DAA" w:rsidRPr="000F42EA">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 xml:space="preserve">ustawy zapytanie ofertowe dotyczące udzielenia zamówienia publicznego obejmującego te koszty zostało przekazane do wykonawcy lub zostało upublicznione w inny sposób lub została zawarta umowa o udzielenie zamówienia publicznego obejmującego te koszty. </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Wprowadzane przepisy nie mogą zaskakiwać podmiotów, którzy są ich adresatami. Wymaga tego lojalność prawodawcy w stosunku do adresatów przepisów. Każdy podmiot powinien móc ułożyć swoje sprawy</w:t>
      </w:r>
      <w:r w:rsidR="001911C6">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mając na uwadze przepisy, które obowiązują w chwili podejmowania decyzji o tych sprawach. Wobec tego, że niektóre koszty kwalifikowalne, przede wszystkim koszty ogólne, mogą być ponoszone przed przyznaniem pomocy danemu beneficjentowi, lecz nie wcześniej niż od dnia 1 stycznia 2014 r., istnieje bardzo duże prawdopodobieństwo, że część przyszłych beneficjentów PROW 2014–2020 poniosło już koszty kwalifikowalne. Trudno wymagać, aby te koszty były poniesione zgodnie z</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wprowadzanymi projektowan</w:t>
      </w:r>
      <w:r w:rsidR="00CA3956">
        <w:rPr>
          <w:rFonts w:ascii="Times" w:eastAsia="Times New Roman" w:hAnsi="Times" w:cs="Arial"/>
          <w:bCs/>
          <w:sz w:val="24"/>
          <w:szCs w:val="20"/>
          <w:lang w:eastAsia="pl-PL"/>
        </w:rPr>
        <w:t>ą</w:t>
      </w:r>
      <w:r w:rsidRPr="000F42EA">
        <w:rPr>
          <w:rFonts w:ascii="Times" w:eastAsia="Times New Roman" w:hAnsi="Times" w:cs="Arial"/>
          <w:bCs/>
          <w:sz w:val="24"/>
          <w:szCs w:val="20"/>
          <w:lang w:eastAsia="pl-PL"/>
        </w:rPr>
        <w:t xml:space="preserve"> ustawą regułami, skoro te reguły nie były znane w chwili ponoszenia tych kosztów. Projektowany przepis stanowi gwarancję niestosowania reguł konkurencyjności do takich kosztów.</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Projekt ustawy zawiera w art. 10 przepis zobowiązujący ARiMR do uruchomienia</w:t>
      </w:r>
      <w:r w:rsidR="0063669E">
        <w:rPr>
          <w:rFonts w:ascii="Times" w:eastAsia="Times New Roman" w:hAnsi="Times" w:cs="Arial"/>
          <w:bCs/>
          <w:sz w:val="24"/>
          <w:szCs w:val="20"/>
          <w:lang w:eastAsia="pl-PL"/>
        </w:rPr>
        <w:t xml:space="preserve"> </w:t>
      </w:r>
      <w:r w:rsidR="00280212">
        <w:rPr>
          <w:rFonts w:ascii="Times" w:eastAsia="Times New Roman" w:hAnsi="Times" w:cs="Arial"/>
          <w:bCs/>
          <w:sz w:val="24"/>
          <w:szCs w:val="20"/>
          <w:lang w:eastAsia="pl-PL"/>
        </w:rPr>
        <w:t>w </w:t>
      </w:r>
      <w:r w:rsidRPr="000F42EA">
        <w:rPr>
          <w:rFonts w:ascii="Times" w:eastAsia="Times New Roman" w:hAnsi="Times" w:cs="Arial"/>
          <w:bCs/>
          <w:sz w:val="24"/>
          <w:szCs w:val="20"/>
          <w:lang w:eastAsia="pl-PL"/>
        </w:rPr>
        <w:t>terminie 2 miesięcy od dnia wejścia w życie</w:t>
      </w:r>
      <w:r w:rsidR="00905DAA">
        <w:rPr>
          <w:rFonts w:ascii="Times" w:eastAsia="Times New Roman" w:hAnsi="Times" w:cs="Arial"/>
          <w:bCs/>
          <w:sz w:val="24"/>
          <w:szCs w:val="20"/>
          <w:lang w:eastAsia="pl-PL"/>
        </w:rPr>
        <w:t xml:space="preserve"> projektowanej </w:t>
      </w:r>
      <w:r w:rsidRPr="000F42EA">
        <w:rPr>
          <w:rFonts w:ascii="Times" w:eastAsia="Times New Roman" w:hAnsi="Times" w:cs="Arial"/>
          <w:bCs/>
          <w:sz w:val="24"/>
          <w:szCs w:val="20"/>
          <w:lang w:eastAsia="pl-PL"/>
        </w:rPr>
        <w:t xml:space="preserve">ustawy, strony </w:t>
      </w:r>
      <w:r w:rsidRPr="000F42EA">
        <w:rPr>
          <w:rFonts w:ascii="Times" w:eastAsia="Times New Roman" w:hAnsi="Times" w:cs="Arial"/>
          <w:bCs/>
          <w:sz w:val="24"/>
          <w:szCs w:val="20"/>
          <w:lang w:eastAsia="pl-PL"/>
        </w:rPr>
        <w:lastRenderedPageBreak/>
        <w:t>internetowej umożliwiającej m.in. udostępnianie zapytań ofertowych w celu zapewnienia podmiotom ubiegającym się o przyznanie pomocy lub pomocy technicznej oraz beneficjentom możliwości odpowiedniego upublicznienia informacji o udzielanych zamówieniach. Informacja o adresie strony internetowej oraz dniu, od którego możliwe będzie udostępnianie na tej stronie zapytań ofertowych, zostanie podana przez Prezesa ARiMR do publicznej widomości w komunikacie, nie później niż 30 dni przed dniem umożliwienia udostępniania zapytań ofertowych.</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W projekcie ustawy wprowadzono również przepis przejściowy, mówiący, że do dnia umożliwienia udostępniania zapytań ofertowych w sposób określony w projektowanych przepisach, zapytanie ofertowe jest udostępniane różnym podmiotom przez zamieszczenie tego zapytania na stronie internetowej ubiegającego się o przyznanie pomocy lub pomocy technicznej albo beneficjenta – w przypadku gdy posiada taką stronę, oraz</w:t>
      </w:r>
      <w:r w:rsidR="00905DAA">
        <w:rPr>
          <w:rFonts w:ascii="Times" w:eastAsia="Times New Roman" w:hAnsi="Times" w:cs="Arial"/>
          <w:bCs/>
          <w:sz w:val="24"/>
          <w:szCs w:val="20"/>
          <w:lang w:eastAsia="pl-PL"/>
        </w:rPr>
        <w:t xml:space="preserve"> przez</w:t>
      </w:r>
      <w:r w:rsidRPr="000F42EA">
        <w:rPr>
          <w:rFonts w:ascii="Times" w:eastAsia="Times New Roman" w:hAnsi="Times" w:cs="Arial"/>
          <w:bCs/>
          <w:sz w:val="24"/>
          <w:szCs w:val="20"/>
          <w:lang w:eastAsia="pl-PL"/>
        </w:rPr>
        <w:t xml:space="preserve"> skierowanie tego zapytania do:</w:t>
      </w:r>
    </w:p>
    <w:p w:rsidR="000F42EA" w:rsidRPr="000F42EA" w:rsidRDefault="000F42EA" w:rsidP="0063669E">
      <w:pPr>
        <w:spacing w:after="0" w:line="360" w:lineRule="auto"/>
        <w:ind w:left="510" w:hanging="510"/>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1)</w:t>
      </w:r>
      <w:r w:rsidRPr="000F42EA">
        <w:rPr>
          <w:rFonts w:ascii="Times" w:eastAsia="Times New Roman" w:hAnsi="Times" w:cs="Arial"/>
          <w:bCs/>
          <w:sz w:val="24"/>
          <w:szCs w:val="20"/>
          <w:lang w:eastAsia="pl-PL"/>
        </w:rPr>
        <w:tab/>
        <w:t xml:space="preserve">co najmniej trzech potencjalnych wykonawców; </w:t>
      </w:r>
    </w:p>
    <w:p w:rsidR="000F42EA" w:rsidRPr="000F42EA" w:rsidRDefault="000F42EA" w:rsidP="0063669E">
      <w:pPr>
        <w:spacing w:after="0" w:line="360" w:lineRule="auto"/>
        <w:ind w:left="510" w:hanging="510"/>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2)</w:t>
      </w:r>
      <w:r w:rsidRPr="000F42EA">
        <w:rPr>
          <w:rFonts w:ascii="Times" w:eastAsia="Times New Roman" w:hAnsi="Times" w:cs="Arial"/>
          <w:bCs/>
          <w:sz w:val="24"/>
          <w:szCs w:val="20"/>
          <w:lang w:eastAsia="pl-PL"/>
        </w:rPr>
        <w:tab/>
        <w:t xml:space="preserve">wszystkich potencjalnych wykonawców </w:t>
      </w:r>
      <w:r w:rsidRPr="000F42EA">
        <w:rPr>
          <w:rFonts w:ascii="Times" w:eastAsia="Times New Roman" w:hAnsi="Times" w:cs="Arial"/>
          <w:bCs/>
          <w:sz w:val="24"/>
          <w:szCs w:val="20"/>
          <w:lang w:eastAsia="pl-PL"/>
        </w:rPr>
        <w:sym w:font="Symbol" w:char="F02D"/>
      </w:r>
      <w:r w:rsidRPr="000F42EA">
        <w:rPr>
          <w:rFonts w:ascii="Times" w:eastAsia="Times New Roman" w:hAnsi="Times" w:cs="Arial"/>
          <w:bCs/>
          <w:sz w:val="24"/>
          <w:szCs w:val="20"/>
          <w:lang w:eastAsia="pl-PL"/>
        </w:rPr>
        <w:t xml:space="preserve"> w przypadku gdy istnieje mniej niż trzech potencjalnych wykonawców.</w:t>
      </w:r>
      <w:r w:rsidRPr="000F42EA">
        <w:rPr>
          <w:rFonts w:ascii="Times" w:eastAsia="Times New Roman" w:hAnsi="Times" w:cs="Arial"/>
          <w:bCs/>
          <w:sz w:val="16"/>
          <w:szCs w:val="16"/>
          <w:lang w:eastAsia="pl-PL"/>
        </w:rPr>
        <w:t xml:space="preserve"> </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 xml:space="preserve">Takie reguły </w:t>
      </w:r>
      <w:r w:rsidR="00905DAA" w:rsidRPr="000F42EA">
        <w:rPr>
          <w:rFonts w:ascii="Times" w:eastAsia="Times New Roman" w:hAnsi="Times" w:cs="Arial"/>
          <w:bCs/>
          <w:sz w:val="24"/>
          <w:szCs w:val="20"/>
          <w:lang w:eastAsia="pl-PL"/>
        </w:rPr>
        <w:t xml:space="preserve">są </w:t>
      </w:r>
      <w:r w:rsidRPr="000F42EA">
        <w:rPr>
          <w:rFonts w:ascii="Times" w:eastAsia="Times New Roman" w:hAnsi="Times" w:cs="Arial"/>
          <w:bCs/>
          <w:sz w:val="24"/>
          <w:szCs w:val="20"/>
          <w:lang w:eastAsia="pl-PL"/>
        </w:rPr>
        <w:t>ustalone obecnie w umowach o przyznaniu pomocy zawieranych</w:t>
      </w:r>
      <w:r w:rsidR="0063669E">
        <w:rPr>
          <w:rFonts w:ascii="Times" w:eastAsia="Times New Roman" w:hAnsi="Times" w:cs="Arial"/>
          <w:bCs/>
          <w:sz w:val="24"/>
          <w:szCs w:val="20"/>
          <w:lang w:eastAsia="pl-PL"/>
        </w:rPr>
        <w:t xml:space="preserve"> </w:t>
      </w:r>
      <w:r w:rsidR="00280212">
        <w:rPr>
          <w:rFonts w:ascii="Times" w:eastAsia="Times New Roman" w:hAnsi="Times" w:cs="Arial"/>
          <w:bCs/>
          <w:sz w:val="24"/>
          <w:szCs w:val="20"/>
          <w:lang w:eastAsia="pl-PL"/>
        </w:rPr>
        <w:t>z </w:t>
      </w:r>
      <w:r w:rsidRPr="000F42EA">
        <w:rPr>
          <w:rFonts w:ascii="Times" w:eastAsia="Times New Roman" w:hAnsi="Times" w:cs="Arial"/>
          <w:bCs/>
          <w:sz w:val="24"/>
          <w:szCs w:val="20"/>
          <w:lang w:eastAsia="pl-PL"/>
        </w:rPr>
        <w:t xml:space="preserve">beneficjentami. Takie rozwiązanie zapewni w okresie przejściowym (do czasu uruchomienia strony przez ARiMR) zachowanie zasady przejrzystości konkurencyjnego trybu wyboru wykonawców. </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 xml:space="preserve">Art. 11 projektowanej ustawy zawiera przepis przejściowy wskazujący, że do opracowania zmiany planu działania i dwuletniego planu operacyjnego KSOW, które zostały opracowane przed dniem wejścia w życie </w:t>
      </w:r>
      <w:r w:rsidR="00905DAA">
        <w:rPr>
          <w:rFonts w:ascii="Times" w:eastAsia="Times New Roman" w:hAnsi="Times" w:cs="Arial"/>
          <w:bCs/>
          <w:sz w:val="24"/>
          <w:szCs w:val="20"/>
          <w:lang w:eastAsia="pl-PL"/>
        </w:rPr>
        <w:t xml:space="preserve">projektowanej </w:t>
      </w:r>
      <w:r w:rsidRPr="000F42EA">
        <w:rPr>
          <w:rFonts w:ascii="Times" w:eastAsia="Times New Roman" w:hAnsi="Times" w:cs="Arial"/>
          <w:bCs/>
          <w:sz w:val="24"/>
          <w:szCs w:val="20"/>
          <w:lang w:eastAsia="pl-PL"/>
        </w:rPr>
        <w:t>ustawy, stosuje się przepisy ustawy zmienianej w art. 1 w brzmieniu nadanym niniejszą ustawą.</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Ponadto w związku z tym, że zarówno na poziomie centralnym, jak i wojewódzkim oraz Sieci na rzecz innowacji w rolnictwie i obszarach wiejskich, nie są obecnie prowadzone nabory dla partnerów KSOW na zgłaszanie propozycji operacji do realizacji w ramach dwuletniego planu operacyjnego, zgodnie z rozporządzeniem Ministra Rolnictwa i Rozwoju Wsi z dnia 30 września 2015 r. w sprawie funkcjonowania krajowej sieci obszarów wiejskich w ramach Programu Rozwoju Obszarów Wiejskich na lata 2014</w:t>
      </w:r>
      <w:r w:rsidRPr="000F42EA">
        <w:rPr>
          <w:rFonts w:ascii="Times" w:eastAsia="Times New Roman" w:hAnsi="Times" w:cs="Arial"/>
          <w:bCs/>
          <w:sz w:val="24"/>
          <w:szCs w:val="20"/>
          <w:lang w:eastAsia="pl-PL"/>
        </w:rPr>
        <w:sym w:font="Symbol" w:char="F02D"/>
      </w:r>
      <w:r w:rsidRPr="000F42EA">
        <w:rPr>
          <w:rFonts w:ascii="Times" w:eastAsia="Times New Roman" w:hAnsi="Times" w:cs="Arial"/>
          <w:bCs/>
          <w:sz w:val="24"/>
          <w:szCs w:val="20"/>
          <w:lang w:eastAsia="pl-PL"/>
        </w:rPr>
        <w:t>2020 (Dz. U. poz. 1552),</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 xml:space="preserve">i takie nabory nie zostaną </w:t>
      </w:r>
      <w:r w:rsidRPr="000F42EA">
        <w:rPr>
          <w:rFonts w:ascii="Times" w:eastAsia="Times New Roman" w:hAnsi="Times" w:cs="Arial"/>
          <w:bCs/>
          <w:sz w:val="24"/>
          <w:szCs w:val="20"/>
          <w:lang w:eastAsia="pl-PL"/>
        </w:rPr>
        <w:lastRenderedPageBreak/>
        <w:t>do czasu wejścia w życie projektowanej ustawy uruchomione na żadnym poziomie, nie jest konieczne wprowadzenie przepisów przejściowych w tym zakresie.</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Odnośnie do zmian zawartych w art. 1 pkt 2 lit. a, pkt 10 i 12 lit. a projektu ustawy, dotyczących podmiotu wdrażającego działania „Transfer wiedzy i działalność informacyjna” oraz „Usługi doradcze, usługi z zakresu zarządzania gospodarstwem rolnym i usługi</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z zakresu zastępstw”, nie ma potrzeby wprowadzenia przepisów przejściowych, gdyż podmiot ten do tej pory nie został wybrany</w:t>
      </w:r>
      <w:r w:rsidR="00905DAA">
        <w:rPr>
          <w:rFonts w:ascii="Times" w:eastAsia="Times New Roman" w:hAnsi="Times" w:cs="Arial"/>
          <w:bCs/>
          <w:sz w:val="24"/>
          <w:szCs w:val="20"/>
          <w:lang w:eastAsia="pl-PL"/>
        </w:rPr>
        <w:t>,</w:t>
      </w:r>
      <w:r w:rsidR="00280212">
        <w:rPr>
          <w:rFonts w:ascii="Times" w:eastAsia="Times New Roman" w:hAnsi="Times" w:cs="Arial"/>
          <w:bCs/>
          <w:sz w:val="24"/>
          <w:szCs w:val="20"/>
          <w:lang w:eastAsia="pl-PL"/>
        </w:rPr>
        <w:t xml:space="preserve"> a obydwa ww. </w:t>
      </w:r>
      <w:r w:rsidRPr="000F42EA">
        <w:rPr>
          <w:rFonts w:ascii="Times" w:eastAsia="Times New Roman" w:hAnsi="Times" w:cs="Arial"/>
          <w:bCs/>
          <w:sz w:val="24"/>
          <w:szCs w:val="20"/>
          <w:lang w:eastAsia="pl-PL"/>
        </w:rPr>
        <w:t>działania nie są jeszcze uruchomione. Ich wdr</w:t>
      </w:r>
      <w:r w:rsidR="00280212">
        <w:rPr>
          <w:rFonts w:ascii="Times" w:eastAsia="Times New Roman" w:hAnsi="Times" w:cs="Arial"/>
          <w:bCs/>
          <w:sz w:val="24"/>
          <w:szCs w:val="20"/>
          <w:lang w:eastAsia="pl-PL"/>
        </w:rPr>
        <w:t>ożenie zaplanowane zostało na I </w:t>
      </w:r>
      <w:r w:rsidRPr="000F42EA">
        <w:rPr>
          <w:rFonts w:ascii="Times" w:eastAsia="Times New Roman" w:hAnsi="Times" w:cs="Arial"/>
          <w:bCs/>
          <w:sz w:val="24"/>
          <w:szCs w:val="20"/>
          <w:lang w:eastAsia="pl-PL"/>
        </w:rPr>
        <w:t xml:space="preserve">kwartał 2017 r., a </w:t>
      </w:r>
      <w:r w:rsidR="00905DAA">
        <w:rPr>
          <w:rFonts w:ascii="Times" w:eastAsia="Times New Roman" w:hAnsi="Times" w:cs="Arial"/>
          <w:bCs/>
          <w:sz w:val="24"/>
          <w:szCs w:val="20"/>
          <w:lang w:eastAsia="pl-PL"/>
        </w:rPr>
        <w:t>wówczas</w:t>
      </w:r>
      <w:r w:rsidRPr="000F42EA">
        <w:rPr>
          <w:rFonts w:ascii="Times" w:eastAsia="Times New Roman" w:hAnsi="Times" w:cs="Arial"/>
          <w:bCs/>
          <w:sz w:val="24"/>
          <w:szCs w:val="20"/>
          <w:lang w:eastAsia="pl-PL"/>
        </w:rPr>
        <w:t xml:space="preserve"> powinna zacząć obowiązywać proje</w:t>
      </w:r>
      <w:r w:rsidR="00280212">
        <w:rPr>
          <w:rFonts w:ascii="Times" w:eastAsia="Times New Roman" w:hAnsi="Times" w:cs="Arial"/>
          <w:bCs/>
          <w:sz w:val="24"/>
          <w:szCs w:val="20"/>
          <w:lang w:eastAsia="pl-PL"/>
        </w:rPr>
        <w:t>ktowana zmiana. W związku z </w:t>
      </w:r>
      <w:r w:rsidRPr="000F42EA">
        <w:rPr>
          <w:rFonts w:ascii="Times" w:eastAsia="Times New Roman" w:hAnsi="Times" w:cs="Arial"/>
          <w:bCs/>
          <w:sz w:val="24"/>
          <w:szCs w:val="20"/>
          <w:lang w:eastAsia="pl-PL"/>
        </w:rPr>
        <w:t>tym, podmiot wdrażający ww. dzi</w:t>
      </w:r>
      <w:r w:rsidR="00280212">
        <w:rPr>
          <w:rFonts w:ascii="Times" w:eastAsia="Times New Roman" w:hAnsi="Times" w:cs="Arial"/>
          <w:bCs/>
          <w:sz w:val="24"/>
          <w:szCs w:val="20"/>
          <w:lang w:eastAsia="pl-PL"/>
        </w:rPr>
        <w:t>ałania będzie wskazany wprost w </w:t>
      </w:r>
      <w:r w:rsidR="00905DAA">
        <w:rPr>
          <w:rFonts w:ascii="Times" w:eastAsia="Times New Roman" w:hAnsi="Times" w:cs="Arial"/>
          <w:bCs/>
          <w:sz w:val="24"/>
          <w:szCs w:val="20"/>
          <w:lang w:eastAsia="pl-PL"/>
        </w:rPr>
        <w:t>zmienianej</w:t>
      </w:r>
      <w:r w:rsidRPr="000F42EA">
        <w:rPr>
          <w:rFonts w:ascii="Times" w:eastAsia="Times New Roman" w:hAnsi="Times" w:cs="Arial"/>
          <w:bCs/>
          <w:sz w:val="24"/>
          <w:szCs w:val="20"/>
          <w:lang w:eastAsia="pl-PL"/>
        </w:rPr>
        <w:t xml:space="preserve"> ustawie </w:t>
      </w:r>
      <w:r w:rsidR="00905DAA">
        <w:rPr>
          <w:rFonts w:ascii="Times" w:eastAsia="Times New Roman" w:hAnsi="Times" w:cs="Arial"/>
          <w:bCs/>
          <w:sz w:val="24"/>
          <w:szCs w:val="20"/>
          <w:lang w:eastAsia="pl-PL"/>
        </w:rPr>
        <w:t xml:space="preserve">PROW 2014–2020 </w:t>
      </w:r>
      <w:r w:rsidRPr="000F42EA">
        <w:rPr>
          <w:rFonts w:ascii="Times" w:eastAsia="Times New Roman" w:hAnsi="Times" w:cs="Arial"/>
          <w:bCs/>
          <w:sz w:val="24"/>
          <w:szCs w:val="20"/>
          <w:lang w:eastAsia="pl-PL"/>
        </w:rPr>
        <w:t>i będzie on od początku zajmował się wdrażaniem tych działań.</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Odnośnie do zmiany proponowanej w art. 1 pkt 9 projektu ustawy, nie ma potrzeby wprowadzenia przepisów przejściowych w zakresie zmiany dotyczącej trybu wyboru beneficjentów działania „Usługi doradcze, usługi z zakresu zarządzania gospodarstwem rolnym i usługi z zakresu zastępstw”. Działanie</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„Usługi doradcze, usługi z zakresu zarządzania gospodarstwem rolnym i usługi z zakresu zastępstw” nie zostało do tej pory uruchomione, w związku z czym nie ma potrzeby wprowadzania uregulowań przejściowych, gdyż wybór beneficjentów tego działania będzie dopiero następował.</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Odnośnie do zmian proponowanych w art. 1 pkt 12 lit. b, w</w:t>
      </w:r>
      <w:r w:rsidR="00905DAA">
        <w:rPr>
          <w:rFonts w:ascii="Times" w:eastAsia="Times New Roman" w:hAnsi="Times" w:cs="Arial"/>
          <w:bCs/>
          <w:sz w:val="24"/>
          <w:szCs w:val="20"/>
          <w:lang w:eastAsia="pl-PL"/>
        </w:rPr>
        <w:t>y</w:t>
      </w:r>
      <w:r w:rsidRPr="000F42EA">
        <w:rPr>
          <w:rFonts w:ascii="Times" w:eastAsia="Times New Roman" w:hAnsi="Times" w:cs="Arial"/>
          <w:bCs/>
          <w:sz w:val="24"/>
          <w:szCs w:val="20"/>
          <w:lang w:eastAsia="pl-PL"/>
        </w:rPr>
        <w:t>łączenie z możliwości składania za pomocą formularza umieszczonego na stronie internetowej agencji płatniczej wniosku o przyznanie pomocy technicznej i wniosku o płatność pomocy technicznej nie będzie miało wpływu na stosunki powstałe pod działaniem znowelizowanej ustawy</w:t>
      </w:r>
      <w:r w:rsidR="00905DAA">
        <w:rPr>
          <w:rFonts w:ascii="Times" w:eastAsia="Times New Roman" w:hAnsi="Times" w:cs="Arial"/>
          <w:bCs/>
          <w:sz w:val="24"/>
          <w:szCs w:val="20"/>
          <w:lang w:eastAsia="pl-PL"/>
        </w:rPr>
        <w:t xml:space="preserve"> PROW 2014–2020</w:t>
      </w:r>
      <w:r w:rsidRPr="000F42EA">
        <w:rPr>
          <w:rFonts w:ascii="Times" w:eastAsia="Times New Roman" w:hAnsi="Times" w:cs="Arial"/>
          <w:bCs/>
          <w:sz w:val="24"/>
          <w:szCs w:val="20"/>
          <w:lang w:eastAsia="pl-PL"/>
        </w:rPr>
        <w:t>, gdyż nie został jeszcze uruchomiony nabór wniosków w ramach pomocy technicznej PROW 2014</w:t>
      </w:r>
      <w:r w:rsidRPr="000F42EA">
        <w:rPr>
          <w:rFonts w:ascii="Times New Roman" w:eastAsia="Times New Roman" w:hAnsi="Times New Roman" w:cs="Times New Roman"/>
          <w:bCs/>
          <w:sz w:val="24"/>
          <w:szCs w:val="20"/>
          <w:lang w:eastAsia="pl-PL"/>
        </w:rPr>
        <w:t>–</w:t>
      </w:r>
      <w:r w:rsidRPr="000F42EA">
        <w:rPr>
          <w:rFonts w:ascii="Times" w:eastAsia="Times New Roman" w:hAnsi="Times" w:cs="Arial"/>
          <w:bCs/>
          <w:sz w:val="24"/>
          <w:szCs w:val="20"/>
          <w:lang w:eastAsia="pl-PL"/>
        </w:rPr>
        <w:t>2020. Projekt rozporządzenia Ministra Rolnictwa i Rozwoju Wsi w sprawie szczegółowych warunków i trybu przyznawania oraz wypłaty pomocy technicznej w ramach Programu Rozwoju Obszarów Wiejskich na lata</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2014–2020 podlega ob</w:t>
      </w:r>
      <w:r w:rsidR="00280212">
        <w:rPr>
          <w:rFonts w:ascii="Times" w:eastAsia="Times New Roman" w:hAnsi="Times" w:cs="Arial"/>
          <w:bCs/>
          <w:sz w:val="24"/>
          <w:szCs w:val="20"/>
          <w:lang w:eastAsia="pl-PL"/>
        </w:rPr>
        <w:t>ecnie konsultacjom publicznym i </w:t>
      </w:r>
      <w:r w:rsidRPr="000F42EA">
        <w:rPr>
          <w:rFonts w:ascii="Times" w:eastAsia="Times New Roman" w:hAnsi="Times" w:cs="Arial"/>
          <w:bCs/>
          <w:sz w:val="24"/>
          <w:szCs w:val="20"/>
          <w:lang w:eastAsia="pl-PL"/>
        </w:rPr>
        <w:t>uzgodnieniom międzyresortowym. Nie zostały jeszcze opracowane formularze wniosków</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 xml:space="preserve">o przyznanie i płatność pomocy technicznej. Wobec powyższego nie jest konieczne zamieszczenie przepisów przejściowych w odniesieniu do wyłączenia </w:t>
      </w:r>
      <w:r w:rsidRPr="000F42EA">
        <w:rPr>
          <w:rFonts w:ascii="Times" w:eastAsia="Times New Roman" w:hAnsi="Times" w:cs="Arial"/>
          <w:bCs/>
          <w:sz w:val="24"/>
          <w:szCs w:val="20"/>
          <w:lang w:eastAsia="pl-PL"/>
        </w:rPr>
        <w:lastRenderedPageBreak/>
        <w:t>z</w:t>
      </w:r>
      <w:r w:rsidR="00280212">
        <w:rPr>
          <w:rFonts w:ascii="Times" w:eastAsia="Times New Roman" w:hAnsi="Times" w:cs="Arial"/>
          <w:bCs/>
          <w:sz w:val="24"/>
          <w:szCs w:val="20"/>
          <w:lang w:eastAsia="pl-PL"/>
        </w:rPr>
        <w:t> </w:t>
      </w:r>
      <w:r w:rsidRPr="000F42EA">
        <w:rPr>
          <w:rFonts w:ascii="Times" w:eastAsia="Times New Roman" w:hAnsi="Times" w:cs="Arial"/>
          <w:bCs/>
          <w:sz w:val="24"/>
          <w:szCs w:val="20"/>
          <w:lang w:eastAsia="pl-PL"/>
        </w:rPr>
        <w:t>możliwości składania na formularzach umieszczonych na stronie internetowej wniosku o przyznanie pomocy technicznej i wniosku o płatność pomocy technicznej.</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Zmiana zaproponowana w art. 1 pkt 14 ma na celu umożliwienie przeprowadzania kontroli beneficjentów działania „Tworzenie grup producentów i organizacji producentów” po wypłacie płatności ostatecznej w celu sprawdzenia zobowiązań, które będą dotyczyć okresu po otrzymaniu tej płatności (m.in. zobowiązania do utrzymania prowadzonej działalności). W przepisach unijnych brak jest podstawy prawnej do przeprowadzania kontroli wypełniania zobowiązań dla ww. działania po wypłacie ostatecznej płatności, ponieważ przepisy te regulują jedynie zasady przeprowadzania kontroli na miejscu u</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beneficjentów, którym pomoc już została w całości wypłacona oraz kontroli ex-post polegającej na sprawdzeniu przestrzegania zobowiązań odnoszących się do trwałości operacji lub zobow</w:t>
      </w:r>
      <w:r w:rsidR="00280212">
        <w:rPr>
          <w:rFonts w:ascii="Times" w:eastAsia="Times New Roman" w:hAnsi="Times" w:cs="Arial"/>
          <w:bCs/>
          <w:sz w:val="24"/>
          <w:szCs w:val="20"/>
          <w:lang w:eastAsia="pl-PL"/>
        </w:rPr>
        <w:t>iązań określonych szczegółowo w </w:t>
      </w:r>
      <w:r w:rsidRPr="000F42EA">
        <w:rPr>
          <w:rFonts w:ascii="Times" w:eastAsia="Times New Roman" w:hAnsi="Times" w:cs="Arial"/>
          <w:bCs/>
          <w:sz w:val="24"/>
          <w:szCs w:val="20"/>
          <w:lang w:eastAsia="pl-PL"/>
        </w:rPr>
        <w:t>programie rozwoju obszarów wiejskich, ale dotyczących tylko operacji inwestycyjnych. W związku z tym przeprowadzenie ww. kontroli możliwe będzie dopiero od dnia wejścia w życie projektowanej ustawy. Nie ma więc konieczności zamieszczenia przepisów przejściowych, które będą regulowały wpływ znowelizowanej ustawy na stosunki powstałe pod działaniem ustawy dotychczasowej, ponieważ sytuacja taka nie będzie miała miejsca.</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Zmiana zaproponowana w art. 1 pkt 15 projektu ustawy ma na celu umożliwienie powierzenia przez agencję płatniczą przeprowadzania wizyt, o których mowa w art. 48 ust. 5 rozporządzenia wykonawczego Komisji (UE) nr 809/2014</w:t>
      </w:r>
      <w:r w:rsidR="00905DAA">
        <w:rPr>
          <w:rFonts w:ascii="Times" w:eastAsia="Times New Roman" w:hAnsi="Times" w:cs="Arial"/>
          <w:bCs/>
          <w:sz w:val="24"/>
          <w:szCs w:val="20"/>
          <w:lang w:eastAsia="pl-PL"/>
        </w:rPr>
        <w:t xml:space="preserve"> z dnia 17 lipca 2014 r. ustanawiającego zasady stosowania rozporządzenia Parlamentu Europejskiego i Rady (UE) nr 1306/2013 w odniesieniu do zintegrowanego systemu zarządzania i kontroli, środków rozwoju obszarów wiejskich oraz zasady wzajemnej zgodności (Dz. Urz. UE L 227 z 31.07.2014, str. 69, z późn. zm.)</w:t>
      </w:r>
      <w:r w:rsidRPr="000F42EA">
        <w:rPr>
          <w:rFonts w:ascii="Times" w:eastAsia="Times New Roman" w:hAnsi="Times" w:cs="Arial"/>
          <w:bCs/>
          <w:sz w:val="24"/>
          <w:szCs w:val="20"/>
          <w:lang w:eastAsia="pl-PL"/>
        </w:rPr>
        <w:t xml:space="preserve"> innym jednostkom organizacyjnym dysponującym odpowiednimi warunkami organizacyjnymi, kadrowymi</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 xml:space="preserve">i technicznymi również w ramach poddziałania „Wsparcie inwestycji w przetwarzanie produktów rolnych, obrót nimi lub ich rozwój”. Zmiana ta wpłynie na niezależność terminu naborów wniosków w ramach ww. poddziałania od możliwości kadrowo-technicznych służb kontrolnych ARiMR. Zmiana ta nie wymaga formułowania przepisów przejściowych, ponieważ </w:t>
      </w:r>
      <w:r w:rsidR="00905DAA">
        <w:rPr>
          <w:rFonts w:ascii="Times" w:eastAsia="Times New Roman" w:hAnsi="Times" w:cs="Arial"/>
          <w:bCs/>
          <w:sz w:val="24"/>
          <w:szCs w:val="20"/>
          <w:lang w:eastAsia="pl-PL"/>
        </w:rPr>
        <w:t>agencj</w:t>
      </w:r>
      <w:r w:rsidR="000C5B56">
        <w:rPr>
          <w:rFonts w:ascii="Times" w:eastAsia="Times New Roman" w:hAnsi="Times" w:cs="Arial"/>
          <w:bCs/>
          <w:sz w:val="24"/>
          <w:szCs w:val="20"/>
          <w:lang w:eastAsia="pl-PL"/>
        </w:rPr>
        <w:t>a</w:t>
      </w:r>
      <w:r w:rsidR="00905DAA">
        <w:rPr>
          <w:rFonts w:ascii="Times" w:eastAsia="Times New Roman" w:hAnsi="Times" w:cs="Arial"/>
          <w:bCs/>
          <w:sz w:val="24"/>
          <w:szCs w:val="20"/>
          <w:lang w:eastAsia="pl-PL"/>
        </w:rPr>
        <w:t xml:space="preserve"> płatnicz</w:t>
      </w:r>
      <w:r w:rsidR="000C5B56">
        <w:rPr>
          <w:rFonts w:ascii="Times" w:eastAsia="Times New Roman" w:hAnsi="Times" w:cs="Arial"/>
          <w:bCs/>
          <w:sz w:val="24"/>
          <w:szCs w:val="20"/>
          <w:lang w:eastAsia="pl-PL"/>
        </w:rPr>
        <w:t>a</w:t>
      </w:r>
      <w:r w:rsidR="00905DAA">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co do zasady przeprowadza wizyty własnymi siłami, natomiast w przypadku dużej ilości wizyt – może</w:t>
      </w:r>
      <w:r w:rsidR="00905DAA">
        <w:rPr>
          <w:rFonts w:ascii="Times" w:eastAsia="Times New Roman" w:hAnsi="Times" w:cs="Arial"/>
          <w:bCs/>
          <w:sz w:val="24"/>
          <w:szCs w:val="20"/>
          <w:lang w:eastAsia="pl-PL"/>
        </w:rPr>
        <w:t>,</w:t>
      </w:r>
      <w:r w:rsidRPr="000F42EA">
        <w:rPr>
          <w:rFonts w:ascii="Times" w:eastAsia="Times New Roman" w:hAnsi="Times" w:cs="Arial"/>
          <w:bCs/>
          <w:sz w:val="24"/>
          <w:szCs w:val="20"/>
          <w:lang w:eastAsia="pl-PL"/>
        </w:rPr>
        <w:t xml:space="preserve"> ale nie musi powierzyć przeprowadzanie tych wizyt innym jednostkom organizacyjnym.</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lastRenderedPageBreak/>
        <w:t>Projekt ustawy jest zgodny z prawem Unii Europejskiej.</w:t>
      </w:r>
    </w:p>
    <w:p w:rsidR="000F42EA" w:rsidRPr="000F42EA"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Projekt ustawy nie podlega procedurze notyfikacji w rozumieniu przepisów rozporządzenia Rady Ministrów z dnia 23</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 xml:space="preserve">grudnia 2002 r. w sprawie sposobu funkcjonowania krajowego systemu notyfikacji norm i aktów prawnych (Dz. U. </w:t>
      </w:r>
      <w:r w:rsidR="00280212">
        <w:rPr>
          <w:rFonts w:ascii="Times" w:eastAsia="Times New Roman" w:hAnsi="Times" w:cs="Arial"/>
          <w:bCs/>
          <w:sz w:val="24"/>
          <w:szCs w:val="20"/>
          <w:lang w:eastAsia="pl-PL"/>
        </w:rPr>
        <w:t>poz. </w:t>
      </w:r>
      <w:r w:rsidRPr="000F42EA">
        <w:rPr>
          <w:rFonts w:ascii="Times" w:eastAsia="Times New Roman" w:hAnsi="Times" w:cs="Arial"/>
          <w:bCs/>
          <w:sz w:val="24"/>
          <w:szCs w:val="20"/>
          <w:lang w:eastAsia="pl-PL"/>
        </w:rPr>
        <w:t>2039 oraz z 2004 r. poz. 597), ponieważ nie zawiera przepisów technicznych.</w:t>
      </w:r>
    </w:p>
    <w:p w:rsidR="00280212" w:rsidRDefault="000F42EA" w:rsidP="0063669E">
      <w:pPr>
        <w:suppressAutoHyphens/>
        <w:autoSpaceDE w:val="0"/>
        <w:autoSpaceDN w:val="0"/>
        <w:adjustRightInd w:val="0"/>
        <w:spacing w:before="120" w:after="0" w:line="360" w:lineRule="auto"/>
        <w:jc w:val="both"/>
        <w:rPr>
          <w:rFonts w:ascii="Times" w:eastAsia="Times New Roman" w:hAnsi="Times" w:cs="Arial"/>
          <w:bCs/>
          <w:sz w:val="24"/>
          <w:szCs w:val="20"/>
          <w:lang w:eastAsia="pl-PL"/>
        </w:rPr>
      </w:pPr>
      <w:r w:rsidRPr="000F42EA">
        <w:rPr>
          <w:rFonts w:ascii="Times" w:eastAsia="Times New Roman" w:hAnsi="Times" w:cs="Arial"/>
          <w:bCs/>
          <w:sz w:val="24"/>
          <w:szCs w:val="20"/>
          <w:lang w:eastAsia="pl-PL"/>
        </w:rPr>
        <w:t>Projektowana ustawa zosta</w:t>
      </w:r>
      <w:r w:rsidR="00905DAA">
        <w:rPr>
          <w:rFonts w:ascii="Times" w:eastAsia="Times New Roman" w:hAnsi="Times" w:cs="Arial"/>
          <w:bCs/>
          <w:sz w:val="24"/>
          <w:szCs w:val="20"/>
          <w:lang w:eastAsia="pl-PL"/>
        </w:rPr>
        <w:t>ła</w:t>
      </w:r>
      <w:r w:rsidRPr="000F42EA">
        <w:rPr>
          <w:rFonts w:ascii="Times" w:eastAsia="Times New Roman" w:hAnsi="Times" w:cs="Arial"/>
          <w:bCs/>
          <w:sz w:val="24"/>
          <w:szCs w:val="20"/>
          <w:lang w:eastAsia="pl-PL"/>
        </w:rPr>
        <w:t xml:space="preserve"> zgłoszona do wykazu prac legislacyjnych</w:t>
      </w:r>
      <w:r w:rsidR="0063669E">
        <w:rPr>
          <w:rFonts w:ascii="Times" w:eastAsia="Times New Roman" w:hAnsi="Times" w:cs="Arial"/>
          <w:bCs/>
          <w:sz w:val="24"/>
          <w:szCs w:val="20"/>
          <w:lang w:eastAsia="pl-PL"/>
        </w:rPr>
        <w:t xml:space="preserve"> </w:t>
      </w:r>
      <w:r w:rsidRPr="000F42EA">
        <w:rPr>
          <w:rFonts w:ascii="Times" w:eastAsia="Times New Roman" w:hAnsi="Times" w:cs="Arial"/>
          <w:bCs/>
          <w:sz w:val="24"/>
          <w:szCs w:val="20"/>
          <w:lang w:eastAsia="pl-PL"/>
        </w:rPr>
        <w:t>Rady Ministrów.</w:t>
      </w:r>
    </w:p>
    <w:sectPr w:rsidR="00280212" w:rsidSect="00280212">
      <w:footerReference w:type="default" r:id="rId9"/>
      <w:footnotePr>
        <w:numRestart w:val="eachSect"/>
      </w:footnotePr>
      <w:pgSz w:w="11906" w:h="16838" w:code="9"/>
      <w:pgMar w:top="1588" w:right="1418" w:bottom="1418" w:left="1985" w:header="709" w:footer="709" w:gutter="0"/>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3686" w:rsidRDefault="00836504">
      <w:pPr>
        <w:spacing w:after="0" w:line="240" w:lineRule="auto"/>
      </w:pPr>
      <w:r>
        <w:separator/>
      </w:r>
    </w:p>
  </w:endnote>
  <w:endnote w:type="continuationSeparator" w:id="0">
    <w:p w:rsidR="00E23686" w:rsidRDefault="008365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TimesNewRoman,Bold">
    <w:panose1 w:val="00000000000000000000"/>
    <w:charset w:val="EE"/>
    <w:family w:val="auto"/>
    <w:notTrueType/>
    <w:pitch w:val="default"/>
    <w:sig w:usb0="00000005" w:usb1="00000000" w:usb2="00000000" w:usb3="00000000" w:csb0="00000002" w:csb1="00000000"/>
  </w:font>
  <w:font w:name="TimesNew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6287554"/>
      <w:docPartObj>
        <w:docPartGallery w:val="Page Numbers (Bottom of Page)"/>
        <w:docPartUnique/>
      </w:docPartObj>
    </w:sdtPr>
    <w:sdtEndPr/>
    <w:sdtContent>
      <w:p w:rsidR="0063669E" w:rsidRDefault="0063669E">
        <w:pPr>
          <w:pStyle w:val="Stopka"/>
          <w:jc w:val="center"/>
        </w:pPr>
        <w:r>
          <w:fldChar w:fldCharType="begin"/>
        </w:r>
        <w:r>
          <w:instrText>PAGE   \* MERGEFORMAT</w:instrText>
        </w:r>
        <w:r>
          <w:fldChar w:fldCharType="separate"/>
        </w:r>
        <w:r w:rsidR="00432728">
          <w:rPr>
            <w:noProof/>
          </w:rPr>
          <w:t>32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3686" w:rsidRDefault="00836504">
      <w:pPr>
        <w:spacing w:after="0" w:line="240" w:lineRule="auto"/>
      </w:pPr>
      <w:r>
        <w:separator/>
      </w:r>
    </w:p>
  </w:footnote>
  <w:footnote w:type="continuationSeparator" w:id="0">
    <w:p w:rsidR="00E23686" w:rsidRDefault="0083650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62829"/>
    <w:multiLevelType w:val="hybridMultilevel"/>
    <w:tmpl w:val="78F4BE18"/>
    <w:lvl w:ilvl="0" w:tplc="C4DEFE90">
      <w:start w:val="1"/>
      <w:numFmt w:val="decimal"/>
      <w:lvlText w:val="%1)"/>
      <w:lvlJc w:val="left"/>
      <w:pPr>
        <w:ind w:left="1857" w:hanging="360"/>
      </w:pPr>
      <w:rPr>
        <w:rFonts w:hint="default"/>
      </w:rPr>
    </w:lvl>
    <w:lvl w:ilvl="1" w:tplc="04150019" w:tentative="1">
      <w:start w:val="1"/>
      <w:numFmt w:val="lowerLetter"/>
      <w:lvlText w:val="%2."/>
      <w:lvlJc w:val="left"/>
      <w:pPr>
        <w:ind w:left="2577" w:hanging="360"/>
      </w:pPr>
    </w:lvl>
    <w:lvl w:ilvl="2" w:tplc="0415001B" w:tentative="1">
      <w:start w:val="1"/>
      <w:numFmt w:val="lowerRoman"/>
      <w:lvlText w:val="%3."/>
      <w:lvlJc w:val="right"/>
      <w:pPr>
        <w:ind w:left="3297" w:hanging="180"/>
      </w:pPr>
    </w:lvl>
    <w:lvl w:ilvl="3" w:tplc="0415000F" w:tentative="1">
      <w:start w:val="1"/>
      <w:numFmt w:val="decimal"/>
      <w:lvlText w:val="%4."/>
      <w:lvlJc w:val="left"/>
      <w:pPr>
        <w:ind w:left="4017" w:hanging="360"/>
      </w:pPr>
    </w:lvl>
    <w:lvl w:ilvl="4" w:tplc="04150019" w:tentative="1">
      <w:start w:val="1"/>
      <w:numFmt w:val="lowerLetter"/>
      <w:lvlText w:val="%5."/>
      <w:lvlJc w:val="left"/>
      <w:pPr>
        <w:ind w:left="4737" w:hanging="360"/>
      </w:pPr>
    </w:lvl>
    <w:lvl w:ilvl="5" w:tplc="0415001B" w:tentative="1">
      <w:start w:val="1"/>
      <w:numFmt w:val="lowerRoman"/>
      <w:lvlText w:val="%6."/>
      <w:lvlJc w:val="right"/>
      <w:pPr>
        <w:ind w:left="5457" w:hanging="180"/>
      </w:pPr>
    </w:lvl>
    <w:lvl w:ilvl="6" w:tplc="0415000F" w:tentative="1">
      <w:start w:val="1"/>
      <w:numFmt w:val="decimal"/>
      <w:lvlText w:val="%7."/>
      <w:lvlJc w:val="left"/>
      <w:pPr>
        <w:ind w:left="6177" w:hanging="360"/>
      </w:pPr>
    </w:lvl>
    <w:lvl w:ilvl="7" w:tplc="04150019" w:tentative="1">
      <w:start w:val="1"/>
      <w:numFmt w:val="lowerLetter"/>
      <w:lvlText w:val="%8."/>
      <w:lvlJc w:val="left"/>
      <w:pPr>
        <w:ind w:left="6897" w:hanging="360"/>
      </w:pPr>
    </w:lvl>
    <w:lvl w:ilvl="8" w:tplc="0415001B" w:tentative="1">
      <w:start w:val="1"/>
      <w:numFmt w:val="lowerRoman"/>
      <w:lvlText w:val="%9."/>
      <w:lvlJc w:val="right"/>
      <w:pPr>
        <w:ind w:left="7617" w:hanging="180"/>
      </w:pPr>
    </w:lvl>
  </w:abstractNum>
  <w:abstractNum w:abstractNumId="1">
    <w:nsid w:val="10EC726F"/>
    <w:multiLevelType w:val="hybridMultilevel"/>
    <w:tmpl w:val="127EC44A"/>
    <w:lvl w:ilvl="0" w:tplc="FA08BC66">
      <w:start w:val="2"/>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nsid w:val="1530748B"/>
    <w:multiLevelType w:val="hybridMultilevel"/>
    <w:tmpl w:val="FEEC4E40"/>
    <w:lvl w:ilvl="0" w:tplc="679E9942">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
    <w:nsid w:val="21376FD9"/>
    <w:multiLevelType w:val="hybridMultilevel"/>
    <w:tmpl w:val="CD224DFE"/>
    <w:lvl w:ilvl="0" w:tplc="F65A8BE2">
      <w:start w:val="1"/>
      <w:numFmt w:val="lowerLetter"/>
      <w:lvlText w:val="%1)"/>
      <w:lvlJc w:val="left"/>
      <w:pPr>
        <w:ind w:left="1230" w:hanging="360"/>
      </w:pPr>
      <w:rPr>
        <w:rFonts w:hint="default"/>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4">
    <w:nsid w:val="36800B69"/>
    <w:multiLevelType w:val="hybridMultilevel"/>
    <w:tmpl w:val="2B024ECA"/>
    <w:lvl w:ilvl="0" w:tplc="045CACA0">
      <w:start w:val="1"/>
      <w:numFmt w:val="lowerLetter"/>
      <w:lvlText w:val="%1)"/>
      <w:lvlJc w:val="left"/>
      <w:pPr>
        <w:ind w:left="1230" w:hanging="360"/>
      </w:pPr>
      <w:rPr>
        <w:rFonts w:hint="default"/>
      </w:r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5">
    <w:nsid w:val="38740047"/>
    <w:multiLevelType w:val="hybridMultilevel"/>
    <w:tmpl w:val="A1E0A02E"/>
    <w:lvl w:ilvl="0" w:tplc="CF94D51A">
      <w:start w:val="1"/>
      <w:numFmt w:val="decimal"/>
      <w:lvlText w:val="%1)"/>
      <w:lvlJc w:val="left"/>
      <w:pPr>
        <w:ind w:left="360" w:hanging="360"/>
      </w:pPr>
      <w:rPr>
        <w:rFonts w:ascii="Times New Roman" w:hAnsi="Times New Roman"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nsid w:val="3A6C10CD"/>
    <w:multiLevelType w:val="hybridMultilevel"/>
    <w:tmpl w:val="209442CA"/>
    <w:lvl w:ilvl="0" w:tplc="777EA748">
      <w:start w:val="1"/>
      <w:numFmt w:val="decimal"/>
      <w:lvlText w:val="%1)"/>
      <w:lvlJc w:val="left"/>
      <w:pPr>
        <w:ind w:left="1020" w:hanging="51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7">
    <w:nsid w:val="4712398F"/>
    <w:multiLevelType w:val="hybridMultilevel"/>
    <w:tmpl w:val="40509C6A"/>
    <w:lvl w:ilvl="0" w:tplc="68061516">
      <w:start w:val="1"/>
      <w:numFmt w:val="decimal"/>
      <w:lvlText w:val="%1)"/>
      <w:lvlJc w:val="left"/>
      <w:pPr>
        <w:ind w:left="791" w:hanging="360"/>
      </w:pPr>
      <w:rPr>
        <w:rFonts w:hint="default"/>
      </w:rPr>
    </w:lvl>
    <w:lvl w:ilvl="1" w:tplc="04150019" w:tentative="1">
      <w:start w:val="1"/>
      <w:numFmt w:val="lowerLetter"/>
      <w:lvlText w:val="%2."/>
      <w:lvlJc w:val="left"/>
      <w:pPr>
        <w:ind w:left="1511" w:hanging="360"/>
      </w:pPr>
    </w:lvl>
    <w:lvl w:ilvl="2" w:tplc="0415001B" w:tentative="1">
      <w:start w:val="1"/>
      <w:numFmt w:val="lowerRoman"/>
      <w:lvlText w:val="%3."/>
      <w:lvlJc w:val="right"/>
      <w:pPr>
        <w:ind w:left="2231" w:hanging="180"/>
      </w:pPr>
    </w:lvl>
    <w:lvl w:ilvl="3" w:tplc="0415000F" w:tentative="1">
      <w:start w:val="1"/>
      <w:numFmt w:val="decimal"/>
      <w:lvlText w:val="%4."/>
      <w:lvlJc w:val="left"/>
      <w:pPr>
        <w:ind w:left="2951" w:hanging="360"/>
      </w:pPr>
    </w:lvl>
    <w:lvl w:ilvl="4" w:tplc="04150019" w:tentative="1">
      <w:start w:val="1"/>
      <w:numFmt w:val="lowerLetter"/>
      <w:lvlText w:val="%5."/>
      <w:lvlJc w:val="left"/>
      <w:pPr>
        <w:ind w:left="3671" w:hanging="360"/>
      </w:pPr>
    </w:lvl>
    <w:lvl w:ilvl="5" w:tplc="0415001B" w:tentative="1">
      <w:start w:val="1"/>
      <w:numFmt w:val="lowerRoman"/>
      <w:lvlText w:val="%6."/>
      <w:lvlJc w:val="right"/>
      <w:pPr>
        <w:ind w:left="4391" w:hanging="180"/>
      </w:pPr>
    </w:lvl>
    <w:lvl w:ilvl="6" w:tplc="0415000F" w:tentative="1">
      <w:start w:val="1"/>
      <w:numFmt w:val="decimal"/>
      <w:lvlText w:val="%7."/>
      <w:lvlJc w:val="left"/>
      <w:pPr>
        <w:ind w:left="5111" w:hanging="360"/>
      </w:pPr>
    </w:lvl>
    <w:lvl w:ilvl="7" w:tplc="04150019" w:tentative="1">
      <w:start w:val="1"/>
      <w:numFmt w:val="lowerLetter"/>
      <w:lvlText w:val="%8."/>
      <w:lvlJc w:val="left"/>
      <w:pPr>
        <w:ind w:left="5831" w:hanging="360"/>
      </w:pPr>
    </w:lvl>
    <w:lvl w:ilvl="8" w:tplc="0415001B" w:tentative="1">
      <w:start w:val="1"/>
      <w:numFmt w:val="lowerRoman"/>
      <w:lvlText w:val="%9."/>
      <w:lvlJc w:val="right"/>
      <w:pPr>
        <w:ind w:left="6551" w:hanging="180"/>
      </w:pPr>
    </w:lvl>
  </w:abstractNum>
  <w:abstractNum w:abstractNumId="8">
    <w:nsid w:val="47693D97"/>
    <w:multiLevelType w:val="hybridMultilevel"/>
    <w:tmpl w:val="3C80781C"/>
    <w:lvl w:ilvl="0" w:tplc="7B7A8184">
      <w:start w:val="1"/>
      <w:numFmt w:val="decimal"/>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9">
    <w:nsid w:val="55402D6D"/>
    <w:multiLevelType w:val="hybridMultilevel"/>
    <w:tmpl w:val="9064DA26"/>
    <w:lvl w:ilvl="0" w:tplc="E0584CFA">
      <w:start w:val="1"/>
      <w:numFmt w:val="decimal"/>
      <w:lvlText w:val="%1)"/>
      <w:lvlJc w:val="left"/>
      <w:pPr>
        <w:ind w:left="1776" w:hanging="360"/>
      </w:pPr>
      <w:rPr>
        <w:rFonts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0">
    <w:nsid w:val="5D63592C"/>
    <w:multiLevelType w:val="hybridMultilevel"/>
    <w:tmpl w:val="9C54B314"/>
    <w:lvl w:ilvl="0" w:tplc="6E449D00">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num w:numId="1">
    <w:abstractNumId w:val="1"/>
  </w:num>
  <w:num w:numId="2">
    <w:abstractNumId w:val="8"/>
  </w:num>
  <w:num w:numId="3">
    <w:abstractNumId w:val="0"/>
  </w:num>
  <w:num w:numId="4">
    <w:abstractNumId w:val="5"/>
  </w:num>
  <w:num w:numId="5">
    <w:abstractNumId w:val="9"/>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0"/>
  </w:num>
  <w:num w:numId="9">
    <w:abstractNumId w:val="4"/>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42EA"/>
    <w:rsid w:val="00067E7C"/>
    <w:rsid w:val="00097D93"/>
    <w:rsid w:val="000C5B56"/>
    <w:rsid w:val="000C7032"/>
    <w:rsid w:val="000F42EA"/>
    <w:rsid w:val="000F5E14"/>
    <w:rsid w:val="001911C6"/>
    <w:rsid w:val="001D2874"/>
    <w:rsid w:val="001F51A3"/>
    <w:rsid w:val="00256AEB"/>
    <w:rsid w:val="002762A3"/>
    <w:rsid w:val="00280212"/>
    <w:rsid w:val="00294916"/>
    <w:rsid w:val="002C17BD"/>
    <w:rsid w:val="00397FB0"/>
    <w:rsid w:val="003A628A"/>
    <w:rsid w:val="00403149"/>
    <w:rsid w:val="00432728"/>
    <w:rsid w:val="004A2D4B"/>
    <w:rsid w:val="005D380A"/>
    <w:rsid w:val="005E0A60"/>
    <w:rsid w:val="00625655"/>
    <w:rsid w:val="0063669E"/>
    <w:rsid w:val="006904BE"/>
    <w:rsid w:val="006942EB"/>
    <w:rsid w:val="006C0375"/>
    <w:rsid w:val="006D079A"/>
    <w:rsid w:val="00727A09"/>
    <w:rsid w:val="00836504"/>
    <w:rsid w:val="008700BE"/>
    <w:rsid w:val="008E2D9E"/>
    <w:rsid w:val="00905DAA"/>
    <w:rsid w:val="00987A9F"/>
    <w:rsid w:val="009A5153"/>
    <w:rsid w:val="009C4014"/>
    <w:rsid w:val="009F0FE6"/>
    <w:rsid w:val="00A16964"/>
    <w:rsid w:val="00A965DA"/>
    <w:rsid w:val="00A96D0D"/>
    <w:rsid w:val="00AE1F20"/>
    <w:rsid w:val="00B10A8C"/>
    <w:rsid w:val="00B31EA3"/>
    <w:rsid w:val="00BB34B0"/>
    <w:rsid w:val="00C00D4C"/>
    <w:rsid w:val="00C1677F"/>
    <w:rsid w:val="00C35BC4"/>
    <w:rsid w:val="00CA3956"/>
    <w:rsid w:val="00CB5ACF"/>
    <w:rsid w:val="00DD7062"/>
    <w:rsid w:val="00E23686"/>
    <w:rsid w:val="00E24EA3"/>
    <w:rsid w:val="00E76C3C"/>
    <w:rsid w:val="00E9210F"/>
    <w:rsid w:val="00EB0CC8"/>
    <w:rsid w:val="00EC05FB"/>
    <w:rsid w:val="00F913E8"/>
    <w:rsid w:val="00FD361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Elegan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9"/>
    <w:qFormat/>
    <w:rsid w:val="000F42EA"/>
    <w:pPr>
      <w:keepNext/>
      <w:keepLines/>
      <w:spacing w:before="480" w:after="0"/>
      <w:outlineLvl w:val="0"/>
    </w:pPr>
    <w:rPr>
      <w:rFonts w:ascii="Cambria" w:eastAsia="Times New Roman" w:hAnsi="Cambria" w:cs="Times New Roman"/>
      <w:b/>
      <w:bCs/>
      <w:color w:val="365F91"/>
      <w:kern w:val="1"/>
      <w:sz w:val="28"/>
      <w:szCs w:val="28"/>
      <w:lang w:eastAsia="ar-SA"/>
    </w:rPr>
  </w:style>
  <w:style w:type="paragraph" w:styleId="Nagwek3">
    <w:name w:val="heading 3"/>
    <w:basedOn w:val="Normalny"/>
    <w:next w:val="Normalny"/>
    <w:link w:val="Nagwek3Znak"/>
    <w:uiPriority w:val="99"/>
    <w:semiHidden/>
    <w:unhideWhenUsed/>
    <w:qFormat/>
    <w:rsid w:val="000F42EA"/>
    <w:pPr>
      <w:keepNext/>
      <w:keepLines/>
      <w:spacing w:before="200" w:after="0"/>
      <w:outlineLvl w:val="2"/>
    </w:pPr>
    <w:rPr>
      <w:rFonts w:ascii="Cambria" w:eastAsia="Times New Roman" w:hAnsi="Cambria" w:cs="Times New Roman"/>
      <w:b/>
      <w:bCs/>
      <w:color w:val="4F81BD"/>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agwek11">
    <w:name w:val="Nagłówek 11"/>
    <w:basedOn w:val="Normalny"/>
    <w:next w:val="Normalny"/>
    <w:uiPriority w:val="99"/>
    <w:semiHidden/>
    <w:rsid w:val="000F42EA"/>
    <w:pPr>
      <w:keepNext/>
      <w:keepLines/>
      <w:widowControl w:val="0"/>
      <w:suppressAutoHyphens/>
      <w:spacing w:before="480" w:after="0" w:line="360" w:lineRule="auto"/>
      <w:outlineLvl w:val="0"/>
    </w:pPr>
    <w:rPr>
      <w:rFonts w:ascii="Cambria" w:eastAsia="Times New Roman" w:hAnsi="Cambria" w:cs="Times New Roman"/>
      <w:b/>
      <w:bCs/>
      <w:color w:val="365F91"/>
      <w:kern w:val="1"/>
      <w:sz w:val="28"/>
      <w:szCs w:val="28"/>
      <w:lang w:eastAsia="ar-SA"/>
    </w:rPr>
  </w:style>
  <w:style w:type="paragraph" w:customStyle="1" w:styleId="Nagwek31">
    <w:name w:val="Nagłówek 31"/>
    <w:basedOn w:val="Normalny"/>
    <w:next w:val="Normalny"/>
    <w:uiPriority w:val="99"/>
    <w:unhideWhenUsed/>
    <w:qFormat/>
    <w:rsid w:val="000F42EA"/>
    <w:pPr>
      <w:keepNext/>
      <w:keepLines/>
      <w:widowControl w:val="0"/>
      <w:autoSpaceDE w:val="0"/>
      <w:autoSpaceDN w:val="0"/>
      <w:adjustRightInd w:val="0"/>
      <w:spacing w:before="200" w:after="0" w:line="360" w:lineRule="auto"/>
      <w:outlineLvl w:val="2"/>
    </w:pPr>
    <w:rPr>
      <w:rFonts w:ascii="Cambria" w:eastAsia="Times New Roman" w:hAnsi="Cambria" w:cs="Times New Roman"/>
      <w:b/>
      <w:bCs/>
      <w:color w:val="4F81BD"/>
      <w:sz w:val="24"/>
      <w:szCs w:val="20"/>
      <w:lang w:eastAsia="pl-PL"/>
    </w:rPr>
  </w:style>
  <w:style w:type="numbering" w:customStyle="1" w:styleId="Bezlisty1">
    <w:name w:val="Bez listy1"/>
    <w:next w:val="Bezlisty"/>
    <w:uiPriority w:val="99"/>
    <w:semiHidden/>
    <w:unhideWhenUsed/>
    <w:rsid w:val="000F42EA"/>
  </w:style>
  <w:style w:type="paragraph" w:customStyle="1" w:styleId="ZLITwPKTzmlitwpktartykuempunktem">
    <w:name w:val="Z/LIT_w_PKT – zm. lit. w pkt artykułem (punktem)"/>
    <w:basedOn w:val="LITlitera"/>
    <w:uiPriority w:val="32"/>
    <w:qFormat/>
    <w:rsid w:val="000F42EA"/>
    <w:pPr>
      <w:ind w:left="1497"/>
    </w:pPr>
  </w:style>
  <w:style w:type="paragraph" w:customStyle="1" w:styleId="ZTIRwPKTzmtirwpktartykuempunktem">
    <w:name w:val="Z/TIR_w_PKT – zm. tir. w pkt artykułem (punktem)"/>
    <w:basedOn w:val="TIRtiret"/>
    <w:uiPriority w:val="33"/>
    <w:qFormat/>
    <w:rsid w:val="000F42E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0F42EA"/>
    <w:pPr>
      <w:ind w:left="1021"/>
    </w:pPr>
  </w:style>
  <w:style w:type="paragraph" w:customStyle="1" w:styleId="2TIRpodwjnytiret">
    <w:name w:val="2TIR – podwójny tiret"/>
    <w:basedOn w:val="TIRtiret"/>
    <w:uiPriority w:val="73"/>
    <w:qFormat/>
    <w:rsid w:val="000F42EA"/>
    <w:pPr>
      <w:ind w:left="1780"/>
    </w:pPr>
  </w:style>
  <w:style w:type="character" w:styleId="Odwoanieprzypisudolnego">
    <w:name w:val="footnote reference"/>
    <w:uiPriority w:val="99"/>
    <w:semiHidden/>
    <w:rsid w:val="000F42EA"/>
    <w:rPr>
      <w:rFonts w:cs="Times New Roman"/>
      <w:vertAlign w:val="superscript"/>
    </w:rPr>
  </w:style>
  <w:style w:type="paragraph" w:styleId="Nagwek">
    <w:name w:val="header"/>
    <w:basedOn w:val="Normalny"/>
    <w:link w:val="NagwekZnak"/>
    <w:uiPriority w:val="99"/>
    <w:semiHidden/>
    <w:rsid w:val="000F42EA"/>
    <w:pPr>
      <w:widowControl w:val="0"/>
      <w:tabs>
        <w:tab w:val="center" w:pos="4536"/>
        <w:tab w:val="right" w:pos="9072"/>
      </w:tabs>
      <w:suppressAutoHyphens/>
      <w:spacing w:after="0" w:line="360" w:lineRule="auto"/>
    </w:pPr>
    <w:rPr>
      <w:rFonts w:ascii="Times" w:eastAsia="Times New Roman" w:hAnsi="Times" w:cs="Times New Roman"/>
      <w:kern w:val="1"/>
      <w:sz w:val="24"/>
      <w:szCs w:val="24"/>
      <w:lang w:eastAsia="ar-SA"/>
    </w:rPr>
  </w:style>
  <w:style w:type="character" w:customStyle="1" w:styleId="NagwekZnak">
    <w:name w:val="Nagłówek Znak"/>
    <w:basedOn w:val="Domylnaczcionkaakapitu"/>
    <w:link w:val="Nagwek"/>
    <w:uiPriority w:val="99"/>
    <w:semiHidden/>
    <w:rsid w:val="000F42EA"/>
    <w:rPr>
      <w:rFonts w:ascii="Times" w:eastAsia="Times New Roman" w:hAnsi="Times" w:cs="Times New Roman"/>
      <w:kern w:val="1"/>
      <w:sz w:val="24"/>
      <w:szCs w:val="24"/>
      <w:lang w:eastAsia="ar-SA"/>
    </w:rPr>
  </w:style>
  <w:style w:type="paragraph" w:styleId="Stopka">
    <w:name w:val="footer"/>
    <w:basedOn w:val="Normalny"/>
    <w:link w:val="StopkaZnak"/>
    <w:uiPriority w:val="99"/>
    <w:rsid w:val="000F42EA"/>
    <w:pPr>
      <w:widowControl w:val="0"/>
      <w:tabs>
        <w:tab w:val="center" w:pos="4536"/>
        <w:tab w:val="right" w:pos="9072"/>
      </w:tabs>
      <w:suppressAutoHyphens/>
      <w:spacing w:after="0" w:line="360" w:lineRule="auto"/>
    </w:pPr>
    <w:rPr>
      <w:rFonts w:ascii="Times" w:eastAsia="Times New Roman" w:hAnsi="Times" w:cs="Times New Roman"/>
      <w:kern w:val="1"/>
      <w:sz w:val="24"/>
      <w:szCs w:val="24"/>
      <w:lang w:eastAsia="ar-SA"/>
    </w:rPr>
  </w:style>
  <w:style w:type="character" w:customStyle="1" w:styleId="StopkaZnak">
    <w:name w:val="Stopka Znak"/>
    <w:basedOn w:val="Domylnaczcionkaakapitu"/>
    <w:link w:val="Stopka"/>
    <w:uiPriority w:val="99"/>
    <w:rsid w:val="000F42EA"/>
    <w:rPr>
      <w:rFonts w:ascii="Times" w:eastAsia="Times New Roman" w:hAnsi="Times" w:cs="Times New Roman"/>
      <w:kern w:val="1"/>
      <w:sz w:val="24"/>
      <w:szCs w:val="24"/>
      <w:lang w:eastAsia="ar-SA"/>
    </w:rPr>
  </w:style>
  <w:style w:type="paragraph" w:styleId="Tekstdymka">
    <w:name w:val="Balloon Text"/>
    <w:basedOn w:val="Normalny"/>
    <w:link w:val="TekstdymkaZnak"/>
    <w:uiPriority w:val="99"/>
    <w:semiHidden/>
    <w:rsid w:val="000F42EA"/>
    <w:pPr>
      <w:widowControl w:val="0"/>
      <w:suppressAutoHyphens/>
      <w:spacing w:after="0" w:line="360" w:lineRule="auto"/>
    </w:pPr>
    <w:rPr>
      <w:rFonts w:ascii="Tahoma" w:eastAsia="Times New Roman" w:hAnsi="Tahoma" w:cs="Tahoma"/>
      <w:kern w:val="1"/>
      <w:sz w:val="24"/>
      <w:szCs w:val="16"/>
      <w:lang w:eastAsia="ar-SA"/>
    </w:rPr>
  </w:style>
  <w:style w:type="character" w:customStyle="1" w:styleId="TekstdymkaZnak">
    <w:name w:val="Tekst dymka Znak"/>
    <w:basedOn w:val="Domylnaczcionkaakapitu"/>
    <w:link w:val="Tekstdymka"/>
    <w:uiPriority w:val="99"/>
    <w:semiHidden/>
    <w:rsid w:val="000F42EA"/>
    <w:rPr>
      <w:rFonts w:ascii="Tahoma" w:eastAsia="Times New Roman" w:hAnsi="Tahoma" w:cs="Tahoma"/>
      <w:kern w:val="1"/>
      <w:sz w:val="24"/>
      <w:szCs w:val="16"/>
      <w:lang w:eastAsia="ar-SA"/>
    </w:rPr>
  </w:style>
  <w:style w:type="paragraph" w:customStyle="1" w:styleId="ARTartustawynprozporzdzenia">
    <w:name w:val="ART(§) – art. ustawy (§ np. rozporządzenia)"/>
    <w:uiPriority w:val="11"/>
    <w:qFormat/>
    <w:rsid w:val="000F42EA"/>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0F42EA"/>
    <w:pPr>
      <w:ind w:left="1497"/>
    </w:pPr>
  </w:style>
  <w:style w:type="paragraph" w:customStyle="1" w:styleId="ZTIRwLITzmtirwlitartykuempunktem">
    <w:name w:val="Z/TIR_w_LIT – zm. tir. w lit. artykułem (punktem)"/>
    <w:basedOn w:val="TIRtiret"/>
    <w:uiPriority w:val="33"/>
    <w:qFormat/>
    <w:rsid w:val="000F42E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0F42EA"/>
  </w:style>
  <w:style w:type="character" w:customStyle="1" w:styleId="Nagwek1Znak">
    <w:name w:val="Nagłówek 1 Znak"/>
    <w:basedOn w:val="Domylnaczcionkaakapitu"/>
    <w:link w:val="Nagwek1"/>
    <w:uiPriority w:val="99"/>
    <w:semiHidden/>
    <w:rsid w:val="000F42EA"/>
    <w:rPr>
      <w:rFonts w:ascii="Cambria" w:eastAsia="Times New Roman" w:hAnsi="Cambria" w:cs="Times New Roman"/>
      <w:b/>
      <w:bCs/>
      <w:color w:val="365F91"/>
      <w:kern w:val="1"/>
      <w:sz w:val="28"/>
      <w:szCs w:val="28"/>
      <w:lang w:eastAsia="ar-SA"/>
    </w:rPr>
  </w:style>
  <w:style w:type="paragraph" w:styleId="Bezodstpw">
    <w:name w:val="No Spacing"/>
    <w:uiPriority w:val="99"/>
    <w:rsid w:val="000F42EA"/>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ZPKTzmpktartykuempunktem">
    <w:name w:val="Z/PKT – zm. pkt artykułem (punktem)"/>
    <w:basedOn w:val="PKTpunkt"/>
    <w:uiPriority w:val="31"/>
    <w:qFormat/>
    <w:rsid w:val="000F42EA"/>
    <w:pPr>
      <w:ind w:left="1020"/>
    </w:pPr>
  </w:style>
  <w:style w:type="paragraph" w:customStyle="1" w:styleId="ZARTzmartartykuempunktem">
    <w:name w:val="Z/ART(§) – zm. art. (§) artykułem (punktem)"/>
    <w:basedOn w:val="ARTartustawynprozporzdzenia"/>
    <w:uiPriority w:val="30"/>
    <w:qFormat/>
    <w:rsid w:val="000F42E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0F42EA"/>
    <w:pPr>
      <w:keepNext/>
      <w:suppressAutoHyphens/>
      <w:spacing w:before="120" w:after="120" w:line="360" w:lineRule="auto"/>
      <w:jc w:val="center"/>
    </w:pPr>
    <w:rPr>
      <w:rFonts w:ascii="Times" w:eastAsia="Times New Roman"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0F42EA"/>
    <w:pPr>
      <w:keepNext/>
      <w:suppressAutoHyphens/>
      <w:spacing w:before="120" w:after="360" w:line="360" w:lineRule="auto"/>
      <w:jc w:val="center"/>
    </w:pPr>
    <w:rPr>
      <w:rFonts w:ascii="Times" w:eastAsia="Times New Roman"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0F42EA"/>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0F42EA"/>
    <w:rPr>
      <w:bCs/>
    </w:rPr>
  </w:style>
  <w:style w:type="paragraph" w:customStyle="1" w:styleId="OZNRODZAKTUtznustawalubrozporzdzenieiorganwydajcy">
    <w:name w:val="OZN_RODZ_AKTU – tzn. ustawa lub rozporządzenie i organ wydający"/>
    <w:next w:val="DATAAKTUdatauchwalenialubwydaniaaktu"/>
    <w:uiPriority w:val="5"/>
    <w:qFormat/>
    <w:rsid w:val="000F42EA"/>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qFormat/>
    <w:rsid w:val="000F42EA"/>
    <w:pPr>
      <w:spacing w:before="0"/>
    </w:pPr>
    <w:rPr>
      <w:bCs/>
    </w:rPr>
  </w:style>
  <w:style w:type="paragraph" w:customStyle="1" w:styleId="PKTpunkt">
    <w:name w:val="PKT – punkt"/>
    <w:uiPriority w:val="13"/>
    <w:qFormat/>
    <w:rsid w:val="000F42EA"/>
    <w:pPr>
      <w:spacing w:after="0" w:line="360" w:lineRule="auto"/>
      <w:ind w:left="510" w:hanging="510"/>
      <w:jc w:val="both"/>
    </w:pPr>
    <w:rPr>
      <w:rFonts w:ascii="Times" w:eastAsia="Times New Roman"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0F42EA"/>
    <w:pPr>
      <w:ind w:left="0" w:firstLine="0"/>
    </w:pPr>
  </w:style>
  <w:style w:type="paragraph" w:customStyle="1" w:styleId="LITlitera">
    <w:name w:val="LIT – litera"/>
    <w:basedOn w:val="PKTpunkt"/>
    <w:uiPriority w:val="14"/>
    <w:qFormat/>
    <w:rsid w:val="000F42EA"/>
    <w:pPr>
      <w:ind w:left="986" w:hanging="476"/>
    </w:pPr>
  </w:style>
  <w:style w:type="paragraph" w:customStyle="1" w:styleId="CZWSPLITczwsplnaliter">
    <w:name w:val="CZ_WSP_LIT – część wspólna liter"/>
    <w:basedOn w:val="LITlitera"/>
    <w:next w:val="USTustnpkodeksu"/>
    <w:uiPriority w:val="17"/>
    <w:qFormat/>
    <w:rsid w:val="000F42EA"/>
    <w:pPr>
      <w:ind w:left="510" w:firstLine="0"/>
    </w:pPr>
    <w:rPr>
      <w:szCs w:val="24"/>
    </w:rPr>
  </w:style>
  <w:style w:type="paragraph" w:customStyle="1" w:styleId="TIRtiret">
    <w:name w:val="TIR – tiret"/>
    <w:basedOn w:val="LITlitera"/>
    <w:uiPriority w:val="15"/>
    <w:qFormat/>
    <w:rsid w:val="000F42EA"/>
    <w:pPr>
      <w:ind w:left="1384" w:hanging="397"/>
    </w:pPr>
  </w:style>
  <w:style w:type="paragraph" w:customStyle="1" w:styleId="CZWSPTIRczwsplnatiret">
    <w:name w:val="CZ_WSP_TIR – część wspólna tiret"/>
    <w:basedOn w:val="TIRtiret"/>
    <w:next w:val="USTustnpkodeksu"/>
    <w:uiPriority w:val="17"/>
    <w:qFormat/>
    <w:rsid w:val="000F42EA"/>
    <w:pPr>
      <w:ind w:left="987" w:firstLine="0"/>
    </w:pPr>
  </w:style>
  <w:style w:type="paragraph" w:customStyle="1" w:styleId="CYTcytatnpprzysigi">
    <w:name w:val="CYT – cytat np. przysięgi"/>
    <w:basedOn w:val="USTustnpkodeksu"/>
    <w:next w:val="USTustnpkodeksu"/>
    <w:uiPriority w:val="18"/>
    <w:qFormat/>
    <w:rsid w:val="000F42E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0F42EA"/>
    <w:pPr>
      <w:keepNext/>
      <w:suppressAutoHyphens/>
      <w:spacing w:before="120" w:after="0" w:line="360" w:lineRule="auto"/>
      <w:jc w:val="center"/>
    </w:pPr>
    <w:rPr>
      <w:rFonts w:ascii="Times" w:eastAsia="Times New Roman" w:hAnsi="Times" w:cs="Times New Roman"/>
      <w:b/>
      <w:bCs/>
      <w:sz w:val="24"/>
      <w:szCs w:val="24"/>
      <w:lang w:eastAsia="pl-PL"/>
    </w:rPr>
  </w:style>
  <w:style w:type="paragraph" w:customStyle="1" w:styleId="ZLITzmlitartykuempunktem">
    <w:name w:val="Z/LIT – zm. lit. artykułem (punktem)"/>
    <w:basedOn w:val="LITlitera"/>
    <w:uiPriority w:val="32"/>
    <w:qFormat/>
    <w:rsid w:val="000F42EA"/>
  </w:style>
  <w:style w:type="paragraph" w:customStyle="1" w:styleId="ZLITCZWSPTIRwLITzmczciwsptirwlitliter">
    <w:name w:val="Z_LIT/CZ_WSP_TIR_w_LIT – zm. części wsp. tir. w lit. literą"/>
    <w:basedOn w:val="CZWSPTIRczwsplnatiret"/>
    <w:next w:val="LITlitera"/>
    <w:uiPriority w:val="51"/>
    <w:qFormat/>
    <w:rsid w:val="000F42EA"/>
    <w:pPr>
      <w:ind w:left="1463"/>
    </w:pPr>
  </w:style>
  <w:style w:type="paragraph" w:customStyle="1" w:styleId="ZLITTIRwLITzmtirwlitliter">
    <w:name w:val="Z_LIT/TIR_w_LIT – zm. tir. w lit. literą"/>
    <w:basedOn w:val="TIRtiret"/>
    <w:uiPriority w:val="49"/>
    <w:qFormat/>
    <w:rsid w:val="000F42EA"/>
    <w:pPr>
      <w:ind w:left="1860"/>
    </w:pPr>
  </w:style>
  <w:style w:type="paragraph" w:customStyle="1" w:styleId="TYTDZOZNoznaczenietytuulubdziau">
    <w:name w:val="TYT(DZ)_OZN – oznaczenie tytułu lub działu"/>
    <w:next w:val="Normalny"/>
    <w:uiPriority w:val="9"/>
    <w:qFormat/>
    <w:rsid w:val="000F42EA"/>
    <w:pPr>
      <w:keepNext/>
      <w:spacing w:before="120" w:after="0" w:line="360" w:lineRule="auto"/>
      <w:jc w:val="center"/>
    </w:pPr>
    <w:rPr>
      <w:rFonts w:ascii="Times" w:eastAsia="Times New Roman"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0F42EA"/>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0F42E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0F42EA"/>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0F42E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0F42EA"/>
    <w:pPr>
      <w:ind w:left="510"/>
    </w:pPr>
  </w:style>
  <w:style w:type="paragraph" w:customStyle="1" w:styleId="ZZLITzmianazmlit">
    <w:name w:val="ZZ/LIT – zmiana zm. lit."/>
    <w:basedOn w:val="ZZPKTzmianazmpkt"/>
    <w:uiPriority w:val="67"/>
    <w:qFormat/>
    <w:rsid w:val="000F42EA"/>
    <w:pPr>
      <w:ind w:left="2370" w:hanging="476"/>
    </w:pPr>
  </w:style>
  <w:style w:type="paragraph" w:customStyle="1" w:styleId="ZZTIRzmianazmtir">
    <w:name w:val="ZZ/TIR – zmiana zm. tir."/>
    <w:basedOn w:val="ZZLITzmianazmlit"/>
    <w:uiPriority w:val="67"/>
    <w:qFormat/>
    <w:rsid w:val="000F42E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0F42EA"/>
    <w:pPr>
      <w:keepNext/>
      <w:suppressAutoHyphens/>
      <w:spacing w:after="0" w:line="360" w:lineRule="auto"/>
      <w:ind w:left="510"/>
      <w:jc w:val="center"/>
    </w:pPr>
    <w:rPr>
      <w:rFonts w:ascii="Times" w:eastAsia="Times New Roman" w:hAnsi="Times" w:cs="Arial"/>
      <w:bCs/>
      <w:kern w:val="24"/>
      <w:sz w:val="24"/>
      <w:szCs w:val="24"/>
      <w:lang w:eastAsia="pl-PL"/>
    </w:rPr>
  </w:style>
  <w:style w:type="paragraph" w:customStyle="1" w:styleId="ZLITUSTzmustliter">
    <w:name w:val="Z_LIT/UST(§) – zm. ust. (§) literą"/>
    <w:basedOn w:val="USTustnpkodeksu"/>
    <w:uiPriority w:val="46"/>
    <w:qFormat/>
    <w:rsid w:val="000F42EA"/>
    <w:pPr>
      <w:ind w:left="987"/>
    </w:pPr>
  </w:style>
  <w:style w:type="paragraph" w:customStyle="1" w:styleId="ZLITPKTzmpktliter">
    <w:name w:val="Z_LIT/PKT – zm. pkt literą"/>
    <w:basedOn w:val="PKTpunkt"/>
    <w:uiPriority w:val="47"/>
    <w:qFormat/>
    <w:rsid w:val="000F42EA"/>
    <w:pPr>
      <w:ind w:left="1497"/>
    </w:pPr>
  </w:style>
  <w:style w:type="paragraph" w:customStyle="1" w:styleId="ZZCZWSPPKTzmianazmczciwsppkt">
    <w:name w:val="ZZ/CZ_WSP_PKT – zmiana. zm. części wsp. pkt"/>
    <w:basedOn w:val="ZZARTzmianazmart"/>
    <w:next w:val="ZPKTzmpktartykuempunktem"/>
    <w:uiPriority w:val="68"/>
    <w:qFormat/>
    <w:rsid w:val="000F42EA"/>
    <w:pPr>
      <w:ind w:firstLine="0"/>
    </w:pPr>
  </w:style>
  <w:style w:type="paragraph" w:customStyle="1" w:styleId="ZLITLITzmlitliter">
    <w:name w:val="Z_LIT/LIT – zm. lit. literą"/>
    <w:basedOn w:val="LITlitera"/>
    <w:uiPriority w:val="48"/>
    <w:qFormat/>
    <w:rsid w:val="000F42EA"/>
    <w:pPr>
      <w:ind w:left="1463"/>
    </w:pPr>
  </w:style>
  <w:style w:type="paragraph" w:customStyle="1" w:styleId="ZLITCZWSPPKTzmczciwsppktliter">
    <w:name w:val="Z_LIT/CZ_WSP_PKT – zm. części wsp. pkt literą"/>
    <w:basedOn w:val="CZWSPLITczwsplnaliter"/>
    <w:next w:val="LITlitera"/>
    <w:uiPriority w:val="50"/>
    <w:qFormat/>
    <w:rsid w:val="000F42EA"/>
    <w:pPr>
      <w:ind w:left="987"/>
    </w:pPr>
  </w:style>
  <w:style w:type="paragraph" w:customStyle="1" w:styleId="ZLITTIRzmtirliter">
    <w:name w:val="Z_LIT/TIR – zm. tir. literą"/>
    <w:basedOn w:val="TIRtiret"/>
    <w:uiPriority w:val="49"/>
    <w:qFormat/>
    <w:rsid w:val="000F42EA"/>
  </w:style>
  <w:style w:type="paragraph" w:customStyle="1" w:styleId="ZZCZWSPLITwPKTzmianazmczciwsplitwpkt">
    <w:name w:val="ZZ/CZ_WSP_LIT_w_PKT – zmiana zm. części wsp. lit. w pkt"/>
    <w:basedOn w:val="ZZLITwPKTzmianazmlitwpkt"/>
    <w:uiPriority w:val="69"/>
    <w:qFormat/>
    <w:rsid w:val="000F42EA"/>
    <w:pPr>
      <w:ind w:left="2404" w:firstLine="0"/>
    </w:pPr>
  </w:style>
  <w:style w:type="paragraph" w:customStyle="1" w:styleId="ZLITLITwPKTzmlitwpktliter">
    <w:name w:val="Z_LIT/LIT_w_PKT – zm. lit. w pkt literą"/>
    <w:basedOn w:val="LITlitera"/>
    <w:uiPriority w:val="48"/>
    <w:qFormat/>
    <w:rsid w:val="000F42EA"/>
    <w:pPr>
      <w:ind w:left="1973"/>
    </w:pPr>
  </w:style>
  <w:style w:type="paragraph" w:customStyle="1" w:styleId="ZLITCZWSPLITwPKTzmczciwsplitwpktliter">
    <w:name w:val="Z_LIT/CZ_WSP_LIT_w_PKT – zm. części wsp. lit. w pkt literą"/>
    <w:basedOn w:val="CZWSPLITczwsplnaliter"/>
    <w:next w:val="LITlitera"/>
    <w:uiPriority w:val="51"/>
    <w:qFormat/>
    <w:rsid w:val="000F42EA"/>
    <w:pPr>
      <w:ind w:left="1497"/>
    </w:pPr>
  </w:style>
  <w:style w:type="paragraph" w:customStyle="1" w:styleId="ZLITTIRwPKTzmtirwpktliter">
    <w:name w:val="Z_LIT/TIR_w_PKT – zm. tir. w pkt literą"/>
    <w:basedOn w:val="TIRtiret"/>
    <w:uiPriority w:val="49"/>
    <w:qFormat/>
    <w:rsid w:val="000F42EA"/>
    <w:pPr>
      <w:ind w:left="2370"/>
    </w:pPr>
  </w:style>
  <w:style w:type="paragraph" w:customStyle="1" w:styleId="ZLITCZWSPTIRwPKTzmczciwsptirwpktliter">
    <w:name w:val="Z_LIT/CZ_WSP_TIR_w_PKT – zm. części wsp. tir. w pkt literą"/>
    <w:basedOn w:val="CZWSPTIRczwsplnatiret"/>
    <w:next w:val="LITlitera"/>
    <w:uiPriority w:val="51"/>
    <w:qFormat/>
    <w:rsid w:val="000F42EA"/>
    <w:pPr>
      <w:ind w:left="1973"/>
    </w:pPr>
  </w:style>
  <w:style w:type="paragraph" w:styleId="Tekstprzypisudolnego">
    <w:name w:val="footnote text"/>
    <w:basedOn w:val="Normalny"/>
    <w:link w:val="TekstprzypisudolnegoZnak"/>
    <w:uiPriority w:val="99"/>
    <w:semiHidden/>
    <w:qFormat/>
    <w:rsid w:val="000F42EA"/>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przypisudolnegoZnak">
    <w:name w:val="Tekst przypisu dolnego Znak"/>
    <w:basedOn w:val="Domylnaczcionkaakapitu"/>
    <w:link w:val="Tekstprzypisudolnego"/>
    <w:uiPriority w:val="99"/>
    <w:semiHidden/>
    <w:rsid w:val="000F42EA"/>
    <w:rPr>
      <w:rFonts w:ascii="Times" w:eastAsia="Times New Roman" w:hAnsi="Times" w:cs="Times New Roman"/>
      <w:sz w:val="24"/>
      <w:szCs w:val="24"/>
      <w:lang w:eastAsia="pl-PL"/>
    </w:rPr>
  </w:style>
  <w:style w:type="paragraph" w:customStyle="1" w:styleId="ZTIRLITzmlittiret">
    <w:name w:val="Z_TIR/LIT – zm. lit. tiret"/>
    <w:basedOn w:val="LITlitera"/>
    <w:uiPriority w:val="57"/>
    <w:qFormat/>
    <w:rsid w:val="000F42EA"/>
    <w:pPr>
      <w:ind w:left="1859"/>
    </w:pPr>
  </w:style>
  <w:style w:type="paragraph" w:customStyle="1" w:styleId="ZTIRCZWSPPKTzmczciwsppkttiret">
    <w:name w:val="Z_TIR/CZ_WSP_PKT – zm. części wsp. pkt tiret"/>
    <w:basedOn w:val="CZWSPLITczwsplnaliter"/>
    <w:next w:val="TIRtiret"/>
    <w:uiPriority w:val="58"/>
    <w:qFormat/>
    <w:rsid w:val="000F42EA"/>
    <w:pPr>
      <w:ind w:left="1383"/>
    </w:pPr>
  </w:style>
  <w:style w:type="paragraph" w:customStyle="1" w:styleId="ZTIRTIRzmtirtiret">
    <w:name w:val="Z_TIR/TIR – zm. tir. tiret"/>
    <w:basedOn w:val="TIRtiret"/>
    <w:uiPriority w:val="57"/>
    <w:qFormat/>
    <w:rsid w:val="000F42EA"/>
    <w:pPr>
      <w:ind w:left="1780"/>
    </w:pPr>
  </w:style>
  <w:style w:type="paragraph" w:customStyle="1" w:styleId="ZZCZWSPTIRwPKTzmianazmczciwsptirwpkt">
    <w:name w:val="ZZ/CZ_WSP_TIR_w_PKT – zmiana zm. części wsp. tir. w pkt"/>
    <w:basedOn w:val="ZZTIRwPKTzmianazmtirwpkt"/>
    <w:uiPriority w:val="70"/>
    <w:qFormat/>
    <w:rsid w:val="000F42EA"/>
    <w:pPr>
      <w:ind w:left="2880" w:firstLine="0"/>
    </w:pPr>
  </w:style>
  <w:style w:type="paragraph" w:customStyle="1" w:styleId="ZZTIRwLITzmianazmtirwlit">
    <w:name w:val="ZZ/TIR_w_LIT – zmiana zm. tir. w lit."/>
    <w:basedOn w:val="ZZTIRzmianazmtir"/>
    <w:uiPriority w:val="67"/>
    <w:qFormat/>
    <w:rsid w:val="000F42EA"/>
    <w:pPr>
      <w:ind w:left="2767"/>
    </w:pPr>
  </w:style>
  <w:style w:type="paragraph" w:customStyle="1" w:styleId="ZTIRTIRwLITzmtirwlittiret">
    <w:name w:val="Z_TIR/TIR_w_LIT – zm. tir. w lit. tiret"/>
    <w:basedOn w:val="TIRtiret"/>
    <w:uiPriority w:val="57"/>
    <w:qFormat/>
    <w:rsid w:val="000F42EA"/>
    <w:pPr>
      <w:ind w:left="2257"/>
    </w:pPr>
  </w:style>
  <w:style w:type="paragraph" w:customStyle="1" w:styleId="ZTIRCZWSPTIRwLITzmczciwsptirwlittiret">
    <w:name w:val="Z_TIR/CZ_WSP_TIR_w_LIT – zm. części wsp. tir. w lit. tiret"/>
    <w:basedOn w:val="CZWSPTIRczwsplnatiret"/>
    <w:next w:val="TIRtiret"/>
    <w:uiPriority w:val="60"/>
    <w:qFormat/>
    <w:rsid w:val="000F42EA"/>
    <w:pPr>
      <w:ind w:left="1860"/>
    </w:pPr>
  </w:style>
  <w:style w:type="paragraph" w:customStyle="1" w:styleId="CZWSP2TIRczwsplnapodwjnychtiret">
    <w:name w:val="CZ_WSP_2TIR – część wspólna podwójnych tiret"/>
    <w:basedOn w:val="CZWSPTIRczwsplnatiret"/>
    <w:next w:val="TIRtiret"/>
    <w:uiPriority w:val="73"/>
    <w:qFormat/>
    <w:rsid w:val="000F42EA"/>
    <w:pPr>
      <w:ind w:left="1780"/>
    </w:pPr>
  </w:style>
  <w:style w:type="paragraph" w:customStyle="1" w:styleId="Z2TIRzmpodwtirartykuempunktem">
    <w:name w:val="Z/2TIR – zm. podw. tir. artykułem (punktem)"/>
    <w:basedOn w:val="TIRtiret"/>
    <w:uiPriority w:val="73"/>
    <w:qFormat/>
    <w:rsid w:val="000F42EA"/>
    <w:pPr>
      <w:ind w:left="907"/>
    </w:pPr>
  </w:style>
  <w:style w:type="paragraph" w:customStyle="1" w:styleId="ZZCZWSPTIRwLITzmianazmczciwsptirwlit">
    <w:name w:val="ZZ/CZ_WSP_TIR_w_LIT – zmiana zm. części wsp. tir. w lit."/>
    <w:basedOn w:val="ZZTIRwLITzmianazmtirwlit"/>
    <w:uiPriority w:val="70"/>
    <w:qFormat/>
    <w:rsid w:val="000F42EA"/>
    <w:pPr>
      <w:ind w:left="2370" w:firstLine="0"/>
    </w:pPr>
  </w:style>
  <w:style w:type="paragraph" w:customStyle="1" w:styleId="ZLIT2TIRzmpodwtirliter">
    <w:name w:val="Z_LIT/2TIR – zm. podw. tir. literą"/>
    <w:basedOn w:val="TIRtiret"/>
    <w:uiPriority w:val="75"/>
    <w:qFormat/>
    <w:rsid w:val="000F42EA"/>
  </w:style>
  <w:style w:type="paragraph" w:customStyle="1" w:styleId="ZTIR2TIRzmpodwtirtiret">
    <w:name w:val="Z_TIR/2TIR – zm. podw. tir. tiret"/>
    <w:basedOn w:val="TIRtiret"/>
    <w:uiPriority w:val="78"/>
    <w:qFormat/>
    <w:rsid w:val="000F42E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0F42EA"/>
    <w:pPr>
      <w:ind w:left="1780"/>
    </w:pPr>
  </w:style>
  <w:style w:type="paragraph" w:customStyle="1" w:styleId="Z2TIRwPKTzmpodwtirwpktartykuempunktem">
    <w:name w:val="Z/2TIR_w_PKT – zm. podw. tir. w pkt artykułem (punktem)"/>
    <w:basedOn w:val="TIRtiret"/>
    <w:next w:val="ZPKTzmpktartykuempunktem"/>
    <w:uiPriority w:val="74"/>
    <w:qFormat/>
    <w:rsid w:val="000F42EA"/>
    <w:pPr>
      <w:ind w:left="2291"/>
    </w:pPr>
  </w:style>
  <w:style w:type="paragraph" w:customStyle="1" w:styleId="ZTIRPKTzmpkttiret">
    <w:name w:val="Z_TIR/PKT – zm. pkt tiret"/>
    <w:basedOn w:val="PKTpunkt"/>
    <w:uiPriority w:val="56"/>
    <w:qFormat/>
    <w:rsid w:val="000F42EA"/>
    <w:pPr>
      <w:ind w:left="1893"/>
    </w:pPr>
  </w:style>
  <w:style w:type="paragraph" w:customStyle="1" w:styleId="ZTIRLITwPKTzmlitwpkttiret">
    <w:name w:val="Z_TIR/LIT_w_PKT – zm. lit. w pkt tiret"/>
    <w:basedOn w:val="LITlitera"/>
    <w:uiPriority w:val="57"/>
    <w:qFormat/>
    <w:rsid w:val="000F42EA"/>
    <w:pPr>
      <w:ind w:left="2336"/>
    </w:pPr>
  </w:style>
  <w:style w:type="paragraph" w:customStyle="1" w:styleId="ZTIRCZWSPLITwPKTzmczciwsplitwpkttiret">
    <w:name w:val="Z_TIR/CZ_WSP_LIT_w_PKT – zm. części wsp. lit. w pkt tiret"/>
    <w:basedOn w:val="CZWSPLITczwsplnaliter"/>
    <w:uiPriority w:val="59"/>
    <w:qFormat/>
    <w:rsid w:val="000F42EA"/>
    <w:pPr>
      <w:ind w:left="1860"/>
    </w:pPr>
  </w:style>
  <w:style w:type="paragraph" w:customStyle="1" w:styleId="ZTIR2TIRwLITzmpodwtirwlittiret">
    <w:name w:val="Z_TIR/2TIR_w_LIT – zm. podw. tir. w lit. tiret"/>
    <w:basedOn w:val="TIRtiret"/>
    <w:uiPriority w:val="79"/>
    <w:qFormat/>
    <w:rsid w:val="000F42E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0F42EA"/>
    <w:pPr>
      <w:ind w:left="2257"/>
    </w:pPr>
  </w:style>
  <w:style w:type="paragraph" w:customStyle="1" w:styleId="ZTIR2TIRwTIRzmpodwtirwtirtiret">
    <w:name w:val="Z_TIR/2TIR_w_TIR – zm. podw. tir. w tir. tiret"/>
    <w:basedOn w:val="TIRtiret"/>
    <w:uiPriority w:val="78"/>
    <w:qFormat/>
    <w:rsid w:val="000F42EA"/>
    <w:pPr>
      <w:ind w:left="2177"/>
    </w:pPr>
  </w:style>
  <w:style w:type="paragraph" w:customStyle="1" w:styleId="ZTIRCZWSP2TIRwTIRzmczciwsppodwtirwtirtiret">
    <w:name w:val="Z_TIR/CZ_WSP_2TIR_w_TIR – zm. części wsp. podw. tir. w tir. tiret"/>
    <w:basedOn w:val="CZWSPTIRczwsplnatiret"/>
    <w:uiPriority w:val="79"/>
    <w:qFormat/>
    <w:rsid w:val="000F42EA"/>
    <w:pPr>
      <w:ind w:left="1780"/>
    </w:pPr>
  </w:style>
  <w:style w:type="paragraph" w:customStyle="1" w:styleId="Z2TIRLITzmlitpodwjnymtiret">
    <w:name w:val="Z_2TIR/LIT – zm. lit. podwójnym tiret"/>
    <w:basedOn w:val="LITlitera"/>
    <w:uiPriority w:val="84"/>
    <w:qFormat/>
    <w:rsid w:val="000F42EA"/>
    <w:pPr>
      <w:ind w:left="2256"/>
    </w:pPr>
  </w:style>
  <w:style w:type="paragraph" w:customStyle="1" w:styleId="ZZ2TIRwTIRzmianazmpodwtirwtir">
    <w:name w:val="ZZ/2TIR_w_TIR – zmiana zm. podw. tir. w tir."/>
    <w:basedOn w:val="ZZCZWSP2TIRzmianazmczciwsppodwtir"/>
    <w:uiPriority w:val="93"/>
    <w:qFormat/>
    <w:rsid w:val="000F42EA"/>
    <w:pPr>
      <w:ind w:left="2688" w:hanging="397"/>
    </w:pPr>
  </w:style>
  <w:style w:type="paragraph" w:customStyle="1" w:styleId="ZZ2TIRwLITzmianazmpodwtirwlit">
    <w:name w:val="ZZ/2TIR_w_LIT – zmiana zm. podw. tir. w lit."/>
    <w:basedOn w:val="ZZ2TIRwTIRzmianazmpodwtirwtir"/>
    <w:uiPriority w:val="94"/>
    <w:qFormat/>
    <w:rsid w:val="000F42EA"/>
    <w:pPr>
      <w:ind w:left="3164"/>
    </w:pPr>
  </w:style>
  <w:style w:type="paragraph" w:customStyle="1" w:styleId="Z2TIRTIRwLITzmtirwlitpodwjnymtiret">
    <w:name w:val="Z_2TIR/TIR_w_LIT – zm. tir. w lit. podwójnym tiret"/>
    <w:basedOn w:val="TIRtiret"/>
    <w:uiPriority w:val="84"/>
    <w:qFormat/>
    <w:rsid w:val="000F42E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0F42EA"/>
    <w:pPr>
      <w:ind w:left="2257"/>
    </w:pPr>
  </w:style>
  <w:style w:type="paragraph" w:customStyle="1" w:styleId="ZZ2TIRwPKTzmianazmpodwtirwpkt">
    <w:name w:val="ZZ/2TIR_w_PKT – zmiana zm. podw. tir. w pkt"/>
    <w:basedOn w:val="ZZ2TIRwLITzmianazmpodwtirwlit"/>
    <w:uiPriority w:val="94"/>
    <w:qFormat/>
    <w:rsid w:val="000F42EA"/>
    <w:pPr>
      <w:ind w:left="3674"/>
    </w:pPr>
  </w:style>
  <w:style w:type="paragraph" w:customStyle="1" w:styleId="ZZCZWSP2TIRwTIRzmianazmczciwsppodwtirwtir">
    <w:name w:val="ZZ/CZ_WSP_2TIR_w_TIR – zmiana zm. części wsp. podw. tir. w tir."/>
    <w:basedOn w:val="ZZ2TIRwLITzmianazmpodwtirwlit"/>
    <w:uiPriority w:val="94"/>
    <w:qFormat/>
    <w:rsid w:val="000F42EA"/>
    <w:pPr>
      <w:ind w:left="2291" w:firstLine="0"/>
    </w:pPr>
  </w:style>
  <w:style w:type="paragraph" w:customStyle="1" w:styleId="Z2TIR2TIRwTIRzmpodwtirwtirpodwjnymtiret">
    <w:name w:val="Z_2TIR/2TIR_w_TIR – zm. podw. tir. w tir. podwójnym tiret"/>
    <w:basedOn w:val="TIRtiret"/>
    <w:uiPriority w:val="85"/>
    <w:qFormat/>
    <w:rsid w:val="000F42E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0F42EA"/>
    <w:pPr>
      <w:ind w:left="2177"/>
    </w:pPr>
  </w:style>
  <w:style w:type="paragraph" w:customStyle="1" w:styleId="Z2TIR2TIRwLITzmpodwtirwlitpodwjnymtiret">
    <w:name w:val="Z_2TIR/2TIR_w_LIT – zm. podw. tir. w lit. podwójnym tiret"/>
    <w:basedOn w:val="TIRtiret"/>
    <w:uiPriority w:val="86"/>
    <w:qFormat/>
    <w:rsid w:val="000F42E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0F42E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0F42E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0F42EA"/>
    <w:pPr>
      <w:spacing w:after="120"/>
      <w:ind w:left="510"/>
    </w:pPr>
    <w:rPr>
      <w:b w:val="0"/>
    </w:rPr>
  </w:style>
  <w:style w:type="character" w:styleId="Odwoaniedokomentarza">
    <w:name w:val="annotation reference"/>
    <w:basedOn w:val="Domylnaczcionkaakapitu"/>
    <w:uiPriority w:val="99"/>
    <w:semiHidden/>
    <w:rsid w:val="000F42EA"/>
    <w:rPr>
      <w:sz w:val="16"/>
      <w:szCs w:val="16"/>
    </w:rPr>
  </w:style>
  <w:style w:type="paragraph" w:styleId="Tekstkomentarza">
    <w:name w:val="annotation text"/>
    <w:basedOn w:val="Normalny"/>
    <w:link w:val="TekstkomentarzaZnak"/>
    <w:uiPriority w:val="99"/>
    <w:semiHidden/>
    <w:rsid w:val="000F42EA"/>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komentarzaZnak">
    <w:name w:val="Tekst komentarza Znak"/>
    <w:basedOn w:val="Domylnaczcionkaakapitu"/>
    <w:link w:val="Tekstkomentarza"/>
    <w:uiPriority w:val="99"/>
    <w:semiHidden/>
    <w:rsid w:val="000F42EA"/>
    <w:rPr>
      <w:rFonts w:ascii="Times" w:eastAsia="Times New Roman" w:hAnsi="Times" w:cs="Times New Roman"/>
      <w:sz w:val="24"/>
      <w:szCs w:val="24"/>
      <w:lang w:eastAsia="pl-PL"/>
    </w:rPr>
  </w:style>
  <w:style w:type="paragraph" w:styleId="Tematkomentarza">
    <w:name w:val="annotation subject"/>
    <w:basedOn w:val="Tekstkomentarza"/>
    <w:next w:val="Tekstkomentarza"/>
    <w:link w:val="TematkomentarzaZnak"/>
    <w:uiPriority w:val="99"/>
    <w:semiHidden/>
    <w:rsid w:val="000F42EA"/>
    <w:rPr>
      <w:b/>
      <w:bCs/>
    </w:rPr>
  </w:style>
  <w:style w:type="character" w:customStyle="1" w:styleId="TematkomentarzaZnak">
    <w:name w:val="Temat komentarza Znak"/>
    <w:basedOn w:val="TekstkomentarzaZnak"/>
    <w:link w:val="Tematkomentarza"/>
    <w:uiPriority w:val="99"/>
    <w:semiHidden/>
    <w:rsid w:val="000F42EA"/>
    <w:rPr>
      <w:rFonts w:ascii="Times" w:eastAsia="Times New Roman" w:hAnsi="Times" w:cs="Times New Roman"/>
      <w:b/>
      <w:bCs/>
      <w:sz w:val="24"/>
      <w:szCs w:val="24"/>
      <w:lang w:eastAsia="pl-PL"/>
    </w:rPr>
  </w:style>
  <w:style w:type="paragraph" w:customStyle="1" w:styleId="ZZARTzmianazmart">
    <w:name w:val="ZZ/ART(§) – zmiana zm. art. (§)"/>
    <w:basedOn w:val="ZARTzmartartykuempunktem"/>
    <w:uiPriority w:val="65"/>
    <w:qFormat/>
    <w:rsid w:val="000F42EA"/>
    <w:pPr>
      <w:ind w:left="1894"/>
    </w:pPr>
  </w:style>
  <w:style w:type="paragraph" w:customStyle="1" w:styleId="ZZPKTzmianazmpkt">
    <w:name w:val="ZZ/PKT – zmiana zm. pkt"/>
    <w:basedOn w:val="ZPKTzmpktartykuempunktem"/>
    <w:uiPriority w:val="66"/>
    <w:qFormat/>
    <w:rsid w:val="000F42EA"/>
    <w:pPr>
      <w:ind w:left="2404"/>
    </w:pPr>
  </w:style>
  <w:style w:type="paragraph" w:customStyle="1" w:styleId="ZZLITwPKTzmianazmlitwpkt">
    <w:name w:val="ZZ/LIT_w_PKT – zmiana zm. lit. w pkt"/>
    <w:basedOn w:val="ZLITwPKTzmlitwpktartykuempunktem"/>
    <w:uiPriority w:val="67"/>
    <w:qFormat/>
    <w:rsid w:val="000F42EA"/>
    <w:pPr>
      <w:ind w:left="2880"/>
    </w:pPr>
  </w:style>
  <w:style w:type="paragraph" w:customStyle="1" w:styleId="ZZTIRwPKTzmianazmtirwpkt">
    <w:name w:val="ZZ/TIR_w_PKT – zmiana zm. tir. w pkt"/>
    <w:basedOn w:val="ZTIRwPKTzmtirwpktartykuempunktem"/>
    <w:uiPriority w:val="67"/>
    <w:qFormat/>
    <w:rsid w:val="000F42EA"/>
    <w:pPr>
      <w:ind w:left="3277"/>
    </w:pPr>
  </w:style>
  <w:style w:type="paragraph" w:customStyle="1" w:styleId="ZZWMATFIZCHEMzmwzorumatfizlubchem">
    <w:name w:val="ZZ/W_MAT(FIZ|CHEM) – zm. wzoru mat. (fiz. lub chem.)"/>
    <w:basedOn w:val="ZWMATFIZCHEMzmwzorumatfizlubchemartykuempunktem"/>
    <w:uiPriority w:val="71"/>
    <w:qFormat/>
    <w:rsid w:val="000F42EA"/>
    <w:pPr>
      <w:ind w:left="2404"/>
    </w:pPr>
  </w:style>
  <w:style w:type="paragraph" w:customStyle="1" w:styleId="ODNONIKtreodnonika">
    <w:name w:val="ODNOŚNIK – treść odnośnika"/>
    <w:uiPriority w:val="19"/>
    <w:qFormat/>
    <w:rsid w:val="000F42EA"/>
    <w:pPr>
      <w:spacing w:after="0" w:line="240" w:lineRule="auto"/>
      <w:ind w:left="284" w:hanging="284"/>
      <w:jc w:val="both"/>
    </w:pPr>
    <w:rPr>
      <w:rFonts w:ascii="Times New Roman" w:eastAsia="Times New Roman"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0F42E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0F42E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0F42EA"/>
    <w:rPr>
      <w:rFonts w:ascii="Times New Roman" w:hAnsi="Times New Roman"/>
    </w:rPr>
  </w:style>
  <w:style w:type="paragraph" w:customStyle="1" w:styleId="ZTIRTIRwPKTzmtirwpkttiret">
    <w:name w:val="Z_TIR/TIR_w_PKT – zm. tir. w pkt tiret"/>
    <w:basedOn w:val="ZTIRTIRwLITzmtirwlittiret"/>
    <w:uiPriority w:val="57"/>
    <w:qFormat/>
    <w:rsid w:val="000F42EA"/>
    <w:pPr>
      <w:ind w:left="2733"/>
    </w:pPr>
  </w:style>
  <w:style w:type="paragraph" w:customStyle="1" w:styleId="ZTIRCZWSPTIRwPKTzmczciwsptirtiret">
    <w:name w:val="Z_TIR/CZ_WSP_TIR_w_PKT – zm. części wsp. tir. tiret"/>
    <w:basedOn w:val="ZTIRTIRwPKTzmtirwpkttiret"/>
    <w:next w:val="TIRtiret"/>
    <w:uiPriority w:val="60"/>
    <w:qFormat/>
    <w:rsid w:val="000F42E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0F42EA"/>
    <w:pPr>
      <w:ind w:left="510" w:firstLine="0"/>
    </w:pPr>
  </w:style>
  <w:style w:type="paragraph" w:customStyle="1" w:styleId="ROZDZODDZOZNoznaczenierozdziauluboddziau">
    <w:name w:val="ROZDZ(ODDZ)_OZN – oznaczenie rozdziału lub oddziału"/>
    <w:next w:val="ARTartustawynprozporzdzenia"/>
    <w:uiPriority w:val="10"/>
    <w:qFormat/>
    <w:rsid w:val="000F42EA"/>
    <w:pPr>
      <w:keepNext/>
      <w:suppressAutoHyphens/>
      <w:spacing w:before="120" w:after="0" w:line="360" w:lineRule="auto"/>
      <w:jc w:val="center"/>
    </w:pPr>
    <w:rPr>
      <w:rFonts w:ascii="Times" w:eastAsia="Times New Roman"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0F42EA"/>
    <w:pPr>
      <w:ind w:left="2177"/>
    </w:pPr>
  </w:style>
  <w:style w:type="paragraph" w:customStyle="1" w:styleId="Z2TIRTIRzmtirpodwjnymtiret">
    <w:name w:val="Z_2TIR/TIR – zm. tir. podwójnym tiret"/>
    <w:basedOn w:val="TIRtiret"/>
    <w:uiPriority w:val="84"/>
    <w:qFormat/>
    <w:rsid w:val="000F42E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0F42EA"/>
    <w:pPr>
      <w:ind w:left="1021"/>
    </w:pPr>
  </w:style>
  <w:style w:type="paragraph" w:customStyle="1" w:styleId="ZLITSKARNzmsankcjikarnejliter">
    <w:name w:val="Z_LIT/S_KARN – zm. sankcji karnej literą"/>
    <w:basedOn w:val="ZSKARNzmsankcjikarnejwszczeglnociwKodeksiekarnym"/>
    <w:uiPriority w:val="53"/>
    <w:qFormat/>
    <w:rsid w:val="000F42E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0F42E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0F42EA"/>
    <w:pPr>
      <w:ind w:left="1894" w:firstLine="0"/>
    </w:pPr>
  </w:style>
  <w:style w:type="paragraph" w:customStyle="1" w:styleId="Z2TIRwLITzmpodwtirwlitartykuempunktem">
    <w:name w:val="Z/2TIR_w_LIT – zm. podw. tir. w lit. artykułem (punktem)"/>
    <w:basedOn w:val="Z2TIRwPKTzmpodwtirwpktartykuempunktem"/>
    <w:uiPriority w:val="74"/>
    <w:qFormat/>
    <w:rsid w:val="000F42EA"/>
    <w:pPr>
      <w:ind w:left="1780"/>
    </w:pPr>
  </w:style>
  <w:style w:type="paragraph" w:customStyle="1" w:styleId="Z2TIRwTIRzmpodwtirwtirartykuempunktem">
    <w:name w:val="Z/2TIR_w_TIR – zm. podw. tir. w tir. artykułem (punktem)"/>
    <w:basedOn w:val="Z2TIRwLITzmpodwtirwlitartykuempunktem"/>
    <w:uiPriority w:val="73"/>
    <w:qFormat/>
    <w:rsid w:val="000F42E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0F42E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0F42EA"/>
    <w:pPr>
      <w:ind w:left="1383" w:firstLine="0"/>
    </w:pPr>
  </w:style>
  <w:style w:type="paragraph" w:customStyle="1" w:styleId="ZZCZWSP2TIRzmianazmczciwsppodwtir">
    <w:name w:val="ZZ/CZ_WSP_2TIR – zmiana zm. części wsp. podw. tir."/>
    <w:basedOn w:val="ZZTIRzmianazmtir"/>
    <w:next w:val="ZZUSTzmianazmust"/>
    <w:uiPriority w:val="94"/>
    <w:qFormat/>
    <w:rsid w:val="000F42EA"/>
    <w:pPr>
      <w:ind w:left="1894" w:firstLine="0"/>
    </w:pPr>
  </w:style>
  <w:style w:type="paragraph" w:customStyle="1" w:styleId="PKTODNONIKApunktodnonika">
    <w:name w:val="PKT_ODNOŚNIKA – punkt odnośnika"/>
    <w:basedOn w:val="ODNONIKtreodnonika"/>
    <w:uiPriority w:val="19"/>
    <w:qFormat/>
    <w:rsid w:val="000F42EA"/>
    <w:pPr>
      <w:ind w:left="568"/>
    </w:pPr>
  </w:style>
  <w:style w:type="paragraph" w:customStyle="1" w:styleId="ZODNONIKAzmtekstuodnonikaartykuempunktem">
    <w:name w:val="Z/ODNOŚNIKA – zm. tekstu odnośnika artykułem (punktem)"/>
    <w:basedOn w:val="ODNONIKtreodnonika"/>
    <w:uiPriority w:val="39"/>
    <w:qFormat/>
    <w:rsid w:val="000F42E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0F42EA"/>
    <w:pPr>
      <w:ind w:left="1304"/>
    </w:pPr>
  </w:style>
  <w:style w:type="paragraph" w:customStyle="1" w:styleId="ZPKTODNONIKAzmpktodnonikaartykuempunktem">
    <w:name w:val="Z/PKT_ODNOŚNIKA – zm. pkt odnośnika artykułem (punktem)"/>
    <w:basedOn w:val="ZODNONIKAzmtekstuodnonikaartykuempunktem"/>
    <w:uiPriority w:val="39"/>
    <w:qFormat/>
    <w:rsid w:val="000F42EA"/>
  </w:style>
  <w:style w:type="paragraph" w:customStyle="1" w:styleId="ZLIT2TIRwTIRzmpodwtirwtirliter">
    <w:name w:val="Z_LIT/2TIR_w_TIR – zm. podw. tir. w tir. literą"/>
    <w:basedOn w:val="ZLIT2TIRzmpodwtirliter"/>
    <w:uiPriority w:val="75"/>
    <w:qFormat/>
    <w:rsid w:val="000F42EA"/>
    <w:pPr>
      <w:ind w:left="1780"/>
    </w:pPr>
  </w:style>
  <w:style w:type="paragraph" w:customStyle="1" w:styleId="ZLIT2TIRwLITzmpodwtirwlitliter">
    <w:name w:val="Z_LIT/2TIR_w_LIT – zm. podw. tir. w lit. literą"/>
    <w:basedOn w:val="ZLIT2TIRwTIRzmpodwtirwtirliter"/>
    <w:uiPriority w:val="76"/>
    <w:qFormat/>
    <w:rsid w:val="000F42EA"/>
    <w:pPr>
      <w:ind w:left="2257"/>
    </w:pPr>
  </w:style>
  <w:style w:type="paragraph" w:customStyle="1" w:styleId="ZLIT2TIRwPKTzmpodwtirwpktliter">
    <w:name w:val="Z_LIT/2TIR_w_PKT – zm. podw. tir. w pkt literą"/>
    <w:basedOn w:val="ZLIT2TIRwLITzmpodwtirwlitliter"/>
    <w:uiPriority w:val="76"/>
    <w:qFormat/>
    <w:rsid w:val="000F42E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0F42E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0F42E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0F42EA"/>
    <w:pPr>
      <w:ind w:left="2370" w:firstLine="0"/>
    </w:pPr>
  </w:style>
  <w:style w:type="paragraph" w:customStyle="1" w:styleId="ZTIR2TIRwPKTzmpodwtirwpkttiret">
    <w:name w:val="Z_TIR/2TIR_w_PKT – zm. podw. tir. w pkt tiret"/>
    <w:basedOn w:val="ZTIR2TIRwLITzmpodwtirwlittiret"/>
    <w:uiPriority w:val="79"/>
    <w:qFormat/>
    <w:rsid w:val="000F42E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0F42E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0F42EA"/>
    <w:pPr>
      <w:ind w:left="2767"/>
    </w:pPr>
  </w:style>
  <w:style w:type="paragraph" w:customStyle="1" w:styleId="ZZCZWSP2TIRwPKTzmianazmczciwsppodwtirwpkt">
    <w:name w:val="ZZ/CZ_WSP_2TIR_w_PKT – zmiana zm. części wsp. podw. tir. w pkt"/>
    <w:basedOn w:val="ZZ2TIRwLITzmianazmpodwtirwlit"/>
    <w:uiPriority w:val="95"/>
    <w:qFormat/>
    <w:rsid w:val="000F42E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0F42EA"/>
  </w:style>
  <w:style w:type="paragraph" w:customStyle="1" w:styleId="ZLITCZWSP2TIRzmczciwsppodwtirliter">
    <w:name w:val="Z_LIT/CZ_WSP_2TIR – zm. części wsp. podw. tir. literą"/>
    <w:basedOn w:val="ZLITCZWSPPKTzmczciwsppktliter"/>
    <w:next w:val="LITlitera"/>
    <w:uiPriority w:val="76"/>
    <w:qFormat/>
    <w:rsid w:val="000F42EA"/>
  </w:style>
  <w:style w:type="paragraph" w:customStyle="1" w:styleId="ZTIRCZWSP2TIRzmczciwsppodwtirtiret">
    <w:name w:val="Z_TIR/CZ_WSP_2TIR – zm. części wsp. podw. tir. tiret"/>
    <w:basedOn w:val="ZLITCZWSP2TIRzmczciwsppodwtirliter"/>
    <w:next w:val="TIRtiret"/>
    <w:uiPriority w:val="79"/>
    <w:qFormat/>
    <w:rsid w:val="000F42EA"/>
  </w:style>
  <w:style w:type="paragraph" w:customStyle="1" w:styleId="ZZ2TIRzmianazmpodwtir">
    <w:name w:val="ZZ/2TIR – zmiana zm. podw. tir."/>
    <w:basedOn w:val="ZZCZWSP2TIRzmianazmczciwsppodwtir"/>
    <w:uiPriority w:val="93"/>
    <w:qFormat/>
    <w:rsid w:val="000F42E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0F42EA"/>
  </w:style>
  <w:style w:type="paragraph" w:customStyle="1" w:styleId="ZCZWSPTIRzmczciwsptirartykuempunktem">
    <w:name w:val="Z/CZ_WSP_TIR – zm. części wsp. tir. artykułem (punktem)"/>
    <w:basedOn w:val="ZCZWSPPKTzmczciwsppktartykuempunktem"/>
    <w:next w:val="PKTpunkt"/>
    <w:uiPriority w:val="35"/>
    <w:qFormat/>
    <w:rsid w:val="000F42EA"/>
  </w:style>
  <w:style w:type="paragraph" w:customStyle="1" w:styleId="ZLITCZWSPLITzmczciwsplitliter">
    <w:name w:val="Z_LIT/CZ_WSP_LIT – zm. części wsp. lit. literą"/>
    <w:basedOn w:val="ZLITCZWSPPKTzmczciwsppktliter"/>
    <w:next w:val="LITlitera"/>
    <w:uiPriority w:val="51"/>
    <w:qFormat/>
    <w:rsid w:val="000F42EA"/>
  </w:style>
  <w:style w:type="paragraph" w:customStyle="1" w:styleId="ZLITCZWSPTIRzmczciwsptirliter">
    <w:name w:val="Z_LIT/CZ_WSP_TIR – zm. części wsp. tir. literą"/>
    <w:basedOn w:val="ZLITCZWSPPKTzmczciwsppktliter"/>
    <w:next w:val="LITlitera"/>
    <w:uiPriority w:val="51"/>
    <w:qFormat/>
    <w:rsid w:val="000F42EA"/>
  </w:style>
  <w:style w:type="paragraph" w:customStyle="1" w:styleId="ZTIRCZWSPLITzmczciwsplittiret">
    <w:name w:val="Z_TIR/CZ_WSP_LIT – zm. części wsp. lit. tiret"/>
    <w:basedOn w:val="ZTIRCZWSPPKTzmczciwsppkttiret"/>
    <w:next w:val="TIRtiret"/>
    <w:uiPriority w:val="59"/>
    <w:qFormat/>
    <w:rsid w:val="000F42EA"/>
  </w:style>
  <w:style w:type="paragraph" w:customStyle="1" w:styleId="ZTIRCZWSPTIRzmczciwsptirtiret">
    <w:name w:val="Z_TIR/CZ_WSP_TIR – zm. części wsp. tir. tiret"/>
    <w:basedOn w:val="ZTIRCZWSPPKTzmczciwsppkttiret"/>
    <w:next w:val="TIRtiret"/>
    <w:uiPriority w:val="60"/>
    <w:qFormat/>
    <w:rsid w:val="000F42EA"/>
  </w:style>
  <w:style w:type="paragraph" w:customStyle="1" w:styleId="ZZCZWSPLITzmianazmczciwsplit">
    <w:name w:val="ZZ/CZ_WSP_LIT – zmiana. zm. części wsp. lit."/>
    <w:basedOn w:val="ZZCZWSPPKTzmianazmczciwsppkt"/>
    <w:uiPriority w:val="69"/>
    <w:qFormat/>
    <w:rsid w:val="000F42EA"/>
  </w:style>
  <w:style w:type="paragraph" w:customStyle="1" w:styleId="ZZCZWSPTIRzmianazmczciwsptir">
    <w:name w:val="ZZ/CZ_WSP_TIR – zmiana. zm. części wsp. tir."/>
    <w:basedOn w:val="ZZCZWSPPKTzmianazmczciwsppkt"/>
    <w:uiPriority w:val="69"/>
    <w:qFormat/>
    <w:rsid w:val="000F42EA"/>
  </w:style>
  <w:style w:type="paragraph" w:customStyle="1" w:styleId="Z2TIRCZWSPTIRzmczciwsptirpodwjnymtiret">
    <w:name w:val="Z_2TIR/CZ_WSP_TIR – zm. części wsp. tir. podwójnym tiret"/>
    <w:basedOn w:val="Z2TIRCZWSPLITzmczciwsplitpodwjnymtiret"/>
    <w:next w:val="2TIRpodwjnytiret"/>
    <w:uiPriority w:val="87"/>
    <w:qFormat/>
    <w:rsid w:val="000F42E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0F42EA"/>
  </w:style>
  <w:style w:type="paragraph" w:customStyle="1" w:styleId="ZUSTzmustartykuempunktem">
    <w:name w:val="Z/UST(§) – zm. ust. (§) artykułem (punktem)"/>
    <w:basedOn w:val="ZARTzmartartykuempunktem"/>
    <w:uiPriority w:val="30"/>
    <w:qFormat/>
    <w:rsid w:val="000F42EA"/>
  </w:style>
  <w:style w:type="paragraph" w:customStyle="1" w:styleId="ZZUSTzmianazmust">
    <w:name w:val="ZZ/UST(§) – zmiana zm. ust. (§)"/>
    <w:basedOn w:val="ZZARTzmianazmart"/>
    <w:uiPriority w:val="65"/>
    <w:qFormat/>
    <w:rsid w:val="000F42EA"/>
  </w:style>
  <w:style w:type="paragraph" w:customStyle="1" w:styleId="TYTDZPRZEDMprzedmiotregulacjitytuulubdziau">
    <w:name w:val="TYT(DZ)_PRZEDM – przedmiot regulacji tytułu lub działu"/>
    <w:next w:val="ARTartustawynprozporzdzenia"/>
    <w:uiPriority w:val="9"/>
    <w:qFormat/>
    <w:rsid w:val="000F42EA"/>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0F42E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0F42E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0F42E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0F42E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0F42E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0F42EA"/>
    <w:pPr>
      <w:ind w:left="1894"/>
    </w:pPr>
  </w:style>
  <w:style w:type="paragraph" w:customStyle="1" w:styleId="P1wTABELIpoziom1numeracjiwtabeli">
    <w:name w:val="P1_w_TABELI – poziom 1 numeracji w tabeli"/>
    <w:basedOn w:val="PKTpunkt"/>
    <w:uiPriority w:val="24"/>
    <w:qFormat/>
    <w:rsid w:val="000F42E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0F42EA"/>
    <w:pPr>
      <w:ind w:left="0" w:firstLine="0"/>
    </w:pPr>
  </w:style>
  <w:style w:type="paragraph" w:customStyle="1" w:styleId="P2wTABELIpoziom2numeracjiwtabeli">
    <w:name w:val="P2_w_TABELI – poziom 2 numeracji w tabeli"/>
    <w:basedOn w:val="P1wTABELIpoziom1numeracjiwtabeli"/>
    <w:uiPriority w:val="24"/>
    <w:qFormat/>
    <w:rsid w:val="000F42EA"/>
    <w:pPr>
      <w:ind w:left="794"/>
    </w:pPr>
  </w:style>
  <w:style w:type="paragraph" w:customStyle="1" w:styleId="P3wTABELIpoziom3numeracjiwtabeli">
    <w:name w:val="P3_w_TABELI – poziom 3 numeracji w tabeli"/>
    <w:basedOn w:val="P2wTABELIpoziom2numeracjiwtabeli"/>
    <w:uiPriority w:val="24"/>
    <w:qFormat/>
    <w:rsid w:val="000F42E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0F42E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0F42E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0F42EA"/>
    <w:pPr>
      <w:ind w:left="1191"/>
    </w:pPr>
  </w:style>
  <w:style w:type="paragraph" w:customStyle="1" w:styleId="P4wTABELIpoziom4numeracjiwtabeli">
    <w:name w:val="P4_w_TABELI – poziom 4 numeracji w tabeli"/>
    <w:basedOn w:val="P3wTABELIpoziom3numeracjiwtabeli"/>
    <w:uiPriority w:val="24"/>
    <w:qFormat/>
    <w:rsid w:val="000F42EA"/>
    <w:pPr>
      <w:ind w:left="1588"/>
    </w:pPr>
  </w:style>
  <w:style w:type="paragraph" w:customStyle="1" w:styleId="TYTTABELItytutabeli">
    <w:name w:val="TYT_TABELI – tytuł tabeli"/>
    <w:basedOn w:val="TYTDZOZNoznaczenietytuulubdziau"/>
    <w:uiPriority w:val="22"/>
    <w:qFormat/>
    <w:rsid w:val="000F42EA"/>
    <w:rPr>
      <w:b/>
    </w:rPr>
  </w:style>
  <w:style w:type="paragraph" w:customStyle="1" w:styleId="OZNPROJEKTUwskazaniedatylubwersjiprojektu">
    <w:name w:val="OZN_PROJEKTU – wskazanie daty lub wersji projektu"/>
    <w:next w:val="OZNRODZAKTUtznustawalubrozporzdzenieiorganwydajcy"/>
    <w:uiPriority w:val="5"/>
    <w:qFormat/>
    <w:rsid w:val="000F42EA"/>
    <w:pPr>
      <w:spacing w:after="0" w:line="360" w:lineRule="auto"/>
      <w:jc w:val="right"/>
    </w:pPr>
    <w:rPr>
      <w:rFonts w:ascii="Times New Roman" w:eastAsia="Times New Roman"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0F42E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0F42EA"/>
    <w:pPr>
      <w:ind w:left="0" w:right="4820"/>
      <w:jc w:val="left"/>
    </w:pPr>
  </w:style>
  <w:style w:type="paragraph" w:customStyle="1" w:styleId="TEKSTwporozumieniu">
    <w:name w:val="TEKST&quot;w porozumieniu:&quot;"/>
    <w:next w:val="NAZORGWPOROZUMIENIUnazwaorganuwporozumieniuzktrymaktjestwydawany"/>
    <w:uiPriority w:val="27"/>
    <w:qFormat/>
    <w:rsid w:val="000F42EA"/>
    <w:pPr>
      <w:spacing w:after="0" w:line="360" w:lineRule="auto"/>
    </w:pPr>
    <w:rPr>
      <w:rFonts w:ascii="Times New Roman" w:eastAsia="Times New Roman"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0F42E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0F42EA"/>
    <w:pPr>
      <w:ind w:left="510" w:firstLine="0"/>
    </w:pPr>
  </w:style>
  <w:style w:type="paragraph" w:customStyle="1" w:styleId="NOTATKILEGISLATORA">
    <w:name w:val="NOTATKI_LEGISLATORA"/>
    <w:basedOn w:val="Normalny"/>
    <w:uiPriority w:val="5"/>
    <w:qFormat/>
    <w:rsid w:val="000F42EA"/>
    <w:pPr>
      <w:widowControl w:val="0"/>
      <w:autoSpaceDE w:val="0"/>
      <w:autoSpaceDN w:val="0"/>
      <w:adjustRightInd w:val="0"/>
      <w:spacing w:after="0" w:line="360" w:lineRule="auto"/>
    </w:pPr>
    <w:rPr>
      <w:rFonts w:ascii="Times New Roman" w:eastAsia="Times New Roman" w:hAnsi="Times New Roman" w:cs="Arial"/>
      <w:b/>
      <w:i/>
      <w:sz w:val="24"/>
      <w:szCs w:val="20"/>
      <w:lang w:eastAsia="pl-PL"/>
    </w:rPr>
  </w:style>
  <w:style w:type="paragraph" w:customStyle="1" w:styleId="OZNZACZNIKAwskazanienrzacznika">
    <w:name w:val="OZN_ZAŁĄCZNIKA – wskazanie nr załącznika"/>
    <w:basedOn w:val="OZNPROJEKTUwskazaniedatylubwersjiprojektu"/>
    <w:uiPriority w:val="28"/>
    <w:qFormat/>
    <w:rsid w:val="000F42EA"/>
    <w:pPr>
      <w:keepNext/>
    </w:pPr>
    <w:rPr>
      <w:b/>
      <w:u w:val="none"/>
    </w:rPr>
  </w:style>
  <w:style w:type="paragraph" w:customStyle="1" w:styleId="OZNPARAFYADNOTACJE">
    <w:name w:val="OZN_PARAFY(ADNOTACJE)"/>
    <w:basedOn w:val="ODNONIKtreodnonika"/>
    <w:uiPriority w:val="26"/>
    <w:qFormat/>
    <w:rsid w:val="000F42EA"/>
  </w:style>
  <w:style w:type="paragraph" w:customStyle="1" w:styleId="TEKSTZacznikido">
    <w:name w:val="TEKST&quot;Załącznik(i) do ...&quot;"/>
    <w:uiPriority w:val="28"/>
    <w:qFormat/>
    <w:rsid w:val="000F42EA"/>
    <w:pPr>
      <w:keepNext/>
      <w:spacing w:after="240" w:line="240" w:lineRule="auto"/>
      <w:ind w:left="5670"/>
      <w:contextualSpacing/>
    </w:pPr>
    <w:rPr>
      <w:rFonts w:ascii="Times New Roman" w:eastAsia="Times New Roman"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0F42EA"/>
    <w:pPr>
      <w:ind w:left="851"/>
    </w:pPr>
  </w:style>
  <w:style w:type="paragraph" w:customStyle="1" w:styleId="CZWSPLITODNONIKAczwspliterodnonika">
    <w:name w:val="CZ_WSP_LIT_ODNOŚNIKA – część wsp. liter odnośnika"/>
    <w:basedOn w:val="LITODNONIKAliteraodnonika"/>
    <w:uiPriority w:val="22"/>
    <w:qFormat/>
    <w:rsid w:val="000F42E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0F42E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0F42E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0F42E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0F42EA"/>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0F42E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0F42E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0F42EA"/>
  </w:style>
  <w:style w:type="paragraph" w:customStyle="1" w:styleId="ZLITwPKTODNONIKAzmlitwpktodnonikaartykuempunktem">
    <w:name w:val="Z/LIT_w_PKT_ODNOŚNIKA – zm. lit. w pkt odnośnika artykułem (punktem)"/>
    <w:basedOn w:val="ZLITODNONIKAzmlitodnonikaartykuempunktem"/>
    <w:uiPriority w:val="40"/>
    <w:qFormat/>
    <w:rsid w:val="000F42E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0F42E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0F42E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0F42E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0F42E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0F42E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0F42EA"/>
  </w:style>
  <w:style w:type="paragraph" w:customStyle="1" w:styleId="ZZFRAGzmianazmfragmentunpzdania">
    <w:name w:val="ZZ/FRAG – zmiana zm. fragmentu (np. zdania)"/>
    <w:basedOn w:val="ZZCZWSPPKTzmianazmczciwsppkt"/>
    <w:uiPriority w:val="70"/>
    <w:qFormat/>
    <w:rsid w:val="000F42EA"/>
  </w:style>
  <w:style w:type="paragraph" w:customStyle="1" w:styleId="Z2TIRPKTzmpktpodwjnymtiret">
    <w:name w:val="Z_2TIR/PKT – zm. pkt podwójnym tiret"/>
    <w:basedOn w:val="Z2TIRLITzmlitpodwjnymtiret"/>
    <w:uiPriority w:val="83"/>
    <w:qFormat/>
    <w:rsid w:val="000F42E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0F42E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0F42E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0F42E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0F42EA"/>
    <w:pPr>
      <w:ind w:left="1780" w:firstLine="510"/>
    </w:pPr>
  </w:style>
  <w:style w:type="paragraph" w:customStyle="1" w:styleId="Z2TIRUSTzmustpodwjnymtiret">
    <w:name w:val="Z_2TIR/UST(§) – zm. ust. (§) podwójnym tiret"/>
    <w:basedOn w:val="Z2TIRPKTzmpktpodwjnymtiret"/>
    <w:uiPriority w:val="82"/>
    <w:qFormat/>
    <w:rsid w:val="000F42E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0F42EA"/>
    <w:pPr>
      <w:ind w:left="3164" w:firstLine="0"/>
    </w:pPr>
  </w:style>
  <w:style w:type="paragraph" w:customStyle="1" w:styleId="Z2TIRCZWSPPKTzmczciwsppktpodwjnymtiret">
    <w:name w:val="Z_2TIR/CZ_WSP_PKT – zm. części wsp. pkt podwójnym tiret"/>
    <w:basedOn w:val="Z2TIRPKTzmpktpodwjnymtiret"/>
    <w:uiPriority w:val="86"/>
    <w:qFormat/>
    <w:rsid w:val="000F42E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0F42E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0F42EA"/>
    <w:pPr>
      <w:ind w:left="2767" w:firstLine="0"/>
    </w:pPr>
  </w:style>
  <w:style w:type="paragraph" w:customStyle="1" w:styleId="ZLITARTzmartliter">
    <w:name w:val="Z_LIT/ART(§) – zm. art. (§) literą"/>
    <w:basedOn w:val="ZLITUSTzmustliter"/>
    <w:uiPriority w:val="46"/>
    <w:qFormat/>
    <w:rsid w:val="000F42EA"/>
    <w:rPr>
      <w:rFonts w:ascii="Times New Roman" w:hAnsi="Times New Roman"/>
    </w:rPr>
  </w:style>
  <w:style w:type="paragraph" w:customStyle="1" w:styleId="ZTIRARTzmarttiret">
    <w:name w:val="Z_TIR/ART(§) – zm. art. (§) tiret"/>
    <w:basedOn w:val="ZTIRPKTzmpkttiret"/>
    <w:uiPriority w:val="55"/>
    <w:qFormat/>
    <w:rsid w:val="000F42EA"/>
    <w:pPr>
      <w:ind w:left="1383" w:firstLine="510"/>
    </w:pPr>
    <w:rPr>
      <w:rFonts w:ascii="Times New Roman" w:hAnsi="Times New Roman"/>
    </w:rPr>
  </w:style>
  <w:style w:type="paragraph" w:customStyle="1" w:styleId="ZTIRUSTzmusttiret">
    <w:name w:val="Z_TIR/UST(§) – zm. ust. (§) tiret"/>
    <w:basedOn w:val="ZTIRARTzmarttiret"/>
    <w:uiPriority w:val="55"/>
    <w:qFormat/>
    <w:rsid w:val="000F42EA"/>
  </w:style>
  <w:style w:type="paragraph" w:customStyle="1" w:styleId="ZLITKSIGIzmozniprzedmksigiliter">
    <w:name w:val="Z_LIT/KSIĘGI – zm. ozn. i przedm. księgi literą"/>
    <w:basedOn w:val="ZCZCIKSIGIzmozniprzedmczciksigiartykuempunktem"/>
    <w:uiPriority w:val="44"/>
    <w:qFormat/>
    <w:rsid w:val="000F42E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0F42E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0F42E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0F42E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0F42EA"/>
    <w:pPr>
      <w:ind w:left="987"/>
    </w:pPr>
  </w:style>
  <w:style w:type="paragraph" w:customStyle="1" w:styleId="ZTIRDZOZNzmozndziautiret">
    <w:name w:val="Z_TIR/DZ_OZN – zm. ozn. działu tiret"/>
    <w:basedOn w:val="ZLITTYTDZOZNzmozntytuudziauliter"/>
    <w:next w:val="ZTIRDZPRZEDMzmprzedmdziautiret"/>
    <w:uiPriority w:val="54"/>
    <w:qFormat/>
    <w:rsid w:val="000F42EA"/>
    <w:pPr>
      <w:ind w:left="1383"/>
    </w:pPr>
  </w:style>
  <w:style w:type="paragraph" w:customStyle="1" w:styleId="ZTIRDZPRZEDMzmprzedmdziautiret">
    <w:name w:val="Z_TIR/DZ_PRZEDM – zm. przedm. działu tiret"/>
    <w:basedOn w:val="ZLITTYTDZPRZEDMzmprzedmtytuudziauliter"/>
    <w:uiPriority w:val="54"/>
    <w:qFormat/>
    <w:rsid w:val="000F42E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0F42EA"/>
    <w:pPr>
      <w:ind w:left="1383"/>
    </w:pPr>
  </w:style>
  <w:style w:type="paragraph" w:customStyle="1" w:styleId="ZTIRROZDZODDZPRZEDMzmprzedmrozdzoddztiret">
    <w:name w:val="Z_TIR/ROZDZ(ODDZ)_PRZEDM – zm. przedm. rozdz. (oddz.) tiret"/>
    <w:basedOn w:val="ZLITROZDZODDZPRZEDMzmprzedmrozdzoddzliter"/>
    <w:uiPriority w:val="54"/>
    <w:qFormat/>
    <w:rsid w:val="000F42E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0F42E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0F42EA"/>
    <w:pPr>
      <w:ind w:left="1780"/>
    </w:pPr>
  </w:style>
  <w:style w:type="character" w:customStyle="1" w:styleId="IGindeksgrny">
    <w:name w:val="_IG_ – indeks górny"/>
    <w:basedOn w:val="Domylnaczcionkaakapitu"/>
    <w:uiPriority w:val="2"/>
    <w:qFormat/>
    <w:rsid w:val="000F42EA"/>
    <w:rPr>
      <w:b w:val="0"/>
      <w:i w:val="0"/>
      <w:vanish w:val="0"/>
      <w:spacing w:val="0"/>
      <w:vertAlign w:val="superscript"/>
    </w:rPr>
  </w:style>
  <w:style w:type="character" w:customStyle="1" w:styleId="IDindeksdolny">
    <w:name w:val="_ID_ – indeks dolny"/>
    <w:basedOn w:val="Domylnaczcionkaakapitu"/>
    <w:uiPriority w:val="3"/>
    <w:qFormat/>
    <w:rsid w:val="000F42EA"/>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0F42EA"/>
    <w:rPr>
      <w:b/>
      <w:vanish w:val="0"/>
      <w:spacing w:val="0"/>
      <w:vertAlign w:val="subscript"/>
    </w:rPr>
  </w:style>
  <w:style w:type="character" w:customStyle="1" w:styleId="IDKindeksdolnyikursywa">
    <w:name w:val="_ID_K_ – indeks dolny i kursywa"/>
    <w:basedOn w:val="Domylnaczcionkaakapitu"/>
    <w:uiPriority w:val="3"/>
    <w:qFormat/>
    <w:rsid w:val="000F42EA"/>
    <w:rPr>
      <w:i/>
      <w:vanish w:val="0"/>
      <w:spacing w:val="0"/>
      <w:vertAlign w:val="subscript"/>
    </w:rPr>
  </w:style>
  <w:style w:type="character" w:customStyle="1" w:styleId="IGPindeksgrnyipogrubienie">
    <w:name w:val="_IG_P_ – indeks górny i pogrubienie"/>
    <w:basedOn w:val="Domylnaczcionkaakapitu"/>
    <w:uiPriority w:val="2"/>
    <w:qFormat/>
    <w:rsid w:val="000F42EA"/>
    <w:rPr>
      <w:b/>
      <w:vanish w:val="0"/>
      <w:spacing w:val="0"/>
      <w:vertAlign w:val="superscript"/>
    </w:rPr>
  </w:style>
  <w:style w:type="character" w:customStyle="1" w:styleId="IGKindeksgrnyikursywa">
    <w:name w:val="_IG_K_ – indeks górny i kursywa"/>
    <w:basedOn w:val="Domylnaczcionkaakapitu"/>
    <w:uiPriority w:val="2"/>
    <w:qFormat/>
    <w:rsid w:val="000F42EA"/>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0F42EA"/>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0F42EA"/>
    <w:rPr>
      <w:b/>
      <w:i/>
      <w:vanish w:val="0"/>
      <w:spacing w:val="0"/>
      <w:vertAlign w:val="subscript"/>
    </w:rPr>
  </w:style>
  <w:style w:type="character" w:customStyle="1" w:styleId="Ppogrubienie">
    <w:name w:val="_P_ – pogrubienie"/>
    <w:basedOn w:val="Domylnaczcionkaakapitu"/>
    <w:uiPriority w:val="1"/>
    <w:qFormat/>
    <w:rsid w:val="000F42EA"/>
    <w:rPr>
      <w:b/>
    </w:rPr>
  </w:style>
  <w:style w:type="character" w:customStyle="1" w:styleId="Kkursywa">
    <w:name w:val="_K_ – kursywa"/>
    <w:basedOn w:val="Domylnaczcionkaakapitu"/>
    <w:uiPriority w:val="1"/>
    <w:qFormat/>
    <w:rsid w:val="000F42EA"/>
    <w:rPr>
      <w:i/>
    </w:rPr>
  </w:style>
  <w:style w:type="character" w:customStyle="1" w:styleId="PKpogrubieniekursywa">
    <w:name w:val="_P_K_ – pogrubienie kursywa"/>
    <w:basedOn w:val="Domylnaczcionkaakapitu"/>
    <w:uiPriority w:val="1"/>
    <w:qFormat/>
    <w:rsid w:val="000F42EA"/>
    <w:rPr>
      <w:b/>
      <w:i/>
    </w:rPr>
  </w:style>
  <w:style w:type="character" w:customStyle="1" w:styleId="TEKSTOZNACZONYWDOKUMENCIERDOWYMJAKOUKRYTY">
    <w:name w:val="_TEKST_OZNACZONY_W_DOKUMENCIE_ŹRÓDŁOWYM_JAKO_UKRYTY_"/>
    <w:basedOn w:val="Domylnaczcionkaakapitu"/>
    <w:uiPriority w:val="4"/>
    <w:unhideWhenUsed/>
    <w:qFormat/>
    <w:rsid w:val="000F42EA"/>
    <w:rPr>
      <w:vanish w:val="0"/>
      <w:color w:val="FF0000"/>
      <w:u w:val="single" w:color="FF0000"/>
    </w:rPr>
  </w:style>
  <w:style w:type="character" w:customStyle="1" w:styleId="BEZWERSALIKW">
    <w:name w:val="_BEZ_WERSALIKÓW_"/>
    <w:basedOn w:val="Domylnaczcionkaakapitu"/>
    <w:uiPriority w:val="4"/>
    <w:qFormat/>
    <w:rsid w:val="000F42EA"/>
    <w:rPr>
      <w:caps/>
    </w:rPr>
  </w:style>
  <w:style w:type="character" w:customStyle="1" w:styleId="IIGPindeksgrnyindeksugrnegoipogrubienie">
    <w:name w:val="_IIG_P_ – indeks górny indeksu górnego i pogrubienie"/>
    <w:basedOn w:val="Domylnaczcionkaakapitu"/>
    <w:uiPriority w:val="3"/>
    <w:qFormat/>
    <w:rsid w:val="000F42EA"/>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0F42EA"/>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0F42EA"/>
    <w:pPr>
      <w:spacing w:after="0" w:line="240" w:lineRule="auto"/>
      <w:ind w:left="283" w:hanging="170"/>
    </w:pPr>
    <w:rPr>
      <w:rFonts w:ascii="Times New Roman" w:eastAsia="Times New Roman" w:hAnsi="Times New Roman" w:cs="Arial"/>
      <w:sz w:val="20"/>
      <w:szCs w:val="20"/>
      <w:lang w:eastAsia="pl-PL"/>
    </w:rPr>
  </w:style>
  <w:style w:type="paragraph" w:customStyle="1" w:styleId="TEKSTwTABELItekstzwcitympierwwierszem">
    <w:name w:val="TEKST_w_TABELI – tekst z wciętym pierw. wierszem"/>
    <w:basedOn w:val="Normalny"/>
    <w:uiPriority w:val="23"/>
    <w:qFormat/>
    <w:rsid w:val="000F42EA"/>
    <w:pPr>
      <w:suppressAutoHyphens/>
      <w:autoSpaceDE w:val="0"/>
      <w:autoSpaceDN w:val="0"/>
      <w:adjustRightInd w:val="0"/>
      <w:spacing w:after="0" w:line="360" w:lineRule="auto"/>
      <w:ind w:firstLine="510"/>
    </w:pPr>
    <w:rPr>
      <w:rFonts w:ascii="Times" w:eastAsia="Times New Roman" w:hAnsi="Times" w:cs="Arial"/>
      <w:bCs/>
      <w:kern w:val="24"/>
      <w:sz w:val="24"/>
      <w:szCs w:val="20"/>
      <w:lang w:eastAsia="pl-PL"/>
    </w:rPr>
  </w:style>
  <w:style w:type="paragraph" w:customStyle="1" w:styleId="TEKSTwTABELIWYRODKOWANYtekstwyrodkowanywpoziomie">
    <w:name w:val="TEKST_w_TABELI_WYŚRODKOWANY – tekst wyśrodkowany w poziomie"/>
    <w:basedOn w:val="Normalny"/>
    <w:uiPriority w:val="23"/>
    <w:qFormat/>
    <w:rsid w:val="000F42EA"/>
    <w:pPr>
      <w:suppressAutoHyphens/>
      <w:autoSpaceDE w:val="0"/>
      <w:autoSpaceDN w:val="0"/>
      <w:adjustRightInd w:val="0"/>
      <w:spacing w:after="0" w:line="360" w:lineRule="auto"/>
      <w:jc w:val="center"/>
    </w:pPr>
    <w:rPr>
      <w:rFonts w:ascii="Times" w:eastAsia="Times New Roman" w:hAnsi="Times" w:cs="Arial"/>
      <w:bCs/>
      <w:kern w:val="24"/>
      <w:sz w:val="24"/>
      <w:szCs w:val="20"/>
      <w:lang w:eastAsia="pl-PL"/>
    </w:rPr>
  </w:style>
  <w:style w:type="paragraph" w:customStyle="1" w:styleId="ZTIRSKARNzmsankcjikarnejtiret">
    <w:name w:val="Z_TIR/S_KARN – zm. sankcji karnej tiret"/>
    <w:basedOn w:val="ZLITSKARNzmsankcjikarnejliter"/>
    <w:next w:val="ZTIRARTzmarttiret"/>
    <w:uiPriority w:val="61"/>
    <w:qFormat/>
    <w:rsid w:val="000F42EA"/>
    <w:pPr>
      <w:ind w:left="1894"/>
    </w:pPr>
  </w:style>
  <w:style w:type="paragraph" w:customStyle="1" w:styleId="ZZSKARNzmianazmsankcjikarnej">
    <w:name w:val="ZZ/S_KARN – zmiana zm. sankcji karnej"/>
    <w:basedOn w:val="ZZFRAGzmianazmfragmentunpzdania"/>
    <w:uiPriority w:val="71"/>
    <w:qFormat/>
    <w:rsid w:val="000F42EA"/>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0F42EA"/>
    <w:pPr>
      <w:ind w:left="2291" w:firstLine="0"/>
    </w:pPr>
  </w:style>
  <w:style w:type="paragraph" w:customStyle="1" w:styleId="WMATFIZCHEMwzrmatfizlubchem">
    <w:name w:val="W_MAT(FIZ|CHEM) – wzór mat. (fiz. lub chem.)"/>
    <w:uiPriority w:val="18"/>
    <w:qFormat/>
    <w:rsid w:val="000F42EA"/>
    <w:pPr>
      <w:spacing w:after="0" w:line="360" w:lineRule="auto"/>
      <w:jc w:val="center"/>
    </w:pPr>
    <w:rPr>
      <w:rFonts w:ascii="Times New Roman" w:eastAsia="Times New Roman"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0F42EA"/>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0F42EA"/>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0F42EA"/>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0F42EA"/>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0F42EA"/>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0F42EA"/>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0F42EA"/>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0F42EA"/>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0F42EA"/>
    <w:pPr>
      <w:ind w:left="3085"/>
    </w:pPr>
  </w:style>
  <w:style w:type="paragraph" w:customStyle="1" w:styleId="ZLITCYTzmcytatunpprzysigiliter">
    <w:name w:val="Z_LIT/CYT – zm. cytatu np. przysięgi literą"/>
    <w:basedOn w:val="ZCYTzmcytatunpprzysigiartykuempunktem"/>
    <w:uiPriority w:val="53"/>
    <w:qFormat/>
    <w:rsid w:val="000F42EA"/>
    <w:pPr>
      <w:ind w:left="1497"/>
    </w:pPr>
  </w:style>
  <w:style w:type="paragraph" w:customStyle="1" w:styleId="ZTIRCYTzmcytatunpprzysigitiret">
    <w:name w:val="Z_TIR/CYT – zm. cytatu np. przysięgi tiret"/>
    <w:basedOn w:val="ZLITCYTzmcytatunpprzysigiliter"/>
    <w:next w:val="ZTIRUSTzmusttiret"/>
    <w:uiPriority w:val="61"/>
    <w:qFormat/>
    <w:rsid w:val="000F42EA"/>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0F42EA"/>
    <w:pPr>
      <w:ind w:left="2291"/>
    </w:pPr>
  </w:style>
  <w:style w:type="paragraph" w:customStyle="1" w:styleId="ZZCYTzmianazmcytatunpprzysigi">
    <w:name w:val="ZZ/CYT – zmiana zm. cytatu np. przysięgi"/>
    <w:basedOn w:val="ZZFRAGzmianazmfragmentunpzdania"/>
    <w:next w:val="ZZUSTzmianazmust"/>
    <w:uiPriority w:val="71"/>
    <w:qFormat/>
    <w:rsid w:val="000F42EA"/>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0F42EA"/>
    <w:pPr>
      <w:ind w:left="1780"/>
    </w:pPr>
  </w:style>
  <w:style w:type="table" w:styleId="Tabela-Siatka">
    <w:name w:val="Table Grid"/>
    <w:basedOn w:val="Standardowy"/>
    <w:rsid w:val="000F42EA"/>
    <w:pPr>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0F42EA"/>
    <w:pPr>
      <w:widowControl w:val="0"/>
      <w:autoSpaceDE w:val="0"/>
      <w:autoSpaceDN w:val="0"/>
      <w:adjustRightInd w:val="0"/>
      <w:spacing w:after="0" w:line="360" w:lineRule="auto"/>
      <w:jc w:val="both"/>
    </w:pPr>
    <w:rPr>
      <w:rFonts w:ascii="Times" w:eastAsia="Times New Roman" w:hAnsi="Times" w:cs="Times New Roman"/>
      <w:sz w:val="24"/>
      <w:szCs w:val="24"/>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F42EA"/>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0F42EA"/>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0F42EA"/>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0F42EA"/>
    <w:rPr>
      <w:color w:val="808080"/>
    </w:rPr>
  </w:style>
  <w:style w:type="character" w:customStyle="1" w:styleId="Hipercze1">
    <w:name w:val="Hiperłącze1"/>
    <w:basedOn w:val="Domylnaczcionkaakapitu"/>
    <w:uiPriority w:val="99"/>
    <w:semiHidden/>
    <w:rsid w:val="000F42EA"/>
    <w:rPr>
      <w:color w:val="0000FF"/>
      <w:u w:val="single"/>
    </w:rPr>
  </w:style>
  <w:style w:type="paragraph" w:customStyle="1" w:styleId="Poprawka1">
    <w:name w:val="Poprawka1"/>
    <w:next w:val="Poprawka"/>
    <w:hidden/>
    <w:uiPriority w:val="99"/>
    <w:semiHidden/>
    <w:rsid w:val="000F42EA"/>
    <w:pPr>
      <w:spacing w:after="0" w:line="240" w:lineRule="auto"/>
    </w:pPr>
    <w:rPr>
      <w:rFonts w:ascii="Times New Roman" w:eastAsia="Times New Roman" w:hAnsi="Times New Roman" w:cs="Arial"/>
      <w:sz w:val="24"/>
      <w:szCs w:val="20"/>
      <w:lang w:eastAsia="pl-PL"/>
    </w:rPr>
  </w:style>
  <w:style w:type="paragraph" w:styleId="Akapitzlist">
    <w:name w:val="List Paragraph"/>
    <w:basedOn w:val="Normalny"/>
    <w:uiPriority w:val="34"/>
    <w:qFormat/>
    <w:rsid w:val="000F42EA"/>
    <w:pPr>
      <w:ind w:left="720"/>
      <w:contextualSpacing/>
    </w:pPr>
    <w:rPr>
      <w:rFonts w:ascii="Calibri" w:eastAsia="Calibri" w:hAnsi="Calibri" w:cs="Times New Roman"/>
    </w:rPr>
  </w:style>
  <w:style w:type="character" w:styleId="Numerwiersza">
    <w:name w:val="line number"/>
    <w:basedOn w:val="Domylnaczcionkaakapitu"/>
    <w:uiPriority w:val="99"/>
    <w:semiHidden/>
    <w:rsid w:val="000F42EA"/>
  </w:style>
  <w:style w:type="paragraph" w:styleId="Tekstprzypisukocowego">
    <w:name w:val="endnote text"/>
    <w:basedOn w:val="Normalny"/>
    <w:link w:val="TekstprzypisukocowegoZnak"/>
    <w:uiPriority w:val="99"/>
    <w:semiHidden/>
    <w:rsid w:val="000F42EA"/>
    <w:pPr>
      <w:widowControl w:val="0"/>
      <w:autoSpaceDE w:val="0"/>
      <w:autoSpaceDN w:val="0"/>
      <w:adjustRightInd w:val="0"/>
      <w:spacing w:after="0" w:line="240" w:lineRule="auto"/>
    </w:pPr>
    <w:rPr>
      <w:rFonts w:ascii="Times New Roman" w:eastAsia="Times New Roman" w:hAnsi="Times New Roman" w:cs="Arial"/>
      <w:sz w:val="20"/>
      <w:szCs w:val="20"/>
      <w:lang w:eastAsia="pl-PL"/>
    </w:rPr>
  </w:style>
  <w:style w:type="character" w:customStyle="1" w:styleId="TekstprzypisukocowegoZnak">
    <w:name w:val="Tekst przypisu końcowego Znak"/>
    <w:basedOn w:val="Domylnaczcionkaakapitu"/>
    <w:link w:val="Tekstprzypisukocowego"/>
    <w:uiPriority w:val="99"/>
    <w:semiHidden/>
    <w:rsid w:val="000F42EA"/>
    <w:rPr>
      <w:rFonts w:ascii="Times New Roman" w:eastAsia="Times New Roman" w:hAnsi="Times New Roman" w:cs="Arial"/>
      <w:sz w:val="20"/>
      <w:szCs w:val="20"/>
      <w:lang w:eastAsia="pl-PL"/>
    </w:rPr>
  </w:style>
  <w:style w:type="character" w:styleId="Odwoanieprzypisukocowego">
    <w:name w:val="endnote reference"/>
    <w:basedOn w:val="Domylnaczcionkaakapitu"/>
    <w:uiPriority w:val="99"/>
    <w:semiHidden/>
    <w:rsid w:val="000F42EA"/>
    <w:rPr>
      <w:vertAlign w:val="superscript"/>
    </w:rPr>
  </w:style>
  <w:style w:type="paragraph" w:customStyle="1" w:styleId="Default">
    <w:name w:val="Default"/>
    <w:rsid w:val="000F42EA"/>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customStyle="1" w:styleId="FontStyle11">
    <w:name w:val="Font Style11"/>
    <w:basedOn w:val="Domylnaczcionkaakapitu"/>
    <w:rsid w:val="000F42EA"/>
    <w:rPr>
      <w:rFonts w:ascii="Arial" w:hAnsi="Arial" w:cs="Arial"/>
      <w:sz w:val="22"/>
      <w:szCs w:val="22"/>
    </w:rPr>
  </w:style>
  <w:style w:type="character" w:customStyle="1" w:styleId="Nagwek3Znak">
    <w:name w:val="Nagłówek 3 Znak"/>
    <w:basedOn w:val="Domylnaczcionkaakapitu"/>
    <w:link w:val="Nagwek3"/>
    <w:uiPriority w:val="99"/>
    <w:rsid w:val="000F42EA"/>
    <w:rPr>
      <w:rFonts w:ascii="Cambria" w:eastAsia="Times New Roman" w:hAnsi="Cambria" w:cs="Times New Roman"/>
      <w:b/>
      <w:bCs/>
      <w:color w:val="4F81BD"/>
      <w:szCs w:val="20"/>
    </w:rPr>
  </w:style>
  <w:style w:type="character" w:customStyle="1" w:styleId="Nagwek1Znak1">
    <w:name w:val="Nagłówek 1 Znak1"/>
    <w:basedOn w:val="Domylnaczcionkaakapitu"/>
    <w:uiPriority w:val="9"/>
    <w:rsid w:val="000F42EA"/>
    <w:rPr>
      <w:rFonts w:asciiTheme="majorHAnsi" w:eastAsiaTheme="majorEastAsia" w:hAnsiTheme="majorHAnsi" w:cstheme="majorBidi"/>
      <w:b/>
      <w:bCs/>
      <w:color w:val="365F91" w:themeColor="accent1" w:themeShade="BF"/>
      <w:sz w:val="28"/>
      <w:szCs w:val="28"/>
    </w:rPr>
  </w:style>
  <w:style w:type="character" w:styleId="Hipercze">
    <w:name w:val="Hyperlink"/>
    <w:basedOn w:val="Domylnaczcionkaakapitu"/>
    <w:uiPriority w:val="99"/>
    <w:unhideWhenUsed/>
    <w:rsid w:val="000F42EA"/>
    <w:rPr>
      <w:color w:val="0000FF" w:themeColor="hyperlink"/>
      <w:u w:val="single"/>
    </w:rPr>
  </w:style>
  <w:style w:type="paragraph" w:styleId="Poprawka">
    <w:name w:val="Revision"/>
    <w:hidden/>
    <w:uiPriority w:val="99"/>
    <w:semiHidden/>
    <w:rsid w:val="000F42EA"/>
    <w:pPr>
      <w:spacing w:after="0" w:line="240" w:lineRule="auto"/>
    </w:pPr>
  </w:style>
  <w:style w:type="character" w:customStyle="1" w:styleId="Nagwek3Znak1">
    <w:name w:val="Nagłówek 3 Znak1"/>
    <w:basedOn w:val="Domylnaczcionkaakapitu"/>
    <w:uiPriority w:val="9"/>
    <w:semiHidden/>
    <w:rsid w:val="000F42EA"/>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Elegan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9"/>
    <w:qFormat/>
    <w:rsid w:val="000F42EA"/>
    <w:pPr>
      <w:keepNext/>
      <w:keepLines/>
      <w:spacing w:before="480" w:after="0"/>
      <w:outlineLvl w:val="0"/>
    </w:pPr>
    <w:rPr>
      <w:rFonts w:ascii="Cambria" w:eastAsia="Times New Roman" w:hAnsi="Cambria" w:cs="Times New Roman"/>
      <w:b/>
      <w:bCs/>
      <w:color w:val="365F91"/>
      <w:kern w:val="1"/>
      <w:sz w:val="28"/>
      <w:szCs w:val="28"/>
      <w:lang w:eastAsia="ar-SA"/>
    </w:rPr>
  </w:style>
  <w:style w:type="paragraph" w:styleId="Nagwek3">
    <w:name w:val="heading 3"/>
    <w:basedOn w:val="Normalny"/>
    <w:next w:val="Normalny"/>
    <w:link w:val="Nagwek3Znak"/>
    <w:uiPriority w:val="99"/>
    <w:semiHidden/>
    <w:unhideWhenUsed/>
    <w:qFormat/>
    <w:rsid w:val="000F42EA"/>
    <w:pPr>
      <w:keepNext/>
      <w:keepLines/>
      <w:spacing w:before="200" w:after="0"/>
      <w:outlineLvl w:val="2"/>
    </w:pPr>
    <w:rPr>
      <w:rFonts w:ascii="Cambria" w:eastAsia="Times New Roman" w:hAnsi="Cambria" w:cs="Times New Roman"/>
      <w:b/>
      <w:bCs/>
      <w:color w:val="4F81BD"/>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agwek11">
    <w:name w:val="Nagłówek 11"/>
    <w:basedOn w:val="Normalny"/>
    <w:next w:val="Normalny"/>
    <w:uiPriority w:val="99"/>
    <w:semiHidden/>
    <w:rsid w:val="000F42EA"/>
    <w:pPr>
      <w:keepNext/>
      <w:keepLines/>
      <w:widowControl w:val="0"/>
      <w:suppressAutoHyphens/>
      <w:spacing w:before="480" w:after="0" w:line="360" w:lineRule="auto"/>
      <w:outlineLvl w:val="0"/>
    </w:pPr>
    <w:rPr>
      <w:rFonts w:ascii="Cambria" w:eastAsia="Times New Roman" w:hAnsi="Cambria" w:cs="Times New Roman"/>
      <w:b/>
      <w:bCs/>
      <w:color w:val="365F91"/>
      <w:kern w:val="1"/>
      <w:sz w:val="28"/>
      <w:szCs w:val="28"/>
      <w:lang w:eastAsia="ar-SA"/>
    </w:rPr>
  </w:style>
  <w:style w:type="paragraph" w:customStyle="1" w:styleId="Nagwek31">
    <w:name w:val="Nagłówek 31"/>
    <w:basedOn w:val="Normalny"/>
    <w:next w:val="Normalny"/>
    <w:uiPriority w:val="99"/>
    <w:unhideWhenUsed/>
    <w:qFormat/>
    <w:rsid w:val="000F42EA"/>
    <w:pPr>
      <w:keepNext/>
      <w:keepLines/>
      <w:widowControl w:val="0"/>
      <w:autoSpaceDE w:val="0"/>
      <w:autoSpaceDN w:val="0"/>
      <w:adjustRightInd w:val="0"/>
      <w:spacing w:before="200" w:after="0" w:line="360" w:lineRule="auto"/>
      <w:outlineLvl w:val="2"/>
    </w:pPr>
    <w:rPr>
      <w:rFonts w:ascii="Cambria" w:eastAsia="Times New Roman" w:hAnsi="Cambria" w:cs="Times New Roman"/>
      <w:b/>
      <w:bCs/>
      <w:color w:val="4F81BD"/>
      <w:sz w:val="24"/>
      <w:szCs w:val="20"/>
      <w:lang w:eastAsia="pl-PL"/>
    </w:rPr>
  </w:style>
  <w:style w:type="numbering" w:customStyle="1" w:styleId="Bezlisty1">
    <w:name w:val="Bez listy1"/>
    <w:next w:val="Bezlisty"/>
    <w:uiPriority w:val="99"/>
    <w:semiHidden/>
    <w:unhideWhenUsed/>
    <w:rsid w:val="000F42EA"/>
  </w:style>
  <w:style w:type="paragraph" w:customStyle="1" w:styleId="ZLITwPKTzmlitwpktartykuempunktem">
    <w:name w:val="Z/LIT_w_PKT – zm. lit. w pkt artykułem (punktem)"/>
    <w:basedOn w:val="LITlitera"/>
    <w:uiPriority w:val="32"/>
    <w:qFormat/>
    <w:rsid w:val="000F42EA"/>
    <w:pPr>
      <w:ind w:left="1497"/>
    </w:pPr>
  </w:style>
  <w:style w:type="paragraph" w:customStyle="1" w:styleId="ZTIRwPKTzmtirwpktartykuempunktem">
    <w:name w:val="Z/TIR_w_PKT – zm. tir. w pkt artykułem (punktem)"/>
    <w:basedOn w:val="TIRtiret"/>
    <w:uiPriority w:val="33"/>
    <w:qFormat/>
    <w:rsid w:val="000F42E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0F42EA"/>
    <w:pPr>
      <w:ind w:left="1021"/>
    </w:pPr>
  </w:style>
  <w:style w:type="paragraph" w:customStyle="1" w:styleId="2TIRpodwjnytiret">
    <w:name w:val="2TIR – podwójny tiret"/>
    <w:basedOn w:val="TIRtiret"/>
    <w:uiPriority w:val="73"/>
    <w:qFormat/>
    <w:rsid w:val="000F42EA"/>
    <w:pPr>
      <w:ind w:left="1780"/>
    </w:pPr>
  </w:style>
  <w:style w:type="character" w:styleId="Odwoanieprzypisudolnego">
    <w:name w:val="footnote reference"/>
    <w:uiPriority w:val="99"/>
    <w:semiHidden/>
    <w:rsid w:val="000F42EA"/>
    <w:rPr>
      <w:rFonts w:cs="Times New Roman"/>
      <w:vertAlign w:val="superscript"/>
    </w:rPr>
  </w:style>
  <w:style w:type="paragraph" w:styleId="Nagwek">
    <w:name w:val="header"/>
    <w:basedOn w:val="Normalny"/>
    <w:link w:val="NagwekZnak"/>
    <w:uiPriority w:val="99"/>
    <w:semiHidden/>
    <w:rsid w:val="000F42EA"/>
    <w:pPr>
      <w:widowControl w:val="0"/>
      <w:tabs>
        <w:tab w:val="center" w:pos="4536"/>
        <w:tab w:val="right" w:pos="9072"/>
      </w:tabs>
      <w:suppressAutoHyphens/>
      <w:spacing w:after="0" w:line="360" w:lineRule="auto"/>
    </w:pPr>
    <w:rPr>
      <w:rFonts w:ascii="Times" w:eastAsia="Times New Roman" w:hAnsi="Times" w:cs="Times New Roman"/>
      <w:kern w:val="1"/>
      <w:sz w:val="24"/>
      <w:szCs w:val="24"/>
      <w:lang w:eastAsia="ar-SA"/>
    </w:rPr>
  </w:style>
  <w:style w:type="character" w:customStyle="1" w:styleId="NagwekZnak">
    <w:name w:val="Nagłówek Znak"/>
    <w:basedOn w:val="Domylnaczcionkaakapitu"/>
    <w:link w:val="Nagwek"/>
    <w:uiPriority w:val="99"/>
    <w:semiHidden/>
    <w:rsid w:val="000F42EA"/>
    <w:rPr>
      <w:rFonts w:ascii="Times" w:eastAsia="Times New Roman" w:hAnsi="Times" w:cs="Times New Roman"/>
      <w:kern w:val="1"/>
      <w:sz w:val="24"/>
      <w:szCs w:val="24"/>
      <w:lang w:eastAsia="ar-SA"/>
    </w:rPr>
  </w:style>
  <w:style w:type="paragraph" w:styleId="Stopka">
    <w:name w:val="footer"/>
    <w:basedOn w:val="Normalny"/>
    <w:link w:val="StopkaZnak"/>
    <w:uiPriority w:val="99"/>
    <w:rsid w:val="000F42EA"/>
    <w:pPr>
      <w:widowControl w:val="0"/>
      <w:tabs>
        <w:tab w:val="center" w:pos="4536"/>
        <w:tab w:val="right" w:pos="9072"/>
      </w:tabs>
      <w:suppressAutoHyphens/>
      <w:spacing w:after="0" w:line="360" w:lineRule="auto"/>
    </w:pPr>
    <w:rPr>
      <w:rFonts w:ascii="Times" w:eastAsia="Times New Roman" w:hAnsi="Times" w:cs="Times New Roman"/>
      <w:kern w:val="1"/>
      <w:sz w:val="24"/>
      <w:szCs w:val="24"/>
      <w:lang w:eastAsia="ar-SA"/>
    </w:rPr>
  </w:style>
  <w:style w:type="character" w:customStyle="1" w:styleId="StopkaZnak">
    <w:name w:val="Stopka Znak"/>
    <w:basedOn w:val="Domylnaczcionkaakapitu"/>
    <w:link w:val="Stopka"/>
    <w:uiPriority w:val="99"/>
    <w:rsid w:val="000F42EA"/>
    <w:rPr>
      <w:rFonts w:ascii="Times" w:eastAsia="Times New Roman" w:hAnsi="Times" w:cs="Times New Roman"/>
      <w:kern w:val="1"/>
      <w:sz w:val="24"/>
      <w:szCs w:val="24"/>
      <w:lang w:eastAsia="ar-SA"/>
    </w:rPr>
  </w:style>
  <w:style w:type="paragraph" w:styleId="Tekstdymka">
    <w:name w:val="Balloon Text"/>
    <w:basedOn w:val="Normalny"/>
    <w:link w:val="TekstdymkaZnak"/>
    <w:uiPriority w:val="99"/>
    <w:semiHidden/>
    <w:rsid w:val="000F42EA"/>
    <w:pPr>
      <w:widowControl w:val="0"/>
      <w:suppressAutoHyphens/>
      <w:spacing w:after="0" w:line="360" w:lineRule="auto"/>
    </w:pPr>
    <w:rPr>
      <w:rFonts w:ascii="Tahoma" w:eastAsia="Times New Roman" w:hAnsi="Tahoma" w:cs="Tahoma"/>
      <w:kern w:val="1"/>
      <w:sz w:val="24"/>
      <w:szCs w:val="16"/>
      <w:lang w:eastAsia="ar-SA"/>
    </w:rPr>
  </w:style>
  <w:style w:type="character" w:customStyle="1" w:styleId="TekstdymkaZnak">
    <w:name w:val="Tekst dymka Znak"/>
    <w:basedOn w:val="Domylnaczcionkaakapitu"/>
    <w:link w:val="Tekstdymka"/>
    <w:uiPriority w:val="99"/>
    <w:semiHidden/>
    <w:rsid w:val="000F42EA"/>
    <w:rPr>
      <w:rFonts w:ascii="Tahoma" w:eastAsia="Times New Roman" w:hAnsi="Tahoma" w:cs="Tahoma"/>
      <w:kern w:val="1"/>
      <w:sz w:val="24"/>
      <w:szCs w:val="16"/>
      <w:lang w:eastAsia="ar-SA"/>
    </w:rPr>
  </w:style>
  <w:style w:type="paragraph" w:customStyle="1" w:styleId="ARTartustawynprozporzdzenia">
    <w:name w:val="ART(§) – art. ustawy (§ np. rozporządzenia)"/>
    <w:uiPriority w:val="11"/>
    <w:qFormat/>
    <w:rsid w:val="000F42EA"/>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0F42EA"/>
    <w:pPr>
      <w:ind w:left="1497"/>
    </w:pPr>
  </w:style>
  <w:style w:type="paragraph" w:customStyle="1" w:styleId="ZTIRwLITzmtirwlitartykuempunktem">
    <w:name w:val="Z/TIR_w_LIT – zm. tir. w lit. artykułem (punktem)"/>
    <w:basedOn w:val="TIRtiret"/>
    <w:uiPriority w:val="33"/>
    <w:qFormat/>
    <w:rsid w:val="000F42E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0F42EA"/>
  </w:style>
  <w:style w:type="character" w:customStyle="1" w:styleId="Nagwek1Znak">
    <w:name w:val="Nagłówek 1 Znak"/>
    <w:basedOn w:val="Domylnaczcionkaakapitu"/>
    <w:link w:val="Nagwek1"/>
    <w:uiPriority w:val="99"/>
    <w:semiHidden/>
    <w:rsid w:val="000F42EA"/>
    <w:rPr>
      <w:rFonts w:ascii="Cambria" w:eastAsia="Times New Roman" w:hAnsi="Cambria" w:cs="Times New Roman"/>
      <w:b/>
      <w:bCs/>
      <w:color w:val="365F91"/>
      <w:kern w:val="1"/>
      <w:sz w:val="28"/>
      <w:szCs w:val="28"/>
      <w:lang w:eastAsia="ar-SA"/>
    </w:rPr>
  </w:style>
  <w:style w:type="paragraph" w:styleId="Bezodstpw">
    <w:name w:val="No Spacing"/>
    <w:uiPriority w:val="99"/>
    <w:rsid w:val="000F42EA"/>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ZPKTzmpktartykuempunktem">
    <w:name w:val="Z/PKT – zm. pkt artykułem (punktem)"/>
    <w:basedOn w:val="PKTpunkt"/>
    <w:uiPriority w:val="31"/>
    <w:qFormat/>
    <w:rsid w:val="000F42EA"/>
    <w:pPr>
      <w:ind w:left="1020"/>
    </w:pPr>
  </w:style>
  <w:style w:type="paragraph" w:customStyle="1" w:styleId="ZARTzmartartykuempunktem">
    <w:name w:val="Z/ART(§) – zm. art. (§) artykułem (punktem)"/>
    <w:basedOn w:val="ARTartustawynprozporzdzenia"/>
    <w:uiPriority w:val="30"/>
    <w:qFormat/>
    <w:rsid w:val="000F42E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0F42EA"/>
    <w:pPr>
      <w:keepNext/>
      <w:suppressAutoHyphens/>
      <w:spacing w:before="120" w:after="120" w:line="360" w:lineRule="auto"/>
      <w:jc w:val="center"/>
    </w:pPr>
    <w:rPr>
      <w:rFonts w:ascii="Times" w:eastAsia="Times New Roman"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0F42EA"/>
    <w:pPr>
      <w:keepNext/>
      <w:suppressAutoHyphens/>
      <w:spacing w:before="120" w:after="360" w:line="360" w:lineRule="auto"/>
      <w:jc w:val="center"/>
    </w:pPr>
    <w:rPr>
      <w:rFonts w:ascii="Times" w:eastAsia="Times New Roman"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0F42EA"/>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0F42EA"/>
    <w:rPr>
      <w:bCs/>
    </w:rPr>
  </w:style>
  <w:style w:type="paragraph" w:customStyle="1" w:styleId="OZNRODZAKTUtznustawalubrozporzdzenieiorganwydajcy">
    <w:name w:val="OZN_RODZ_AKTU – tzn. ustawa lub rozporządzenie i organ wydający"/>
    <w:next w:val="DATAAKTUdatauchwalenialubwydaniaaktu"/>
    <w:uiPriority w:val="5"/>
    <w:qFormat/>
    <w:rsid w:val="000F42EA"/>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qFormat/>
    <w:rsid w:val="000F42EA"/>
    <w:pPr>
      <w:spacing w:before="0"/>
    </w:pPr>
    <w:rPr>
      <w:bCs/>
    </w:rPr>
  </w:style>
  <w:style w:type="paragraph" w:customStyle="1" w:styleId="PKTpunkt">
    <w:name w:val="PKT – punkt"/>
    <w:uiPriority w:val="13"/>
    <w:qFormat/>
    <w:rsid w:val="000F42EA"/>
    <w:pPr>
      <w:spacing w:after="0" w:line="360" w:lineRule="auto"/>
      <w:ind w:left="510" w:hanging="510"/>
      <w:jc w:val="both"/>
    </w:pPr>
    <w:rPr>
      <w:rFonts w:ascii="Times" w:eastAsia="Times New Roman"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0F42EA"/>
    <w:pPr>
      <w:ind w:left="0" w:firstLine="0"/>
    </w:pPr>
  </w:style>
  <w:style w:type="paragraph" w:customStyle="1" w:styleId="LITlitera">
    <w:name w:val="LIT – litera"/>
    <w:basedOn w:val="PKTpunkt"/>
    <w:uiPriority w:val="14"/>
    <w:qFormat/>
    <w:rsid w:val="000F42EA"/>
    <w:pPr>
      <w:ind w:left="986" w:hanging="476"/>
    </w:pPr>
  </w:style>
  <w:style w:type="paragraph" w:customStyle="1" w:styleId="CZWSPLITczwsplnaliter">
    <w:name w:val="CZ_WSP_LIT – część wspólna liter"/>
    <w:basedOn w:val="LITlitera"/>
    <w:next w:val="USTustnpkodeksu"/>
    <w:uiPriority w:val="17"/>
    <w:qFormat/>
    <w:rsid w:val="000F42EA"/>
    <w:pPr>
      <w:ind w:left="510" w:firstLine="0"/>
    </w:pPr>
    <w:rPr>
      <w:szCs w:val="24"/>
    </w:rPr>
  </w:style>
  <w:style w:type="paragraph" w:customStyle="1" w:styleId="TIRtiret">
    <w:name w:val="TIR – tiret"/>
    <w:basedOn w:val="LITlitera"/>
    <w:uiPriority w:val="15"/>
    <w:qFormat/>
    <w:rsid w:val="000F42EA"/>
    <w:pPr>
      <w:ind w:left="1384" w:hanging="397"/>
    </w:pPr>
  </w:style>
  <w:style w:type="paragraph" w:customStyle="1" w:styleId="CZWSPTIRczwsplnatiret">
    <w:name w:val="CZ_WSP_TIR – część wspólna tiret"/>
    <w:basedOn w:val="TIRtiret"/>
    <w:next w:val="USTustnpkodeksu"/>
    <w:uiPriority w:val="17"/>
    <w:qFormat/>
    <w:rsid w:val="000F42EA"/>
    <w:pPr>
      <w:ind w:left="987" w:firstLine="0"/>
    </w:pPr>
  </w:style>
  <w:style w:type="paragraph" w:customStyle="1" w:styleId="CYTcytatnpprzysigi">
    <w:name w:val="CYT – cytat np. przysięgi"/>
    <w:basedOn w:val="USTustnpkodeksu"/>
    <w:next w:val="USTustnpkodeksu"/>
    <w:uiPriority w:val="18"/>
    <w:qFormat/>
    <w:rsid w:val="000F42E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0F42EA"/>
    <w:pPr>
      <w:keepNext/>
      <w:suppressAutoHyphens/>
      <w:spacing w:before="120" w:after="0" w:line="360" w:lineRule="auto"/>
      <w:jc w:val="center"/>
    </w:pPr>
    <w:rPr>
      <w:rFonts w:ascii="Times" w:eastAsia="Times New Roman" w:hAnsi="Times" w:cs="Times New Roman"/>
      <w:b/>
      <w:bCs/>
      <w:sz w:val="24"/>
      <w:szCs w:val="24"/>
      <w:lang w:eastAsia="pl-PL"/>
    </w:rPr>
  </w:style>
  <w:style w:type="paragraph" w:customStyle="1" w:styleId="ZLITzmlitartykuempunktem">
    <w:name w:val="Z/LIT – zm. lit. artykułem (punktem)"/>
    <w:basedOn w:val="LITlitera"/>
    <w:uiPriority w:val="32"/>
    <w:qFormat/>
    <w:rsid w:val="000F42EA"/>
  </w:style>
  <w:style w:type="paragraph" w:customStyle="1" w:styleId="ZLITCZWSPTIRwLITzmczciwsptirwlitliter">
    <w:name w:val="Z_LIT/CZ_WSP_TIR_w_LIT – zm. części wsp. tir. w lit. literą"/>
    <w:basedOn w:val="CZWSPTIRczwsplnatiret"/>
    <w:next w:val="LITlitera"/>
    <w:uiPriority w:val="51"/>
    <w:qFormat/>
    <w:rsid w:val="000F42EA"/>
    <w:pPr>
      <w:ind w:left="1463"/>
    </w:pPr>
  </w:style>
  <w:style w:type="paragraph" w:customStyle="1" w:styleId="ZLITTIRwLITzmtirwlitliter">
    <w:name w:val="Z_LIT/TIR_w_LIT – zm. tir. w lit. literą"/>
    <w:basedOn w:val="TIRtiret"/>
    <w:uiPriority w:val="49"/>
    <w:qFormat/>
    <w:rsid w:val="000F42EA"/>
    <w:pPr>
      <w:ind w:left="1860"/>
    </w:pPr>
  </w:style>
  <w:style w:type="paragraph" w:customStyle="1" w:styleId="TYTDZOZNoznaczenietytuulubdziau">
    <w:name w:val="TYT(DZ)_OZN – oznaczenie tytułu lub działu"/>
    <w:next w:val="Normalny"/>
    <w:uiPriority w:val="9"/>
    <w:qFormat/>
    <w:rsid w:val="000F42EA"/>
    <w:pPr>
      <w:keepNext/>
      <w:spacing w:before="120" w:after="0" w:line="360" w:lineRule="auto"/>
      <w:jc w:val="center"/>
    </w:pPr>
    <w:rPr>
      <w:rFonts w:ascii="Times" w:eastAsia="Times New Roman"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0F42EA"/>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0F42E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0F42EA"/>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0F42E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0F42EA"/>
    <w:pPr>
      <w:ind w:left="510"/>
    </w:pPr>
  </w:style>
  <w:style w:type="paragraph" w:customStyle="1" w:styleId="ZZLITzmianazmlit">
    <w:name w:val="ZZ/LIT – zmiana zm. lit."/>
    <w:basedOn w:val="ZZPKTzmianazmpkt"/>
    <w:uiPriority w:val="67"/>
    <w:qFormat/>
    <w:rsid w:val="000F42EA"/>
    <w:pPr>
      <w:ind w:left="2370" w:hanging="476"/>
    </w:pPr>
  </w:style>
  <w:style w:type="paragraph" w:customStyle="1" w:styleId="ZZTIRzmianazmtir">
    <w:name w:val="ZZ/TIR – zmiana zm. tir."/>
    <w:basedOn w:val="ZZLITzmianazmlit"/>
    <w:uiPriority w:val="67"/>
    <w:qFormat/>
    <w:rsid w:val="000F42E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0F42EA"/>
    <w:pPr>
      <w:keepNext/>
      <w:suppressAutoHyphens/>
      <w:spacing w:after="0" w:line="360" w:lineRule="auto"/>
      <w:ind w:left="510"/>
      <w:jc w:val="center"/>
    </w:pPr>
    <w:rPr>
      <w:rFonts w:ascii="Times" w:eastAsia="Times New Roman" w:hAnsi="Times" w:cs="Arial"/>
      <w:bCs/>
      <w:kern w:val="24"/>
      <w:sz w:val="24"/>
      <w:szCs w:val="24"/>
      <w:lang w:eastAsia="pl-PL"/>
    </w:rPr>
  </w:style>
  <w:style w:type="paragraph" w:customStyle="1" w:styleId="ZLITUSTzmustliter">
    <w:name w:val="Z_LIT/UST(§) – zm. ust. (§) literą"/>
    <w:basedOn w:val="USTustnpkodeksu"/>
    <w:uiPriority w:val="46"/>
    <w:qFormat/>
    <w:rsid w:val="000F42EA"/>
    <w:pPr>
      <w:ind w:left="987"/>
    </w:pPr>
  </w:style>
  <w:style w:type="paragraph" w:customStyle="1" w:styleId="ZLITPKTzmpktliter">
    <w:name w:val="Z_LIT/PKT – zm. pkt literą"/>
    <w:basedOn w:val="PKTpunkt"/>
    <w:uiPriority w:val="47"/>
    <w:qFormat/>
    <w:rsid w:val="000F42EA"/>
    <w:pPr>
      <w:ind w:left="1497"/>
    </w:pPr>
  </w:style>
  <w:style w:type="paragraph" w:customStyle="1" w:styleId="ZZCZWSPPKTzmianazmczciwsppkt">
    <w:name w:val="ZZ/CZ_WSP_PKT – zmiana. zm. części wsp. pkt"/>
    <w:basedOn w:val="ZZARTzmianazmart"/>
    <w:next w:val="ZPKTzmpktartykuempunktem"/>
    <w:uiPriority w:val="68"/>
    <w:qFormat/>
    <w:rsid w:val="000F42EA"/>
    <w:pPr>
      <w:ind w:firstLine="0"/>
    </w:pPr>
  </w:style>
  <w:style w:type="paragraph" w:customStyle="1" w:styleId="ZLITLITzmlitliter">
    <w:name w:val="Z_LIT/LIT – zm. lit. literą"/>
    <w:basedOn w:val="LITlitera"/>
    <w:uiPriority w:val="48"/>
    <w:qFormat/>
    <w:rsid w:val="000F42EA"/>
    <w:pPr>
      <w:ind w:left="1463"/>
    </w:pPr>
  </w:style>
  <w:style w:type="paragraph" w:customStyle="1" w:styleId="ZLITCZWSPPKTzmczciwsppktliter">
    <w:name w:val="Z_LIT/CZ_WSP_PKT – zm. części wsp. pkt literą"/>
    <w:basedOn w:val="CZWSPLITczwsplnaliter"/>
    <w:next w:val="LITlitera"/>
    <w:uiPriority w:val="50"/>
    <w:qFormat/>
    <w:rsid w:val="000F42EA"/>
    <w:pPr>
      <w:ind w:left="987"/>
    </w:pPr>
  </w:style>
  <w:style w:type="paragraph" w:customStyle="1" w:styleId="ZLITTIRzmtirliter">
    <w:name w:val="Z_LIT/TIR – zm. tir. literą"/>
    <w:basedOn w:val="TIRtiret"/>
    <w:uiPriority w:val="49"/>
    <w:qFormat/>
    <w:rsid w:val="000F42EA"/>
  </w:style>
  <w:style w:type="paragraph" w:customStyle="1" w:styleId="ZZCZWSPLITwPKTzmianazmczciwsplitwpkt">
    <w:name w:val="ZZ/CZ_WSP_LIT_w_PKT – zmiana zm. części wsp. lit. w pkt"/>
    <w:basedOn w:val="ZZLITwPKTzmianazmlitwpkt"/>
    <w:uiPriority w:val="69"/>
    <w:qFormat/>
    <w:rsid w:val="000F42EA"/>
    <w:pPr>
      <w:ind w:left="2404" w:firstLine="0"/>
    </w:pPr>
  </w:style>
  <w:style w:type="paragraph" w:customStyle="1" w:styleId="ZLITLITwPKTzmlitwpktliter">
    <w:name w:val="Z_LIT/LIT_w_PKT – zm. lit. w pkt literą"/>
    <w:basedOn w:val="LITlitera"/>
    <w:uiPriority w:val="48"/>
    <w:qFormat/>
    <w:rsid w:val="000F42EA"/>
    <w:pPr>
      <w:ind w:left="1973"/>
    </w:pPr>
  </w:style>
  <w:style w:type="paragraph" w:customStyle="1" w:styleId="ZLITCZWSPLITwPKTzmczciwsplitwpktliter">
    <w:name w:val="Z_LIT/CZ_WSP_LIT_w_PKT – zm. części wsp. lit. w pkt literą"/>
    <w:basedOn w:val="CZWSPLITczwsplnaliter"/>
    <w:next w:val="LITlitera"/>
    <w:uiPriority w:val="51"/>
    <w:qFormat/>
    <w:rsid w:val="000F42EA"/>
    <w:pPr>
      <w:ind w:left="1497"/>
    </w:pPr>
  </w:style>
  <w:style w:type="paragraph" w:customStyle="1" w:styleId="ZLITTIRwPKTzmtirwpktliter">
    <w:name w:val="Z_LIT/TIR_w_PKT – zm. tir. w pkt literą"/>
    <w:basedOn w:val="TIRtiret"/>
    <w:uiPriority w:val="49"/>
    <w:qFormat/>
    <w:rsid w:val="000F42EA"/>
    <w:pPr>
      <w:ind w:left="2370"/>
    </w:pPr>
  </w:style>
  <w:style w:type="paragraph" w:customStyle="1" w:styleId="ZLITCZWSPTIRwPKTzmczciwsptirwpktliter">
    <w:name w:val="Z_LIT/CZ_WSP_TIR_w_PKT – zm. części wsp. tir. w pkt literą"/>
    <w:basedOn w:val="CZWSPTIRczwsplnatiret"/>
    <w:next w:val="LITlitera"/>
    <w:uiPriority w:val="51"/>
    <w:qFormat/>
    <w:rsid w:val="000F42EA"/>
    <w:pPr>
      <w:ind w:left="1973"/>
    </w:pPr>
  </w:style>
  <w:style w:type="paragraph" w:styleId="Tekstprzypisudolnego">
    <w:name w:val="footnote text"/>
    <w:basedOn w:val="Normalny"/>
    <w:link w:val="TekstprzypisudolnegoZnak"/>
    <w:uiPriority w:val="99"/>
    <w:semiHidden/>
    <w:qFormat/>
    <w:rsid w:val="000F42EA"/>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przypisudolnegoZnak">
    <w:name w:val="Tekst przypisu dolnego Znak"/>
    <w:basedOn w:val="Domylnaczcionkaakapitu"/>
    <w:link w:val="Tekstprzypisudolnego"/>
    <w:uiPriority w:val="99"/>
    <w:semiHidden/>
    <w:rsid w:val="000F42EA"/>
    <w:rPr>
      <w:rFonts w:ascii="Times" w:eastAsia="Times New Roman" w:hAnsi="Times" w:cs="Times New Roman"/>
      <w:sz w:val="24"/>
      <w:szCs w:val="24"/>
      <w:lang w:eastAsia="pl-PL"/>
    </w:rPr>
  </w:style>
  <w:style w:type="paragraph" w:customStyle="1" w:styleId="ZTIRLITzmlittiret">
    <w:name w:val="Z_TIR/LIT – zm. lit. tiret"/>
    <w:basedOn w:val="LITlitera"/>
    <w:uiPriority w:val="57"/>
    <w:qFormat/>
    <w:rsid w:val="000F42EA"/>
    <w:pPr>
      <w:ind w:left="1859"/>
    </w:pPr>
  </w:style>
  <w:style w:type="paragraph" w:customStyle="1" w:styleId="ZTIRCZWSPPKTzmczciwsppkttiret">
    <w:name w:val="Z_TIR/CZ_WSP_PKT – zm. części wsp. pkt tiret"/>
    <w:basedOn w:val="CZWSPLITczwsplnaliter"/>
    <w:next w:val="TIRtiret"/>
    <w:uiPriority w:val="58"/>
    <w:qFormat/>
    <w:rsid w:val="000F42EA"/>
    <w:pPr>
      <w:ind w:left="1383"/>
    </w:pPr>
  </w:style>
  <w:style w:type="paragraph" w:customStyle="1" w:styleId="ZTIRTIRzmtirtiret">
    <w:name w:val="Z_TIR/TIR – zm. tir. tiret"/>
    <w:basedOn w:val="TIRtiret"/>
    <w:uiPriority w:val="57"/>
    <w:qFormat/>
    <w:rsid w:val="000F42EA"/>
    <w:pPr>
      <w:ind w:left="1780"/>
    </w:pPr>
  </w:style>
  <w:style w:type="paragraph" w:customStyle="1" w:styleId="ZZCZWSPTIRwPKTzmianazmczciwsptirwpkt">
    <w:name w:val="ZZ/CZ_WSP_TIR_w_PKT – zmiana zm. części wsp. tir. w pkt"/>
    <w:basedOn w:val="ZZTIRwPKTzmianazmtirwpkt"/>
    <w:uiPriority w:val="70"/>
    <w:qFormat/>
    <w:rsid w:val="000F42EA"/>
    <w:pPr>
      <w:ind w:left="2880" w:firstLine="0"/>
    </w:pPr>
  </w:style>
  <w:style w:type="paragraph" w:customStyle="1" w:styleId="ZZTIRwLITzmianazmtirwlit">
    <w:name w:val="ZZ/TIR_w_LIT – zmiana zm. tir. w lit."/>
    <w:basedOn w:val="ZZTIRzmianazmtir"/>
    <w:uiPriority w:val="67"/>
    <w:qFormat/>
    <w:rsid w:val="000F42EA"/>
    <w:pPr>
      <w:ind w:left="2767"/>
    </w:pPr>
  </w:style>
  <w:style w:type="paragraph" w:customStyle="1" w:styleId="ZTIRTIRwLITzmtirwlittiret">
    <w:name w:val="Z_TIR/TIR_w_LIT – zm. tir. w lit. tiret"/>
    <w:basedOn w:val="TIRtiret"/>
    <w:uiPriority w:val="57"/>
    <w:qFormat/>
    <w:rsid w:val="000F42EA"/>
    <w:pPr>
      <w:ind w:left="2257"/>
    </w:pPr>
  </w:style>
  <w:style w:type="paragraph" w:customStyle="1" w:styleId="ZTIRCZWSPTIRwLITzmczciwsptirwlittiret">
    <w:name w:val="Z_TIR/CZ_WSP_TIR_w_LIT – zm. części wsp. tir. w lit. tiret"/>
    <w:basedOn w:val="CZWSPTIRczwsplnatiret"/>
    <w:next w:val="TIRtiret"/>
    <w:uiPriority w:val="60"/>
    <w:qFormat/>
    <w:rsid w:val="000F42EA"/>
    <w:pPr>
      <w:ind w:left="1860"/>
    </w:pPr>
  </w:style>
  <w:style w:type="paragraph" w:customStyle="1" w:styleId="CZWSP2TIRczwsplnapodwjnychtiret">
    <w:name w:val="CZ_WSP_2TIR – część wspólna podwójnych tiret"/>
    <w:basedOn w:val="CZWSPTIRczwsplnatiret"/>
    <w:next w:val="TIRtiret"/>
    <w:uiPriority w:val="73"/>
    <w:qFormat/>
    <w:rsid w:val="000F42EA"/>
    <w:pPr>
      <w:ind w:left="1780"/>
    </w:pPr>
  </w:style>
  <w:style w:type="paragraph" w:customStyle="1" w:styleId="Z2TIRzmpodwtirartykuempunktem">
    <w:name w:val="Z/2TIR – zm. podw. tir. artykułem (punktem)"/>
    <w:basedOn w:val="TIRtiret"/>
    <w:uiPriority w:val="73"/>
    <w:qFormat/>
    <w:rsid w:val="000F42EA"/>
    <w:pPr>
      <w:ind w:left="907"/>
    </w:pPr>
  </w:style>
  <w:style w:type="paragraph" w:customStyle="1" w:styleId="ZZCZWSPTIRwLITzmianazmczciwsptirwlit">
    <w:name w:val="ZZ/CZ_WSP_TIR_w_LIT – zmiana zm. części wsp. tir. w lit."/>
    <w:basedOn w:val="ZZTIRwLITzmianazmtirwlit"/>
    <w:uiPriority w:val="70"/>
    <w:qFormat/>
    <w:rsid w:val="000F42EA"/>
    <w:pPr>
      <w:ind w:left="2370" w:firstLine="0"/>
    </w:pPr>
  </w:style>
  <w:style w:type="paragraph" w:customStyle="1" w:styleId="ZLIT2TIRzmpodwtirliter">
    <w:name w:val="Z_LIT/2TIR – zm. podw. tir. literą"/>
    <w:basedOn w:val="TIRtiret"/>
    <w:uiPriority w:val="75"/>
    <w:qFormat/>
    <w:rsid w:val="000F42EA"/>
  </w:style>
  <w:style w:type="paragraph" w:customStyle="1" w:styleId="ZTIR2TIRzmpodwtirtiret">
    <w:name w:val="Z_TIR/2TIR – zm. podw. tir. tiret"/>
    <w:basedOn w:val="TIRtiret"/>
    <w:uiPriority w:val="78"/>
    <w:qFormat/>
    <w:rsid w:val="000F42E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0F42EA"/>
    <w:pPr>
      <w:ind w:left="1780"/>
    </w:pPr>
  </w:style>
  <w:style w:type="paragraph" w:customStyle="1" w:styleId="Z2TIRwPKTzmpodwtirwpktartykuempunktem">
    <w:name w:val="Z/2TIR_w_PKT – zm. podw. tir. w pkt artykułem (punktem)"/>
    <w:basedOn w:val="TIRtiret"/>
    <w:next w:val="ZPKTzmpktartykuempunktem"/>
    <w:uiPriority w:val="74"/>
    <w:qFormat/>
    <w:rsid w:val="000F42EA"/>
    <w:pPr>
      <w:ind w:left="2291"/>
    </w:pPr>
  </w:style>
  <w:style w:type="paragraph" w:customStyle="1" w:styleId="ZTIRPKTzmpkttiret">
    <w:name w:val="Z_TIR/PKT – zm. pkt tiret"/>
    <w:basedOn w:val="PKTpunkt"/>
    <w:uiPriority w:val="56"/>
    <w:qFormat/>
    <w:rsid w:val="000F42EA"/>
    <w:pPr>
      <w:ind w:left="1893"/>
    </w:pPr>
  </w:style>
  <w:style w:type="paragraph" w:customStyle="1" w:styleId="ZTIRLITwPKTzmlitwpkttiret">
    <w:name w:val="Z_TIR/LIT_w_PKT – zm. lit. w pkt tiret"/>
    <w:basedOn w:val="LITlitera"/>
    <w:uiPriority w:val="57"/>
    <w:qFormat/>
    <w:rsid w:val="000F42EA"/>
    <w:pPr>
      <w:ind w:left="2336"/>
    </w:pPr>
  </w:style>
  <w:style w:type="paragraph" w:customStyle="1" w:styleId="ZTIRCZWSPLITwPKTzmczciwsplitwpkttiret">
    <w:name w:val="Z_TIR/CZ_WSP_LIT_w_PKT – zm. części wsp. lit. w pkt tiret"/>
    <w:basedOn w:val="CZWSPLITczwsplnaliter"/>
    <w:uiPriority w:val="59"/>
    <w:qFormat/>
    <w:rsid w:val="000F42EA"/>
    <w:pPr>
      <w:ind w:left="1860"/>
    </w:pPr>
  </w:style>
  <w:style w:type="paragraph" w:customStyle="1" w:styleId="ZTIR2TIRwLITzmpodwtirwlittiret">
    <w:name w:val="Z_TIR/2TIR_w_LIT – zm. podw. tir. w lit. tiret"/>
    <w:basedOn w:val="TIRtiret"/>
    <w:uiPriority w:val="79"/>
    <w:qFormat/>
    <w:rsid w:val="000F42E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0F42EA"/>
    <w:pPr>
      <w:ind w:left="2257"/>
    </w:pPr>
  </w:style>
  <w:style w:type="paragraph" w:customStyle="1" w:styleId="ZTIR2TIRwTIRzmpodwtirwtirtiret">
    <w:name w:val="Z_TIR/2TIR_w_TIR – zm. podw. tir. w tir. tiret"/>
    <w:basedOn w:val="TIRtiret"/>
    <w:uiPriority w:val="78"/>
    <w:qFormat/>
    <w:rsid w:val="000F42EA"/>
    <w:pPr>
      <w:ind w:left="2177"/>
    </w:pPr>
  </w:style>
  <w:style w:type="paragraph" w:customStyle="1" w:styleId="ZTIRCZWSP2TIRwTIRzmczciwsppodwtirwtirtiret">
    <w:name w:val="Z_TIR/CZ_WSP_2TIR_w_TIR – zm. części wsp. podw. tir. w tir. tiret"/>
    <w:basedOn w:val="CZWSPTIRczwsplnatiret"/>
    <w:uiPriority w:val="79"/>
    <w:qFormat/>
    <w:rsid w:val="000F42EA"/>
    <w:pPr>
      <w:ind w:left="1780"/>
    </w:pPr>
  </w:style>
  <w:style w:type="paragraph" w:customStyle="1" w:styleId="Z2TIRLITzmlitpodwjnymtiret">
    <w:name w:val="Z_2TIR/LIT – zm. lit. podwójnym tiret"/>
    <w:basedOn w:val="LITlitera"/>
    <w:uiPriority w:val="84"/>
    <w:qFormat/>
    <w:rsid w:val="000F42EA"/>
    <w:pPr>
      <w:ind w:left="2256"/>
    </w:pPr>
  </w:style>
  <w:style w:type="paragraph" w:customStyle="1" w:styleId="ZZ2TIRwTIRzmianazmpodwtirwtir">
    <w:name w:val="ZZ/2TIR_w_TIR – zmiana zm. podw. tir. w tir."/>
    <w:basedOn w:val="ZZCZWSP2TIRzmianazmczciwsppodwtir"/>
    <w:uiPriority w:val="93"/>
    <w:qFormat/>
    <w:rsid w:val="000F42EA"/>
    <w:pPr>
      <w:ind w:left="2688" w:hanging="397"/>
    </w:pPr>
  </w:style>
  <w:style w:type="paragraph" w:customStyle="1" w:styleId="ZZ2TIRwLITzmianazmpodwtirwlit">
    <w:name w:val="ZZ/2TIR_w_LIT – zmiana zm. podw. tir. w lit."/>
    <w:basedOn w:val="ZZ2TIRwTIRzmianazmpodwtirwtir"/>
    <w:uiPriority w:val="94"/>
    <w:qFormat/>
    <w:rsid w:val="000F42EA"/>
    <w:pPr>
      <w:ind w:left="3164"/>
    </w:pPr>
  </w:style>
  <w:style w:type="paragraph" w:customStyle="1" w:styleId="Z2TIRTIRwLITzmtirwlitpodwjnymtiret">
    <w:name w:val="Z_2TIR/TIR_w_LIT – zm. tir. w lit. podwójnym tiret"/>
    <w:basedOn w:val="TIRtiret"/>
    <w:uiPriority w:val="84"/>
    <w:qFormat/>
    <w:rsid w:val="000F42E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0F42EA"/>
    <w:pPr>
      <w:ind w:left="2257"/>
    </w:pPr>
  </w:style>
  <w:style w:type="paragraph" w:customStyle="1" w:styleId="ZZ2TIRwPKTzmianazmpodwtirwpkt">
    <w:name w:val="ZZ/2TIR_w_PKT – zmiana zm. podw. tir. w pkt"/>
    <w:basedOn w:val="ZZ2TIRwLITzmianazmpodwtirwlit"/>
    <w:uiPriority w:val="94"/>
    <w:qFormat/>
    <w:rsid w:val="000F42EA"/>
    <w:pPr>
      <w:ind w:left="3674"/>
    </w:pPr>
  </w:style>
  <w:style w:type="paragraph" w:customStyle="1" w:styleId="ZZCZWSP2TIRwTIRzmianazmczciwsppodwtirwtir">
    <w:name w:val="ZZ/CZ_WSP_2TIR_w_TIR – zmiana zm. części wsp. podw. tir. w tir."/>
    <w:basedOn w:val="ZZ2TIRwLITzmianazmpodwtirwlit"/>
    <w:uiPriority w:val="94"/>
    <w:qFormat/>
    <w:rsid w:val="000F42EA"/>
    <w:pPr>
      <w:ind w:left="2291" w:firstLine="0"/>
    </w:pPr>
  </w:style>
  <w:style w:type="paragraph" w:customStyle="1" w:styleId="Z2TIR2TIRwTIRzmpodwtirwtirpodwjnymtiret">
    <w:name w:val="Z_2TIR/2TIR_w_TIR – zm. podw. tir. w tir. podwójnym tiret"/>
    <w:basedOn w:val="TIRtiret"/>
    <w:uiPriority w:val="85"/>
    <w:qFormat/>
    <w:rsid w:val="000F42E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0F42EA"/>
    <w:pPr>
      <w:ind w:left="2177"/>
    </w:pPr>
  </w:style>
  <w:style w:type="paragraph" w:customStyle="1" w:styleId="Z2TIR2TIRwLITzmpodwtirwlitpodwjnymtiret">
    <w:name w:val="Z_2TIR/2TIR_w_LIT – zm. podw. tir. w lit. podwójnym tiret"/>
    <w:basedOn w:val="TIRtiret"/>
    <w:uiPriority w:val="86"/>
    <w:qFormat/>
    <w:rsid w:val="000F42E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0F42E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0F42E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0F42EA"/>
    <w:pPr>
      <w:spacing w:after="120"/>
      <w:ind w:left="510"/>
    </w:pPr>
    <w:rPr>
      <w:b w:val="0"/>
    </w:rPr>
  </w:style>
  <w:style w:type="character" w:styleId="Odwoaniedokomentarza">
    <w:name w:val="annotation reference"/>
    <w:basedOn w:val="Domylnaczcionkaakapitu"/>
    <w:uiPriority w:val="99"/>
    <w:semiHidden/>
    <w:rsid w:val="000F42EA"/>
    <w:rPr>
      <w:sz w:val="16"/>
      <w:szCs w:val="16"/>
    </w:rPr>
  </w:style>
  <w:style w:type="paragraph" w:styleId="Tekstkomentarza">
    <w:name w:val="annotation text"/>
    <w:basedOn w:val="Normalny"/>
    <w:link w:val="TekstkomentarzaZnak"/>
    <w:uiPriority w:val="99"/>
    <w:semiHidden/>
    <w:rsid w:val="000F42EA"/>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komentarzaZnak">
    <w:name w:val="Tekst komentarza Znak"/>
    <w:basedOn w:val="Domylnaczcionkaakapitu"/>
    <w:link w:val="Tekstkomentarza"/>
    <w:uiPriority w:val="99"/>
    <w:semiHidden/>
    <w:rsid w:val="000F42EA"/>
    <w:rPr>
      <w:rFonts w:ascii="Times" w:eastAsia="Times New Roman" w:hAnsi="Times" w:cs="Times New Roman"/>
      <w:sz w:val="24"/>
      <w:szCs w:val="24"/>
      <w:lang w:eastAsia="pl-PL"/>
    </w:rPr>
  </w:style>
  <w:style w:type="paragraph" w:styleId="Tematkomentarza">
    <w:name w:val="annotation subject"/>
    <w:basedOn w:val="Tekstkomentarza"/>
    <w:next w:val="Tekstkomentarza"/>
    <w:link w:val="TematkomentarzaZnak"/>
    <w:uiPriority w:val="99"/>
    <w:semiHidden/>
    <w:rsid w:val="000F42EA"/>
    <w:rPr>
      <w:b/>
      <w:bCs/>
    </w:rPr>
  </w:style>
  <w:style w:type="character" w:customStyle="1" w:styleId="TematkomentarzaZnak">
    <w:name w:val="Temat komentarza Znak"/>
    <w:basedOn w:val="TekstkomentarzaZnak"/>
    <w:link w:val="Tematkomentarza"/>
    <w:uiPriority w:val="99"/>
    <w:semiHidden/>
    <w:rsid w:val="000F42EA"/>
    <w:rPr>
      <w:rFonts w:ascii="Times" w:eastAsia="Times New Roman" w:hAnsi="Times" w:cs="Times New Roman"/>
      <w:b/>
      <w:bCs/>
      <w:sz w:val="24"/>
      <w:szCs w:val="24"/>
      <w:lang w:eastAsia="pl-PL"/>
    </w:rPr>
  </w:style>
  <w:style w:type="paragraph" w:customStyle="1" w:styleId="ZZARTzmianazmart">
    <w:name w:val="ZZ/ART(§) – zmiana zm. art. (§)"/>
    <w:basedOn w:val="ZARTzmartartykuempunktem"/>
    <w:uiPriority w:val="65"/>
    <w:qFormat/>
    <w:rsid w:val="000F42EA"/>
    <w:pPr>
      <w:ind w:left="1894"/>
    </w:pPr>
  </w:style>
  <w:style w:type="paragraph" w:customStyle="1" w:styleId="ZZPKTzmianazmpkt">
    <w:name w:val="ZZ/PKT – zmiana zm. pkt"/>
    <w:basedOn w:val="ZPKTzmpktartykuempunktem"/>
    <w:uiPriority w:val="66"/>
    <w:qFormat/>
    <w:rsid w:val="000F42EA"/>
    <w:pPr>
      <w:ind w:left="2404"/>
    </w:pPr>
  </w:style>
  <w:style w:type="paragraph" w:customStyle="1" w:styleId="ZZLITwPKTzmianazmlitwpkt">
    <w:name w:val="ZZ/LIT_w_PKT – zmiana zm. lit. w pkt"/>
    <w:basedOn w:val="ZLITwPKTzmlitwpktartykuempunktem"/>
    <w:uiPriority w:val="67"/>
    <w:qFormat/>
    <w:rsid w:val="000F42EA"/>
    <w:pPr>
      <w:ind w:left="2880"/>
    </w:pPr>
  </w:style>
  <w:style w:type="paragraph" w:customStyle="1" w:styleId="ZZTIRwPKTzmianazmtirwpkt">
    <w:name w:val="ZZ/TIR_w_PKT – zmiana zm. tir. w pkt"/>
    <w:basedOn w:val="ZTIRwPKTzmtirwpktartykuempunktem"/>
    <w:uiPriority w:val="67"/>
    <w:qFormat/>
    <w:rsid w:val="000F42EA"/>
    <w:pPr>
      <w:ind w:left="3277"/>
    </w:pPr>
  </w:style>
  <w:style w:type="paragraph" w:customStyle="1" w:styleId="ZZWMATFIZCHEMzmwzorumatfizlubchem">
    <w:name w:val="ZZ/W_MAT(FIZ|CHEM) – zm. wzoru mat. (fiz. lub chem.)"/>
    <w:basedOn w:val="ZWMATFIZCHEMzmwzorumatfizlubchemartykuempunktem"/>
    <w:uiPriority w:val="71"/>
    <w:qFormat/>
    <w:rsid w:val="000F42EA"/>
    <w:pPr>
      <w:ind w:left="2404"/>
    </w:pPr>
  </w:style>
  <w:style w:type="paragraph" w:customStyle="1" w:styleId="ODNONIKtreodnonika">
    <w:name w:val="ODNOŚNIK – treść odnośnika"/>
    <w:uiPriority w:val="19"/>
    <w:qFormat/>
    <w:rsid w:val="000F42EA"/>
    <w:pPr>
      <w:spacing w:after="0" w:line="240" w:lineRule="auto"/>
      <w:ind w:left="284" w:hanging="284"/>
      <w:jc w:val="both"/>
    </w:pPr>
    <w:rPr>
      <w:rFonts w:ascii="Times New Roman" w:eastAsia="Times New Roman"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0F42E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0F42E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0F42EA"/>
    <w:rPr>
      <w:rFonts w:ascii="Times New Roman" w:hAnsi="Times New Roman"/>
    </w:rPr>
  </w:style>
  <w:style w:type="paragraph" w:customStyle="1" w:styleId="ZTIRTIRwPKTzmtirwpkttiret">
    <w:name w:val="Z_TIR/TIR_w_PKT – zm. tir. w pkt tiret"/>
    <w:basedOn w:val="ZTIRTIRwLITzmtirwlittiret"/>
    <w:uiPriority w:val="57"/>
    <w:qFormat/>
    <w:rsid w:val="000F42EA"/>
    <w:pPr>
      <w:ind w:left="2733"/>
    </w:pPr>
  </w:style>
  <w:style w:type="paragraph" w:customStyle="1" w:styleId="ZTIRCZWSPTIRwPKTzmczciwsptirtiret">
    <w:name w:val="Z_TIR/CZ_WSP_TIR_w_PKT – zm. części wsp. tir. tiret"/>
    <w:basedOn w:val="ZTIRTIRwPKTzmtirwpkttiret"/>
    <w:next w:val="TIRtiret"/>
    <w:uiPriority w:val="60"/>
    <w:qFormat/>
    <w:rsid w:val="000F42E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0F42EA"/>
    <w:pPr>
      <w:ind w:left="510" w:firstLine="0"/>
    </w:pPr>
  </w:style>
  <w:style w:type="paragraph" w:customStyle="1" w:styleId="ROZDZODDZOZNoznaczenierozdziauluboddziau">
    <w:name w:val="ROZDZ(ODDZ)_OZN – oznaczenie rozdziału lub oddziału"/>
    <w:next w:val="ARTartustawynprozporzdzenia"/>
    <w:uiPriority w:val="10"/>
    <w:qFormat/>
    <w:rsid w:val="000F42EA"/>
    <w:pPr>
      <w:keepNext/>
      <w:suppressAutoHyphens/>
      <w:spacing w:before="120" w:after="0" w:line="360" w:lineRule="auto"/>
      <w:jc w:val="center"/>
    </w:pPr>
    <w:rPr>
      <w:rFonts w:ascii="Times" w:eastAsia="Times New Roman"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0F42EA"/>
    <w:pPr>
      <w:ind w:left="2177"/>
    </w:pPr>
  </w:style>
  <w:style w:type="paragraph" w:customStyle="1" w:styleId="Z2TIRTIRzmtirpodwjnymtiret">
    <w:name w:val="Z_2TIR/TIR – zm. tir. podwójnym tiret"/>
    <w:basedOn w:val="TIRtiret"/>
    <w:uiPriority w:val="84"/>
    <w:qFormat/>
    <w:rsid w:val="000F42E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0F42EA"/>
    <w:pPr>
      <w:ind w:left="1021"/>
    </w:pPr>
  </w:style>
  <w:style w:type="paragraph" w:customStyle="1" w:styleId="ZLITSKARNzmsankcjikarnejliter">
    <w:name w:val="Z_LIT/S_KARN – zm. sankcji karnej literą"/>
    <w:basedOn w:val="ZSKARNzmsankcjikarnejwszczeglnociwKodeksiekarnym"/>
    <w:uiPriority w:val="53"/>
    <w:qFormat/>
    <w:rsid w:val="000F42E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0F42E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0F42EA"/>
    <w:pPr>
      <w:ind w:left="1894" w:firstLine="0"/>
    </w:pPr>
  </w:style>
  <w:style w:type="paragraph" w:customStyle="1" w:styleId="Z2TIRwLITzmpodwtirwlitartykuempunktem">
    <w:name w:val="Z/2TIR_w_LIT – zm. podw. tir. w lit. artykułem (punktem)"/>
    <w:basedOn w:val="Z2TIRwPKTzmpodwtirwpktartykuempunktem"/>
    <w:uiPriority w:val="74"/>
    <w:qFormat/>
    <w:rsid w:val="000F42EA"/>
    <w:pPr>
      <w:ind w:left="1780"/>
    </w:pPr>
  </w:style>
  <w:style w:type="paragraph" w:customStyle="1" w:styleId="Z2TIRwTIRzmpodwtirwtirartykuempunktem">
    <w:name w:val="Z/2TIR_w_TIR – zm. podw. tir. w tir. artykułem (punktem)"/>
    <w:basedOn w:val="Z2TIRwLITzmpodwtirwlitartykuempunktem"/>
    <w:uiPriority w:val="73"/>
    <w:qFormat/>
    <w:rsid w:val="000F42E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0F42E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0F42EA"/>
    <w:pPr>
      <w:ind w:left="1383" w:firstLine="0"/>
    </w:pPr>
  </w:style>
  <w:style w:type="paragraph" w:customStyle="1" w:styleId="ZZCZWSP2TIRzmianazmczciwsppodwtir">
    <w:name w:val="ZZ/CZ_WSP_2TIR – zmiana zm. części wsp. podw. tir."/>
    <w:basedOn w:val="ZZTIRzmianazmtir"/>
    <w:next w:val="ZZUSTzmianazmust"/>
    <w:uiPriority w:val="94"/>
    <w:qFormat/>
    <w:rsid w:val="000F42EA"/>
    <w:pPr>
      <w:ind w:left="1894" w:firstLine="0"/>
    </w:pPr>
  </w:style>
  <w:style w:type="paragraph" w:customStyle="1" w:styleId="PKTODNONIKApunktodnonika">
    <w:name w:val="PKT_ODNOŚNIKA – punkt odnośnika"/>
    <w:basedOn w:val="ODNONIKtreodnonika"/>
    <w:uiPriority w:val="19"/>
    <w:qFormat/>
    <w:rsid w:val="000F42EA"/>
    <w:pPr>
      <w:ind w:left="568"/>
    </w:pPr>
  </w:style>
  <w:style w:type="paragraph" w:customStyle="1" w:styleId="ZODNONIKAzmtekstuodnonikaartykuempunktem">
    <w:name w:val="Z/ODNOŚNIKA – zm. tekstu odnośnika artykułem (punktem)"/>
    <w:basedOn w:val="ODNONIKtreodnonika"/>
    <w:uiPriority w:val="39"/>
    <w:qFormat/>
    <w:rsid w:val="000F42E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0F42EA"/>
    <w:pPr>
      <w:ind w:left="1304"/>
    </w:pPr>
  </w:style>
  <w:style w:type="paragraph" w:customStyle="1" w:styleId="ZPKTODNONIKAzmpktodnonikaartykuempunktem">
    <w:name w:val="Z/PKT_ODNOŚNIKA – zm. pkt odnośnika artykułem (punktem)"/>
    <w:basedOn w:val="ZODNONIKAzmtekstuodnonikaartykuempunktem"/>
    <w:uiPriority w:val="39"/>
    <w:qFormat/>
    <w:rsid w:val="000F42EA"/>
  </w:style>
  <w:style w:type="paragraph" w:customStyle="1" w:styleId="ZLIT2TIRwTIRzmpodwtirwtirliter">
    <w:name w:val="Z_LIT/2TIR_w_TIR – zm. podw. tir. w tir. literą"/>
    <w:basedOn w:val="ZLIT2TIRzmpodwtirliter"/>
    <w:uiPriority w:val="75"/>
    <w:qFormat/>
    <w:rsid w:val="000F42EA"/>
    <w:pPr>
      <w:ind w:left="1780"/>
    </w:pPr>
  </w:style>
  <w:style w:type="paragraph" w:customStyle="1" w:styleId="ZLIT2TIRwLITzmpodwtirwlitliter">
    <w:name w:val="Z_LIT/2TIR_w_LIT – zm. podw. tir. w lit. literą"/>
    <w:basedOn w:val="ZLIT2TIRwTIRzmpodwtirwtirliter"/>
    <w:uiPriority w:val="76"/>
    <w:qFormat/>
    <w:rsid w:val="000F42EA"/>
    <w:pPr>
      <w:ind w:left="2257"/>
    </w:pPr>
  </w:style>
  <w:style w:type="paragraph" w:customStyle="1" w:styleId="ZLIT2TIRwPKTzmpodwtirwpktliter">
    <w:name w:val="Z_LIT/2TIR_w_PKT – zm. podw. tir. w pkt literą"/>
    <w:basedOn w:val="ZLIT2TIRwLITzmpodwtirwlitliter"/>
    <w:uiPriority w:val="76"/>
    <w:qFormat/>
    <w:rsid w:val="000F42E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0F42E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0F42E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0F42EA"/>
    <w:pPr>
      <w:ind w:left="2370" w:firstLine="0"/>
    </w:pPr>
  </w:style>
  <w:style w:type="paragraph" w:customStyle="1" w:styleId="ZTIR2TIRwPKTzmpodwtirwpkttiret">
    <w:name w:val="Z_TIR/2TIR_w_PKT – zm. podw. tir. w pkt tiret"/>
    <w:basedOn w:val="ZTIR2TIRwLITzmpodwtirwlittiret"/>
    <w:uiPriority w:val="79"/>
    <w:qFormat/>
    <w:rsid w:val="000F42E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0F42E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0F42EA"/>
    <w:pPr>
      <w:ind w:left="2767"/>
    </w:pPr>
  </w:style>
  <w:style w:type="paragraph" w:customStyle="1" w:styleId="ZZCZWSP2TIRwPKTzmianazmczciwsppodwtirwpkt">
    <w:name w:val="ZZ/CZ_WSP_2TIR_w_PKT – zmiana zm. części wsp. podw. tir. w pkt"/>
    <w:basedOn w:val="ZZ2TIRwLITzmianazmpodwtirwlit"/>
    <w:uiPriority w:val="95"/>
    <w:qFormat/>
    <w:rsid w:val="000F42E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0F42EA"/>
  </w:style>
  <w:style w:type="paragraph" w:customStyle="1" w:styleId="ZLITCZWSP2TIRzmczciwsppodwtirliter">
    <w:name w:val="Z_LIT/CZ_WSP_2TIR – zm. części wsp. podw. tir. literą"/>
    <w:basedOn w:val="ZLITCZWSPPKTzmczciwsppktliter"/>
    <w:next w:val="LITlitera"/>
    <w:uiPriority w:val="76"/>
    <w:qFormat/>
    <w:rsid w:val="000F42EA"/>
  </w:style>
  <w:style w:type="paragraph" w:customStyle="1" w:styleId="ZTIRCZWSP2TIRzmczciwsppodwtirtiret">
    <w:name w:val="Z_TIR/CZ_WSP_2TIR – zm. części wsp. podw. tir. tiret"/>
    <w:basedOn w:val="ZLITCZWSP2TIRzmczciwsppodwtirliter"/>
    <w:next w:val="TIRtiret"/>
    <w:uiPriority w:val="79"/>
    <w:qFormat/>
    <w:rsid w:val="000F42EA"/>
  </w:style>
  <w:style w:type="paragraph" w:customStyle="1" w:styleId="ZZ2TIRzmianazmpodwtir">
    <w:name w:val="ZZ/2TIR – zmiana zm. podw. tir."/>
    <w:basedOn w:val="ZZCZWSP2TIRzmianazmczciwsppodwtir"/>
    <w:uiPriority w:val="93"/>
    <w:qFormat/>
    <w:rsid w:val="000F42E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0F42EA"/>
  </w:style>
  <w:style w:type="paragraph" w:customStyle="1" w:styleId="ZCZWSPTIRzmczciwsptirartykuempunktem">
    <w:name w:val="Z/CZ_WSP_TIR – zm. części wsp. tir. artykułem (punktem)"/>
    <w:basedOn w:val="ZCZWSPPKTzmczciwsppktartykuempunktem"/>
    <w:next w:val="PKTpunkt"/>
    <w:uiPriority w:val="35"/>
    <w:qFormat/>
    <w:rsid w:val="000F42EA"/>
  </w:style>
  <w:style w:type="paragraph" w:customStyle="1" w:styleId="ZLITCZWSPLITzmczciwsplitliter">
    <w:name w:val="Z_LIT/CZ_WSP_LIT – zm. części wsp. lit. literą"/>
    <w:basedOn w:val="ZLITCZWSPPKTzmczciwsppktliter"/>
    <w:next w:val="LITlitera"/>
    <w:uiPriority w:val="51"/>
    <w:qFormat/>
    <w:rsid w:val="000F42EA"/>
  </w:style>
  <w:style w:type="paragraph" w:customStyle="1" w:styleId="ZLITCZWSPTIRzmczciwsptirliter">
    <w:name w:val="Z_LIT/CZ_WSP_TIR – zm. części wsp. tir. literą"/>
    <w:basedOn w:val="ZLITCZWSPPKTzmczciwsppktliter"/>
    <w:next w:val="LITlitera"/>
    <w:uiPriority w:val="51"/>
    <w:qFormat/>
    <w:rsid w:val="000F42EA"/>
  </w:style>
  <w:style w:type="paragraph" w:customStyle="1" w:styleId="ZTIRCZWSPLITzmczciwsplittiret">
    <w:name w:val="Z_TIR/CZ_WSP_LIT – zm. części wsp. lit. tiret"/>
    <w:basedOn w:val="ZTIRCZWSPPKTzmczciwsppkttiret"/>
    <w:next w:val="TIRtiret"/>
    <w:uiPriority w:val="59"/>
    <w:qFormat/>
    <w:rsid w:val="000F42EA"/>
  </w:style>
  <w:style w:type="paragraph" w:customStyle="1" w:styleId="ZTIRCZWSPTIRzmczciwsptirtiret">
    <w:name w:val="Z_TIR/CZ_WSP_TIR – zm. części wsp. tir. tiret"/>
    <w:basedOn w:val="ZTIRCZWSPPKTzmczciwsppkttiret"/>
    <w:next w:val="TIRtiret"/>
    <w:uiPriority w:val="60"/>
    <w:qFormat/>
    <w:rsid w:val="000F42EA"/>
  </w:style>
  <w:style w:type="paragraph" w:customStyle="1" w:styleId="ZZCZWSPLITzmianazmczciwsplit">
    <w:name w:val="ZZ/CZ_WSP_LIT – zmiana. zm. części wsp. lit."/>
    <w:basedOn w:val="ZZCZWSPPKTzmianazmczciwsppkt"/>
    <w:uiPriority w:val="69"/>
    <w:qFormat/>
    <w:rsid w:val="000F42EA"/>
  </w:style>
  <w:style w:type="paragraph" w:customStyle="1" w:styleId="ZZCZWSPTIRzmianazmczciwsptir">
    <w:name w:val="ZZ/CZ_WSP_TIR – zmiana. zm. części wsp. tir."/>
    <w:basedOn w:val="ZZCZWSPPKTzmianazmczciwsppkt"/>
    <w:uiPriority w:val="69"/>
    <w:qFormat/>
    <w:rsid w:val="000F42EA"/>
  </w:style>
  <w:style w:type="paragraph" w:customStyle="1" w:styleId="Z2TIRCZWSPTIRzmczciwsptirpodwjnymtiret">
    <w:name w:val="Z_2TIR/CZ_WSP_TIR – zm. części wsp. tir. podwójnym tiret"/>
    <w:basedOn w:val="Z2TIRCZWSPLITzmczciwsplitpodwjnymtiret"/>
    <w:next w:val="2TIRpodwjnytiret"/>
    <w:uiPriority w:val="87"/>
    <w:qFormat/>
    <w:rsid w:val="000F42E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0F42EA"/>
  </w:style>
  <w:style w:type="paragraph" w:customStyle="1" w:styleId="ZUSTzmustartykuempunktem">
    <w:name w:val="Z/UST(§) – zm. ust. (§) artykułem (punktem)"/>
    <w:basedOn w:val="ZARTzmartartykuempunktem"/>
    <w:uiPriority w:val="30"/>
    <w:qFormat/>
    <w:rsid w:val="000F42EA"/>
  </w:style>
  <w:style w:type="paragraph" w:customStyle="1" w:styleId="ZZUSTzmianazmust">
    <w:name w:val="ZZ/UST(§) – zmiana zm. ust. (§)"/>
    <w:basedOn w:val="ZZARTzmianazmart"/>
    <w:uiPriority w:val="65"/>
    <w:qFormat/>
    <w:rsid w:val="000F42EA"/>
  </w:style>
  <w:style w:type="paragraph" w:customStyle="1" w:styleId="TYTDZPRZEDMprzedmiotregulacjitytuulubdziau">
    <w:name w:val="TYT(DZ)_PRZEDM – przedmiot regulacji tytułu lub działu"/>
    <w:next w:val="ARTartustawynprozporzdzenia"/>
    <w:uiPriority w:val="9"/>
    <w:qFormat/>
    <w:rsid w:val="000F42EA"/>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0F42E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0F42E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0F42E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0F42E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0F42E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0F42EA"/>
    <w:pPr>
      <w:ind w:left="1894"/>
    </w:pPr>
  </w:style>
  <w:style w:type="paragraph" w:customStyle="1" w:styleId="P1wTABELIpoziom1numeracjiwtabeli">
    <w:name w:val="P1_w_TABELI – poziom 1 numeracji w tabeli"/>
    <w:basedOn w:val="PKTpunkt"/>
    <w:uiPriority w:val="24"/>
    <w:qFormat/>
    <w:rsid w:val="000F42E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0F42EA"/>
    <w:pPr>
      <w:ind w:left="0" w:firstLine="0"/>
    </w:pPr>
  </w:style>
  <w:style w:type="paragraph" w:customStyle="1" w:styleId="P2wTABELIpoziom2numeracjiwtabeli">
    <w:name w:val="P2_w_TABELI – poziom 2 numeracji w tabeli"/>
    <w:basedOn w:val="P1wTABELIpoziom1numeracjiwtabeli"/>
    <w:uiPriority w:val="24"/>
    <w:qFormat/>
    <w:rsid w:val="000F42EA"/>
    <w:pPr>
      <w:ind w:left="794"/>
    </w:pPr>
  </w:style>
  <w:style w:type="paragraph" w:customStyle="1" w:styleId="P3wTABELIpoziom3numeracjiwtabeli">
    <w:name w:val="P3_w_TABELI – poziom 3 numeracji w tabeli"/>
    <w:basedOn w:val="P2wTABELIpoziom2numeracjiwtabeli"/>
    <w:uiPriority w:val="24"/>
    <w:qFormat/>
    <w:rsid w:val="000F42E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0F42E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0F42E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0F42EA"/>
    <w:pPr>
      <w:ind w:left="1191"/>
    </w:pPr>
  </w:style>
  <w:style w:type="paragraph" w:customStyle="1" w:styleId="P4wTABELIpoziom4numeracjiwtabeli">
    <w:name w:val="P4_w_TABELI – poziom 4 numeracji w tabeli"/>
    <w:basedOn w:val="P3wTABELIpoziom3numeracjiwtabeli"/>
    <w:uiPriority w:val="24"/>
    <w:qFormat/>
    <w:rsid w:val="000F42EA"/>
    <w:pPr>
      <w:ind w:left="1588"/>
    </w:pPr>
  </w:style>
  <w:style w:type="paragraph" w:customStyle="1" w:styleId="TYTTABELItytutabeli">
    <w:name w:val="TYT_TABELI – tytuł tabeli"/>
    <w:basedOn w:val="TYTDZOZNoznaczenietytuulubdziau"/>
    <w:uiPriority w:val="22"/>
    <w:qFormat/>
    <w:rsid w:val="000F42EA"/>
    <w:rPr>
      <w:b/>
    </w:rPr>
  </w:style>
  <w:style w:type="paragraph" w:customStyle="1" w:styleId="OZNPROJEKTUwskazaniedatylubwersjiprojektu">
    <w:name w:val="OZN_PROJEKTU – wskazanie daty lub wersji projektu"/>
    <w:next w:val="OZNRODZAKTUtznustawalubrozporzdzenieiorganwydajcy"/>
    <w:uiPriority w:val="5"/>
    <w:qFormat/>
    <w:rsid w:val="000F42EA"/>
    <w:pPr>
      <w:spacing w:after="0" w:line="360" w:lineRule="auto"/>
      <w:jc w:val="right"/>
    </w:pPr>
    <w:rPr>
      <w:rFonts w:ascii="Times New Roman" w:eastAsia="Times New Roman"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0F42E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0F42EA"/>
    <w:pPr>
      <w:ind w:left="0" w:right="4820"/>
      <w:jc w:val="left"/>
    </w:pPr>
  </w:style>
  <w:style w:type="paragraph" w:customStyle="1" w:styleId="TEKSTwporozumieniu">
    <w:name w:val="TEKST&quot;w porozumieniu:&quot;"/>
    <w:next w:val="NAZORGWPOROZUMIENIUnazwaorganuwporozumieniuzktrymaktjestwydawany"/>
    <w:uiPriority w:val="27"/>
    <w:qFormat/>
    <w:rsid w:val="000F42EA"/>
    <w:pPr>
      <w:spacing w:after="0" w:line="360" w:lineRule="auto"/>
    </w:pPr>
    <w:rPr>
      <w:rFonts w:ascii="Times New Roman" w:eastAsia="Times New Roman"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0F42E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0F42EA"/>
    <w:pPr>
      <w:ind w:left="510" w:firstLine="0"/>
    </w:pPr>
  </w:style>
  <w:style w:type="paragraph" w:customStyle="1" w:styleId="NOTATKILEGISLATORA">
    <w:name w:val="NOTATKI_LEGISLATORA"/>
    <w:basedOn w:val="Normalny"/>
    <w:uiPriority w:val="5"/>
    <w:qFormat/>
    <w:rsid w:val="000F42EA"/>
    <w:pPr>
      <w:widowControl w:val="0"/>
      <w:autoSpaceDE w:val="0"/>
      <w:autoSpaceDN w:val="0"/>
      <w:adjustRightInd w:val="0"/>
      <w:spacing w:after="0" w:line="360" w:lineRule="auto"/>
    </w:pPr>
    <w:rPr>
      <w:rFonts w:ascii="Times New Roman" w:eastAsia="Times New Roman" w:hAnsi="Times New Roman" w:cs="Arial"/>
      <w:b/>
      <w:i/>
      <w:sz w:val="24"/>
      <w:szCs w:val="20"/>
      <w:lang w:eastAsia="pl-PL"/>
    </w:rPr>
  </w:style>
  <w:style w:type="paragraph" w:customStyle="1" w:styleId="OZNZACZNIKAwskazanienrzacznika">
    <w:name w:val="OZN_ZAŁĄCZNIKA – wskazanie nr załącznika"/>
    <w:basedOn w:val="OZNPROJEKTUwskazaniedatylubwersjiprojektu"/>
    <w:uiPriority w:val="28"/>
    <w:qFormat/>
    <w:rsid w:val="000F42EA"/>
    <w:pPr>
      <w:keepNext/>
    </w:pPr>
    <w:rPr>
      <w:b/>
      <w:u w:val="none"/>
    </w:rPr>
  </w:style>
  <w:style w:type="paragraph" w:customStyle="1" w:styleId="OZNPARAFYADNOTACJE">
    <w:name w:val="OZN_PARAFY(ADNOTACJE)"/>
    <w:basedOn w:val="ODNONIKtreodnonika"/>
    <w:uiPriority w:val="26"/>
    <w:qFormat/>
    <w:rsid w:val="000F42EA"/>
  </w:style>
  <w:style w:type="paragraph" w:customStyle="1" w:styleId="TEKSTZacznikido">
    <w:name w:val="TEKST&quot;Załącznik(i) do ...&quot;"/>
    <w:uiPriority w:val="28"/>
    <w:qFormat/>
    <w:rsid w:val="000F42EA"/>
    <w:pPr>
      <w:keepNext/>
      <w:spacing w:after="240" w:line="240" w:lineRule="auto"/>
      <w:ind w:left="5670"/>
      <w:contextualSpacing/>
    </w:pPr>
    <w:rPr>
      <w:rFonts w:ascii="Times New Roman" w:eastAsia="Times New Roman"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0F42EA"/>
    <w:pPr>
      <w:ind w:left="851"/>
    </w:pPr>
  </w:style>
  <w:style w:type="paragraph" w:customStyle="1" w:styleId="CZWSPLITODNONIKAczwspliterodnonika">
    <w:name w:val="CZ_WSP_LIT_ODNOŚNIKA – część wsp. liter odnośnika"/>
    <w:basedOn w:val="LITODNONIKAliteraodnonika"/>
    <w:uiPriority w:val="22"/>
    <w:qFormat/>
    <w:rsid w:val="000F42E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0F42E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0F42E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0F42E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0F42EA"/>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0F42E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0F42E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0F42EA"/>
  </w:style>
  <w:style w:type="paragraph" w:customStyle="1" w:styleId="ZLITwPKTODNONIKAzmlitwpktodnonikaartykuempunktem">
    <w:name w:val="Z/LIT_w_PKT_ODNOŚNIKA – zm. lit. w pkt odnośnika artykułem (punktem)"/>
    <w:basedOn w:val="ZLITODNONIKAzmlitodnonikaartykuempunktem"/>
    <w:uiPriority w:val="40"/>
    <w:qFormat/>
    <w:rsid w:val="000F42E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0F42E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0F42E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0F42E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0F42E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0F42E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0F42EA"/>
  </w:style>
  <w:style w:type="paragraph" w:customStyle="1" w:styleId="ZZFRAGzmianazmfragmentunpzdania">
    <w:name w:val="ZZ/FRAG – zmiana zm. fragmentu (np. zdania)"/>
    <w:basedOn w:val="ZZCZWSPPKTzmianazmczciwsppkt"/>
    <w:uiPriority w:val="70"/>
    <w:qFormat/>
    <w:rsid w:val="000F42EA"/>
  </w:style>
  <w:style w:type="paragraph" w:customStyle="1" w:styleId="Z2TIRPKTzmpktpodwjnymtiret">
    <w:name w:val="Z_2TIR/PKT – zm. pkt podwójnym tiret"/>
    <w:basedOn w:val="Z2TIRLITzmlitpodwjnymtiret"/>
    <w:uiPriority w:val="83"/>
    <w:qFormat/>
    <w:rsid w:val="000F42E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0F42E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0F42E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0F42E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0F42EA"/>
    <w:pPr>
      <w:ind w:left="1780" w:firstLine="510"/>
    </w:pPr>
  </w:style>
  <w:style w:type="paragraph" w:customStyle="1" w:styleId="Z2TIRUSTzmustpodwjnymtiret">
    <w:name w:val="Z_2TIR/UST(§) – zm. ust. (§) podwójnym tiret"/>
    <w:basedOn w:val="Z2TIRPKTzmpktpodwjnymtiret"/>
    <w:uiPriority w:val="82"/>
    <w:qFormat/>
    <w:rsid w:val="000F42E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0F42EA"/>
    <w:pPr>
      <w:ind w:left="3164" w:firstLine="0"/>
    </w:pPr>
  </w:style>
  <w:style w:type="paragraph" w:customStyle="1" w:styleId="Z2TIRCZWSPPKTzmczciwsppktpodwjnymtiret">
    <w:name w:val="Z_2TIR/CZ_WSP_PKT – zm. części wsp. pkt podwójnym tiret"/>
    <w:basedOn w:val="Z2TIRPKTzmpktpodwjnymtiret"/>
    <w:uiPriority w:val="86"/>
    <w:qFormat/>
    <w:rsid w:val="000F42E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0F42E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0F42EA"/>
    <w:pPr>
      <w:ind w:left="2767" w:firstLine="0"/>
    </w:pPr>
  </w:style>
  <w:style w:type="paragraph" w:customStyle="1" w:styleId="ZLITARTzmartliter">
    <w:name w:val="Z_LIT/ART(§) – zm. art. (§) literą"/>
    <w:basedOn w:val="ZLITUSTzmustliter"/>
    <w:uiPriority w:val="46"/>
    <w:qFormat/>
    <w:rsid w:val="000F42EA"/>
    <w:rPr>
      <w:rFonts w:ascii="Times New Roman" w:hAnsi="Times New Roman"/>
    </w:rPr>
  </w:style>
  <w:style w:type="paragraph" w:customStyle="1" w:styleId="ZTIRARTzmarttiret">
    <w:name w:val="Z_TIR/ART(§) – zm. art. (§) tiret"/>
    <w:basedOn w:val="ZTIRPKTzmpkttiret"/>
    <w:uiPriority w:val="55"/>
    <w:qFormat/>
    <w:rsid w:val="000F42EA"/>
    <w:pPr>
      <w:ind w:left="1383" w:firstLine="510"/>
    </w:pPr>
    <w:rPr>
      <w:rFonts w:ascii="Times New Roman" w:hAnsi="Times New Roman"/>
    </w:rPr>
  </w:style>
  <w:style w:type="paragraph" w:customStyle="1" w:styleId="ZTIRUSTzmusttiret">
    <w:name w:val="Z_TIR/UST(§) – zm. ust. (§) tiret"/>
    <w:basedOn w:val="ZTIRARTzmarttiret"/>
    <w:uiPriority w:val="55"/>
    <w:qFormat/>
    <w:rsid w:val="000F42EA"/>
  </w:style>
  <w:style w:type="paragraph" w:customStyle="1" w:styleId="ZLITKSIGIzmozniprzedmksigiliter">
    <w:name w:val="Z_LIT/KSIĘGI – zm. ozn. i przedm. księgi literą"/>
    <w:basedOn w:val="ZCZCIKSIGIzmozniprzedmczciksigiartykuempunktem"/>
    <w:uiPriority w:val="44"/>
    <w:qFormat/>
    <w:rsid w:val="000F42E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0F42E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0F42E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0F42E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0F42EA"/>
    <w:pPr>
      <w:ind w:left="987"/>
    </w:pPr>
  </w:style>
  <w:style w:type="paragraph" w:customStyle="1" w:styleId="ZTIRDZOZNzmozndziautiret">
    <w:name w:val="Z_TIR/DZ_OZN – zm. ozn. działu tiret"/>
    <w:basedOn w:val="ZLITTYTDZOZNzmozntytuudziauliter"/>
    <w:next w:val="ZTIRDZPRZEDMzmprzedmdziautiret"/>
    <w:uiPriority w:val="54"/>
    <w:qFormat/>
    <w:rsid w:val="000F42EA"/>
    <w:pPr>
      <w:ind w:left="1383"/>
    </w:pPr>
  </w:style>
  <w:style w:type="paragraph" w:customStyle="1" w:styleId="ZTIRDZPRZEDMzmprzedmdziautiret">
    <w:name w:val="Z_TIR/DZ_PRZEDM – zm. przedm. działu tiret"/>
    <w:basedOn w:val="ZLITTYTDZPRZEDMzmprzedmtytuudziauliter"/>
    <w:uiPriority w:val="54"/>
    <w:qFormat/>
    <w:rsid w:val="000F42E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0F42EA"/>
    <w:pPr>
      <w:ind w:left="1383"/>
    </w:pPr>
  </w:style>
  <w:style w:type="paragraph" w:customStyle="1" w:styleId="ZTIRROZDZODDZPRZEDMzmprzedmrozdzoddztiret">
    <w:name w:val="Z_TIR/ROZDZ(ODDZ)_PRZEDM – zm. przedm. rozdz. (oddz.) tiret"/>
    <w:basedOn w:val="ZLITROZDZODDZPRZEDMzmprzedmrozdzoddzliter"/>
    <w:uiPriority w:val="54"/>
    <w:qFormat/>
    <w:rsid w:val="000F42E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0F42E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0F42EA"/>
    <w:pPr>
      <w:ind w:left="1780"/>
    </w:pPr>
  </w:style>
  <w:style w:type="character" w:customStyle="1" w:styleId="IGindeksgrny">
    <w:name w:val="_IG_ – indeks górny"/>
    <w:basedOn w:val="Domylnaczcionkaakapitu"/>
    <w:uiPriority w:val="2"/>
    <w:qFormat/>
    <w:rsid w:val="000F42EA"/>
    <w:rPr>
      <w:b w:val="0"/>
      <w:i w:val="0"/>
      <w:vanish w:val="0"/>
      <w:spacing w:val="0"/>
      <w:vertAlign w:val="superscript"/>
    </w:rPr>
  </w:style>
  <w:style w:type="character" w:customStyle="1" w:styleId="IDindeksdolny">
    <w:name w:val="_ID_ – indeks dolny"/>
    <w:basedOn w:val="Domylnaczcionkaakapitu"/>
    <w:uiPriority w:val="3"/>
    <w:qFormat/>
    <w:rsid w:val="000F42EA"/>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0F42EA"/>
    <w:rPr>
      <w:b/>
      <w:vanish w:val="0"/>
      <w:spacing w:val="0"/>
      <w:vertAlign w:val="subscript"/>
    </w:rPr>
  </w:style>
  <w:style w:type="character" w:customStyle="1" w:styleId="IDKindeksdolnyikursywa">
    <w:name w:val="_ID_K_ – indeks dolny i kursywa"/>
    <w:basedOn w:val="Domylnaczcionkaakapitu"/>
    <w:uiPriority w:val="3"/>
    <w:qFormat/>
    <w:rsid w:val="000F42EA"/>
    <w:rPr>
      <w:i/>
      <w:vanish w:val="0"/>
      <w:spacing w:val="0"/>
      <w:vertAlign w:val="subscript"/>
    </w:rPr>
  </w:style>
  <w:style w:type="character" w:customStyle="1" w:styleId="IGPindeksgrnyipogrubienie">
    <w:name w:val="_IG_P_ – indeks górny i pogrubienie"/>
    <w:basedOn w:val="Domylnaczcionkaakapitu"/>
    <w:uiPriority w:val="2"/>
    <w:qFormat/>
    <w:rsid w:val="000F42EA"/>
    <w:rPr>
      <w:b/>
      <w:vanish w:val="0"/>
      <w:spacing w:val="0"/>
      <w:vertAlign w:val="superscript"/>
    </w:rPr>
  </w:style>
  <w:style w:type="character" w:customStyle="1" w:styleId="IGKindeksgrnyikursywa">
    <w:name w:val="_IG_K_ – indeks górny i kursywa"/>
    <w:basedOn w:val="Domylnaczcionkaakapitu"/>
    <w:uiPriority w:val="2"/>
    <w:qFormat/>
    <w:rsid w:val="000F42EA"/>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0F42EA"/>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0F42EA"/>
    <w:rPr>
      <w:b/>
      <w:i/>
      <w:vanish w:val="0"/>
      <w:spacing w:val="0"/>
      <w:vertAlign w:val="subscript"/>
    </w:rPr>
  </w:style>
  <w:style w:type="character" w:customStyle="1" w:styleId="Ppogrubienie">
    <w:name w:val="_P_ – pogrubienie"/>
    <w:basedOn w:val="Domylnaczcionkaakapitu"/>
    <w:uiPriority w:val="1"/>
    <w:qFormat/>
    <w:rsid w:val="000F42EA"/>
    <w:rPr>
      <w:b/>
    </w:rPr>
  </w:style>
  <w:style w:type="character" w:customStyle="1" w:styleId="Kkursywa">
    <w:name w:val="_K_ – kursywa"/>
    <w:basedOn w:val="Domylnaczcionkaakapitu"/>
    <w:uiPriority w:val="1"/>
    <w:qFormat/>
    <w:rsid w:val="000F42EA"/>
    <w:rPr>
      <w:i/>
    </w:rPr>
  </w:style>
  <w:style w:type="character" w:customStyle="1" w:styleId="PKpogrubieniekursywa">
    <w:name w:val="_P_K_ – pogrubienie kursywa"/>
    <w:basedOn w:val="Domylnaczcionkaakapitu"/>
    <w:uiPriority w:val="1"/>
    <w:qFormat/>
    <w:rsid w:val="000F42EA"/>
    <w:rPr>
      <w:b/>
      <w:i/>
    </w:rPr>
  </w:style>
  <w:style w:type="character" w:customStyle="1" w:styleId="TEKSTOZNACZONYWDOKUMENCIERDOWYMJAKOUKRYTY">
    <w:name w:val="_TEKST_OZNACZONY_W_DOKUMENCIE_ŹRÓDŁOWYM_JAKO_UKRYTY_"/>
    <w:basedOn w:val="Domylnaczcionkaakapitu"/>
    <w:uiPriority w:val="4"/>
    <w:unhideWhenUsed/>
    <w:qFormat/>
    <w:rsid w:val="000F42EA"/>
    <w:rPr>
      <w:vanish w:val="0"/>
      <w:color w:val="FF0000"/>
      <w:u w:val="single" w:color="FF0000"/>
    </w:rPr>
  </w:style>
  <w:style w:type="character" w:customStyle="1" w:styleId="BEZWERSALIKW">
    <w:name w:val="_BEZ_WERSALIKÓW_"/>
    <w:basedOn w:val="Domylnaczcionkaakapitu"/>
    <w:uiPriority w:val="4"/>
    <w:qFormat/>
    <w:rsid w:val="000F42EA"/>
    <w:rPr>
      <w:caps/>
    </w:rPr>
  </w:style>
  <w:style w:type="character" w:customStyle="1" w:styleId="IIGPindeksgrnyindeksugrnegoipogrubienie">
    <w:name w:val="_IIG_P_ – indeks górny indeksu górnego i pogrubienie"/>
    <w:basedOn w:val="Domylnaczcionkaakapitu"/>
    <w:uiPriority w:val="3"/>
    <w:qFormat/>
    <w:rsid w:val="000F42EA"/>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0F42EA"/>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0F42EA"/>
    <w:pPr>
      <w:spacing w:after="0" w:line="240" w:lineRule="auto"/>
      <w:ind w:left="283" w:hanging="170"/>
    </w:pPr>
    <w:rPr>
      <w:rFonts w:ascii="Times New Roman" w:eastAsia="Times New Roman" w:hAnsi="Times New Roman" w:cs="Arial"/>
      <w:sz w:val="20"/>
      <w:szCs w:val="20"/>
      <w:lang w:eastAsia="pl-PL"/>
    </w:rPr>
  </w:style>
  <w:style w:type="paragraph" w:customStyle="1" w:styleId="TEKSTwTABELItekstzwcitympierwwierszem">
    <w:name w:val="TEKST_w_TABELI – tekst z wciętym pierw. wierszem"/>
    <w:basedOn w:val="Normalny"/>
    <w:uiPriority w:val="23"/>
    <w:qFormat/>
    <w:rsid w:val="000F42EA"/>
    <w:pPr>
      <w:suppressAutoHyphens/>
      <w:autoSpaceDE w:val="0"/>
      <w:autoSpaceDN w:val="0"/>
      <w:adjustRightInd w:val="0"/>
      <w:spacing w:after="0" w:line="360" w:lineRule="auto"/>
      <w:ind w:firstLine="510"/>
    </w:pPr>
    <w:rPr>
      <w:rFonts w:ascii="Times" w:eastAsia="Times New Roman" w:hAnsi="Times" w:cs="Arial"/>
      <w:bCs/>
      <w:kern w:val="24"/>
      <w:sz w:val="24"/>
      <w:szCs w:val="20"/>
      <w:lang w:eastAsia="pl-PL"/>
    </w:rPr>
  </w:style>
  <w:style w:type="paragraph" w:customStyle="1" w:styleId="TEKSTwTABELIWYRODKOWANYtekstwyrodkowanywpoziomie">
    <w:name w:val="TEKST_w_TABELI_WYŚRODKOWANY – tekst wyśrodkowany w poziomie"/>
    <w:basedOn w:val="Normalny"/>
    <w:uiPriority w:val="23"/>
    <w:qFormat/>
    <w:rsid w:val="000F42EA"/>
    <w:pPr>
      <w:suppressAutoHyphens/>
      <w:autoSpaceDE w:val="0"/>
      <w:autoSpaceDN w:val="0"/>
      <w:adjustRightInd w:val="0"/>
      <w:spacing w:after="0" w:line="360" w:lineRule="auto"/>
      <w:jc w:val="center"/>
    </w:pPr>
    <w:rPr>
      <w:rFonts w:ascii="Times" w:eastAsia="Times New Roman" w:hAnsi="Times" w:cs="Arial"/>
      <w:bCs/>
      <w:kern w:val="24"/>
      <w:sz w:val="24"/>
      <w:szCs w:val="20"/>
      <w:lang w:eastAsia="pl-PL"/>
    </w:rPr>
  </w:style>
  <w:style w:type="paragraph" w:customStyle="1" w:styleId="ZTIRSKARNzmsankcjikarnejtiret">
    <w:name w:val="Z_TIR/S_KARN – zm. sankcji karnej tiret"/>
    <w:basedOn w:val="ZLITSKARNzmsankcjikarnejliter"/>
    <w:next w:val="ZTIRARTzmarttiret"/>
    <w:uiPriority w:val="61"/>
    <w:qFormat/>
    <w:rsid w:val="000F42EA"/>
    <w:pPr>
      <w:ind w:left="1894"/>
    </w:pPr>
  </w:style>
  <w:style w:type="paragraph" w:customStyle="1" w:styleId="ZZSKARNzmianazmsankcjikarnej">
    <w:name w:val="ZZ/S_KARN – zmiana zm. sankcji karnej"/>
    <w:basedOn w:val="ZZFRAGzmianazmfragmentunpzdania"/>
    <w:uiPriority w:val="71"/>
    <w:qFormat/>
    <w:rsid w:val="000F42EA"/>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0F42EA"/>
    <w:pPr>
      <w:ind w:left="2291" w:firstLine="0"/>
    </w:pPr>
  </w:style>
  <w:style w:type="paragraph" w:customStyle="1" w:styleId="WMATFIZCHEMwzrmatfizlubchem">
    <w:name w:val="W_MAT(FIZ|CHEM) – wzór mat. (fiz. lub chem.)"/>
    <w:uiPriority w:val="18"/>
    <w:qFormat/>
    <w:rsid w:val="000F42EA"/>
    <w:pPr>
      <w:spacing w:after="0" w:line="360" w:lineRule="auto"/>
      <w:jc w:val="center"/>
    </w:pPr>
    <w:rPr>
      <w:rFonts w:ascii="Times New Roman" w:eastAsia="Times New Roman"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0F42EA"/>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0F42EA"/>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0F42EA"/>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0F42EA"/>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0F42EA"/>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0F42EA"/>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0F42EA"/>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0F42EA"/>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0F42EA"/>
    <w:pPr>
      <w:ind w:left="3085"/>
    </w:pPr>
  </w:style>
  <w:style w:type="paragraph" w:customStyle="1" w:styleId="ZLITCYTzmcytatunpprzysigiliter">
    <w:name w:val="Z_LIT/CYT – zm. cytatu np. przysięgi literą"/>
    <w:basedOn w:val="ZCYTzmcytatunpprzysigiartykuempunktem"/>
    <w:uiPriority w:val="53"/>
    <w:qFormat/>
    <w:rsid w:val="000F42EA"/>
    <w:pPr>
      <w:ind w:left="1497"/>
    </w:pPr>
  </w:style>
  <w:style w:type="paragraph" w:customStyle="1" w:styleId="ZTIRCYTzmcytatunpprzysigitiret">
    <w:name w:val="Z_TIR/CYT – zm. cytatu np. przysięgi tiret"/>
    <w:basedOn w:val="ZLITCYTzmcytatunpprzysigiliter"/>
    <w:next w:val="ZTIRUSTzmusttiret"/>
    <w:uiPriority w:val="61"/>
    <w:qFormat/>
    <w:rsid w:val="000F42EA"/>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0F42EA"/>
    <w:pPr>
      <w:ind w:left="2291"/>
    </w:pPr>
  </w:style>
  <w:style w:type="paragraph" w:customStyle="1" w:styleId="ZZCYTzmianazmcytatunpprzysigi">
    <w:name w:val="ZZ/CYT – zmiana zm. cytatu np. przysięgi"/>
    <w:basedOn w:val="ZZFRAGzmianazmfragmentunpzdania"/>
    <w:next w:val="ZZUSTzmianazmust"/>
    <w:uiPriority w:val="71"/>
    <w:qFormat/>
    <w:rsid w:val="000F42EA"/>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0F42EA"/>
    <w:pPr>
      <w:ind w:left="1780"/>
    </w:pPr>
  </w:style>
  <w:style w:type="table" w:styleId="Tabela-Siatka">
    <w:name w:val="Table Grid"/>
    <w:basedOn w:val="Standardowy"/>
    <w:rsid w:val="000F42EA"/>
    <w:pPr>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0F42EA"/>
    <w:pPr>
      <w:widowControl w:val="0"/>
      <w:autoSpaceDE w:val="0"/>
      <w:autoSpaceDN w:val="0"/>
      <w:adjustRightInd w:val="0"/>
      <w:spacing w:after="0" w:line="360" w:lineRule="auto"/>
      <w:jc w:val="both"/>
    </w:pPr>
    <w:rPr>
      <w:rFonts w:ascii="Times" w:eastAsia="Times New Roman" w:hAnsi="Times" w:cs="Times New Roman"/>
      <w:sz w:val="24"/>
      <w:szCs w:val="24"/>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F42EA"/>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0F42EA"/>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0F42EA"/>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0F42EA"/>
    <w:rPr>
      <w:color w:val="808080"/>
    </w:rPr>
  </w:style>
  <w:style w:type="character" w:customStyle="1" w:styleId="Hipercze1">
    <w:name w:val="Hiperłącze1"/>
    <w:basedOn w:val="Domylnaczcionkaakapitu"/>
    <w:uiPriority w:val="99"/>
    <w:semiHidden/>
    <w:rsid w:val="000F42EA"/>
    <w:rPr>
      <w:color w:val="0000FF"/>
      <w:u w:val="single"/>
    </w:rPr>
  </w:style>
  <w:style w:type="paragraph" w:customStyle="1" w:styleId="Poprawka1">
    <w:name w:val="Poprawka1"/>
    <w:next w:val="Poprawka"/>
    <w:hidden/>
    <w:uiPriority w:val="99"/>
    <w:semiHidden/>
    <w:rsid w:val="000F42EA"/>
    <w:pPr>
      <w:spacing w:after="0" w:line="240" w:lineRule="auto"/>
    </w:pPr>
    <w:rPr>
      <w:rFonts w:ascii="Times New Roman" w:eastAsia="Times New Roman" w:hAnsi="Times New Roman" w:cs="Arial"/>
      <w:sz w:val="24"/>
      <w:szCs w:val="20"/>
      <w:lang w:eastAsia="pl-PL"/>
    </w:rPr>
  </w:style>
  <w:style w:type="paragraph" w:styleId="Akapitzlist">
    <w:name w:val="List Paragraph"/>
    <w:basedOn w:val="Normalny"/>
    <w:uiPriority w:val="34"/>
    <w:qFormat/>
    <w:rsid w:val="000F42EA"/>
    <w:pPr>
      <w:ind w:left="720"/>
      <w:contextualSpacing/>
    </w:pPr>
    <w:rPr>
      <w:rFonts w:ascii="Calibri" w:eastAsia="Calibri" w:hAnsi="Calibri" w:cs="Times New Roman"/>
    </w:rPr>
  </w:style>
  <w:style w:type="character" w:styleId="Numerwiersza">
    <w:name w:val="line number"/>
    <w:basedOn w:val="Domylnaczcionkaakapitu"/>
    <w:uiPriority w:val="99"/>
    <w:semiHidden/>
    <w:rsid w:val="000F42EA"/>
  </w:style>
  <w:style w:type="paragraph" w:styleId="Tekstprzypisukocowego">
    <w:name w:val="endnote text"/>
    <w:basedOn w:val="Normalny"/>
    <w:link w:val="TekstprzypisukocowegoZnak"/>
    <w:uiPriority w:val="99"/>
    <w:semiHidden/>
    <w:rsid w:val="000F42EA"/>
    <w:pPr>
      <w:widowControl w:val="0"/>
      <w:autoSpaceDE w:val="0"/>
      <w:autoSpaceDN w:val="0"/>
      <w:adjustRightInd w:val="0"/>
      <w:spacing w:after="0" w:line="240" w:lineRule="auto"/>
    </w:pPr>
    <w:rPr>
      <w:rFonts w:ascii="Times New Roman" w:eastAsia="Times New Roman" w:hAnsi="Times New Roman" w:cs="Arial"/>
      <w:sz w:val="20"/>
      <w:szCs w:val="20"/>
      <w:lang w:eastAsia="pl-PL"/>
    </w:rPr>
  </w:style>
  <w:style w:type="character" w:customStyle="1" w:styleId="TekstprzypisukocowegoZnak">
    <w:name w:val="Tekst przypisu końcowego Znak"/>
    <w:basedOn w:val="Domylnaczcionkaakapitu"/>
    <w:link w:val="Tekstprzypisukocowego"/>
    <w:uiPriority w:val="99"/>
    <w:semiHidden/>
    <w:rsid w:val="000F42EA"/>
    <w:rPr>
      <w:rFonts w:ascii="Times New Roman" w:eastAsia="Times New Roman" w:hAnsi="Times New Roman" w:cs="Arial"/>
      <w:sz w:val="20"/>
      <w:szCs w:val="20"/>
      <w:lang w:eastAsia="pl-PL"/>
    </w:rPr>
  </w:style>
  <w:style w:type="character" w:styleId="Odwoanieprzypisukocowego">
    <w:name w:val="endnote reference"/>
    <w:basedOn w:val="Domylnaczcionkaakapitu"/>
    <w:uiPriority w:val="99"/>
    <w:semiHidden/>
    <w:rsid w:val="000F42EA"/>
    <w:rPr>
      <w:vertAlign w:val="superscript"/>
    </w:rPr>
  </w:style>
  <w:style w:type="paragraph" w:customStyle="1" w:styleId="Default">
    <w:name w:val="Default"/>
    <w:rsid w:val="000F42EA"/>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customStyle="1" w:styleId="FontStyle11">
    <w:name w:val="Font Style11"/>
    <w:basedOn w:val="Domylnaczcionkaakapitu"/>
    <w:rsid w:val="000F42EA"/>
    <w:rPr>
      <w:rFonts w:ascii="Arial" w:hAnsi="Arial" w:cs="Arial"/>
      <w:sz w:val="22"/>
      <w:szCs w:val="22"/>
    </w:rPr>
  </w:style>
  <w:style w:type="character" w:customStyle="1" w:styleId="Nagwek3Znak">
    <w:name w:val="Nagłówek 3 Znak"/>
    <w:basedOn w:val="Domylnaczcionkaakapitu"/>
    <w:link w:val="Nagwek3"/>
    <w:uiPriority w:val="99"/>
    <w:rsid w:val="000F42EA"/>
    <w:rPr>
      <w:rFonts w:ascii="Cambria" w:eastAsia="Times New Roman" w:hAnsi="Cambria" w:cs="Times New Roman"/>
      <w:b/>
      <w:bCs/>
      <w:color w:val="4F81BD"/>
      <w:szCs w:val="20"/>
    </w:rPr>
  </w:style>
  <w:style w:type="character" w:customStyle="1" w:styleId="Nagwek1Znak1">
    <w:name w:val="Nagłówek 1 Znak1"/>
    <w:basedOn w:val="Domylnaczcionkaakapitu"/>
    <w:uiPriority w:val="9"/>
    <w:rsid w:val="000F42EA"/>
    <w:rPr>
      <w:rFonts w:asciiTheme="majorHAnsi" w:eastAsiaTheme="majorEastAsia" w:hAnsiTheme="majorHAnsi" w:cstheme="majorBidi"/>
      <w:b/>
      <w:bCs/>
      <w:color w:val="365F91" w:themeColor="accent1" w:themeShade="BF"/>
      <w:sz w:val="28"/>
      <w:szCs w:val="28"/>
    </w:rPr>
  </w:style>
  <w:style w:type="character" w:styleId="Hipercze">
    <w:name w:val="Hyperlink"/>
    <w:basedOn w:val="Domylnaczcionkaakapitu"/>
    <w:uiPriority w:val="99"/>
    <w:unhideWhenUsed/>
    <w:rsid w:val="000F42EA"/>
    <w:rPr>
      <w:color w:val="0000FF" w:themeColor="hyperlink"/>
      <w:u w:val="single"/>
    </w:rPr>
  </w:style>
  <w:style w:type="paragraph" w:styleId="Poprawka">
    <w:name w:val="Revision"/>
    <w:hidden/>
    <w:uiPriority w:val="99"/>
    <w:semiHidden/>
    <w:rsid w:val="000F42EA"/>
    <w:pPr>
      <w:spacing w:after="0" w:line="240" w:lineRule="auto"/>
    </w:pPr>
  </w:style>
  <w:style w:type="character" w:customStyle="1" w:styleId="Nagwek3Znak1">
    <w:name w:val="Nagłówek 3 Znak1"/>
    <w:basedOn w:val="Domylnaczcionkaakapitu"/>
    <w:uiPriority w:val="9"/>
    <w:semiHidden/>
    <w:rsid w:val="000F42EA"/>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50EB94-7B0C-4189-95DB-686DD77B3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10868</Words>
  <Characters>65208</Characters>
  <Application>Microsoft Office Word</Application>
  <DocSecurity>0</DocSecurity>
  <Lines>543</Lines>
  <Paragraphs>151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75925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Cwiek</dc:creator>
  <cp:lastModifiedBy>Ewa A. Genert</cp:lastModifiedBy>
  <cp:revision>2</cp:revision>
  <cp:lastPrinted>2016-10-26T12:00:00Z</cp:lastPrinted>
  <dcterms:created xsi:type="dcterms:W3CDTF">2016-11-03T09:56:00Z</dcterms:created>
  <dcterms:modified xsi:type="dcterms:W3CDTF">2016-11-03T09:56:00Z</dcterms:modified>
</cp:coreProperties>
</file>