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EF5" w:rsidRPr="009C1D74" w:rsidRDefault="00D04EF5" w:rsidP="009C1D74">
      <w:pPr>
        <w:pStyle w:val="TYTUAKTUprzedmiotregulacjiustawylubrozporzdzenia"/>
        <w:spacing w:after="0"/>
        <w:rPr>
          <w:b w:val="0"/>
        </w:rPr>
      </w:pPr>
      <w:bookmarkStart w:id="0" w:name="_GoBack"/>
      <w:bookmarkEnd w:id="0"/>
      <w:r w:rsidRPr="009C1D74">
        <w:rPr>
          <w:b w:val="0"/>
        </w:rPr>
        <w:t>UZASADNIENIE</w:t>
      </w:r>
    </w:p>
    <w:p w:rsidR="00D04EF5" w:rsidRDefault="00D04EF5" w:rsidP="009C1D74">
      <w:pPr>
        <w:keepNext/>
        <w:spacing w:before="120"/>
        <w:rPr>
          <w:b/>
        </w:rPr>
      </w:pPr>
      <w:r w:rsidRPr="002824E7">
        <w:rPr>
          <w:b/>
        </w:rPr>
        <w:t xml:space="preserve">1. Przedstawienie aktualnego stanu </w:t>
      </w:r>
      <w:r w:rsidR="006B2DE2">
        <w:rPr>
          <w:b/>
        </w:rPr>
        <w:t>prawnego</w:t>
      </w:r>
    </w:p>
    <w:p w:rsidR="00C96E26" w:rsidRPr="009C1D74" w:rsidRDefault="006B2DE2" w:rsidP="00F73421">
      <w:pPr>
        <w:spacing w:before="240" w:after="120"/>
      </w:pPr>
      <w:r w:rsidRPr="009C1D74">
        <w:t>Zniesienie podziału rynku regulowanego na rynek giełdowy i rynek pozagiełdowy</w:t>
      </w:r>
    </w:p>
    <w:p w:rsidR="003470BC" w:rsidRPr="00F42888" w:rsidRDefault="00D04EF5" w:rsidP="009C1D74">
      <w:pPr>
        <w:spacing w:before="120"/>
        <w:ind w:right="2"/>
      </w:pPr>
      <w:r>
        <w:t>Zgodnie z art. 15 ustawy z dnia 29 lipca 2005</w:t>
      </w:r>
      <w:r w:rsidR="009C1D74">
        <w:t xml:space="preserve"> </w:t>
      </w:r>
      <w:r>
        <w:t xml:space="preserve">r. o obrocie instrumentami finansowymi </w:t>
      </w:r>
      <w:r w:rsidR="00A92317">
        <w:t>(Dz. U. z 201</w:t>
      </w:r>
      <w:r w:rsidR="00115305">
        <w:t>6</w:t>
      </w:r>
      <w:r w:rsidR="00A92317">
        <w:t xml:space="preserve"> r. poz. </w:t>
      </w:r>
      <w:r w:rsidR="00115305">
        <w:t>1636</w:t>
      </w:r>
      <w:r w:rsidR="00A92317">
        <w:t xml:space="preserve">) </w:t>
      </w:r>
      <w:r>
        <w:t>(dalej:</w:t>
      </w:r>
      <w:r w:rsidR="009C1D74">
        <w:t xml:space="preserve"> </w:t>
      </w:r>
      <w:r>
        <w:t>„</w:t>
      </w:r>
      <w:r w:rsidR="001C79F7">
        <w:t>u</w:t>
      </w:r>
      <w:r>
        <w:t xml:space="preserve">stawa”) rynek regulowany na terytorium RP obejmuje rynek giełdowy oraz rynek pozagiełdowy. </w:t>
      </w:r>
      <w:r w:rsidR="001C79F7">
        <w:t xml:space="preserve">W </w:t>
      </w:r>
      <w:r w:rsidR="006F76DC">
        <w:t>założeniach</w:t>
      </w:r>
      <w:r w:rsidR="001C79F7">
        <w:t xml:space="preserve"> </w:t>
      </w:r>
      <w:r w:rsidRPr="00F04715">
        <w:t>rynek pozagiełdowy, jako rynek mniej sformalizowany, wprowadzający niewielkie wymogi wobec emitentów ubiegających się o</w:t>
      </w:r>
      <w:r w:rsidR="009C1D74">
        <w:t xml:space="preserve"> </w:t>
      </w:r>
      <w:r w:rsidRPr="00F04715">
        <w:t>dopuszczenie ich papierów wartościowych do obrotu, miał być rynkiem przeznaczonym dla małych i średnich spółek mających pewien potencjał wzrostu, a</w:t>
      </w:r>
      <w:r w:rsidR="009C1D74">
        <w:t> </w:t>
      </w:r>
      <w:r w:rsidRPr="00F04715">
        <w:t xml:space="preserve">niespełniających wymogów obowiązujących na rynku giełdowym. </w:t>
      </w:r>
      <w:r w:rsidR="003470BC" w:rsidRPr="00F42888">
        <w:t>Obecnie rynek pozagiełdowy</w:t>
      </w:r>
      <w:r w:rsidR="003470BC">
        <w:t>,</w:t>
      </w:r>
      <w:r w:rsidR="003470BC" w:rsidRPr="00F42888">
        <w:t xml:space="preserve"> </w:t>
      </w:r>
      <w:r w:rsidR="003470BC" w:rsidRPr="001315C2">
        <w:t>w zakresie praw i</w:t>
      </w:r>
      <w:r w:rsidR="005E2FD4">
        <w:t> </w:t>
      </w:r>
      <w:r w:rsidR="003470BC" w:rsidRPr="001315C2">
        <w:t>obowiązków emitentów, w</w:t>
      </w:r>
      <w:r w:rsidR="00020DCB">
        <w:t> </w:t>
      </w:r>
      <w:r w:rsidR="003470BC" w:rsidRPr="001315C2">
        <w:t>tym przede wszystkim obowiązków informacyjnych, sprawozdawczości pre-</w:t>
      </w:r>
      <w:r w:rsidR="009C1D74">
        <w:t xml:space="preserve"> </w:t>
      </w:r>
      <w:r w:rsidR="003470BC" w:rsidRPr="001315C2">
        <w:t>i</w:t>
      </w:r>
      <w:r w:rsidR="00020DCB">
        <w:t> </w:t>
      </w:r>
      <w:r w:rsidR="003470BC" w:rsidRPr="001315C2">
        <w:t>posttransakcyjnej czy kategorii podmiotów, które mogą być c</w:t>
      </w:r>
      <w:r w:rsidR="008D2FAD">
        <w:t>złonkami tych rynków, a</w:t>
      </w:r>
      <w:r w:rsidR="00020DCB">
        <w:t> </w:t>
      </w:r>
      <w:r w:rsidR="008D2FAD">
        <w:t>także w</w:t>
      </w:r>
      <w:r w:rsidR="009C1D74">
        <w:t xml:space="preserve"> </w:t>
      </w:r>
      <w:r w:rsidR="003470BC" w:rsidRPr="001315C2">
        <w:t>zakresie transakcji, które mogą zawierać na tych rynkach</w:t>
      </w:r>
      <w:r w:rsidR="008C3744">
        <w:t>,</w:t>
      </w:r>
      <w:r w:rsidR="003470BC" w:rsidRPr="001315C2">
        <w:t xml:space="preserve"> </w:t>
      </w:r>
      <w:r w:rsidR="003470BC" w:rsidRPr="00F42888">
        <w:t>niczym nie różni się od rynku giełdowego, niebędącego rynkiem oficjalnych notowań</w:t>
      </w:r>
      <w:r w:rsidR="008D2FAD">
        <w:t>.</w:t>
      </w:r>
    </w:p>
    <w:p w:rsidR="00C86090" w:rsidRDefault="00D04EF5" w:rsidP="009C1D74">
      <w:pPr>
        <w:spacing w:before="120"/>
        <w:ind w:right="2"/>
      </w:pPr>
      <w:r w:rsidRPr="00F04715">
        <w:t>W aktualnym stanie prawnym najważniejsz</w:t>
      </w:r>
      <w:r>
        <w:t>e</w:t>
      </w:r>
      <w:r w:rsidRPr="00F04715">
        <w:t xml:space="preserve"> różnic</w:t>
      </w:r>
      <w:r>
        <w:t>e</w:t>
      </w:r>
      <w:r w:rsidRPr="00F04715">
        <w:t xml:space="preserve"> między oboma podtypami rynku regulowanego </w:t>
      </w:r>
      <w:r>
        <w:t xml:space="preserve">sprowadzają się </w:t>
      </w:r>
      <w:r w:rsidR="003470BC">
        <w:t xml:space="preserve">więc </w:t>
      </w:r>
      <w:r>
        <w:t>do</w:t>
      </w:r>
      <w:r w:rsidRPr="00F04715">
        <w:t xml:space="preserve">: </w:t>
      </w:r>
    </w:p>
    <w:p w:rsidR="00C86090" w:rsidRDefault="009C1D74" w:rsidP="009C1D74">
      <w:pPr>
        <w:ind w:left="420" w:hanging="420"/>
      </w:pPr>
      <w:r>
        <w:t>(i)</w:t>
      </w:r>
      <w:r>
        <w:tab/>
      </w:r>
      <w:r w:rsidR="00D04EF5" w:rsidRPr="00F04715">
        <w:t>inn</w:t>
      </w:r>
      <w:r w:rsidR="00D04EF5">
        <w:t>ego</w:t>
      </w:r>
      <w:r w:rsidR="00D04EF5" w:rsidRPr="00F04715">
        <w:t xml:space="preserve"> podmiot</w:t>
      </w:r>
      <w:r w:rsidR="00D04EF5">
        <w:t>u</w:t>
      </w:r>
      <w:r w:rsidR="00D04EF5" w:rsidRPr="00F04715">
        <w:t xml:space="preserve"> wydając</w:t>
      </w:r>
      <w:r w:rsidR="00D04EF5">
        <w:t>ego</w:t>
      </w:r>
      <w:r w:rsidR="00D04EF5" w:rsidRPr="00F04715">
        <w:t xml:space="preserve"> zezwolenie na prowadzenie rynku (Minister Finansów </w:t>
      </w:r>
      <w:r w:rsidR="00D04EF5">
        <w:t>dla</w:t>
      </w:r>
      <w:r w:rsidR="00D04EF5" w:rsidRPr="00F04715">
        <w:t xml:space="preserve"> rynku giełdow</w:t>
      </w:r>
      <w:r w:rsidR="00D04EF5">
        <w:t>ego</w:t>
      </w:r>
      <w:r w:rsidR="00D04EF5" w:rsidRPr="00F04715">
        <w:t xml:space="preserve">, Komisja Nadzoru Finansowego </w:t>
      </w:r>
      <w:r w:rsidR="00D04EF5">
        <w:t>dla</w:t>
      </w:r>
      <w:r w:rsidR="00D04EF5" w:rsidRPr="00F04715">
        <w:t xml:space="preserve"> rynku pozagiełdow</w:t>
      </w:r>
      <w:r w:rsidR="00D04EF5">
        <w:t>ego</w:t>
      </w:r>
      <w:r w:rsidR="00D04EF5" w:rsidRPr="00F04715">
        <w:t xml:space="preserve">), </w:t>
      </w:r>
    </w:p>
    <w:p w:rsidR="00C86090" w:rsidRDefault="009C1D74" w:rsidP="009C1D74">
      <w:pPr>
        <w:ind w:left="420" w:hanging="420"/>
      </w:pPr>
      <w:r>
        <w:t>(ii)</w:t>
      </w:r>
      <w:r>
        <w:tab/>
      </w:r>
      <w:r w:rsidR="00D04EF5">
        <w:t>innych</w:t>
      </w:r>
      <w:r w:rsidR="00D04EF5" w:rsidRPr="00F04715">
        <w:t xml:space="preserve"> wym</w:t>
      </w:r>
      <w:r w:rsidR="00D04EF5">
        <w:t xml:space="preserve">ogów dotyczących </w:t>
      </w:r>
      <w:r w:rsidR="00D04EF5" w:rsidRPr="00F04715">
        <w:t xml:space="preserve">kapitałów własnych </w:t>
      </w:r>
      <w:r w:rsidR="00D04EF5">
        <w:t>spółek prowadzących giełdę i</w:t>
      </w:r>
      <w:r>
        <w:t> </w:t>
      </w:r>
      <w:r w:rsidR="00D04EF5">
        <w:t>rynek pozagiełdowy (odpowiednio 10</w:t>
      </w:r>
      <w:r>
        <w:t xml:space="preserve"> </w:t>
      </w:r>
      <w:r w:rsidR="00D04EF5">
        <w:t>000</w:t>
      </w:r>
      <w:r>
        <w:t xml:space="preserve"> </w:t>
      </w:r>
      <w:r w:rsidR="00D04EF5">
        <w:t>000</w:t>
      </w:r>
      <w:r>
        <w:t xml:space="preserve"> </w:t>
      </w:r>
      <w:r w:rsidR="00D04EF5">
        <w:t>zł i</w:t>
      </w:r>
      <w:r>
        <w:t xml:space="preserve"> </w:t>
      </w:r>
      <w:r w:rsidR="00D04EF5">
        <w:t>5</w:t>
      </w:r>
      <w:r>
        <w:t xml:space="preserve"> </w:t>
      </w:r>
      <w:r w:rsidR="00D04EF5">
        <w:t>000</w:t>
      </w:r>
      <w:r>
        <w:t xml:space="preserve"> </w:t>
      </w:r>
      <w:r w:rsidR="00D04EF5">
        <w:t>000</w:t>
      </w:r>
      <w:r>
        <w:t xml:space="preserve"> </w:t>
      </w:r>
      <w:r w:rsidR="00D04EF5">
        <w:t xml:space="preserve">zł) </w:t>
      </w:r>
      <w:r w:rsidR="00D04EF5" w:rsidRPr="00F04715">
        <w:t xml:space="preserve">oraz </w:t>
      </w:r>
    </w:p>
    <w:p w:rsidR="003470BC" w:rsidRDefault="009C1D74" w:rsidP="009C1D74">
      <w:pPr>
        <w:ind w:left="420" w:hanging="420"/>
      </w:pPr>
      <w:r>
        <w:t>(iii)</w:t>
      </w:r>
      <w:r>
        <w:tab/>
      </w:r>
      <w:r w:rsidR="003470BC">
        <w:t>innej podstawy prawnej określającej rodzaj, zakres</w:t>
      </w:r>
      <w:r w:rsidR="008D2FAD">
        <w:t xml:space="preserve"> i formę informacji bieżących i</w:t>
      </w:r>
      <w:r>
        <w:t> </w:t>
      </w:r>
      <w:r w:rsidR="003470BC">
        <w:t>okresowych przekazywanych przez emitentów papierów wartościowych</w:t>
      </w:r>
      <w:r w:rsidR="00C86090">
        <w:t xml:space="preserve"> (z</w:t>
      </w:r>
      <w:r w:rsidR="003470BC">
        <w:t xml:space="preserve">godnie z art. 56 </w:t>
      </w:r>
      <w:r w:rsidR="00D72C47">
        <w:t xml:space="preserve">ust. 1 pkt 1 </w:t>
      </w:r>
      <w:r w:rsidR="003470BC">
        <w:t>ustawy z dnia 29 lipca 2005</w:t>
      </w:r>
      <w:r>
        <w:t xml:space="preserve"> </w:t>
      </w:r>
      <w:r w:rsidR="003470BC">
        <w:t xml:space="preserve">r. o ofercie publicznej i warunkach wprowadzania instrumentów finansowych do zorganizowanego systemu obrotu oraz o spółkach publicznych </w:t>
      </w:r>
      <w:r w:rsidR="00A92317">
        <w:t>(Dz. U. z 201</w:t>
      </w:r>
      <w:r w:rsidR="00115305">
        <w:t>6</w:t>
      </w:r>
      <w:r w:rsidR="00A92317">
        <w:t xml:space="preserve"> r. poz. 1</w:t>
      </w:r>
      <w:r w:rsidR="00115305">
        <w:t>639</w:t>
      </w:r>
      <w:r w:rsidR="00A92317">
        <w:t xml:space="preserve">) </w:t>
      </w:r>
      <w:r w:rsidR="003470BC">
        <w:t>emitenci papierów wartościowych dopuszczonych do obrotu na rynku oficjalnych notowań giełdowych przekazują te informacje zgodnie z przepisami wydanymi na podstawie art.</w:t>
      </w:r>
      <w:r>
        <w:t xml:space="preserve"> </w:t>
      </w:r>
      <w:r w:rsidR="003470BC">
        <w:t>60 ust. 2</w:t>
      </w:r>
      <w:r w:rsidR="008D2FAD">
        <w:rPr>
          <w:rStyle w:val="Odwoanieprzypisudolnego"/>
        </w:rPr>
        <w:footnoteReference w:id="1"/>
      </w:r>
      <w:r w:rsidR="008D2FAD" w:rsidRPr="00271DF3">
        <w:rPr>
          <w:vertAlign w:val="superscript"/>
        </w:rPr>
        <w:t>)</w:t>
      </w:r>
      <w:r w:rsidR="003470BC">
        <w:t xml:space="preserve"> </w:t>
      </w:r>
      <w:r w:rsidR="00D72C47">
        <w:t xml:space="preserve">tej ustawy, </w:t>
      </w:r>
      <w:r w:rsidR="003470BC">
        <w:t xml:space="preserve">natomiast emitenci </w:t>
      </w:r>
      <w:r w:rsidR="003470BC" w:rsidRPr="00CE5130">
        <w:t xml:space="preserve">papierów wartościowych </w:t>
      </w:r>
      <w:r w:rsidR="003470BC" w:rsidRPr="00CE5130">
        <w:lastRenderedPageBreak/>
        <w:t>dopuszczonych wyłącznie do obrotu na rynku giełdowym niebędącym rynkiem oficjalnych notowań giełdowych lub obrotu na rynku pozagiełdowym</w:t>
      </w:r>
      <w:r w:rsidR="003470BC">
        <w:t xml:space="preserve"> zgodnie z</w:t>
      </w:r>
      <w:r w:rsidR="005E2FD4">
        <w:t> </w:t>
      </w:r>
      <w:r w:rsidR="003470BC">
        <w:t>postanowieniam</w:t>
      </w:r>
      <w:r w:rsidR="00D72C47">
        <w:t>i regulaminów, o których mowa w</w:t>
      </w:r>
      <w:r>
        <w:t> </w:t>
      </w:r>
      <w:r w:rsidR="003470BC">
        <w:t>art. 61).</w:t>
      </w:r>
    </w:p>
    <w:p w:rsidR="00D04EF5" w:rsidRPr="00F04715" w:rsidRDefault="00D04EF5" w:rsidP="009C1D74">
      <w:pPr>
        <w:spacing w:before="120"/>
        <w:ind w:right="2"/>
      </w:pPr>
      <w:bookmarkStart w:id="1" w:name="mip25956823"/>
      <w:bookmarkStart w:id="2" w:name="mip25956824"/>
      <w:bookmarkStart w:id="3" w:name="mip25956825"/>
      <w:bookmarkStart w:id="4" w:name="mip25956826"/>
      <w:bookmarkStart w:id="5" w:name="mip25956828"/>
      <w:bookmarkStart w:id="6" w:name="mip25956829"/>
      <w:bookmarkStart w:id="7" w:name="mip25956830"/>
      <w:bookmarkStart w:id="8" w:name="mip25956831"/>
      <w:bookmarkStart w:id="9" w:name="mip25956832"/>
      <w:bookmarkStart w:id="10" w:name="mip25956833"/>
      <w:bookmarkEnd w:id="1"/>
      <w:bookmarkEnd w:id="2"/>
      <w:bookmarkEnd w:id="3"/>
      <w:bookmarkEnd w:id="4"/>
      <w:bookmarkEnd w:id="5"/>
      <w:bookmarkEnd w:id="6"/>
      <w:bookmarkEnd w:id="7"/>
      <w:bookmarkEnd w:id="8"/>
      <w:bookmarkEnd w:id="9"/>
      <w:bookmarkEnd w:id="10"/>
      <w:r w:rsidRPr="00F04715">
        <w:t>W</w:t>
      </w:r>
      <w:r>
        <w:t xml:space="preserve"> </w:t>
      </w:r>
      <w:r w:rsidRPr="00F04715">
        <w:t>rezultacie faktyczne różnice między rynkiem giełdowym a</w:t>
      </w:r>
      <w:r w:rsidR="00D72C47">
        <w:t xml:space="preserve"> </w:t>
      </w:r>
      <w:r w:rsidRPr="00F04715">
        <w:t xml:space="preserve">rynkiem pozagiełdowym nie są wystarczająco istotne, </w:t>
      </w:r>
      <w:r w:rsidR="00E16E32">
        <w:t>a</w:t>
      </w:r>
      <w:r w:rsidRPr="00F04715">
        <w:t>by uznać za uzasadnione rozróżnienie dwóch podtypów rynku regulowanego</w:t>
      </w:r>
      <w:r w:rsidR="00E14719">
        <w:t xml:space="preserve">; </w:t>
      </w:r>
      <w:r>
        <w:t>p</w:t>
      </w:r>
      <w:r w:rsidRPr="00F04715">
        <w:t>ozostawienie takiego zróżnicowania miałoby sens, gdyby w</w:t>
      </w:r>
      <w:r w:rsidR="005E2FD4">
        <w:t> </w:t>
      </w:r>
      <w:r w:rsidRPr="00F04715">
        <w:t xml:space="preserve">stosunku do rynku </w:t>
      </w:r>
      <w:r>
        <w:t xml:space="preserve">pozagiełdowego </w:t>
      </w:r>
      <w:r w:rsidRPr="00F04715">
        <w:t>przewidziane był</w:t>
      </w:r>
      <w:r w:rsidR="008876DD">
        <w:t>y</w:t>
      </w:r>
      <w:r w:rsidRPr="00F04715">
        <w:t xml:space="preserve">by </w:t>
      </w:r>
      <w:r>
        <w:t>istotnie mniejsze wymogi</w:t>
      </w:r>
      <w:r w:rsidR="008876DD">
        <w:t xml:space="preserve"> i</w:t>
      </w:r>
      <w:r w:rsidR="005E2FD4">
        <w:t> </w:t>
      </w:r>
      <w:r>
        <w:t xml:space="preserve">uproszczone </w:t>
      </w:r>
      <w:r w:rsidRPr="00F04715">
        <w:t xml:space="preserve">zasady funkcjonowania w porównaniu z rynkiem giełdowym. </w:t>
      </w:r>
    </w:p>
    <w:p w:rsidR="006B2DE2" w:rsidRPr="009C1D74" w:rsidRDefault="006B2DE2" w:rsidP="00F73421">
      <w:pPr>
        <w:keepNext/>
        <w:spacing w:before="240" w:after="120"/>
      </w:pPr>
      <w:r w:rsidRPr="009C1D74">
        <w:t>Wprowadzenie regulacji dotyczących instytucji rachunku derywatów</w:t>
      </w:r>
    </w:p>
    <w:p w:rsidR="006B2DE2" w:rsidRDefault="006B2DE2" w:rsidP="009C1D74">
      <w:pPr>
        <w:keepNext/>
        <w:spacing w:before="120"/>
      </w:pPr>
      <w:r w:rsidRPr="006B2DE2">
        <w:t>Wymóg rejestrowania instrumentów pochodnych w systemie depozytowym, który służy przede wszystkim do rejestracji papierów wartościowych oraz do przeprowadzania rozrachunku transakcji zawartych na rynku kasowym</w:t>
      </w:r>
      <w:r w:rsidR="00984D24">
        <w:t>,</w:t>
      </w:r>
      <w:r w:rsidRPr="006B2DE2">
        <w:t xml:space="preserve"> stanowi</w:t>
      </w:r>
      <w:r w:rsidR="00AD51BE">
        <w:t>ł</w:t>
      </w:r>
      <w:r w:rsidRPr="006B2DE2">
        <w:t xml:space="preserve"> specyfikę polskiego rynku kapitałowego.</w:t>
      </w:r>
      <w:r w:rsidR="00AD51BE">
        <w:t xml:space="preserve"> </w:t>
      </w:r>
      <w:r w:rsidR="00246D26">
        <w:t xml:space="preserve">Podczas gdy </w:t>
      </w:r>
      <w:r w:rsidR="00AD51BE" w:rsidRPr="006B2DE2">
        <w:t xml:space="preserve">na rozwiniętych rynkach kapitałowych </w:t>
      </w:r>
      <w:r w:rsidR="00AD51BE">
        <w:t>r</w:t>
      </w:r>
      <w:r w:rsidRPr="006B2DE2">
        <w:t xml:space="preserve">ozpoznawanym </w:t>
      </w:r>
      <w:r w:rsidR="00CE233F" w:rsidRPr="006B2DE2">
        <w:t xml:space="preserve">standardem </w:t>
      </w:r>
      <w:r w:rsidRPr="006B2DE2">
        <w:t>jest zasadniczo rejestrowanie derywatów przez podmioty dokonujące rozliczeń kontraktów pochodnych (tj. izby rozliczeniowe, centralnych kontrahentów) bez konieczności prowadzenia dodatkowej ewidencji w systemach depozytów papierów wartościowych. Europejskie akty prawne regulujące obrót instrumentami pochodnymi oraz zasady funkcjonowania centralnych kontrahentów i</w:t>
      </w:r>
      <w:r w:rsidR="009C1D74">
        <w:t> </w:t>
      </w:r>
      <w:r w:rsidRPr="006B2DE2">
        <w:t xml:space="preserve">centralnych depozytów papierów wartościowych (tj. </w:t>
      </w:r>
      <w:r w:rsidR="00984D24">
        <w:t>r</w:t>
      </w:r>
      <w:r w:rsidRPr="006B2DE2">
        <w:t xml:space="preserve">ozporządzenie Parlamentu Europejskiego i Rady </w:t>
      </w:r>
      <w:r w:rsidR="00062DA9">
        <w:t xml:space="preserve">(UE) </w:t>
      </w:r>
      <w:r w:rsidRPr="006B2DE2">
        <w:t>nr</w:t>
      </w:r>
      <w:r w:rsidR="005E2FD4">
        <w:t> </w:t>
      </w:r>
      <w:r w:rsidRPr="006B2DE2">
        <w:t>648/2012 z dnia 4</w:t>
      </w:r>
      <w:r w:rsidR="009C1D74">
        <w:t xml:space="preserve"> </w:t>
      </w:r>
      <w:r w:rsidRPr="006B2DE2">
        <w:t>lipca 2012 r. w sprawie instrumentów pochodnych b</w:t>
      </w:r>
      <w:r w:rsidR="00AD51BE">
        <w:t>ę</w:t>
      </w:r>
      <w:r w:rsidRPr="006B2DE2">
        <w:t>d</w:t>
      </w:r>
      <w:r w:rsidR="00AD51BE">
        <w:t>ą</w:t>
      </w:r>
      <w:r w:rsidRPr="006B2DE2">
        <w:t>cych przedmiotem obrotu poza rynkiem regulowanym, kontrahentów centra</w:t>
      </w:r>
      <w:r w:rsidR="009C1D74">
        <w:t>lnych i</w:t>
      </w:r>
      <w:r w:rsidR="005E2FD4">
        <w:t> </w:t>
      </w:r>
      <w:r w:rsidR="009C1D74">
        <w:t xml:space="preserve">repozytorów transakcji </w:t>
      </w:r>
      <w:r w:rsidR="00C96E58">
        <w:t>(Dz. Urz. UE L 201 z 27.07.2012, str. 1)</w:t>
      </w:r>
      <w:r w:rsidR="00131286">
        <w:t xml:space="preserve"> –</w:t>
      </w:r>
      <w:r w:rsidR="00C96E58">
        <w:t xml:space="preserve"> </w:t>
      </w:r>
      <w:r w:rsidR="00131286" w:rsidRPr="006B2DE2">
        <w:t xml:space="preserve">EMIR </w:t>
      </w:r>
      <w:r w:rsidRPr="006B2DE2">
        <w:t xml:space="preserve">oraz </w:t>
      </w:r>
      <w:r w:rsidR="00984D24">
        <w:t>r</w:t>
      </w:r>
      <w:r w:rsidRPr="006B2DE2">
        <w:t>ozporządzenie Parlamentu Europejskiego i Rady</w:t>
      </w:r>
      <w:r w:rsidR="00062DA9">
        <w:t xml:space="preserve"> (UE)</w:t>
      </w:r>
      <w:r w:rsidR="007A04E0">
        <w:t xml:space="preserve"> nr 909/2014</w:t>
      </w:r>
      <w:r w:rsidRPr="006B2DE2">
        <w:t xml:space="preserve"> </w:t>
      </w:r>
      <w:r w:rsidR="007A04E0">
        <w:t xml:space="preserve">z dnia 23 lipca 2014 r. </w:t>
      </w:r>
      <w:r w:rsidRPr="006B2DE2">
        <w:t>w</w:t>
      </w:r>
      <w:r w:rsidR="009C1D74">
        <w:t xml:space="preserve"> </w:t>
      </w:r>
      <w:r w:rsidRPr="006B2DE2">
        <w:t>sprawie usprawnienia rozrachunku papierów wartościowych w Unii Europejskiej</w:t>
      </w:r>
      <w:r>
        <w:t xml:space="preserve"> </w:t>
      </w:r>
      <w:r w:rsidRPr="006B2DE2">
        <w:t>i w sprawie centralnych depozytów papierów wartościowych</w:t>
      </w:r>
      <w:r w:rsidR="00062DA9">
        <w:t>, zmieniające dyrektywy 98/26/WE i 2014/65/UE oraz rozporządzenie (UE) nr 236/2012</w:t>
      </w:r>
      <w:r w:rsidRPr="006B2DE2">
        <w:t xml:space="preserve"> </w:t>
      </w:r>
      <w:r w:rsidR="00062DA9">
        <w:t>(Dz. Urz. UE L 257 z 28.08.2014, str. 1)</w:t>
      </w:r>
      <w:r w:rsidR="00131286">
        <w:t xml:space="preserve"> – </w:t>
      </w:r>
      <w:r w:rsidR="00131286" w:rsidRPr="006B2DE2">
        <w:t>CSDR</w:t>
      </w:r>
      <w:r w:rsidRPr="006B2DE2">
        <w:t>) nie przewidują wprost możliwości prowadzenia ewidencji instrumentów pochodnych w systemach depozytów papierów wartościowych. Należy także zaznaczyć, iż powyższe regulacje nie wykluczają również wprost takiej możliwości. Z</w:t>
      </w:r>
      <w:r w:rsidR="00246D26">
        <w:t>e</w:t>
      </w:r>
      <w:r w:rsidRPr="006B2DE2">
        <w:t xml:space="preserve"> </w:t>
      </w:r>
      <w:r w:rsidR="00246D26">
        <w:t>wskazanych</w:t>
      </w:r>
      <w:r w:rsidRPr="006B2DE2">
        <w:t xml:space="preserve"> względów funkcjonujące obecnie na polskim </w:t>
      </w:r>
      <w:r w:rsidRPr="006B2DE2">
        <w:lastRenderedPageBreak/>
        <w:t>rynku kapitałowym rozwiązanie dotyczące rejestrowania instrumentów pochodnych w</w:t>
      </w:r>
      <w:r w:rsidR="009C1D74">
        <w:t> </w:t>
      </w:r>
      <w:r w:rsidRPr="006B2DE2">
        <w:t>systemach depozytu papierów wartościowych, jako rozwiązanie, które nie jest stosowane w</w:t>
      </w:r>
      <w:r w:rsidR="009C1D74">
        <w:t xml:space="preserve"> </w:t>
      </w:r>
      <w:r w:rsidRPr="006B2DE2">
        <w:t>innych państwach, mo</w:t>
      </w:r>
      <w:r w:rsidR="00AD51BE">
        <w:t>gło</w:t>
      </w:r>
      <w:r w:rsidRPr="006B2DE2">
        <w:t xml:space="preserve"> stanowić potencjalną przeszkodę w rozwoju zorganizowanego rynku terminowego na obszarze Rzeczypospolitej Polskiej.</w:t>
      </w:r>
    </w:p>
    <w:p w:rsidR="00AD51BE" w:rsidRDefault="00AD51BE" w:rsidP="009C1D74">
      <w:pPr>
        <w:keepNext/>
        <w:spacing w:before="120"/>
      </w:pPr>
      <w:r>
        <w:t>Mając powyższe na uwadze</w:t>
      </w:r>
      <w:r w:rsidR="00C96E26">
        <w:t>,</w:t>
      </w:r>
      <w:r>
        <w:t xml:space="preserve"> </w:t>
      </w:r>
      <w:r w:rsidRPr="00AD51BE">
        <w:t>ustawa z dnia 5 grudnia 2014 r. o zmianie ustawy o</w:t>
      </w:r>
      <w:r w:rsidR="009C1D74">
        <w:t> </w:t>
      </w:r>
      <w:r w:rsidRPr="00AD51BE">
        <w:t>obrocie instrumentami finansowymi oraz niektórych innych ustaw (Dz. U. z 2015 r. poz. 73)</w:t>
      </w:r>
      <w:r>
        <w:t xml:space="preserve"> zniosła wymóg </w:t>
      </w:r>
      <w:r w:rsidRPr="00AD51BE">
        <w:t>rejestrowania w systemie depozytu papierów wartościowych instrumentów pochodnych dopuszczonych do zorganizowanego obrotu</w:t>
      </w:r>
      <w:r w:rsidR="00246D26">
        <w:t xml:space="preserve">. Spowodowało to jednak, iż powstała </w:t>
      </w:r>
      <w:r w:rsidR="007A06EA">
        <w:t>luk</w:t>
      </w:r>
      <w:r w:rsidR="00246D26">
        <w:t>a</w:t>
      </w:r>
      <w:r w:rsidR="007A06EA">
        <w:t xml:space="preserve"> </w:t>
      </w:r>
      <w:r w:rsidR="00A75FEC">
        <w:t>prawna</w:t>
      </w:r>
      <w:r w:rsidR="007A06EA">
        <w:t xml:space="preserve"> w zakresie rejestrowania instrumentów pochodnych.</w:t>
      </w:r>
    </w:p>
    <w:p w:rsidR="00190971" w:rsidRPr="009C1D74" w:rsidRDefault="00190971" w:rsidP="00F73421">
      <w:pPr>
        <w:keepNext/>
        <w:spacing w:before="240" w:after="120"/>
      </w:pPr>
      <w:r w:rsidRPr="009C1D74">
        <w:t>Zmiana organu wydającego zezwolenie na prowadzenie giełdy</w:t>
      </w:r>
    </w:p>
    <w:p w:rsidR="00190971" w:rsidRDefault="00190971" w:rsidP="009C1D74">
      <w:pPr>
        <w:keepNext/>
        <w:spacing w:before="120"/>
      </w:pPr>
      <w:r w:rsidRPr="00190971">
        <w:t>Zgodnie z art. 25 ust. 1 i 2 obowiązującej ustawy o obrocie instrumentami finansowymi prowadzenie giełdy wymaga zezwolenia, które wydaje minister właściwy do spraw instytucji finansowych, na wniosek zainteresowanego, zaopiniowany przez Komisję Nadzoru Finansowego. Wniosek składany jest za pośrednictwem K</w:t>
      </w:r>
      <w:r>
        <w:t xml:space="preserve">omisji </w:t>
      </w:r>
      <w:r w:rsidRPr="00190971">
        <w:t>N</w:t>
      </w:r>
      <w:r>
        <w:t xml:space="preserve">adzoru </w:t>
      </w:r>
      <w:r w:rsidRPr="00190971">
        <w:t>F</w:t>
      </w:r>
      <w:r>
        <w:t>inansowego</w:t>
      </w:r>
      <w:r w:rsidRPr="00190971">
        <w:t>, która ocenia wniosek pod względem formalnym (w przypadku stwierdzenia brak</w:t>
      </w:r>
      <w:r w:rsidR="00AD51BE">
        <w:t>ów</w:t>
      </w:r>
      <w:r w:rsidRPr="00190971">
        <w:t xml:space="preserve"> formalnych Komisja wydaje decyzję o pozostawieniu wniosku bez rozpoznania)</w:t>
      </w:r>
      <w:r w:rsidR="00C75ECC">
        <w:t>,</w:t>
      </w:r>
      <w:r w:rsidRPr="00190971">
        <w:t xml:space="preserve"> a następnie go opiniuje. Dopiero po wykonaniu tych czynności wniosek wraz z opinią przekazywany jest przez K</w:t>
      </w:r>
      <w:r>
        <w:t>omisję</w:t>
      </w:r>
      <w:r w:rsidRPr="00190971">
        <w:t xml:space="preserve"> ministrowi właściwe</w:t>
      </w:r>
      <w:r w:rsidR="00AD51BE">
        <w:t>mu</w:t>
      </w:r>
      <w:r w:rsidRPr="00190971">
        <w:t xml:space="preserve"> do spraw instytucji finansowych.</w:t>
      </w:r>
      <w:r>
        <w:t xml:space="preserve"> </w:t>
      </w:r>
      <w:r w:rsidRPr="00190971">
        <w:t>Rozwiązanie to sprawia, iż co do zasady podwójnie wykonywane są te same czynności</w:t>
      </w:r>
      <w:r w:rsidR="00C96E26">
        <w:t>,</w:t>
      </w:r>
      <w:r w:rsidRPr="00190971">
        <w:t xml:space="preserve"> a co za tym idzie</w:t>
      </w:r>
      <w:r w:rsidR="00C96E26">
        <w:t>,</w:t>
      </w:r>
      <w:r w:rsidRPr="00190971">
        <w:t xml:space="preserve"> bezzasadnie wydłużony jest termin rozpoznawania wniosku o zezwolenie na prowadzenie giełdy.</w:t>
      </w:r>
    </w:p>
    <w:p w:rsidR="00D04EF5" w:rsidRPr="002824E7" w:rsidRDefault="00D04EF5" w:rsidP="00F73421">
      <w:pPr>
        <w:keepNext/>
        <w:spacing w:before="240"/>
        <w:rPr>
          <w:b/>
        </w:rPr>
      </w:pPr>
      <w:r w:rsidRPr="002824E7">
        <w:rPr>
          <w:b/>
        </w:rPr>
        <w:t>2. Potrzeba i cel wydania projektowanej ustawy</w:t>
      </w:r>
    </w:p>
    <w:p w:rsidR="006B2DE2" w:rsidRPr="009C1D74" w:rsidRDefault="006B2DE2" w:rsidP="00F73421">
      <w:pPr>
        <w:pStyle w:val="Akapitzlist"/>
        <w:spacing w:before="240" w:after="120" w:line="360" w:lineRule="auto"/>
        <w:ind w:left="0"/>
        <w:contextualSpacing w:val="0"/>
        <w:jc w:val="both"/>
        <w:rPr>
          <w:rFonts w:ascii="Times New Roman" w:hAnsi="Times New Roman"/>
          <w:color w:val="000000"/>
          <w:sz w:val="24"/>
          <w:szCs w:val="24"/>
        </w:rPr>
      </w:pPr>
      <w:r w:rsidRPr="009C1D74">
        <w:rPr>
          <w:rFonts w:ascii="Times New Roman" w:hAnsi="Times New Roman"/>
          <w:color w:val="000000"/>
          <w:sz w:val="24"/>
          <w:szCs w:val="24"/>
        </w:rPr>
        <w:t>Zniesienie podziału rynku regulowanego na rynek giełdowy i rynek pozagiełdowy</w:t>
      </w:r>
    </w:p>
    <w:p w:rsidR="00D04EF5" w:rsidRDefault="00D04EF5" w:rsidP="009C1D74">
      <w:pPr>
        <w:pStyle w:val="Akapitzlist"/>
        <w:spacing w:before="120" w:after="0" w:line="360" w:lineRule="auto"/>
        <w:ind w:left="0" w:right="2"/>
        <w:jc w:val="both"/>
        <w:rPr>
          <w:rFonts w:ascii="Times New Roman" w:hAnsi="Times New Roman"/>
          <w:color w:val="000000"/>
          <w:sz w:val="24"/>
          <w:szCs w:val="24"/>
        </w:rPr>
      </w:pPr>
      <w:r>
        <w:rPr>
          <w:rFonts w:ascii="Times New Roman" w:hAnsi="Times New Roman"/>
          <w:color w:val="000000"/>
          <w:sz w:val="24"/>
          <w:szCs w:val="24"/>
        </w:rPr>
        <w:t>W</w:t>
      </w:r>
      <w:r w:rsidRPr="00F04715">
        <w:rPr>
          <w:rFonts w:ascii="Times New Roman" w:hAnsi="Times New Roman"/>
          <w:color w:val="000000"/>
          <w:sz w:val="24"/>
          <w:szCs w:val="24"/>
        </w:rPr>
        <w:t xml:space="preserve"> wyniku wprowadzanych na przestrzeni ostatnich kilkunastu lat kolejnych zmian przepis</w:t>
      </w:r>
      <w:r w:rsidR="00C86090">
        <w:rPr>
          <w:rFonts w:ascii="Times New Roman" w:hAnsi="Times New Roman"/>
          <w:color w:val="000000"/>
          <w:sz w:val="24"/>
          <w:szCs w:val="24"/>
        </w:rPr>
        <w:t>ów</w:t>
      </w:r>
      <w:r w:rsidRPr="00F04715">
        <w:rPr>
          <w:rFonts w:ascii="Times New Roman" w:hAnsi="Times New Roman"/>
          <w:color w:val="000000"/>
          <w:sz w:val="24"/>
          <w:szCs w:val="24"/>
        </w:rPr>
        <w:t xml:space="preserve"> dotyczących </w:t>
      </w:r>
      <w:r>
        <w:rPr>
          <w:rFonts w:ascii="Times New Roman" w:hAnsi="Times New Roman"/>
          <w:color w:val="000000"/>
          <w:sz w:val="24"/>
          <w:szCs w:val="24"/>
        </w:rPr>
        <w:t xml:space="preserve">funkcjonowania </w:t>
      </w:r>
      <w:r w:rsidRPr="00F04715">
        <w:rPr>
          <w:rFonts w:ascii="Times New Roman" w:hAnsi="Times New Roman"/>
          <w:color w:val="000000"/>
          <w:sz w:val="24"/>
          <w:szCs w:val="24"/>
        </w:rPr>
        <w:t>krajowego rynku kapitałowego</w:t>
      </w:r>
      <w:r w:rsidR="00C86090">
        <w:rPr>
          <w:rFonts w:ascii="Times New Roman" w:hAnsi="Times New Roman"/>
          <w:color w:val="000000"/>
          <w:sz w:val="24"/>
          <w:szCs w:val="24"/>
        </w:rPr>
        <w:t xml:space="preserve"> (przede wszystkim ustawy o</w:t>
      </w:r>
      <w:r w:rsidR="009C1D74">
        <w:rPr>
          <w:rFonts w:ascii="Times New Roman" w:hAnsi="Times New Roman"/>
          <w:color w:val="000000"/>
          <w:sz w:val="24"/>
          <w:szCs w:val="24"/>
        </w:rPr>
        <w:t xml:space="preserve"> </w:t>
      </w:r>
      <w:r w:rsidR="00C86090">
        <w:rPr>
          <w:rFonts w:ascii="Times New Roman" w:hAnsi="Times New Roman"/>
          <w:color w:val="000000"/>
          <w:sz w:val="24"/>
          <w:szCs w:val="24"/>
        </w:rPr>
        <w:t>obrocie instrumentami finansowymi)</w:t>
      </w:r>
      <w:r w:rsidRPr="00F04715">
        <w:rPr>
          <w:rFonts w:ascii="Times New Roman" w:hAnsi="Times New Roman"/>
          <w:color w:val="000000"/>
          <w:sz w:val="24"/>
          <w:szCs w:val="24"/>
        </w:rPr>
        <w:t xml:space="preserve"> </w:t>
      </w:r>
      <w:r w:rsidRPr="00C545B8">
        <w:rPr>
          <w:rFonts w:ascii="Times New Roman" w:hAnsi="Times New Roman"/>
          <w:color w:val="000000"/>
          <w:sz w:val="24"/>
          <w:szCs w:val="24"/>
        </w:rPr>
        <w:t>doszło do faktycznego zniwelowania różnic w</w:t>
      </w:r>
      <w:r w:rsidR="009C1D74">
        <w:rPr>
          <w:rFonts w:ascii="Times New Roman" w:hAnsi="Times New Roman"/>
          <w:color w:val="000000"/>
          <w:sz w:val="24"/>
          <w:szCs w:val="24"/>
        </w:rPr>
        <w:t xml:space="preserve"> </w:t>
      </w:r>
      <w:r w:rsidRPr="00C545B8">
        <w:rPr>
          <w:rFonts w:ascii="Times New Roman" w:hAnsi="Times New Roman"/>
          <w:color w:val="000000"/>
          <w:sz w:val="24"/>
          <w:szCs w:val="24"/>
        </w:rPr>
        <w:t>zakresie zasad funkcjonowania rynku giełdowego i rynku pozagiełdowego.</w:t>
      </w:r>
      <w:r>
        <w:rPr>
          <w:rFonts w:ascii="Times New Roman" w:hAnsi="Times New Roman"/>
          <w:color w:val="000000"/>
          <w:sz w:val="24"/>
          <w:szCs w:val="24"/>
        </w:rPr>
        <w:t xml:space="preserve"> </w:t>
      </w:r>
    </w:p>
    <w:p w:rsidR="004E439D" w:rsidRDefault="00D72C47" w:rsidP="009C1D74">
      <w:pPr>
        <w:spacing w:before="120"/>
        <w:ind w:right="2"/>
      </w:pPr>
      <w:r>
        <w:t>Również</w:t>
      </w:r>
      <w:r w:rsidRPr="003321B7">
        <w:t xml:space="preserve"> </w:t>
      </w:r>
      <w:r w:rsidR="004E439D" w:rsidRPr="003321B7">
        <w:t>przepisy prawa unijnego (w szczególności dyrektyw</w:t>
      </w:r>
      <w:r>
        <w:t>y</w:t>
      </w:r>
      <w:r w:rsidR="004E439D" w:rsidRPr="003321B7">
        <w:t xml:space="preserve"> </w:t>
      </w:r>
      <w:r w:rsidR="004E439D" w:rsidRPr="008C04C2">
        <w:t>2004/39/WE Parlamentu Europejskiego i</w:t>
      </w:r>
      <w:r w:rsidR="004E439D" w:rsidRPr="003321B7">
        <w:t xml:space="preserve"> </w:t>
      </w:r>
      <w:r w:rsidR="004E439D" w:rsidRPr="008C04C2">
        <w:t>Rady z dnia 21</w:t>
      </w:r>
      <w:r>
        <w:t xml:space="preserve"> </w:t>
      </w:r>
      <w:r w:rsidR="004E439D" w:rsidRPr="008C04C2">
        <w:t>kwietnia 2004</w:t>
      </w:r>
      <w:r w:rsidR="009C1D74">
        <w:t xml:space="preserve"> </w:t>
      </w:r>
      <w:r w:rsidR="004E439D" w:rsidRPr="008C04C2">
        <w:t>r. w</w:t>
      </w:r>
      <w:r>
        <w:t xml:space="preserve"> </w:t>
      </w:r>
      <w:r w:rsidR="004E439D" w:rsidRPr="008C04C2">
        <w:t>sprawie rynków</w:t>
      </w:r>
      <w:r w:rsidR="004E439D" w:rsidRPr="003321B7">
        <w:t xml:space="preserve"> </w:t>
      </w:r>
      <w:r w:rsidR="004E439D" w:rsidRPr="008C04C2">
        <w:lastRenderedPageBreak/>
        <w:t>instrumentów</w:t>
      </w:r>
      <w:r w:rsidR="004E439D" w:rsidRPr="003321B7">
        <w:t xml:space="preserve"> </w:t>
      </w:r>
      <w:r w:rsidR="004E439D" w:rsidRPr="008C04C2">
        <w:t>finansowych zmieniając</w:t>
      </w:r>
      <w:r w:rsidR="00CB0CAD">
        <w:t>ej</w:t>
      </w:r>
      <w:r w:rsidR="004E439D" w:rsidRPr="008C04C2">
        <w:t xml:space="preserve"> dyrektywę Rady 85/611/EWG i</w:t>
      </w:r>
      <w:r>
        <w:t xml:space="preserve"> </w:t>
      </w:r>
      <w:r w:rsidR="004E439D" w:rsidRPr="008C04C2">
        <w:t>93/6/EWG i</w:t>
      </w:r>
      <w:r w:rsidR="009C1D74">
        <w:t> </w:t>
      </w:r>
      <w:r w:rsidR="004E439D" w:rsidRPr="008C04C2">
        <w:t>dyrektywę 2000/12/WE Parlamentu Europejskiego i</w:t>
      </w:r>
      <w:r w:rsidR="004E439D" w:rsidRPr="003321B7">
        <w:t xml:space="preserve"> </w:t>
      </w:r>
      <w:r w:rsidR="004E439D" w:rsidRPr="008C04C2">
        <w:t>Rady oraz uchylając</w:t>
      </w:r>
      <w:r w:rsidR="00062DA9">
        <w:t>ej</w:t>
      </w:r>
      <w:r w:rsidR="004E439D" w:rsidRPr="008C04C2">
        <w:t xml:space="preserve"> dyrektywę Rady 93/22/EWG</w:t>
      </w:r>
      <w:r w:rsidR="004E439D" w:rsidRPr="003321B7">
        <w:t xml:space="preserve"> </w:t>
      </w:r>
      <w:r w:rsidR="00062DA9">
        <w:t>(Dz. Urz. UE L 145 z 30.04.2004, str. 1</w:t>
      </w:r>
      <w:r w:rsidR="001330C9">
        <w:t>)</w:t>
      </w:r>
      <w:r w:rsidR="001330C9" w:rsidRPr="001330C9">
        <w:t xml:space="preserve"> </w:t>
      </w:r>
      <w:r w:rsidR="001330C9">
        <w:t xml:space="preserve">(dalej: </w:t>
      </w:r>
      <w:r w:rsidR="001330C9" w:rsidRPr="003321B7">
        <w:t>MiFID</w:t>
      </w:r>
      <w:r w:rsidR="004E439D" w:rsidRPr="003321B7">
        <w:t>) nie przewidują takiego rozróżnienia podmiotów prowadzących rynk</w:t>
      </w:r>
      <w:r w:rsidR="004E439D">
        <w:t>i</w:t>
      </w:r>
      <w:r w:rsidR="004E439D" w:rsidRPr="003321B7">
        <w:t xml:space="preserve"> regulowan</w:t>
      </w:r>
      <w:r w:rsidR="004E439D">
        <w:t>e</w:t>
      </w:r>
      <w:r w:rsidR="004E439D" w:rsidRPr="003321B7">
        <w:t xml:space="preserve">. Jednocześnie określenie rynku </w:t>
      </w:r>
      <w:r w:rsidR="004E439D">
        <w:t xml:space="preserve">regulowanego </w:t>
      </w:r>
      <w:r w:rsidR="004E439D" w:rsidRPr="003321B7">
        <w:t>jako pozagiełdowy może wprowadzać w błąd co do jego charakteru.</w:t>
      </w:r>
      <w:r w:rsidR="004E439D">
        <w:t xml:space="preserve"> Wynika to z faktu, iż </w:t>
      </w:r>
      <w:r w:rsidR="004E439D" w:rsidRPr="00A2384C">
        <w:t>termin „rynek pozagiełdowy</w:t>
      </w:r>
      <w:r w:rsidR="004E439D">
        <w:t>”</w:t>
      </w:r>
      <w:r w:rsidR="004E439D" w:rsidRPr="00A2384C">
        <w:t xml:space="preserve"> nie znajduje odzwierciedlenia w powszechnie funkcjonującej nomenklaturze wynikającej z</w:t>
      </w:r>
      <w:r w:rsidR="005E2FD4">
        <w:t> </w:t>
      </w:r>
      <w:r w:rsidR="004E439D" w:rsidRPr="00A2384C">
        <w:t>przepisów europejskich, transponowanych przez państwa członkowskie do krajow</w:t>
      </w:r>
      <w:r w:rsidR="004E439D">
        <w:t>ych</w:t>
      </w:r>
      <w:r w:rsidR="004E439D" w:rsidRPr="00A2384C">
        <w:t xml:space="preserve"> porządk</w:t>
      </w:r>
      <w:r w:rsidR="004E439D">
        <w:t>ów prawnych</w:t>
      </w:r>
      <w:r w:rsidR="004E439D" w:rsidRPr="00A2384C">
        <w:t xml:space="preserve">, a tym samym sprawia błędne wrażenie, że </w:t>
      </w:r>
      <w:r w:rsidR="004E439D">
        <w:t xml:space="preserve">może to być </w:t>
      </w:r>
      <w:r w:rsidR="004E439D" w:rsidRPr="00A2384C">
        <w:t>rynek o</w:t>
      </w:r>
      <w:r w:rsidR="005E2FD4">
        <w:t> </w:t>
      </w:r>
      <w:r w:rsidR="004E439D" w:rsidRPr="00A2384C">
        <w:t xml:space="preserve">cechach odpowiadających </w:t>
      </w:r>
      <w:r w:rsidR="004E439D">
        <w:t>rynkom OTC (o</w:t>
      </w:r>
      <w:r w:rsidR="004E439D" w:rsidRPr="00A2384C">
        <w:t>ver-the-counter</w:t>
      </w:r>
      <w:r w:rsidR="004E439D">
        <w:t>)</w:t>
      </w:r>
      <w:r w:rsidR="004E439D" w:rsidRPr="00A2384C">
        <w:t xml:space="preserve"> lub off-exchange trading.</w:t>
      </w:r>
      <w:r w:rsidR="004E439D">
        <w:t xml:space="preserve"> </w:t>
      </w:r>
    </w:p>
    <w:p w:rsidR="00C96E26" w:rsidRDefault="00C86090" w:rsidP="009C1D74">
      <w:pPr>
        <w:spacing w:before="120"/>
      </w:pPr>
      <w:r w:rsidRPr="006A789D">
        <w:t xml:space="preserve">Celem projektu ustawy jest </w:t>
      </w:r>
      <w:r>
        <w:t xml:space="preserve">więc </w:t>
      </w:r>
      <w:r w:rsidRPr="006A789D">
        <w:t>zniesienie</w:t>
      </w:r>
      <w:r>
        <w:t>, nieuzasadnionego w chwili obecnej,</w:t>
      </w:r>
      <w:r w:rsidRPr="006A789D">
        <w:t xml:space="preserve"> podziału rynku regulowanego na rynek giełdowy i</w:t>
      </w:r>
      <w:r>
        <w:t xml:space="preserve"> </w:t>
      </w:r>
      <w:r w:rsidRPr="006A789D">
        <w:t>rynek pozagiełdowy</w:t>
      </w:r>
      <w:r w:rsidR="004E439D">
        <w:t xml:space="preserve">. </w:t>
      </w:r>
      <w:r w:rsidR="00D72C47">
        <w:t>Efektem regulacji będzie objęcie</w:t>
      </w:r>
      <w:r w:rsidRPr="00271DF3">
        <w:t xml:space="preserve"> wymienionych typów rynku </w:t>
      </w:r>
      <w:r w:rsidR="00D72C47">
        <w:t xml:space="preserve">tym samym </w:t>
      </w:r>
      <w:r w:rsidRPr="00271DF3">
        <w:t>pojęciem rynku regulowanego.</w:t>
      </w:r>
      <w:r w:rsidRPr="006A789D">
        <w:t xml:space="preserve"> </w:t>
      </w:r>
    </w:p>
    <w:p w:rsidR="00C16AB6" w:rsidRPr="009C1D74" w:rsidRDefault="00C16AB6" w:rsidP="00F73421">
      <w:pPr>
        <w:spacing w:before="240" w:after="120"/>
      </w:pPr>
      <w:r w:rsidRPr="009C1D74">
        <w:t>Wprowadzenie regulacji dotyczących instytucji rachunku derywatów</w:t>
      </w:r>
    </w:p>
    <w:p w:rsidR="006B2DE2" w:rsidRDefault="00C16AB6" w:rsidP="009C1D74">
      <w:pPr>
        <w:spacing w:before="120"/>
        <w:rPr>
          <w:lang w:val="pl"/>
        </w:rPr>
      </w:pPr>
      <w:r>
        <w:t xml:space="preserve">Przewidziane ustawą </w:t>
      </w:r>
      <w:r w:rsidRPr="00EB5576">
        <w:rPr>
          <w:lang w:val="pl"/>
        </w:rPr>
        <w:t xml:space="preserve">z dnia 5 grudnia 2014 r. o zmianie ustawy o obrocie instrumentami finansowymi oraz niektórych innych ustaw </w:t>
      </w:r>
      <w:r>
        <w:t>z</w:t>
      </w:r>
      <w:r w:rsidR="006B2DE2" w:rsidRPr="00EB5576">
        <w:rPr>
          <w:lang w:val="pl"/>
        </w:rPr>
        <w:t>niesienie wymogu rejestrowania w systemie depozytu papierów wartościowych instrumentów pochodnych dopuszczonych do zorganizowanego obrotu skutkuje koniecznością uregulowania zasad ewidencji instrumentów pochodnych w celu zapewnienia bezpieczeństwa obrotu oraz skutecznego nadzoru nad rynkiem terminowym.</w:t>
      </w:r>
    </w:p>
    <w:p w:rsidR="00457B2A" w:rsidRPr="00457B2A" w:rsidRDefault="00457B2A" w:rsidP="009C1D74">
      <w:pPr>
        <w:spacing w:before="120"/>
        <w:ind w:right="2"/>
      </w:pPr>
      <w:r w:rsidRPr="00457B2A">
        <w:t xml:space="preserve">Należy zauważyć, że </w:t>
      </w:r>
      <w:r>
        <w:t>przed zmianami wprowadzonymi ustawą z dnia 5 grudnia 2014</w:t>
      </w:r>
      <w:r w:rsidR="009C1D74">
        <w:t xml:space="preserve"> </w:t>
      </w:r>
      <w:r>
        <w:t xml:space="preserve">r. </w:t>
      </w:r>
      <w:r w:rsidRPr="00457B2A">
        <w:t>Urząd Komisji Nadzoru Finansowego posiada</w:t>
      </w:r>
      <w:r>
        <w:t>ł</w:t>
      </w:r>
      <w:r w:rsidRPr="00457B2A">
        <w:t xml:space="preserve"> dostęp do informacji o wszystkich dopuszczonych do obrotu zorganizowanego derywatach oraz o aktywności poszczególnych inwestorów w zakresie obrotu tymi instrumentami finansowymi</w:t>
      </w:r>
      <w:r w:rsidR="00437D6B">
        <w:t xml:space="preserve">. Informacje te były </w:t>
      </w:r>
      <w:r w:rsidRPr="00457B2A">
        <w:t>pozyskiwane w szczególności od podmiotów prowadzących rachunki papierów wartościowych.</w:t>
      </w:r>
      <w:r w:rsidR="00437D6B">
        <w:t xml:space="preserve"> Z uwagi na fakt, iż instrumenty pochodne nie będą dalej rejestrowane na rachunkach papierów wartościowych</w:t>
      </w:r>
      <w:r w:rsidRPr="00457B2A">
        <w:t xml:space="preserve">, bez wprowadzenia </w:t>
      </w:r>
      <w:r w:rsidR="00437D6B">
        <w:t xml:space="preserve">obowiązku rejestracji tych instrumentów finansowych na rachunku derywatów byłby </w:t>
      </w:r>
      <w:r w:rsidRPr="00457B2A">
        <w:t xml:space="preserve">brak wiarygodnego zapisu aktywności inwestora na rynku instrumentów pochodnych. </w:t>
      </w:r>
      <w:r w:rsidR="00437D6B">
        <w:t xml:space="preserve">Podkreślenia również wymaga, iż informacji takich </w:t>
      </w:r>
      <w:r w:rsidRPr="00457B2A">
        <w:t xml:space="preserve">nie jest w stanie zapewnić izba rozliczeniowa, gdyż nie posiada ona informacji o inwestorach, których dotyczą </w:t>
      </w:r>
      <w:r w:rsidRPr="00457B2A">
        <w:lastRenderedPageBreak/>
        <w:t xml:space="preserve">zgłaszane transakcje, jak również nie występuje żadne rozwiązanie na poziomie </w:t>
      </w:r>
      <w:r w:rsidR="00437D6B">
        <w:t xml:space="preserve">nowelizowanej </w:t>
      </w:r>
      <w:r w:rsidRPr="00457B2A">
        <w:t>ustaw</w:t>
      </w:r>
      <w:r w:rsidR="00CB0CAD">
        <w:t>y</w:t>
      </w:r>
      <w:r w:rsidRPr="00457B2A">
        <w:t xml:space="preserve">, które dawałoby gwarancje, że takie informacje </w:t>
      </w:r>
      <w:r w:rsidRPr="00457B2A">
        <w:rPr>
          <w:lang w:val="pl"/>
        </w:rPr>
        <w:t xml:space="preserve">będą znajdowały się w innym rejestrze. Ustalenie wyżej wskazanych okoliczności będzie </w:t>
      </w:r>
      <w:r w:rsidR="00437D6B">
        <w:rPr>
          <w:lang w:val="pl"/>
        </w:rPr>
        <w:t xml:space="preserve">zatem możliwe wyłącznie </w:t>
      </w:r>
      <w:r w:rsidRPr="00457B2A">
        <w:rPr>
          <w:lang w:val="pl"/>
        </w:rPr>
        <w:t>po wprowadzeniu zaproponowanych niniejszą ustawą zmian.</w:t>
      </w:r>
    </w:p>
    <w:p w:rsidR="00457B2A" w:rsidRPr="00457B2A" w:rsidRDefault="00336A96" w:rsidP="009C1D74">
      <w:pPr>
        <w:spacing w:before="120"/>
        <w:ind w:right="2"/>
        <w:rPr>
          <w:i/>
          <w:lang w:val="pl"/>
        </w:rPr>
      </w:pPr>
      <w:r>
        <w:t xml:space="preserve">Konsekwencją proponowanych zmian jest również </w:t>
      </w:r>
      <w:r w:rsidR="00457B2A" w:rsidRPr="00457B2A">
        <w:t>potrzeba wyposażenia organu nadzoru w</w:t>
      </w:r>
      <w:r w:rsidR="009C1D74">
        <w:t xml:space="preserve"> </w:t>
      </w:r>
      <w:r w:rsidR="00457B2A" w:rsidRPr="00457B2A">
        <w:t xml:space="preserve">skuteczne narzędzia nadzorcze, dzięki którym możliwe będzie zapewnienie efektywnego nadzoru nad bezpieczeństwem i prawidłowością wtórnego obrotu instrumentami finansowymi </w:t>
      </w:r>
      <w:r w:rsidR="00F56AE3">
        <w:t>– w</w:t>
      </w:r>
      <w:r w:rsidR="00457B2A" w:rsidRPr="00457B2A">
        <w:t xml:space="preserve"> szczególności dla ustalenia zakresu inwestycji dokonywanych przez podmioty nieprowadzące działalności na terytorium </w:t>
      </w:r>
      <w:r>
        <w:t>Rzeczpospolitej Polskiej</w:t>
      </w:r>
      <w:r w:rsidR="00457B2A" w:rsidRPr="00457B2A">
        <w:t xml:space="preserve">, będące stronami transakcji giełdowych, a </w:t>
      </w:r>
      <w:r>
        <w:t xml:space="preserve">jednocześnie </w:t>
      </w:r>
      <w:r w:rsidR="00457B2A" w:rsidRPr="00457B2A">
        <w:t>niebędące zobowiązan</w:t>
      </w:r>
      <w:r>
        <w:t>e</w:t>
      </w:r>
      <w:r w:rsidR="00457B2A" w:rsidRPr="00457B2A">
        <w:t xml:space="preserve"> na mocy obowiązujących w Polsce uregulowań do ewidencjonowania zawieranych transakcji na derywatach na żadnych rachunkach</w:t>
      </w:r>
      <w:r>
        <w:t>. W</w:t>
      </w:r>
      <w:r w:rsidR="009C1D74">
        <w:t> </w:t>
      </w:r>
      <w:r>
        <w:t xml:space="preserve">tym celu projekt ustawy zakłada </w:t>
      </w:r>
      <w:r w:rsidR="00457B2A" w:rsidRPr="00457B2A">
        <w:t>uprawnienie Komisji Nadzoru Finansowego do bezpośredniego występowania do tych podmiotów o odpowiednie informacje.</w:t>
      </w:r>
      <w:r>
        <w:t xml:space="preserve"> Podkreślenia przy tym wymaga, iż przewidziane w tym zakresie zmiany w żaden sposób nie wpływają na </w:t>
      </w:r>
      <w:r w:rsidR="0097274D">
        <w:t>u</w:t>
      </w:r>
      <w:r>
        <w:t xml:space="preserve">kształtowany na poziomie prawa europejskiego z zakresu rynku kapitałowego zakres sprawowania nadzoru nad firmami inwestycyjnymi. Z tego też względu </w:t>
      </w:r>
      <w:r w:rsidR="00A21EAE">
        <w:t>nadzór nad podmiotami, o których mow</w:t>
      </w:r>
      <w:r w:rsidR="0011039A">
        <w:t xml:space="preserve">a w art. 31 ust. 1 pkt 2 ustawy </w:t>
      </w:r>
      <w:r w:rsidR="00A21EAE">
        <w:t>(firmy inwestycyjne będące członkami giełdy nieprowadzące działalności maklerskiej na terytorium RP)</w:t>
      </w:r>
      <w:r w:rsidR="00F56AE3">
        <w:t>,</w:t>
      </w:r>
      <w:r w:rsidR="00A21EAE">
        <w:t xml:space="preserve"> w dalszym ciągu będzie sprawowany przez właściwe organy nadzoru państwa siedziby tego podmiotu.</w:t>
      </w:r>
    </w:p>
    <w:p w:rsidR="00DA35CB" w:rsidRPr="009C1D74" w:rsidRDefault="00DA35CB" w:rsidP="00F73421">
      <w:pPr>
        <w:keepNext/>
        <w:spacing w:before="240" w:after="120"/>
      </w:pPr>
      <w:r w:rsidRPr="009C1D74">
        <w:t>Zmiana organu wydającego zezwolenie na prowadzenie giełdy</w:t>
      </w:r>
    </w:p>
    <w:p w:rsidR="00F219E7" w:rsidRPr="00F219E7" w:rsidRDefault="00F219E7" w:rsidP="009C1D74">
      <w:pPr>
        <w:widowControl/>
        <w:autoSpaceDE/>
        <w:autoSpaceDN/>
        <w:adjustRightInd/>
        <w:spacing w:before="120"/>
        <w:rPr>
          <w:rFonts w:ascii="Times" w:hAnsi="Times"/>
          <w:bCs/>
        </w:rPr>
      </w:pPr>
      <w:r>
        <w:rPr>
          <w:rFonts w:ascii="Times" w:hAnsi="Times"/>
          <w:bCs/>
        </w:rPr>
        <w:t xml:space="preserve">Zasadniczym celem zmiany organu wydającego zezwolenie na </w:t>
      </w:r>
      <w:r w:rsidRPr="00F219E7">
        <w:rPr>
          <w:rFonts w:ascii="Times" w:hAnsi="Times"/>
          <w:bCs/>
        </w:rPr>
        <w:t xml:space="preserve">prowadzenie </w:t>
      </w:r>
      <w:r w:rsidR="002B28D7">
        <w:rPr>
          <w:rFonts w:ascii="Times" w:hAnsi="Times"/>
          <w:bCs/>
        </w:rPr>
        <w:t>rynku regulowanego</w:t>
      </w:r>
      <w:r w:rsidRPr="00F219E7">
        <w:rPr>
          <w:rFonts w:ascii="Times" w:hAnsi="Times"/>
          <w:bCs/>
        </w:rPr>
        <w:t xml:space="preserve"> z ministra właściwego do spraw instytucji finansowych na Komisję Nadzoru Finansowego</w:t>
      </w:r>
      <w:r w:rsidR="007B52BE">
        <w:rPr>
          <w:rFonts w:ascii="Times" w:hAnsi="Times"/>
          <w:bCs/>
        </w:rPr>
        <w:t xml:space="preserve"> jest </w:t>
      </w:r>
      <w:r w:rsidRPr="00F219E7">
        <w:rPr>
          <w:rFonts w:ascii="Times" w:hAnsi="Times"/>
          <w:bCs/>
        </w:rPr>
        <w:t xml:space="preserve">skrócenie procesu licencjonowania w Polsce giełd </w:t>
      </w:r>
      <w:r w:rsidR="0097274D">
        <w:rPr>
          <w:rFonts w:ascii="Times" w:hAnsi="Times"/>
          <w:bCs/>
        </w:rPr>
        <w:t xml:space="preserve">instrumentów finansowych </w:t>
      </w:r>
      <w:r w:rsidRPr="00F219E7">
        <w:rPr>
          <w:rFonts w:ascii="Times" w:hAnsi="Times"/>
          <w:bCs/>
        </w:rPr>
        <w:t xml:space="preserve">oraz skupienie spraw związanych z nadzorem nad rynkiem kapitałowym w całości </w:t>
      </w:r>
      <w:r w:rsidR="002B28D7">
        <w:rPr>
          <w:rFonts w:ascii="Times" w:hAnsi="Times"/>
          <w:bCs/>
        </w:rPr>
        <w:t xml:space="preserve">w </w:t>
      </w:r>
      <w:r w:rsidRPr="00F219E7">
        <w:rPr>
          <w:rFonts w:ascii="Times" w:hAnsi="Times"/>
          <w:bCs/>
        </w:rPr>
        <w:t>ustawowo powołany</w:t>
      </w:r>
      <w:r w:rsidR="002B28D7">
        <w:rPr>
          <w:rFonts w:ascii="Times" w:hAnsi="Times"/>
          <w:bCs/>
        </w:rPr>
        <w:t>m</w:t>
      </w:r>
      <w:r w:rsidRPr="00F219E7">
        <w:rPr>
          <w:rFonts w:ascii="Times" w:hAnsi="Times"/>
          <w:bCs/>
        </w:rPr>
        <w:t xml:space="preserve"> do tego organ</w:t>
      </w:r>
      <w:r w:rsidR="002B28D7">
        <w:rPr>
          <w:rFonts w:ascii="Times" w:hAnsi="Times"/>
          <w:bCs/>
        </w:rPr>
        <w:t>ie,</w:t>
      </w:r>
      <w:r w:rsidRPr="00F219E7">
        <w:rPr>
          <w:rFonts w:ascii="Times" w:hAnsi="Times"/>
          <w:bCs/>
        </w:rPr>
        <w:t xml:space="preserve"> jakim jest Komisja Nadzoru Finansowego.</w:t>
      </w:r>
    </w:p>
    <w:p w:rsidR="00F219E7" w:rsidRDefault="007B52BE" w:rsidP="009C1D74">
      <w:pPr>
        <w:widowControl/>
        <w:autoSpaceDE/>
        <w:autoSpaceDN/>
        <w:adjustRightInd/>
        <w:spacing w:before="120"/>
        <w:rPr>
          <w:rFonts w:ascii="Times" w:hAnsi="Times"/>
          <w:bCs/>
        </w:rPr>
      </w:pPr>
      <w:r>
        <w:rPr>
          <w:rFonts w:ascii="Times" w:hAnsi="Times"/>
          <w:bCs/>
        </w:rPr>
        <w:t>Jak zostało to wcześniej wskazane, z</w:t>
      </w:r>
      <w:r w:rsidR="00F219E7" w:rsidRPr="00F219E7">
        <w:rPr>
          <w:rFonts w:ascii="Times" w:hAnsi="Times"/>
          <w:bCs/>
        </w:rPr>
        <w:t xml:space="preserve">godnie z art. 25 ust. 1 i 2 obowiązującej ustawy prowadzenie giełdy wymaga zezwolenia, które wydaje minister właściwy do spraw instytucji finansowych, na wniosek zainteresowanego, zaopiniowany przez Komisję Nadzoru Finansowego. Wniosek składany jest za pośrednictwem KNF, która ocenia </w:t>
      </w:r>
      <w:r w:rsidR="00F219E7" w:rsidRPr="00F219E7">
        <w:rPr>
          <w:rFonts w:ascii="Times" w:hAnsi="Times"/>
          <w:bCs/>
        </w:rPr>
        <w:lastRenderedPageBreak/>
        <w:t>wniosek pod względem formalnym (w przypadku stwierdzenia brak</w:t>
      </w:r>
      <w:r w:rsidR="007E4425">
        <w:rPr>
          <w:rFonts w:ascii="Times" w:hAnsi="Times"/>
          <w:bCs/>
        </w:rPr>
        <w:t>ów</w:t>
      </w:r>
      <w:r w:rsidR="00F219E7" w:rsidRPr="00F219E7">
        <w:rPr>
          <w:rFonts w:ascii="Times" w:hAnsi="Times"/>
          <w:bCs/>
        </w:rPr>
        <w:t xml:space="preserve"> formalnych Komisja wydaje decyzję o</w:t>
      </w:r>
      <w:r w:rsidR="005E2FD4">
        <w:rPr>
          <w:rFonts w:ascii="Times" w:hAnsi="Times"/>
          <w:bCs/>
        </w:rPr>
        <w:t> </w:t>
      </w:r>
      <w:r w:rsidR="00F219E7" w:rsidRPr="00F219E7">
        <w:rPr>
          <w:rFonts w:ascii="Times" w:hAnsi="Times"/>
          <w:bCs/>
        </w:rPr>
        <w:t>pozostawieniu wniosku bez rozpoznania)</w:t>
      </w:r>
      <w:r w:rsidR="007E4425">
        <w:rPr>
          <w:rFonts w:ascii="Times" w:hAnsi="Times"/>
          <w:bCs/>
        </w:rPr>
        <w:t>,</w:t>
      </w:r>
      <w:r w:rsidR="00F219E7" w:rsidRPr="00F219E7">
        <w:rPr>
          <w:rFonts w:ascii="Times" w:hAnsi="Times"/>
          <w:bCs/>
        </w:rPr>
        <w:t xml:space="preserve"> a następnie go opiniuje. Dopiero po wykonaniu tych czynności wniosek wraz z opinią przekazywany jest przez KNF ministrowi właściwe</w:t>
      </w:r>
      <w:r w:rsidR="007E4425">
        <w:rPr>
          <w:rFonts w:ascii="Times" w:hAnsi="Times"/>
          <w:bCs/>
        </w:rPr>
        <w:t>mu</w:t>
      </w:r>
      <w:r w:rsidR="00F219E7" w:rsidRPr="00F219E7">
        <w:rPr>
          <w:rFonts w:ascii="Times" w:hAnsi="Times"/>
          <w:bCs/>
        </w:rPr>
        <w:t xml:space="preserve"> do spraw instytucji finansowych. Następnie minister </w:t>
      </w:r>
      <w:r w:rsidR="00666913">
        <w:rPr>
          <w:rFonts w:ascii="Times" w:hAnsi="Times"/>
          <w:bCs/>
        </w:rPr>
        <w:t xml:space="preserve">właściwy </w:t>
      </w:r>
      <w:r w:rsidR="00F219E7" w:rsidRPr="00F219E7">
        <w:rPr>
          <w:rFonts w:ascii="Times" w:hAnsi="Times"/>
          <w:bCs/>
        </w:rPr>
        <w:t>do spraw instytucji finansowych</w:t>
      </w:r>
      <w:r w:rsidR="0097274D">
        <w:rPr>
          <w:rFonts w:ascii="Times" w:hAnsi="Times"/>
          <w:bCs/>
        </w:rPr>
        <w:t>,</w:t>
      </w:r>
      <w:r w:rsidR="00F219E7" w:rsidRPr="00F219E7">
        <w:rPr>
          <w:rFonts w:ascii="Times" w:hAnsi="Times"/>
          <w:bCs/>
        </w:rPr>
        <w:t xml:space="preserve"> celem rozpatrzenia wniosku</w:t>
      </w:r>
      <w:r w:rsidR="0097274D">
        <w:rPr>
          <w:rFonts w:ascii="Times" w:hAnsi="Times"/>
          <w:bCs/>
        </w:rPr>
        <w:t>,</w:t>
      </w:r>
      <w:r w:rsidR="00F219E7" w:rsidRPr="00F219E7">
        <w:rPr>
          <w:rFonts w:ascii="Times" w:hAnsi="Times"/>
          <w:bCs/>
        </w:rPr>
        <w:t xml:space="preserve"> koncentruje się na analizie tych samych elementów wniosku o wydanie zezwolenia na prowadzenie giełdy wskazanych w art. 25 ust. 2 przedmiotowej ustawy. Rozwiązanie to sprawia, iż co do zasady podwójnie wykonywane są te same czynności</w:t>
      </w:r>
      <w:r>
        <w:rPr>
          <w:rFonts w:ascii="Times" w:hAnsi="Times"/>
          <w:bCs/>
        </w:rPr>
        <w:t>,</w:t>
      </w:r>
      <w:r w:rsidR="00F219E7" w:rsidRPr="00F219E7">
        <w:rPr>
          <w:rFonts w:ascii="Times" w:hAnsi="Times"/>
          <w:bCs/>
        </w:rPr>
        <w:t xml:space="preserve"> a co za tym idzie</w:t>
      </w:r>
      <w:r w:rsidR="007E4425">
        <w:rPr>
          <w:rFonts w:ascii="Times" w:hAnsi="Times"/>
          <w:bCs/>
        </w:rPr>
        <w:t>,</w:t>
      </w:r>
      <w:r w:rsidR="00F219E7" w:rsidRPr="00F219E7">
        <w:rPr>
          <w:rFonts w:ascii="Times" w:hAnsi="Times"/>
          <w:bCs/>
        </w:rPr>
        <w:t xml:space="preserve"> bezzasadnie wydłużony jest termin rozpoznawania wniosku o zezwolenie na prowadzenie giełdy. </w:t>
      </w:r>
      <w:r w:rsidR="002B28D7">
        <w:rPr>
          <w:rFonts w:ascii="Times" w:hAnsi="Times"/>
          <w:bCs/>
        </w:rPr>
        <w:t xml:space="preserve">Ze wskazanych względów </w:t>
      </w:r>
      <w:r>
        <w:rPr>
          <w:rFonts w:ascii="Times" w:hAnsi="Times"/>
          <w:bCs/>
        </w:rPr>
        <w:t>p</w:t>
      </w:r>
      <w:r w:rsidR="00F219E7" w:rsidRPr="00F219E7">
        <w:rPr>
          <w:rFonts w:ascii="Times" w:hAnsi="Times"/>
          <w:bCs/>
        </w:rPr>
        <w:t>roponowane rozwiązanie</w:t>
      </w:r>
      <w:r w:rsidR="00664DC5">
        <w:rPr>
          <w:rFonts w:ascii="Times" w:hAnsi="Times"/>
          <w:bCs/>
        </w:rPr>
        <w:t>,</w:t>
      </w:r>
      <w:r w:rsidR="00F219E7" w:rsidRPr="00F219E7">
        <w:rPr>
          <w:rFonts w:ascii="Times" w:hAnsi="Times"/>
          <w:bCs/>
        </w:rPr>
        <w:t xml:space="preserve"> przez odbiurokratyzowanie procesu wydania zezwoleń na prowadzenie giełdy</w:t>
      </w:r>
      <w:r w:rsidR="00664DC5">
        <w:rPr>
          <w:rFonts w:ascii="Times" w:hAnsi="Times"/>
          <w:bCs/>
        </w:rPr>
        <w:t>,</w:t>
      </w:r>
      <w:r w:rsidR="00F219E7" w:rsidRPr="00F219E7">
        <w:rPr>
          <w:rFonts w:ascii="Times" w:hAnsi="Times"/>
          <w:bCs/>
        </w:rPr>
        <w:t xml:space="preserve"> wychodzi naprzeciw idei sprawnego państwa.</w:t>
      </w:r>
    </w:p>
    <w:p w:rsidR="00245C73" w:rsidRPr="009C1D74" w:rsidRDefault="00DA35CB" w:rsidP="009C1D74">
      <w:pPr>
        <w:widowControl/>
        <w:autoSpaceDE/>
        <w:autoSpaceDN/>
        <w:adjustRightInd/>
        <w:spacing w:before="120"/>
        <w:rPr>
          <w:rFonts w:ascii="Times" w:hAnsi="Times"/>
          <w:bCs/>
        </w:rPr>
      </w:pPr>
      <w:r w:rsidRPr="00DA35CB">
        <w:rPr>
          <w:rFonts w:ascii="Times" w:hAnsi="Times"/>
          <w:bCs/>
        </w:rPr>
        <w:t xml:space="preserve">Proponowane rozwiązanie jest zgodne z art. 36 ust. 1 i 2 MiFID, zgodnie z którym między innymi </w:t>
      </w:r>
      <w:r w:rsidR="00352E77">
        <w:rPr>
          <w:rFonts w:ascii="Times" w:hAnsi="Times"/>
          <w:bCs/>
        </w:rPr>
        <w:t>„</w:t>
      </w:r>
      <w:r w:rsidRPr="009C1D74">
        <w:rPr>
          <w:rFonts w:ascii="Times" w:hAnsi="Times"/>
          <w:bCs/>
        </w:rPr>
        <w:t xml:space="preserve">zezwolenia dla rynku regulowanego wydaje się wyłącznie wtedy, gdy </w:t>
      </w:r>
      <w:r w:rsidRPr="00063EAD">
        <w:rPr>
          <w:rFonts w:ascii="Times" w:hAnsi="Times"/>
          <w:bCs/>
          <w:u w:val="single"/>
        </w:rPr>
        <w:t>właściwe władze</w:t>
      </w:r>
      <w:r w:rsidRPr="009C1D74">
        <w:rPr>
          <w:rFonts w:ascii="Times" w:hAnsi="Times"/>
          <w:bCs/>
        </w:rPr>
        <w:t xml:space="preserve"> mają pewność, że zarówno podmiot gospodarczy, jak i systemy rynku regulowanego wypełniają przynajmniej wymogi ustanowione w tym tytule</w:t>
      </w:r>
      <w:r w:rsidR="00352E77">
        <w:rPr>
          <w:rFonts w:ascii="Times" w:hAnsi="Times"/>
          <w:bCs/>
        </w:rPr>
        <w:t>.”</w:t>
      </w:r>
      <w:r w:rsidRPr="009C1D74">
        <w:rPr>
          <w:rFonts w:ascii="Times" w:hAnsi="Times"/>
          <w:bCs/>
        </w:rPr>
        <w:t>. Użyte w</w:t>
      </w:r>
      <w:r w:rsidR="00B213C6">
        <w:rPr>
          <w:rFonts w:ascii="Times" w:hAnsi="Times"/>
          <w:bCs/>
        </w:rPr>
        <w:t> </w:t>
      </w:r>
      <w:r w:rsidRPr="009C1D74">
        <w:rPr>
          <w:rFonts w:ascii="Times" w:hAnsi="Times"/>
          <w:bCs/>
        </w:rPr>
        <w:t xml:space="preserve">cytowanych przepisach wyrażenie „właściwe władze” oznacza „władze powołane przez każde Państwo Członkowskie zgodnie z art. 48, chyba że </w:t>
      </w:r>
      <w:r w:rsidR="00352E77">
        <w:rPr>
          <w:rFonts w:ascii="Times" w:hAnsi="Times"/>
          <w:bCs/>
        </w:rPr>
        <w:t xml:space="preserve">w </w:t>
      </w:r>
      <w:r w:rsidRPr="009C1D74">
        <w:rPr>
          <w:rFonts w:ascii="Times" w:hAnsi="Times"/>
          <w:bCs/>
        </w:rPr>
        <w:t>niniejszej dyrektywie ustalono inaczej”</w:t>
      </w:r>
      <w:r w:rsidRPr="00DA35CB">
        <w:rPr>
          <w:rFonts w:ascii="Times" w:hAnsi="Times"/>
          <w:bCs/>
        </w:rPr>
        <w:t xml:space="preserve"> (art. 4 ust. 1 pkt 22 MiFID). Zgodnie z art. 48 ust. 1 MiFID </w:t>
      </w:r>
      <w:r w:rsidRPr="009C1D74">
        <w:rPr>
          <w:rFonts w:ascii="Times" w:hAnsi="Times"/>
          <w:bCs/>
        </w:rPr>
        <w:t>„1. Każde państwo członkowskie wyznacza właściwy organ, który wykonuje obowiązki przewidziane w</w:t>
      </w:r>
      <w:r w:rsidR="005E2FD4">
        <w:rPr>
          <w:rFonts w:ascii="Times" w:hAnsi="Times"/>
          <w:bCs/>
        </w:rPr>
        <w:t> </w:t>
      </w:r>
      <w:r w:rsidRPr="009C1D74">
        <w:rPr>
          <w:rFonts w:ascii="Times" w:hAnsi="Times"/>
          <w:bCs/>
        </w:rPr>
        <w:t>niniejszej dyrektywie. Państwa członkowskie powiadamiają Komisję, EUNGiPW i</w:t>
      </w:r>
      <w:r w:rsidR="005E2FD4">
        <w:rPr>
          <w:rFonts w:ascii="Times" w:hAnsi="Times"/>
          <w:bCs/>
        </w:rPr>
        <w:t> </w:t>
      </w:r>
      <w:r w:rsidRPr="009C1D74">
        <w:rPr>
          <w:rFonts w:ascii="Times" w:hAnsi="Times"/>
          <w:bCs/>
        </w:rPr>
        <w:t>właściwe organy innych państw członkowskich o właściwych organach odpowiedzialnych za wykonywanie każdego z obowiązków i o ewentualnym podziale tych obowiązków.”.</w:t>
      </w:r>
      <w:r w:rsidRPr="00DA35CB">
        <w:rPr>
          <w:rFonts w:ascii="Times" w:hAnsi="Times"/>
          <w:bCs/>
        </w:rPr>
        <w:t xml:space="preserve"> W</w:t>
      </w:r>
      <w:r w:rsidR="009C1D74">
        <w:rPr>
          <w:rFonts w:ascii="Times" w:hAnsi="Times"/>
          <w:bCs/>
        </w:rPr>
        <w:t> </w:t>
      </w:r>
      <w:r w:rsidRPr="00DA35CB">
        <w:rPr>
          <w:rFonts w:ascii="Times" w:hAnsi="Times"/>
          <w:bCs/>
        </w:rPr>
        <w:t>Polsce takim właściwym organem jest Komisja Nadzoru Finansowego (z wyjątkiem, opisanego poniżej, wydawania zezwolenia na prowadzenie giełdy). Art. 3 ust. 1 ustawy z dnia 29 lipca 2005</w:t>
      </w:r>
      <w:r w:rsidR="009C1D74">
        <w:rPr>
          <w:rFonts w:ascii="Times" w:hAnsi="Times"/>
          <w:bCs/>
        </w:rPr>
        <w:t xml:space="preserve"> </w:t>
      </w:r>
      <w:r w:rsidRPr="00DA35CB">
        <w:rPr>
          <w:rFonts w:ascii="Times" w:hAnsi="Times"/>
          <w:bCs/>
        </w:rPr>
        <w:t>r. o</w:t>
      </w:r>
      <w:r w:rsidR="009C1D74">
        <w:rPr>
          <w:rFonts w:ascii="Times" w:hAnsi="Times"/>
          <w:bCs/>
        </w:rPr>
        <w:t xml:space="preserve"> </w:t>
      </w:r>
      <w:r w:rsidRPr="00DA35CB">
        <w:rPr>
          <w:rFonts w:ascii="Times" w:hAnsi="Times"/>
          <w:bCs/>
        </w:rPr>
        <w:t>nadzorze nad rynkiem kapitałowym (Dz.</w:t>
      </w:r>
      <w:r w:rsidR="00F454BB">
        <w:rPr>
          <w:rFonts w:ascii="Times" w:hAnsi="Times"/>
          <w:bCs/>
        </w:rPr>
        <w:t xml:space="preserve"> </w:t>
      </w:r>
      <w:r w:rsidRPr="00DA35CB">
        <w:rPr>
          <w:rFonts w:ascii="Times" w:hAnsi="Times"/>
          <w:bCs/>
        </w:rPr>
        <w:t xml:space="preserve">U. </w:t>
      </w:r>
      <w:r w:rsidR="00F454BB">
        <w:rPr>
          <w:rFonts w:ascii="Times" w:hAnsi="Times"/>
          <w:bCs/>
        </w:rPr>
        <w:t>z 2016 r.</w:t>
      </w:r>
      <w:r w:rsidRPr="00DA35CB">
        <w:rPr>
          <w:rFonts w:ascii="Times" w:hAnsi="Times"/>
          <w:bCs/>
        </w:rPr>
        <w:t xml:space="preserve"> </w:t>
      </w:r>
      <w:hyperlink r:id="rId9" w:anchor="mip" w:history="1">
        <w:r w:rsidRPr="00DA35CB">
          <w:rPr>
            <w:rFonts w:ascii="Times" w:hAnsi="Times"/>
            <w:bCs/>
          </w:rPr>
          <w:t xml:space="preserve">poz. </w:t>
        </w:r>
      </w:hyperlink>
      <w:r w:rsidR="00F454BB">
        <w:rPr>
          <w:rFonts w:ascii="Times" w:hAnsi="Times"/>
          <w:bCs/>
        </w:rPr>
        <w:t>1289</w:t>
      </w:r>
      <w:r w:rsidRPr="00DA35CB">
        <w:rPr>
          <w:rFonts w:ascii="Times" w:hAnsi="Times"/>
          <w:bCs/>
        </w:rPr>
        <w:t xml:space="preserve">, z późn. zm.) stanowi, iż </w:t>
      </w:r>
      <w:r w:rsidRPr="009C1D74">
        <w:rPr>
          <w:rFonts w:ascii="Times" w:hAnsi="Times"/>
          <w:bCs/>
        </w:rPr>
        <w:t>„Organem nadzoru nad rynkiem kapitałowym oraz rynkiem instrumentów finansowych, będących przedmiotem ubiegania się o dopuszczenie do obrotu na takim rynku, w rozumieniu aktów prawnych wydawanych przez instytucje i</w:t>
      </w:r>
      <w:r w:rsidR="009C1D74">
        <w:rPr>
          <w:rFonts w:ascii="Times" w:hAnsi="Times"/>
          <w:bCs/>
        </w:rPr>
        <w:t> </w:t>
      </w:r>
      <w:r w:rsidRPr="009C1D74">
        <w:rPr>
          <w:rFonts w:ascii="Times" w:hAnsi="Times"/>
          <w:bCs/>
        </w:rPr>
        <w:t>organy Unii Europejskiej, jest Komisja Na</w:t>
      </w:r>
      <w:r w:rsidR="009C1D74">
        <w:rPr>
          <w:rFonts w:ascii="Times" w:hAnsi="Times"/>
          <w:bCs/>
        </w:rPr>
        <w:t>dzoru Finansowego, zwana dalej „Komisją”</w:t>
      </w:r>
      <w:r w:rsidRPr="009C1D74">
        <w:rPr>
          <w:rFonts w:ascii="Times" w:hAnsi="Times"/>
          <w:bCs/>
        </w:rPr>
        <w:t>.”.</w:t>
      </w:r>
      <w:bookmarkStart w:id="11" w:name="mip21925712"/>
      <w:bookmarkEnd w:id="11"/>
    </w:p>
    <w:p w:rsidR="00FC2E4C" w:rsidRPr="00245C73" w:rsidRDefault="00DA35CB" w:rsidP="009C1D74">
      <w:pPr>
        <w:widowControl/>
        <w:autoSpaceDE/>
        <w:autoSpaceDN/>
        <w:adjustRightInd/>
        <w:spacing w:before="120"/>
        <w:rPr>
          <w:rFonts w:ascii="Times" w:hAnsi="Times"/>
          <w:bCs/>
        </w:rPr>
      </w:pPr>
      <w:r w:rsidRPr="00DA35CB">
        <w:t>Ponadto zaproponowane rozw</w:t>
      </w:r>
      <w:r>
        <w:t>ią</w:t>
      </w:r>
      <w:r w:rsidRPr="00DA35CB">
        <w:t xml:space="preserve">zanie wyeliminuje </w:t>
      </w:r>
      <w:r>
        <w:t xml:space="preserve">istotne wątpliwości interpretacyjne, zidentyfikowane w dotychczas przeprowadzanych postępowaniach administracyjnych </w:t>
      </w:r>
      <w:r>
        <w:lastRenderedPageBreak/>
        <w:t>w</w:t>
      </w:r>
      <w:r w:rsidR="009C1D74">
        <w:t xml:space="preserve"> </w:t>
      </w:r>
      <w:r>
        <w:t xml:space="preserve">zakresie wydawania zezwoleń na prowadzenie giełdy. </w:t>
      </w:r>
      <w:r w:rsidR="007B52BE">
        <w:t>Praktyczne stosowani</w:t>
      </w:r>
      <w:r w:rsidR="005C4BA1">
        <w:t>e</w:t>
      </w:r>
      <w:r w:rsidR="007B52BE">
        <w:t xml:space="preserve"> przepisów art. </w:t>
      </w:r>
      <w:r>
        <w:t xml:space="preserve">25 </w:t>
      </w:r>
      <w:r w:rsidR="007B52BE">
        <w:t xml:space="preserve">ustawy o obrocie instrumentami finansowymi prowadzi bowiem do </w:t>
      </w:r>
      <w:r w:rsidR="005C4BA1">
        <w:t>stwierdzenia</w:t>
      </w:r>
      <w:r w:rsidR="007B52BE">
        <w:t xml:space="preserve">, iż po przekazaniu </w:t>
      </w:r>
      <w:r w:rsidR="005C4BA1">
        <w:t>przez Komisję ministrowi właściwemu do spraw instytucji finansowych</w:t>
      </w:r>
      <w:r w:rsidR="005C4BA1" w:rsidRPr="005C4BA1">
        <w:t xml:space="preserve"> </w:t>
      </w:r>
      <w:r w:rsidR="005C4BA1">
        <w:t>wniosku o wydanie zezwolenia na prowadzenie giełdy, w</w:t>
      </w:r>
      <w:r w:rsidR="009C1D74">
        <w:t> </w:t>
      </w:r>
      <w:r w:rsidR="005C4BA1">
        <w:t xml:space="preserve">przypadku zmiany tego wniosku </w:t>
      </w:r>
      <w:r w:rsidR="005C4BA1" w:rsidRPr="005C4BA1">
        <w:t>w trakcie prowadzonego przez ministra postępowania administracyjnego</w:t>
      </w:r>
      <w:r w:rsidR="002B28D7">
        <w:t>,</w:t>
      </w:r>
      <w:r w:rsidR="005C4BA1" w:rsidRPr="005C4BA1">
        <w:t xml:space="preserve"> </w:t>
      </w:r>
      <w:r w:rsidR="005C4BA1">
        <w:t xml:space="preserve">nie ma on podstaw prawnych do wystąpienia do Komisji o zaopiniowanie </w:t>
      </w:r>
      <w:r w:rsidR="004E353E">
        <w:t>dokonanych w nim zmian</w:t>
      </w:r>
      <w:r w:rsidR="005C4BA1">
        <w:t xml:space="preserve">. Może się zatem okazać, iż opinia Komisji będzie pozostawać bez związku ze stanem faktycznym, w przypadku </w:t>
      </w:r>
      <w:r w:rsidR="004E353E">
        <w:t xml:space="preserve">dokonania przez stronę postępowania </w:t>
      </w:r>
      <w:r w:rsidR="005C4BA1">
        <w:t>istotnych zmian wniosku po jego przekazaniu przez Komisję ministrowi właściwemu do spraw instytucji finansowych</w:t>
      </w:r>
      <w:r w:rsidR="004E353E">
        <w:t>.</w:t>
      </w:r>
    </w:p>
    <w:p w:rsidR="00D04EF5" w:rsidRPr="002824E7" w:rsidRDefault="00D04EF5" w:rsidP="00F73421">
      <w:pPr>
        <w:keepNext/>
        <w:spacing w:before="240"/>
        <w:rPr>
          <w:b/>
        </w:rPr>
      </w:pPr>
      <w:r w:rsidRPr="002824E7">
        <w:rPr>
          <w:b/>
        </w:rPr>
        <w:t>3. Różnica między obowiązującym a proponowanym stanem prawnym</w:t>
      </w:r>
    </w:p>
    <w:p w:rsidR="00986E88" w:rsidRPr="009C1D74" w:rsidRDefault="00986E88" w:rsidP="00F73421">
      <w:pPr>
        <w:tabs>
          <w:tab w:val="left" w:pos="9072"/>
        </w:tabs>
        <w:spacing w:before="240" w:after="120"/>
      </w:pPr>
      <w:r w:rsidRPr="009C1D74">
        <w:t>Zniesienie podziału rynku regulowanego na rynek giełdowy i rynek pozagiełdowy</w:t>
      </w:r>
    </w:p>
    <w:p w:rsidR="00D04EF5" w:rsidRPr="006A789D" w:rsidRDefault="00D04EF5" w:rsidP="009C1D74">
      <w:pPr>
        <w:tabs>
          <w:tab w:val="left" w:pos="9072"/>
        </w:tabs>
        <w:spacing w:before="120"/>
        <w:ind w:right="2"/>
      </w:pPr>
      <w:r w:rsidRPr="005771E3">
        <w:t>Projekt zakłada, że spółk</w:t>
      </w:r>
      <w:r w:rsidR="009945BD">
        <w:t>a</w:t>
      </w:r>
      <w:r w:rsidRPr="005771E3">
        <w:t xml:space="preserve"> prowadząc</w:t>
      </w:r>
      <w:r w:rsidR="009945BD">
        <w:t>a</w:t>
      </w:r>
      <w:r w:rsidRPr="005771E3">
        <w:t xml:space="preserve"> </w:t>
      </w:r>
      <w:r w:rsidR="009945BD">
        <w:t xml:space="preserve">obecnie </w:t>
      </w:r>
      <w:r w:rsidRPr="005771E3">
        <w:t>rynek giełdowy, tj. Giełda Papierów Wartościowych w Warszawie SA</w:t>
      </w:r>
      <w:r w:rsidR="00A416C7">
        <w:t>,</w:t>
      </w:r>
      <w:r w:rsidR="00436D09">
        <w:t xml:space="preserve"> </w:t>
      </w:r>
      <w:r w:rsidRPr="005771E3">
        <w:t xml:space="preserve">oraz </w:t>
      </w:r>
      <w:r w:rsidR="009945BD">
        <w:t xml:space="preserve">spółka prowadząca </w:t>
      </w:r>
      <w:r w:rsidRPr="005771E3">
        <w:t>rynek pozagiełdowy</w:t>
      </w:r>
      <w:r w:rsidR="00436D09">
        <w:t>,</w:t>
      </w:r>
      <w:r w:rsidR="0068221B">
        <w:t xml:space="preserve"> </w:t>
      </w:r>
      <w:r w:rsidRPr="005771E3">
        <w:t>tj.</w:t>
      </w:r>
      <w:r w:rsidR="009C1D74">
        <w:t> </w:t>
      </w:r>
      <w:r w:rsidRPr="005771E3">
        <w:t>BondSpot</w:t>
      </w:r>
      <w:r w:rsidR="009C1D74">
        <w:t xml:space="preserve"> </w:t>
      </w:r>
      <w:r w:rsidRPr="005771E3">
        <w:t>SA</w:t>
      </w:r>
      <w:r w:rsidR="00E14719">
        <w:t xml:space="preserve">, </w:t>
      </w:r>
      <w:r w:rsidRPr="005771E3">
        <w:t xml:space="preserve">z mocy prawa staną się spółkami prowadzącymi </w:t>
      </w:r>
      <w:r w:rsidR="006F76DC">
        <w:t xml:space="preserve">dwa odrębne </w:t>
      </w:r>
      <w:r>
        <w:t>rynki</w:t>
      </w:r>
      <w:r w:rsidRPr="005771E3">
        <w:t xml:space="preserve"> regulowan</w:t>
      </w:r>
      <w:r>
        <w:t>e</w:t>
      </w:r>
      <w:r w:rsidRPr="005771E3">
        <w:t xml:space="preserve">. </w:t>
      </w:r>
      <w:r w:rsidR="00D72C47">
        <w:t>W</w:t>
      </w:r>
      <w:r w:rsidR="009C1D74">
        <w:t xml:space="preserve"> </w:t>
      </w:r>
      <w:r w:rsidR="009945BD">
        <w:t>projekcie</w:t>
      </w:r>
      <w:r w:rsidRPr="005771E3">
        <w:t xml:space="preserve"> przewidziano odpowiednie okresy </w:t>
      </w:r>
      <w:r w:rsidR="0068221B">
        <w:t xml:space="preserve">przejściowe </w:t>
      </w:r>
      <w:r w:rsidRPr="005771E3">
        <w:t xml:space="preserve">na dostosowanie </w:t>
      </w:r>
      <w:r>
        <w:t xml:space="preserve">prowadzonej działalności przez </w:t>
      </w:r>
      <w:r w:rsidRPr="005771E3">
        <w:t>obie spółki</w:t>
      </w:r>
      <w:r w:rsidR="00436D09">
        <w:t xml:space="preserve"> </w:t>
      </w:r>
      <w:r>
        <w:t>(m.in.</w:t>
      </w:r>
      <w:r w:rsidR="009C1D74">
        <w:t xml:space="preserve"> </w:t>
      </w:r>
      <w:r>
        <w:t xml:space="preserve">wysokości kapitału własnego spółki prowadzącej rynek pozagiełdowy, treści </w:t>
      </w:r>
      <w:r w:rsidRPr="005771E3">
        <w:t>statutów oraz regulaminów rynków</w:t>
      </w:r>
      <w:r w:rsidR="005A2D7A">
        <w:t>)</w:t>
      </w:r>
      <w:r>
        <w:t>.</w:t>
      </w:r>
    </w:p>
    <w:p w:rsidR="00D04EF5" w:rsidRPr="005A7EE4" w:rsidRDefault="00D04EF5" w:rsidP="009C1D74">
      <w:pPr>
        <w:tabs>
          <w:tab w:val="left" w:pos="9072"/>
        </w:tabs>
        <w:spacing w:before="120"/>
      </w:pPr>
      <w:r w:rsidRPr="005A7EE4">
        <w:t xml:space="preserve">Konsekwencją projektowanych zmian (rezygnacji z funkcjonalnego podziału rynku regulowanego) będzie dostosowanie przepisów innych ustaw (ustawy </w:t>
      </w:r>
      <w:r w:rsidRPr="005A7EE4">
        <w:rPr>
          <w:bCs/>
        </w:rPr>
        <w:t>o rachunkowości,</w:t>
      </w:r>
      <w:r w:rsidRPr="005A7EE4">
        <w:rPr>
          <w:b/>
          <w:bCs/>
        </w:rPr>
        <w:t xml:space="preserve"> </w:t>
      </w:r>
      <w:r w:rsidRPr="005A7EE4">
        <w:t>ustawy o</w:t>
      </w:r>
      <w:r w:rsidR="00D72C47">
        <w:t xml:space="preserve"> </w:t>
      </w:r>
      <w:r w:rsidRPr="005A7EE4">
        <w:t>autostradach płatnych oraz o Krajowym Funduszu Drogowym,</w:t>
      </w:r>
      <w:r w:rsidR="009C1D74">
        <w:t xml:space="preserve"> </w:t>
      </w:r>
      <w:r w:rsidRPr="005A7EE4">
        <w:t>ustawy</w:t>
      </w:r>
      <w:r w:rsidR="009C1D74">
        <w:t xml:space="preserve"> </w:t>
      </w:r>
      <w:r w:rsidR="00A225EC">
        <w:t>–</w:t>
      </w:r>
      <w:r w:rsidR="009C1D74">
        <w:t xml:space="preserve"> </w:t>
      </w:r>
      <w:r w:rsidRPr="005A7EE4">
        <w:rPr>
          <w:bCs/>
        </w:rPr>
        <w:t>Prawo energetyczne,</w:t>
      </w:r>
      <w:r w:rsidRPr="005A7EE4">
        <w:rPr>
          <w:b/>
          <w:bCs/>
        </w:rPr>
        <w:t xml:space="preserve"> </w:t>
      </w:r>
      <w:r w:rsidRPr="005A7EE4">
        <w:t>ustawy</w:t>
      </w:r>
      <w:r w:rsidR="009C1D74">
        <w:t xml:space="preserve"> </w:t>
      </w:r>
      <w:r w:rsidR="00A225EC">
        <w:t>–</w:t>
      </w:r>
      <w:r w:rsidR="009C1D74">
        <w:t xml:space="preserve"> </w:t>
      </w:r>
      <w:r w:rsidRPr="005A7EE4">
        <w:rPr>
          <w:bCs/>
        </w:rPr>
        <w:t xml:space="preserve">Kodeks spółek handlowych, </w:t>
      </w:r>
      <w:r w:rsidRPr="005A7EE4">
        <w:t xml:space="preserve">ustawy </w:t>
      </w:r>
      <w:r w:rsidRPr="005A7EE4">
        <w:rPr>
          <w:bCs/>
        </w:rPr>
        <w:t>o</w:t>
      </w:r>
      <w:r w:rsidR="005A7EE4">
        <w:rPr>
          <w:bCs/>
        </w:rPr>
        <w:t xml:space="preserve"> </w:t>
      </w:r>
      <w:r w:rsidRPr="005A7EE4">
        <w:rPr>
          <w:bCs/>
        </w:rPr>
        <w:t xml:space="preserve">giełdach towarowych, </w:t>
      </w:r>
      <w:r w:rsidRPr="005A7EE4">
        <w:t>ustawy</w:t>
      </w:r>
      <w:r w:rsidR="009C1D74">
        <w:t xml:space="preserve"> </w:t>
      </w:r>
      <w:r w:rsidR="00A225EC">
        <w:t>–</w:t>
      </w:r>
      <w:r w:rsidR="009C1D74">
        <w:t xml:space="preserve"> </w:t>
      </w:r>
      <w:r w:rsidRPr="005A7EE4">
        <w:rPr>
          <w:bCs/>
        </w:rPr>
        <w:t>Prawo upadłośc</w:t>
      </w:r>
      <w:r w:rsidR="005A7EE4" w:rsidRPr="005A7EE4">
        <w:rPr>
          <w:bCs/>
        </w:rPr>
        <w:t>iowe</w:t>
      </w:r>
      <w:r w:rsidRPr="005A7EE4">
        <w:rPr>
          <w:bCs/>
        </w:rPr>
        <w:t xml:space="preserve">, </w:t>
      </w:r>
      <w:r w:rsidRPr="005A7EE4">
        <w:t xml:space="preserve">ustawy </w:t>
      </w:r>
      <w:r w:rsidRPr="005A7EE4">
        <w:rPr>
          <w:bCs/>
        </w:rPr>
        <w:t>o funduszach inwestycyjnych</w:t>
      </w:r>
      <w:r w:rsidR="00391445">
        <w:rPr>
          <w:bCs/>
        </w:rPr>
        <w:t xml:space="preserve"> i</w:t>
      </w:r>
      <w:r w:rsidR="009C1D74">
        <w:rPr>
          <w:bCs/>
        </w:rPr>
        <w:t> </w:t>
      </w:r>
      <w:r w:rsidR="00391445">
        <w:rPr>
          <w:bCs/>
        </w:rPr>
        <w:t>zarządzaniu alternatywnymi funduszami inwestycyjnymi</w:t>
      </w:r>
      <w:r w:rsidRPr="005A7EE4">
        <w:rPr>
          <w:bCs/>
        </w:rPr>
        <w:t xml:space="preserve">, </w:t>
      </w:r>
      <w:r w:rsidRPr="005A7EE4">
        <w:t xml:space="preserve">ustawy </w:t>
      </w:r>
      <w:r w:rsidR="005A7EE4">
        <w:rPr>
          <w:bCs/>
        </w:rPr>
        <w:t xml:space="preserve">o ofercie publicznej i </w:t>
      </w:r>
      <w:r w:rsidRPr="005A7EE4">
        <w:rPr>
          <w:bCs/>
        </w:rPr>
        <w:t>warunkach</w:t>
      </w:r>
      <w:r w:rsidRPr="005A7EE4">
        <w:rPr>
          <w:b/>
          <w:bCs/>
        </w:rPr>
        <w:t xml:space="preserve"> </w:t>
      </w:r>
      <w:r w:rsidRPr="005A7EE4">
        <w:rPr>
          <w:bCs/>
        </w:rPr>
        <w:t>wprowadzania instrumentów finansowych do zorganizowanego systemu obrotu oraz o spółkach publicznych</w:t>
      </w:r>
      <w:r w:rsidR="00D72C47">
        <w:rPr>
          <w:bCs/>
        </w:rPr>
        <w:t>, a także</w:t>
      </w:r>
      <w:r w:rsidRPr="005A7EE4">
        <w:rPr>
          <w:bCs/>
        </w:rPr>
        <w:t xml:space="preserve"> </w:t>
      </w:r>
      <w:r w:rsidRPr="005A7EE4">
        <w:t xml:space="preserve">ustawy </w:t>
      </w:r>
      <w:r w:rsidRPr="005A7EE4">
        <w:rPr>
          <w:bCs/>
        </w:rPr>
        <w:t xml:space="preserve">o nadzorze nad rynkiem finansowym) do zmienionych przepisów ustawy. </w:t>
      </w:r>
      <w:r w:rsidRPr="005A7EE4">
        <w:t>Dodatkowo konieczn</w:t>
      </w:r>
      <w:r w:rsidR="00632C3C">
        <w:t xml:space="preserve">a </w:t>
      </w:r>
      <w:r w:rsidRPr="005A7EE4">
        <w:t>będzie nowelizacj</w:t>
      </w:r>
      <w:r w:rsidR="00632C3C">
        <w:t>a</w:t>
      </w:r>
      <w:r w:rsidRPr="005A7EE4">
        <w:t xml:space="preserve"> następujących aktów wykonawczych</w:t>
      </w:r>
      <w:r w:rsidR="00632C3C">
        <w:t xml:space="preserve"> do ustawy</w:t>
      </w:r>
      <w:r w:rsidRPr="005A7EE4">
        <w:t>:</w:t>
      </w:r>
    </w:p>
    <w:p w:rsidR="00D04EF5" w:rsidRDefault="00D04EF5" w:rsidP="009C1D74">
      <w:pPr>
        <w:numPr>
          <w:ilvl w:val="0"/>
          <w:numId w:val="50"/>
        </w:numPr>
        <w:tabs>
          <w:tab w:val="left" w:pos="9072"/>
        </w:tabs>
        <w:ind w:left="357" w:right="2" w:hanging="357"/>
      </w:pPr>
      <w:r>
        <w:t>r</w:t>
      </w:r>
      <w:r w:rsidRPr="001D1597">
        <w:t>ozporządzeni</w:t>
      </w:r>
      <w:r>
        <w:t>a</w:t>
      </w:r>
      <w:r w:rsidRPr="001D1597">
        <w:t xml:space="preserve"> Ministra Finansów </w:t>
      </w:r>
      <w:r w:rsidRPr="00997FC4">
        <w:t>z dnia 11 października 2005</w:t>
      </w:r>
      <w:r w:rsidR="009C1D74">
        <w:t xml:space="preserve"> </w:t>
      </w:r>
      <w:r w:rsidRPr="00997FC4">
        <w:t xml:space="preserve">r. </w:t>
      </w:r>
      <w:r w:rsidRPr="001D1597">
        <w:t>w sprawie dopuszczania instrumentów finansowych niebędących papierami wartościowymi do obrotu na rynku regulowanym</w:t>
      </w:r>
      <w:r>
        <w:t xml:space="preserve"> </w:t>
      </w:r>
      <w:r w:rsidRPr="001D1597">
        <w:t>(Dz.</w:t>
      </w:r>
      <w:r w:rsidR="009C1D74">
        <w:t xml:space="preserve"> </w:t>
      </w:r>
      <w:r w:rsidRPr="001D1597">
        <w:t>U. poz. 1699)</w:t>
      </w:r>
      <w:r>
        <w:t>,</w:t>
      </w:r>
    </w:p>
    <w:p w:rsidR="00D04EF5" w:rsidRDefault="00D04EF5" w:rsidP="009C1D74">
      <w:pPr>
        <w:numPr>
          <w:ilvl w:val="0"/>
          <w:numId w:val="50"/>
        </w:numPr>
        <w:tabs>
          <w:tab w:val="left" w:pos="9072"/>
        </w:tabs>
        <w:ind w:left="357" w:right="2" w:hanging="357"/>
      </w:pPr>
      <w:r>
        <w:lastRenderedPageBreak/>
        <w:t>r</w:t>
      </w:r>
      <w:r w:rsidRPr="00F04715">
        <w:t>ozporządzeni</w:t>
      </w:r>
      <w:r>
        <w:t>a</w:t>
      </w:r>
      <w:r w:rsidRPr="00F04715">
        <w:t xml:space="preserve"> Ministra Finansów </w:t>
      </w:r>
      <w:r>
        <w:t>z dnia 18 października 2005</w:t>
      </w:r>
      <w:r w:rsidR="009C1D74">
        <w:t xml:space="preserve"> </w:t>
      </w:r>
      <w:r>
        <w:t xml:space="preserve">r. </w:t>
      </w:r>
      <w:r w:rsidRPr="00F04715">
        <w:t>w sprawie zakresu informacji wykazywanych w sprawozdaniach finansowych i skonsolidowanych sprawozdaniach finansowych, wymaganych w prospekcie emisyjnym dla emitentów z</w:t>
      </w:r>
      <w:r w:rsidR="009C1D74">
        <w:t xml:space="preserve"> </w:t>
      </w:r>
      <w:r w:rsidRPr="00F04715">
        <w:t>siedzibą na terytorium Rzeczypospolitej Polskiej, dla których właściwe są polskie zasady rachunkowości</w:t>
      </w:r>
      <w:r>
        <w:t xml:space="preserve"> – </w:t>
      </w:r>
      <w:r w:rsidR="009A33DE">
        <w:t>z</w:t>
      </w:r>
      <w:r>
        <w:t>ałącznik nr 4 (Dz.</w:t>
      </w:r>
      <w:r w:rsidR="009C1D74">
        <w:t xml:space="preserve"> </w:t>
      </w:r>
      <w:r>
        <w:t>U. z 2014</w:t>
      </w:r>
      <w:r w:rsidR="009C1D74">
        <w:t xml:space="preserve"> </w:t>
      </w:r>
      <w:r>
        <w:t>r. poz. 300</w:t>
      </w:r>
      <w:r w:rsidR="0030606D">
        <w:t>, z późn. zm.</w:t>
      </w:r>
      <w:r>
        <w:t>),</w:t>
      </w:r>
    </w:p>
    <w:p w:rsidR="00D04EF5" w:rsidRDefault="00D04EF5" w:rsidP="009C1D74">
      <w:pPr>
        <w:numPr>
          <w:ilvl w:val="0"/>
          <w:numId w:val="50"/>
        </w:numPr>
        <w:tabs>
          <w:tab w:val="left" w:pos="9072"/>
        </w:tabs>
        <w:ind w:left="357" w:right="2" w:hanging="357"/>
      </w:pPr>
      <w:r>
        <w:t>r</w:t>
      </w:r>
      <w:r w:rsidRPr="00825D56">
        <w:t>ozporządzeni</w:t>
      </w:r>
      <w:r>
        <w:t>a</w:t>
      </w:r>
      <w:r w:rsidRPr="00825D56">
        <w:t xml:space="preserve"> Ministra Finansów </w:t>
      </w:r>
      <w:r w:rsidRPr="00F143E7">
        <w:t xml:space="preserve">z dnia </w:t>
      </w:r>
      <w:r w:rsidR="0030606D">
        <w:t>14 stycznia 2016</w:t>
      </w:r>
      <w:r w:rsidR="009C1D74">
        <w:t xml:space="preserve"> </w:t>
      </w:r>
      <w:r w:rsidRPr="00F143E7">
        <w:t xml:space="preserve">r. </w:t>
      </w:r>
      <w:r w:rsidRPr="00825D56">
        <w:t>w sprawie szczegółowych warunków, jakie musi spełniać rynek regulowany</w:t>
      </w:r>
      <w:r w:rsidR="00291CE1">
        <w:t xml:space="preserve"> </w:t>
      </w:r>
      <w:r w:rsidR="00CD4989">
        <w:t>oraz</w:t>
      </w:r>
      <w:r w:rsidR="00291CE1">
        <w:t xml:space="preserve"> platforma aukcyjna</w:t>
      </w:r>
      <w:r>
        <w:t xml:space="preserve"> </w:t>
      </w:r>
      <w:r w:rsidRPr="003533FA">
        <w:t>(Dz.</w:t>
      </w:r>
      <w:r w:rsidR="009C1D74">
        <w:t xml:space="preserve"> </w:t>
      </w:r>
      <w:r>
        <w:t>U.</w:t>
      </w:r>
      <w:r w:rsidR="00291CE1">
        <w:t xml:space="preserve"> z 2016 r.</w:t>
      </w:r>
      <w:r>
        <w:t xml:space="preserve"> poz.</w:t>
      </w:r>
      <w:r w:rsidR="005C1712">
        <w:t> </w:t>
      </w:r>
      <w:r w:rsidRPr="003533FA">
        <w:t>1</w:t>
      </w:r>
      <w:r w:rsidR="00291CE1">
        <w:t>39</w:t>
      </w:r>
      <w:r w:rsidRPr="003533FA">
        <w:t>)</w:t>
      </w:r>
      <w:r>
        <w:t>,</w:t>
      </w:r>
    </w:p>
    <w:p w:rsidR="00D04EF5" w:rsidRDefault="00D04EF5" w:rsidP="009C1D74">
      <w:pPr>
        <w:numPr>
          <w:ilvl w:val="0"/>
          <w:numId w:val="50"/>
        </w:numPr>
        <w:tabs>
          <w:tab w:val="left" w:pos="9072"/>
        </w:tabs>
        <w:ind w:left="357" w:right="2" w:hanging="357"/>
      </w:pPr>
      <w:r>
        <w:t>r</w:t>
      </w:r>
      <w:r w:rsidRPr="007733D6">
        <w:t>ozporządzeni</w:t>
      </w:r>
      <w:r>
        <w:t>a</w:t>
      </w:r>
      <w:r w:rsidRPr="007733D6">
        <w:t xml:space="preserve"> Ministra Finansów </w:t>
      </w:r>
      <w:r w:rsidRPr="00BB71C3">
        <w:t>z dnia 23 października 2009</w:t>
      </w:r>
      <w:r w:rsidR="009C1D74">
        <w:t xml:space="preserve"> </w:t>
      </w:r>
      <w:r w:rsidRPr="00BB71C3">
        <w:t xml:space="preserve">r. </w:t>
      </w:r>
      <w:r w:rsidRPr="007733D6">
        <w:t>w sprawie cech transakcji długoterminowych instrumentami finansowymi nabywanymi lub zbywanymi na własny rachunek domu maklerskiego (Dz.</w:t>
      </w:r>
      <w:r w:rsidR="009C1D74">
        <w:t xml:space="preserve"> </w:t>
      </w:r>
      <w:r w:rsidRPr="007733D6">
        <w:t>U. poz. 1450)</w:t>
      </w:r>
      <w:r>
        <w:t>,</w:t>
      </w:r>
    </w:p>
    <w:p w:rsidR="00D04EF5" w:rsidRPr="00F74199" w:rsidRDefault="00D04EF5" w:rsidP="009C1D74">
      <w:pPr>
        <w:numPr>
          <w:ilvl w:val="0"/>
          <w:numId w:val="50"/>
        </w:numPr>
        <w:ind w:left="357" w:hanging="357"/>
      </w:pPr>
      <w:r>
        <w:t>r</w:t>
      </w:r>
      <w:r w:rsidRPr="00F74199">
        <w:t>ozporządzeni</w:t>
      </w:r>
      <w:r w:rsidR="005C1712">
        <w:t>a</w:t>
      </w:r>
      <w:r w:rsidRPr="00F74199">
        <w:t xml:space="preserve"> Ministra Finansów </w:t>
      </w:r>
      <w:r w:rsidRPr="007901B6">
        <w:t>z dnia 26 listopada 2009</w:t>
      </w:r>
      <w:r w:rsidR="009C1D74">
        <w:t xml:space="preserve"> </w:t>
      </w:r>
      <w:r w:rsidRPr="007901B6">
        <w:t xml:space="preserve">r. </w:t>
      </w:r>
      <w:r w:rsidRPr="00F74199">
        <w:t>w sprawie upowszechniania informacji związanych z adekwatnością kapitałową</w:t>
      </w:r>
      <w:r>
        <w:t xml:space="preserve"> </w:t>
      </w:r>
      <w:hyperlink r:id="rId10" w:history="1">
        <w:r w:rsidRPr="00F74199">
          <w:t>(Dz.</w:t>
        </w:r>
        <w:r w:rsidR="009C1D74">
          <w:t xml:space="preserve"> </w:t>
        </w:r>
        <w:r w:rsidRPr="00F74199">
          <w:t>U. poz.</w:t>
        </w:r>
        <w:r w:rsidR="005C1712">
          <w:t> </w:t>
        </w:r>
        <w:r w:rsidRPr="00F74199">
          <w:t>1615</w:t>
        </w:r>
        <w:r w:rsidR="00291CE1">
          <w:t>, z późn. zm.</w:t>
        </w:r>
        <w:r w:rsidRPr="00F74199">
          <w:t>)</w:t>
        </w:r>
      </w:hyperlink>
      <w:r>
        <w:t>,</w:t>
      </w:r>
    </w:p>
    <w:p w:rsidR="00D04EF5" w:rsidRDefault="00D04EF5" w:rsidP="009C1D74">
      <w:pPr>
        <w:numPr>
          <w:ilvl w:val="0"/>
          <w:numId w:val="50"/>
        </w:numPr>
        <w:ind w:left="357" w:hanging="357"/>
      </w:pPr>
      <w:r>
        <w:t>r</w:t>
      </w:r>
      <w:r w:rsidRPr="008C3E85">
        <w:t>ozporządzeni</w:t>
      </w:r>
      <w:r>
        <w:t>a</w:t>
      </w:r>
      <w:r w:rsidRPr="008C3E85">
        <w:t xml:space="preserve"> Ministra Finansów </w:t>
      </w:r>
      <w:r w:rsidRPr="00D63A87">
        <w:t xml:space="preserve">z dnia </w:t>
      </w:r>
      <w:r w:rsidR="00291CE1">
        <w:t>1</w:t>
      </w:r>
      <w:r w:rsidRPr="00D63A87">
        <w:t xml:space="preserve">2 </w:t>
      </w:r>
      <w:r w:rsidR="00291CE1">
        <w:t>kwietnia</w:t>
      </w:r>
      <w:r w:rsidRPr="00D63A87">
        <w:t xml:space="preserve"> 20</w:t>
      </w:r>
      <w:r w:rsidR="00291CE1">
        <w:t>16</w:t>
      </w:r>
      <w:r w:rsidR="009C1D74">
        <w:t xml:space="preserve"> </w:t>
      </w:r>
      <w:r w:rsidRPr="00D63A87">
        <w:t xml:space="preserve">r. </w:t>
      </w:r>
      <w:r w:rsidRPr="008C3E85">
        <w:t>w sprawie szczególnych zasad rachunkowości zakładów ubezpieczeń i zakładów reasekuracji</w:t>
      </w:r>
      <w:r>
        <w:t xml:space="preserve"> – </w:t>
      </w:r>
      <w:r w:rsidR="005C1712">
        <w:t>z</w:t>
      </w:r>
      <w:r>
        <w:t>ałącznik nr 4 (Dz.</w:t>
      </w:r>
      <w:r w:rsidR="009C1D74">
        <w:t xml:space="preserve"> </w:t>
      </w:r>
      <w:r>
        <w:t>U. poz.</w:t>
      </w:r>
      <w:r w:rsidR="009C1D74">
        <w:t xml:space="preserve"> </w:t>
      </w:r>
      <w:r w:rsidR="00291CE1">
        <w:t>562</w:t>
      </w:r>
      <w:r w:rsidRPr="005E434A">
        <w:t>)</w:t>
      </w:r>
      <w:r>
        <w:t>,</w:t>
      </w:r>
    </w:p>
    <w:p w:rsidR="00D04EF5" w:rsidRDefault="00D04EF5" w:rsidP="009C1D74">
      <w:pPr>
        <w:numPr>
          <w:ilvl w:val="0"/>
          <w:numId w:val="50"/>
        </w:numPr>
        <w:ind w:left="357" w:hanging="357"/>
      </w:pPr>
      <w:r>
        <w:t>r</w:t>
      </w:r>
      <w:r w:rsidRPr="00F04715">
        <w:t>ozporządzeni</w:t>
      </w:r>
      <w:r>
        <w:t>a</w:t>
      </w:r>
      <w:r w:rsidRPr="00F04715">
        <w:t xml:space="preserve"> Ministra Finansów </w:t>
      </w:r>
      <w:r w:rsidRPr="006A46A4">
        <w:t>z dnia 28 grudnia 2009</w:t>
      </w:r>
      <w:r w:rsidR="009C1D74">
        <w:t xml:space="preserve"> </w:t>
      </w:r>
      <w:r w:rsidRPr="006A46A4">
        <w:t xml:space="preserve">r. </w:t>
      </w:r>
      <w:r w:rsidRPr="00F04715">
        <w:t xml:space="preserve">w sprawie </w:t>
      </w:r>
      <w:bookmarkStart w:id="12" w:name="found1"/>
      <w:r w:rsidRPr="00F04715">
        <w:t>szczególnych</w:t>
      </w:r>
      <w:bookmarkEnd w:id="12"/>
      <w:r w:rsidRPr="00F04715">
        <w:t xml:space="preserve"> </w:t>
      </w:r>
      <w:bookmarkStart w:id="13" w:name="found2"/>
      <w:r w:rsidRPr="00F04715">
        <w:t>zasad</w:t>
      </w:r>
      <w:bookmarkEnd w:id="13"/>
      <w:r w:rsidRPr="00F04715">
        <w:t xml:space="preserve"> </w:t>
      </w:r>
      <w:bookmarkStart w:id="14" w:name="found3"/>
      <w:r w:rsidRPr="00F04715">
        <w:t>rachunkowości</w:t>
      </w:r>
      <w:bookmarkEnd w:id="14"/>
      <w:r w:rsidRPr="00F04715">
        <w:t xml:space="preserve"> </w:t>
      </w:r>
      <w:bookmarkStart w:id="15" w:name="found4"/>
      <w:r w:rsidRPr="00F04715">
        <w:t>domów</w:t>
      </w:r>
      <w:bookmarkEnd w:id="15"/>
      <w:r w:rsidRPr="00F04715">
        <w:t xml:space="preserve"> </w:t>
      </w:r>
      <w:bookmarkStart w:id="16" w:name="found5"/>
      <w:r w:rsidRPr="00F04715">
        <w:t>maklerskich</w:t>
      </w:r>
      <w:bookmarkEnd w:id="16"/>
      <w:r>
        <w:t xml:space="preserve"> </w:t>
      </w:r>
      <w:hyperlink r:id="rId11" w:history="1">
        <w:r w:rsidRPr="00635219">
          <w:t>(Dz</w:t>
        </w:r>
        <w:r>
          <w:t>.</w:t>
        </w:r>
        <w:r w:rsidR="009C1D74">
          <w:t xml:space="preserve"> </w:t>
        </w:r>
        <w:r w:rsidRPr="00635219">
          <w:t>U. z 2013 r. poz. 483</w:t>
        </w:r>
        <w:r w:rsidR="00291CE1">
          <w:t>, z późn. zm.</w:t>
        </w:r>
        <w:r w:rsidRPr="00635219">
          <w:t>)</w:t>
        </w:r>
      </w:hyperlink>
      <w:r>
        <w:t>,</w:t>
      </w:r>
    </w:p>
    <w:p w:rsidR="00D04EF5" w:rsidRDefault="00D04EF5" w:rsidP="009C1D74">
      <w:pPr>
        <w:numPr>
          <w:ilvl w:val="0"/>
          <w:numId w:val="50"/>
        </w:numPr>
        <w:ind w:left="357" w:hanging="357"/>
      </w:pPr>
      <w:r>
        <w:t>r</w:t>
      </w:r>
      <w:r w:rsidRPr="00367365">
        <w:t>ozporządzeni</w:t>
      </w:r>
      <w:r>
        <w:t>a</w:t>
      </w:r>
      <w:r w:rsidRPr="00367365">
        <w:t xml:space="preserve"> Ministra Finansów </w:t>
      </w:r>
      <w:r w:rsidRPr="003C5F01">
        <w:t xml:space="preserve">z dnia </w:t>
      </w:r>
      <w:r w:rsidR="00291CE1">
        <w:t>29 grudnia</w:t>
      </w:r>
      <w:r w:rsidRPr="003C5F01">
        <w:t xml:space="preserve"> 201</w:t>
      </w:r>
      <w:r w:rsidR="00291CE1">
        <w:t>5</w:t>
      </w:r>
      <w:r w:rsidR="009C1D74">
        <w:t xml:space="preserve"> </w:t>
      </w:r>
      <w:r w:rsidRPr="003C5F01">
        <w:t xml:space="preserve">r. </w:t>
      </w:r>
      <w:r w:rsidRPr="00367365">
        <w:t xml:space="preserve">w sprawie opłat na </w:t>
      </w:r>
      <w:r w:rsidR="00291CE1">
        <w:t xml:space="preserve">pokrycie kosztów </w:t>
      </w:r>
      <w:r w:rsidRPr="00367365">
        <w:t>nadzor</w:t>
      </w:r>
      <w:r w:rsidR="00291CE1">
        <w:t>u</w:t>
      </w:r>
      <w:r w:rsidRPr="00367365">
        <w:t xml:space="preserve"> </w:t>
      </w:r>
      <w:bookmarkStart w:id="17" w:name="found6"/>
      <w:r w:rsidRPr="00367365">
        <w:t>na</w:t>
      </w:r>
      <w:bookmarkEnd w:id="17"/>
      <w:r w:rsidR="00291CE1">
        <w:t>d</w:t>
      </w:r>
      <w:r w:rsidRPr="00367365">
        <w:t xml:space="preserve"> rynk</w:t>
      </w:r>
      <w:r w:rsidR="00291CE1">
        <w:t>iem</w:t>
      </w:r>
      <w:r w:rsidRPr="00367365">
        <w:t xml:space="preserve"> kapitałowym</w:t>
      </w:r>
      <w:r>
        <w:t xml:space="preserve"> </w:t>
      </w:r>
      <w:hyperlink r:id="rId12" w:history="1">
        <w:r w:rsidRPr="00EF41A6">
          <w:t>(Dz.</w:t>
        </w:r>
        <w:r w:rsidR="009C1D74">
          <w:t xml:space="preserve"> </w:t>
        </w:r>
        <w:r w:rsidRPr="00EF41A6">
          <w:t xml:space="preserve">U. poz. </w:t>
        </w:r>
        <w:r w:rsidR="00291CE1">
          <w:t>2</w:t>
        </w:r>
        <w:r w:rsidRPr="00EF41A6">
          <w:t>34</w:t>
        </w:r>
        <w:r w:rsidR="00291CE1">
          <w:t>7</w:t>
        </w:r>
        <w:r w:rsidRPr="00EF41A6">
          <w:t>)</w:t>
        </w:r>
      </w:hyperlink>
      <w:r>
        <w:t>,</w:t>
      </w:r>
    </w:p>
    <w:p w:rsidR="00D04EF5" w:rsidRPr="00B347A6" w:rsidRDefault="00D04EF5" w:rsidP="009C1D74">
      <w:pPr>
        <w:numPr>
          <w:ilvl w:val="0"/>
          <w:numId w:val="50"/>
        </w:numPr>
        <w:ind w:left="357" w:hanging="357"/>
      </w:pPr>
      <w:r>
        <w:t>r</w:t>
      </w:r>
      <w:r w:rsidRPr="00B347A6">
        <w:t>ozporządzeni</w:t>
      </w:r>
      <w:r>
        <w:t>a</w:t>
      </w:r>
      <w:r w:rsidRPr="00B347A6">
        <w:t xml:space="preserve"> Ministra Finansów </w:t>
      </w:r>
      <w:r w:rsidRPr="004E1B99">
        <w:t>z dnia 1 października 2010</w:t>
      </w:r>
      <w:r w:rsidR="009C1D74">
        <w:t xml:space="preserve"> </w:t>
      </w:r>
      <w:r w:rsidRPr="004E1B99">
        <w:t xml:space="preserve">r. </w:t>
      </w:r>
      <w:r w:rsidRPr="00B347A6">
        <w:t>w sprawie szczególnych zasad rachunkowości banków</w:t>
      </w:r>
      <w:r>
        <w:t xml:space="preserve"> </w:t>
      </w:r>
      <w:hyperlink r:id="rId13" w:history="1">
        <w:r w:rsidRPr="006E1CC0">
          <w:t>(Dz.</w:t>
        </w:r>
        <w:r w:rsidR="009C1D74">
          <w:t xml:space="preserve"> </w:t>
        </w:r>
        <w:r w:rsidRPr="006E1CC0">
          <w:t>U. z 2013 r. poz. 329)</w:t>
        </w:r>
      </w:hyperlink>
      <w:r>
        <w:t>,</w:t>
      </w:r>
    </w:p>
    <w:p w:rsidR="00D04EF5" w:rsidRDefault="00D04EF5" w:rsidP="009C1D74">
      <w:pPr>
        <w:numPr>
          <w:ilvl w:val="0"/>
          <w:numId w:val="50"/>
        </w:numPr>
        <w:ind w:left="357" w:hanging="357"/>
      </w:pPr>
      <w:r>
        <w:t>r</w:t>
      </w:r>
      <w:r w:rsidRPr="00F04715">
        <w:t>ozporządzeni</w:t>
      </w:r>
      <w:r>
        <w:t>a</w:t>
      </w:r>
      <w:r w:rsidRPr="00F04715">
        <w:t xml:space="preserve"> Ministra Finansów </w:t>
      </w:r>
      <w:r w:rsidRPr="00AC4B72">
        <w:t>z dnia 24 września 2012</w:t>
      </w:r>
      <w:r w:rsidR="009C1D74">
        <w:t xml:space="preserve"> </w:t>
      </w:r>
      <w:r w:rsidRPr="00AC4B72">
        <w:t xml:space="preserve">r. </w:t>
      </w:r>
      <w:r w:rsidRPr="00F04715">
        <w:t>w sprawie trybu i</w:t>
      </w:r>
      <w:r w:rsidR="009C1D74">
        <w:t> </w:t>
      </w:r>
      <w:r w:rsidRPr="00F04715">
        <w:t>warunków postępowania firm inwestycyjnych, banków, o których mowa w art. 70 ust. 2 ustawy o obrocie instrumentami finansowymi, oraz banków powierniczych</w:t>
      </w:r>
      <w:r>
        <w:t xml:space="preserve"> </w:t>
      </w:r>
      <w:hyperlink r:id="rId14" w:history="1">
        <w:r w:rsidRPr="00F04715">
          <w:t>(Dz.</w:t>
        </w:r>
        <w:r w:rsidR="009C1D74">
          <w:t xml:space="preserve"> </w:t>
        </w:r>
        <w:r w:rsidRPr="00F04715">
          <w:t>U. z 201</w:t>
        </w:r>
        <w:r w:rsidR="00291CE1">
          <w:t>5</w:t>
        </w:r>
        <w:r w:rsidR="009C1D74">
          <w:t xml:space="preserve"> </w:t>
        </w:r>
        <w:r w:rsidRPr="00F04715">
          <w:t xml:space="preserve">r. poz. </w:t>
        </w:r>
        <w:r w:rsidR="00291CE1">
          <w:t>8</w:t>
        </w:r>
        <w:r w:rsidRPr="00F04715">
          <w:t>78)</w:t>
        </w:r>
      </w:hyperlink>
      <w:r>
        <w:t>.</w:t>
      </w:r>
    </w:p>
    <w:p w:rsidR="00346B7F" w:rsidRDefault="005A7EE4" w:rsidP="009C1D74">
      <w:pPr>
        <w:spacing w:before="120"/>
      </w:pPr>
      <w:r>
        <w:t>Potrzeba nowelizacji wyżej wymienionych aktów wykonawczych wynika z</w:t>
      </w:r>
      <w:r w:rsidR="009C1D74">
        <w:t> </w:t>
      </w:r>
      <w:r>
        <w:t>koni</w:t>
      </w:r>
      <w:r w:rsidR="00A225EC">
        <w:t>e</w:t>
      </w:r>
      <w:r>
        <w:t>czności zastąpienia wyrażeń „rynek giełdowy” i „rynek pozagiełdowy</w:t>
      </w:r>
      <w:r w:rsidR="003F6CBA">
        <w:t>” wyrażeniem „rynek regulowany”</w:t>
      </w:r>
      <w:r w:rsidR="00986E88">
        <w:t>.</w:t>
      </w:r>
    </w:p>
    <w:p w:rsidR="00773531" w:rsidRDefault="00773531" w:rsidP="009C1D74">
      <w:pPr>
        <w:spacing w:before="120"/>
      </w:pPr>
    </w:p>
    <w:p w:rsidR="00C55831" w:rsidRPr="009C1D74" w:rsidRDefault="00545878" w:rsidP="00F73421">
      <w:pPr>
        <w:spacing w:before="240" w:after="120"/>
      </w:pPr>
      <w:r w:rsidRPr="009C1D74">
        <w:lastRenderedPageBreak/>
        <w:t>Wprowadzenie regulacji dotyczących instytucji rachunku derywatów</w:t>
      </w:r>
    </w:p>
    <w:p w:rsidR="00DC2049" w:rsidRDefault="00DC2049" w:rsidP="009C1D74">
      <w:pPr>
        <w:spacing w:before="120"/>
      </w:pPr>
      <w:r>
        <w:t>Wprowadzane regulacje m.in. zdefiniują po</w:t>
      </w:r>
      <w:r w:rsidR="00773531">
        <w:t>d</w:t>
      </w:r>
      <w:r>
        <w:t>mioty uprawnione do prowadzenia ewidencji instrumentów pochodnych, sprecyzują zakres zezwoleń na prowadzenie tej ewidencji przy jednoczesnym określeniu urządzeń ewidencyjnych</w:t>
      </w:r>
      <w:r w:rsidR="00BA02D6">
        <w:t>,</w:t>
      </w:r>
      <w:r>
        <w:t xml:space="preserve"> na których mają być rejestrowane instrumenty pochodne</w:t>
      </w:r>
      <w:r w:rsidR="00BA02D6">
        <w:t>,</w:t>
      </w:r>
      <w:r>
        <w:t xml:space="preserve"> a także wskazane zostaną zasady ustalania podmiotów uprawnionych do danego instrumentu pochodnego, zasady przenoszenia praw i obowiązków z określonych </w:t>
      </w:r>
      <w:r w:rsidR="00F83819">
        <w:t>instrumentów pochodnych.</w:t>
      </w:r>
    </w:p>
    <w:p w:rsidR="00B07B6C" w:rsidRPr="00DC2049" w:rsidRDefault="00F83819" w:rsidP="009C1D74">
      <w:pPr>
        <w:spacing w:before="120"/>
      </w:pPr>
      <w:r w:rsidRPr="005A7EE4">
        <w:t xml:space="preserve">Konsekwencją projektowanych zmian będzie </w:t>
      </w:r>
      <w:r>
        <w:t xml:space="preserve">również </w:t>
      </w:r>
      <w:r w:rsidRPr="005A7EE4">
        <w:t>dostosowanie przepisów innych ustaw</w:t>
      </w:r>
      <w:r>
        <w:t xml:space="preserve"> (ustawy </w:t>
      </w:r>
      <w:r w:rsidRPr="002D6535">
        <w:t>o ostateczności rozrachunku w systemach płatności i systemach rozrachunku papierów wartościowych oraz zasadach nadzoru nad tymi systemami</w:t>
      </w:r>
      <w:r>
        <w:t xml:space="preserve"> oraz </w:t>
      </w:r>
      <w:r w:rsidRPr="005A7EE4">
        <w:t>ustawy</w:t>
      </w:r>
      <w:r w:rsidR="009C1D74">
        <w:t xml:space="preserve"> </w:t>
      </w:r>
      <w:r>
        <w:t>–</w:t>
      </w:r>
      <w:r w:rsidR="009C1D74">
        <w:t xml:space="preserve"> </w:t>
      </w:r>
      <w:r w:rsidRPr="005A7EE4">
        <w:rPr>
          <w:bCs/>
        </w:rPr>
        <w:t>Prawo upadłościowe</w:t>
      </w:r>
      <w:r>
        <w:rPr>
          <w:bCs/>
        </w:rPr>
        <w:t>)</w:t>
      </w:r>
      <w:r w:rsidR="00BA02D6">
        <w:rPr>
          <w:bCs/>
        </w:rPr>
        <w:t>.</w:t>
      </w:r>
      <w:r w:rsidR="00B07B6C" w:rsidRPr="00B07B6C">
        <w:t xml:space="preserve"> </w:t>
      </w:r>
      <w:r w:rsidR="00B07B6C" w:rsidRPr="00B07B6C">
        <w:rPr>
          <w:bCs/>
        </w:rPr>
        <w:t xml:space="preserve">Dodatkowo </w:t>
      </w:r>
      <w:r w:rsidR="00B07B6C">
        <w:rPr>
          <w:bCs/>
        </w:rPr>
        <w:t xml:space="preserve">w przedmiotowym zakresie </w:t>
      </w:r>
      <w:r w:rsidR="00B07B6C" w:rsidRPr="00B07B6C">
        <w:rPr>
          <w:bCs/>
        </w:rPr>
        <w:t xml:space="preserve">konieczna będzie </w:t>
      </w:r>
      <w:r w:rsidR="00B07B6C">
        <w:rPr>
          <w:bCs/>
        </w:rPr>
        <w:t xml:space="preserve">w szczególności </w:t>
      </w:r>
      <w:r w:rsidR="00B07B6C" w:rsidRPr="00B07B6C">
        <w:rPr>
          <w:bCs/>
        </w:rPr>
        <w:t>nowelizacja rozporządzenia Ministra Finansów z dnia 24</w:t>
      </w:r>
      <w:r w:rsidR="009C1D74">
        <w:rPr>
          <w:bCs/>
        </w:rPr>
        <w:t> </w:t>
      </w:r>
      <w:r w:rsidR="00B07B6C" w:rsidRPr="00B07B6C">
        <w:rPr>
          <w:bCs/>
        </w:rPr>
        <w:t xml:space="preserve">września 2012 r. w sprawie trybu i warunków postępowania firm inwestycyjnych, banków, o których mowa w art. 70 ust. 2 ustawy o obrocie instrumentami finansowymi, oraz banków powierniczych </w:t>
      </w:r>
      <w:r w:rsidR="00B07B6C">
        <w:rPr>
          <w:bCs/>
        </w:rPr>
        <w:t xml:space="preserve">oraz wydanie przez ministra właściwego do spraw instytucji finansowych nowego rozporządzenia na podstawie </w:t>
      </w:r>
      <w:r w:rsidR="00B07B6C" w:rsidRPr="00B07B6C">
        <w:rPr>
          <w:bCs/>
        </w:rPr>
        <w:t>art.</w:t>
      </w:r>
      <w:r w:rsidR="009C1D74">
        <w:rPr>
          <w:bCs/>
        </w:rPr>
        <w:t> </w:t>
      </w:r>
      <w:r w:rsidR="00B07B6C" w:rsidRPr="00B07B6C">
        <w:rPr>
          <w:bCs/>
        </w:rPr>
        <w:t>94 ust. 1 pkt 5 ustawy</w:t>
      </w:r>
      <w:r w:rsidR="00B07B6C">
        <w:rPr>
          <w:bCs/>
        </w:rPr>
        <w:t>.</w:t>
      </w:r>
    </w:p>
    <w:p w:rsidR="00545878" w:rsidRPr="009C1D74" w:rsidRDefault="00545878" w:rsidP="00F73421">
      <w:pPr>
        <w:spacing w:before="240" w:after="120"/>
      </w:pPr>
      <w:r w:rsidRPr="009C1D74">
        <w:t>Zmiana organu wydającego zezwolenie na prowadzenie giełdy</w:t>
      </w:r>
    </w:p>
    <w:p w:rsidR="004B4CFF" w:rsidRDefault="00545878" w:rsidP="009C1D74">
      <w:pPr>
        <w:spacing w:before="120"/>
      </w:pPr>
      <w:r w:rsidRPr="00BA02D6">
        <w:t xml:space="preserve">W konsekwencji </w:t>
      </w:r>
      <w:r w:rsidR="00827401">
        <w:t xml:space="preserve">proponowanych zmian </w:t>
      </w:r>
      <w:r w:rsidRPr="00BA02D6">
        <w:t xml:space="preserve">organem uprawionym do wydania </w:t>
      </w:r>
      <w:r w:rsidR="00827401">
        <w:t xml:space="preserve">zezwolenia </w:t>
      </w:r>
      <w:r w:rsidR="0041797D" w:rsidRPr="00BA02D6">
        <w:t xml:space="preserve">zostanie Komisja Nadzoru Finansowego. Organ ten będzie </w:t>
      </w:r>
      <w:r w:rsidR="002357E8" w:rsidRPr="00BA02D6">
        <w:t xml:space="preserve">jednocześnie </w:t>
      </w:r>
      <w:r w:rsidR="0041797D" w:rsidRPr="00BA02D6">
        <w:t>właściwy w</w:t>
      </w:r>
      <w:r w:rsidR="009C1D74">
        <w:t> </w:t>
      </w:r>
      <w:r w:rsidR="0041797D" w:rsidRPr="00BA02D6">
        <w:t>sprawie cofnięcia takiego zezwolenia</w:t>
      </w:r>
      <w:r w:rsidR="002357E8">
        <w:t>,</w:t>
      </w:r>
      <w:r w:rsidR="0041797D" w:rsidRPr="00BA02D6">
        <w:t xml:space="preserve"> a także zakazania prowadzenia rynku regulowanego</w:t>
      </w:r>
      <w:r w:rsidR="00B031BE" w:rsidRPr="00BA02D6">
        <w:t>.</w:t>
      </w:r>
      <w:r w:rsidR="002357E8">
        <w:t xml:space="preserve"> Projekt zakłada, iż do postępowań wszczętych a niezakończonych w</w:t>
      </w:r>
      <w:r w:rsidR="009C1D74">
        <w:t> </w:t>
      </w:r>
      <w:r w:rsidR="002357E8">
        <w:t>sprawie wniosku o wydanie zezwolenia na prowadzenie giełdy zastosowani</w:t>
      </w:r>
      <w:r w:rsidR="00B4110E">
        <w:t>e</w:t>
      </w:r>
      <w:r w:rsidR="002357E8">
        <w:t xml:space="preserve"> znajdą przepisy dotychczasowe.</w:t>
      </w:r>
      <w:r w:rsidR="00827401">
        <w:t xml:space="preserve"> W takim przypadku </w:t>
      </w:r>
      <w:r w:rsidR="00827401" w:rsidRPr="00827401">
        <w:t xml:space="preserve">decyzja w sprawie zezwolenia </w:t>
      </w:r>
      <w:r w:rsidR="00827401">
        <w:t xml:space="preserve">zostanie </w:t>
      </w:r>
      <w:r w:rsidR="00827401" w:rsidRPr="00827401">
        <w:t>wydawana na podstawie przepisów w zmienionym brzmieniu – nowego art. 25 ustawy</w:t>
      </w:r>
      <w:r w:rsidR="00827401">
        <w:t xml:space="preserve">, niemniej jednak </w:t>
      </w:r>
      <w:r w:rsidR="00827401" w:rsidRPr="00827401">
        <w:t>przez ten sam organ, przed którym nastąpiło wszczęcie postępowania, co powinno zapewnić sprawny przebieg wszczętych a niezakończonych przed dniem wejścia w</w:t>
      </w:r>
      <w:r w:rsidR="00B4110E">
        <w:t xml:space="preserve"> </w:t>
      </w:r>
      <w:r w:rsidR="00827401" w:rsidRPr="00827401">
        <w:t>życie projektowanej ustawy postępowań. Jednocześnie proponuje się, aby w</w:t>
      </w:r>
      <w:r w:rsidR="006806B0">
        <w:t> </w:t>
      </w:r>
      <w:r w:rsidR="00827401" w:rsidRPr="00827401">
        <w:t>przypadku postępowań o wydanie zezwolenia, o którym mowa w art. 25 ust. 1 lub art. 36 ust. 1 zmienianej ustawy, na wnioskodawcy spoczywał obowiązek dostosowania, w terminie 6</w:t>
      </w:r>
      <w:r w:rsidR="00B4110E">
        <w:t xml:space="preserve"> </w:t>
      </w:r>
      <w:r w:rsidR="00827401" w:rsidRPr="00827401">
        <w:t>miesięcy, treści wniosku (w tym statutu i regulaminu, będących załącznikiem do wniosku) do przepisów znowelizowanej ustawy o obrocie instrumentami finansowymi.</w:t>
      </w:r>
      <w:r w:rsidR="00827401">
        <w:t xml:space="preserve"> </w:t>
      </w:r>
    </w:p>
    <w:p w:rsidR="00253313" w:rsidRPr="00253313" w:rsidRDefault="00D04EF5" w:rsidP="002F3CBF">
      <w:pPr>
        <w:spacing w:before="240"/>
        <w:rPr>
          <w:b/>
        </w:rPr>
      </w:pPr>
      <w:r w:rsidRPr="002824E7">
        <w:rPr>
          <w:b/>
        </w:rPr>
        <w:lastRenderedPageBreak/>
        <w:t>4. Omówienie projektowanych zmian</w:t>
      </w:r>
    </w:p>
    <w:p w:rsidR="0077100A" w:rsidRDefault="00D04EF5" w:rsidP="009C1D74">
      <w:pPr>
        <w:keepNext/>
        <w:spacing w:before="120"/>
        <w:rPr>
          <w:b/>
        </w:rPr>
      </w:pPr>
      <w:r w:rsidRPr="00F04715">
        <w:rPr>
          <w:b/>
        </w:rPr>
        <w:t>Art.</w:t>
      </w:r>
      <w:r>
        <w:rPr>
          <w:b/>
        </w:rPr>
        <w:t xml:space="preserve"> </w:t>
      </w:r>
      <w:r w:rsidRPr="00F04715">
        <w:rPr>
          <w:b/>
        </w:rPr>
        <w:t>1</w:t>
      </w:r>
      <w:r w:rsidR="0077100A" w:rsidRPr="001E740E">
        <w:t>:</w:t>
      </w:r>
    </w:p>
    <w:p w:rsidR="0077100A" w:rsidRDefault="009C1D74" w:rsidP="009C1D74">
      <w:pPr>
        <w:ind w:left="284" w:hanging="284"/>
      </w:pPr>
      <w:r>
        <w:t>–</w:t>
      </w:r>
      <w:r w:rsidR="0077100A">
        <w:tab/>
        <w:t>pkt 1 lit. a – zmiana wynikająca ze z</w:t>
      </w:r>
      <w:r w:rsidR="0077100A" w:rsidRPr="0077100A">
        <w:t>niesieni</w:t>
      </w:r>
      <w:r w:rsidR="0077100A">
        <w:t>a</w:t>
      </w:r>
      <w:r w:rsidR="0077100A" w:rsidRPr="0077100A">
        <w:t xml:space="preserve"> podziału rynku regulowanego na rynek giełdowy i rynek pozagiełdowy</w:t>
      </w:r>
      <w:r w:rsidR="00EA28A5">
        <w:t>, wobec zastąpienia pojęcia giełda pojęciem rynek regulowany,</w:t>
      </w:r>
      <w:r w:rsidR="00EA28A5" w:rsidRPr="00EA28A5">
        <w:t xml:space="preserve"> którego definicja zawarta jest w art. 14 ustawy</w:t>
      </w:r>
      <w:r w:rsidR="00EA28A5">
        <w:t xml:space="preserve"> nie zachodzi potrzeba dalszego definiowania pojęcia giełda</w:t>
      </w:r>
      <w:r w:rsidR="008A57EB">
        <w:t>,</w:t>
      </w:r>
    </w:p>
    <w:p w:rsidR="0077100A" w:rsidRDefault="009C1D74" w:rsidP="009C1D74">
      <w:pPr>
        <w:ind w:left="284" w:hanging="284"/>
      </w:pPr>
      <w:r>
        <w:t>–</w:t>
      </w:r>
      <w:r w:rsidR="0077100A">
        <w:tab/>
        <w:t xml:space="preserve">pkt 1 lit. b – zmiana wynikająca z wprowadzenia </w:t>
      </w:r>
      <w:r w:rsidR="0077100A" w:rsidRPr="0077100A">
        <w:t>rachunku derywatów</w:t>
      </w:r>
      <w:r w:rsidR="00D743F3">
        <w:t xml:space="preserve"> zakładająca dookreślenie definicji banku powierniczego przez rozszerzenie przedmiotu jego działalności o prowadzenie rachunku derywatów</w:t>
      </w:r>
      <w:r w:rsidR="008A57EB">
        <w:t>,</w:t>
      </w:r>
    </w:p>
    <w:p w:rsidR="0077100A" w:rsidRDefault="009C1D74" w:rsidP="009C1D74">
      <w:pPr>
        <w:ind w:left="284" w:hanging="284"/>
      </w:pPr>
      <w:r>
        <w:t>–</w:t>
      </w:r>
      <w:r w:rsidR="0077100A">
        <w:tab/>
        <w:t xml:space="preserve">pkt </w:t>
      </w:r>
      <w:r w:rsidR="000276E3">
        <w:t xml:space="preserve">1 lit. c – zmiana mająca na celu </w:t>
      </w:r>
      <w:r w:rsidR="0057555F">
        <w:t xml:space="preserve">wprowadzenie definicji danych osobowych, przez co zostanie zapewniona adekwatność </w:t>
      </w:r>
      <w:r w:rsidR="0057555F" w:rsidRPr="0057555F">
        <w:t>przetwarzanych</w:t>
      </w:r>
      <w:r w:rsidR="001E740E">
        <w:t>,</w:t>
      </w:r>
      <w:r w:rsidR="0057555F" w:rsidRPr="0057555F">
        <w:t xml:space="preserve"> </w:t>
      </w:r>
      <w:r w:rsidR="0057555F">
        <w:t>w związku z przepisami nowelizowanej ustawy</w:t>
      </w:r>
      <w:r w:rsidR="001E740E">
        <w:t>,</w:t>
      </w:r>
      <w:r w:rsidR="0057555F">
        <w:t xml:space="preserve"> </w:t>
      </w:r>
      <w:r w:rsidR="0057555F" w:rsidRPr="0057555F">
        <w:t>danych w stosunku do celów, w jakich są</w:t>
      </w:r>
      <w:r w:rsidR="0057555F">
        <w:t xml:space="preserve"> one </w:t>
      </w:r>
      <w:r w:rsidR="0057555F" w:rsidRPr="0057555F">
        <w:t>przetwarzane</w:t>
      </w:r>
      <w:r w:rsidR="008A57EB">
        <w:t>,</w:t>
      </w:r>
    </w:p>
    <w:p w:rsidR="0057555F" w:rsidRDefault="009C1D74" w:rsidP="009C1D74">
      <w:pPr>
        <w:ind w:left="284" w:hanging="284"/>
      </w:pPr>
      <w:r>
        <w:t>–</w:t>
      </w:r>
      <w:r w:rsidR="00D743F3">
        <w:tab/>
        <w:t xml:space="preserve">pkt 2 i 3 – zmiany wynikające z wprowadzenia rachunku derywatów mające na celu </w:t>
      </w:r>
      <w:r w:rsidR="00D743F3" w:rsidRPr="00D743F3">
        <w:t>wprowadzenie definicji rachunku derywatów (art. 4a ust. 1 ustawy)</w:t>
      </w:r>
      <w:r w:rsidR="00D743F3">
        <w:t>,</w:t>
      </w:r>
      <w:r w:rsidR="00D743F3" w:rsidRPr="00D743F3">
        <w:t xml:space="preserve"> zasad rejestrowania instrumentów pochodnych na </w:t>
      </w:r>
      <w:r w:rsidR="00D743F3">
        <w:t xml:space="preserve">tym </w:t>
      </w:r>
      <w:r w:rsidR="00D743F3" w:rsidRPr="00D743F3">
        <w:t>rachunku (art. 4a ust. 2 i 3)</w:t>
      </w:r>
      <w:r w:rsidR="00966BBA">
        <w:t>,</w:t>
      </w:r>
      <w:r w:rsidR="00D743F3">
        <w:t xml:space="preserve"> określenie </w:t>
      </w:r>
      <w:r w:rsidR="00D743F3" w:rsidRPr="00D743F3">
        <w:t>skutków prawnych związanych z zapisem instrumentów pochodnych na rachunku derywatów (art. 8 ustawy)</w:t>
      </w:r>
      <w:r w:rsidR="008A57EB">
        <w:t>,</w:t>
      </w:r>
    </w:p>
    <w:p w:rsidR="0057555F" w:rsidRDefault="009C1D74" w:rsidP="009C1D74">
      <w:pPr>
        <w:ind w:left="284" w:hanging="284"/>
      </w:pPr>
      <w:r>
        <w:t>–</w:t>
      </w:r>
      <w:r w:rsidR="00A96244">
        <w:tab/>
        <w:t xml:space="preserve">pkt 4 – zmiana wynikająca </w:t>
      </w:r>
      <w:r w:rsidR="00A96244" w:rsidRPr="00A96244">
        <w:t>ze zniesienia podziału rynku regulowanego na rynek giełdowy i rynek pozagiełdowy</w:t>
      </w:r>
      <w:r w:rsidR="00A96244">
        <w:t xml:space="preserve">, </w:t>
      </w:r>
      <w:r w:rsidR="00A96244" w:rsidRPr="00A96244">
        <w:t>wobec zniesienia podziału rynku regulowanego na rynek giełdowy i rynek pozagiełdowy zbędny jest przepis stanowiący uzupełnienie funkcjonalnej definicji rynku regulowanego o</w:t>
      </w:r>
      <w:r w:rsidR="00A96244">
        <w:t xml:space="preserve"> </w:t>
      </w:r>
      <w:r w:rsidR="00A96244" w:rsidRPr="00A96244">
        <w:t>elementy podmiotowe</w:t>
      </w:r>
      <w:r w:rsidR="008A57EB">
        <w:t>,</w:t>
      </w:r>
    </w:p>
    <w:p w:rsidR="00D53DC7" w:rsidRDefault="009C1D74" w:rsidP="009C1D74">
      <w:pPr>
        <w:ind w:left="284" w:hanging="284"/>
      </w:pPr>
      <w:r>
        <w:t>–</w:t>
      </w:r>
      <w:r w:rsidR="00EA28A5">
        <w:tab/>
        <w:t>pkt 5</w:t>
      </w:r>
      <w:r w:rsidR="00D53DC7">
        <w:t xml:space="preserve"> </w:t>
      </w:r>
      <w:r w:rsidR="00432D7C" w:rsidRPr="00432D7C">
        <w:t>–</w:t>
      </w:r>
      <w:r w:rsidR="00D53DC7">
        <w:t xml:space="preserve"> zmiana wynikająca ze </w:t>
      </w:r>
      <w:r w:rsidR="00D53DC7" w:rsidRPr="00EA28A5">
        <w:t>zniesienia podziału rynku regulowanego na rynek giełdowy i rynek pozagiełdowy</w:t>
      </w:r>
      <w:r w:rsidR="00D53DC7">
        <w:t>,</w:t>
      </w:r>
      <w:r w:rsidR="00D53DC7" w:rsidRPr="00EA28A5">
        <w:t xml:space="preserve"> </w:t>
      </w:r>
      <w:r w:rsidR="00D53DC7">
        <w:t>zastąpienie wyrażeń spółka prowadząca giełdę i</w:t>
      </w:r>
      <w:r w:rsidR="005E2FD4">
        <w:t> </w:t>
      </w:r>
      <w:r w:rsidR="00D53DC7">
        <w:t>spółka prowadząca rynek pozagiełdowy wyrażeniem spółka prowadząca rynek regulowany</w:t>
      </w:r>
      <w:r w:rsidR="008A57EB">
        <w:t>,</w:t>
      </w:r>
    </w:p>
    <w:p w:rsidR="00EA28A5" w:rsidRDefault="009C1D74" w:rsidP="009C1D74">
      <w:pPr>
        <w:ind w:left="284" w:hanging="284"/>
      </w:pPr>
      <w:r>
        <w:t>–</w:t>
      </w:r>
      <w:r w:rsidR="00D53DC7">
        <w:tab/>
        <w:t>pkt 6</w:t>
      </w:r>
      <w:r w:rsidR="00D8758C">
        <w:t xml:space="preserve"> i </w:t>
      </w:r>
      <w:r w:rsidR="00D53DC7">
        <w:t>7</w:t>
      </w:r>
      <w:r w:rsidR="00EA28A5">
        <w:t xml:space="preserve"> –</w:t>
      </w:r>
      <w:r w:rsidR="00D53DC7" w:rsidRPr="00D53DC7">
        <w:t>zmiana wynikająca ze zniesienia podziału rynku regulowanego na rynek giełdowy i rynek pozagiełdowy</w:t>
      </w:r>
      <w:r w:rsidR="008A57EB">
        <w:t>,</w:t>
      </w:r>
    </w:p>
    <w:p w:rsidR="00EA28A5" w:rsidRDefault="009C1D74" w:rsidP="009C1D74">
      <w:pPr>
        <w:ind w:left="284" w:hanging="284"/>
      </w:pPr>
      <w:r>
        <w:t>–</w:t>
      </w:r>
      <w:r w:rsidR="00EA28A5">
        <w:tab/>
        <w:t xml:space="preserve">pkt 8 – </w:t>
      </w:r>
      <w:r w:rsidR="00EA28A5" w:rsidRPr="00EA28A5">
        <w:t xml:space="preserve">zmiana </w:t>
      </w:r>
      <w:r w:rsidR="00EA28A5">
        <w:t xml:space="preserve">legislacyjna </w:t>
      </w:r>
      <w:r w:rsidR="00EA28A5" w:rsidRPr="00EA28A5">
        <w:t>wynikająca ze zniesienia podziału rynku regulowanego na rynek giełdowy i rynek pozagiełdowy</w:t>
      </w:r>
      <w:r w:rsidR="00A9780C">
        <w:t>, zmiana tytułu oddziału</w:t>
      </w:r>
      <w:r w:rsidR="008A57EB">
        <w:t>,</w:t>
      </w:r>
    </w:p>
    <w:p w:rsidR="00A9780C" w:rsidRDefault="0082386F" w:rsidP="009C1D74">
      <w:pPr>
        <w:ind w:left="284" w:hanging="284"/>
      </w:pPr>
      <w:r>
        <w:t>–</w:t>
      </w:r>
      <w:r w:rsidR="001C7797">
        <w:tab/>
        <w:t xml:space="preserve">pkt 9 – </w:t>
      </w:r>
      <w:r w:rsidR="001C7797" w:rsidRPr="00EA28A5">
        <w:t>zmiana wynikająca ze zniesienia podziału rynku regulowanego na rynek giełdowy i rynek pozagiełdowy</w:t>
      </w:r>
      <w:r w:rsidR="001C7797">
        <w:t xml:space="preserve">, zastąpienie </w:t>
      </w:r>
      <w:r w:rsidR="001C7797" w:rsidRPr="001C7797">
        <w:t xml:space="preserve">wyrażenia giełda </w:t>
      </w:r>
      <w:r w:rsidR="00D53DC7">
        <w:t xml:space="preserve">oraz rynek giełdowy </w:t>
      </w:r>
      <w:r w:rsidR="001C7797" w:rsidRPr="001C7797">
        <w:t>wyrażeniem rynek regulowany</w:t>
      </w:r>
      <w:r w:rsidR="008A57EB">
        <w:t>,</w:t>
      </w:r>
    </w:p>
    <w:p w:rsidR="001C7797" w:rsidRPr="001C7797" w:rsidRDefault="0082386F" w:rsidP="009C1D74">
      <w:pPr>
        <w:ind w:left="284" w:hanging="284"/>
      </w:pPr>
      <w:r>
        <w:t>–</w:t>
      </w:r>
      <w:r w:rsidR="001C7797">
        <w:tab/>
        <w:t xml:space="preserve">pkt 10 lit. a – </w:t>
      </w:r>
      <w:r w:rsidR="001C7797" w:rsidRPr="001C7797">
        <w:t xml:space="preserve">zmiana wynikająca ze zniesienia podziału rynku regulowanego na </w:t>
      </w:r>
      <w:r w:rsidR="001C7797" w:rsidRPr="001C7797">
        <w:lastRenderedPageBreak/>
        <w:t>rynek giełdowy i rynek pozagiełdowy, zastąpienie wyrażeń spółka prowadząca giełdę wyrażeniem spółka prowadząca rynek regulowany</w:t>
      </w:r>
      <w:r w:rsidR="008A57EB">
        <w:t>,</w:t>
      </w:r>
    </w:p>
    <w:p w:rsidR="001C7797" w:rsidRDefault="0082386F" w:rsidP="009C1D74">
      <w:pPr>
        <w:ind w:left="284" w:hanging="284"/>
      </w:pPr>
      <w:r>
        <w:t>–</w:t>
      </w:r>
      <w:r w:rsidR="001C7797" w:rsidRPr="001C7797">
        <w:tab/>
        <w:t xml:space="preserve">pkt 10 lit. </w:t>
      </w:r>
      <w:r w:rsidR="001C7797">
        <w:t>b</w:t>
      </w:r>
      <w:r w:rsidR="001C7797" w:rsidRPr="001C7797">
        <w:t xml:space="preserve"> </w:t>
      </w:r>
      <w:r w:rsidR="00503CE8">
        <w:t xml:space="preserve">i c </w:t>
      </w:r>
      <w:r w:rsidR="001C7797" w:rsidRPr="001C7797">
        <w:t xml:space="preserve">– </w:t>
      </w:r>
      <w:r w:rsidR="00503CE8">
        <w:t xml:space="preserve">projektowana zmiana ma na celu </w:t>
      </w:r>
      <w:r w:rsidR="001C7797" w:rsidRPr="001C7797">
        <w:t xml:space="preserve">określenie warunków wykorzystywania w </w:t>
      </w:r>
      <w:r w:rsidR="00503CE8">
        <w:t>prowadzonej działalności</w:t>
      </w:r>
      <w:r w:rsidR="001C7797" w:rsidRPr="001C7797">
        <w:t xml:space="preserve">, reklamie lub informacji reklamowej </w:t>
      </w:r>
      <w:r w:rsidR="00503CE8">
        <w:t xml:space="preserve">oznaczeń „rynek regulowany”, </w:t>
      </w:r>
      <w:r w:rsidR="001C7797" w:rsidRPr="001C7797">
        <w:t>„giełda instrumentów finansowych” oraz „giełda papierów wartościowych” oraz usankcjonowanie ich wykorzystania wyłącznie przez spółki prowadzące rynek regulowany</w:t>
      </w:r>
      <w:r w:rsidR="008A57EB">
        <w:t>,</w:t>
      </w:r>
    </w:p>
    <w:p w:rsidR="00503CE8" w:rsidRPr="00503CE8" w:rsidRDefault="0082386F" w:rsidP="009C1D74">
      <w:pPr>
        <w:ind w:left="284" w:hanging="284"/>
      </w:pPr>
      <w:r>
        <w:t>–</w:t>
      </w:r>
      <w:r w:rsidR="00503CE8" w:rsidRPr="00503CE8">
        <w:tab/>
        <w:t>pkt 1</w:t>
      </w:r>
      <w:r w:rsidR="00503CE8">
        <w:t>1</w:t>
      </w:r>
      <w:r w:rsidR="00503CE8" w:rsidRPr="00503CE8">
        <w:t xml:space="preserve"> – zmiana wynikająca ze zniesienia podziału rynku regulowanego na rynek giełdowy i rynek pozagiełdowy, zastąpienie wyrażeń spółka prowadząca giełdę wyrażeniem spółka prowadząca rynek regulowany</w:t>
      </w:r>
      <w:r w:rsidR="008A57EB">
        <w:t>,</w:t>
      </w:r>
    </w:p>
    <w:p w:rsidR="007F6685" w:rsidRDefault="0082386F" w:rsidP="009C1D74">
      <w:pPr>
        <w:ind w:left="284" w:hanging="284"/>
      </w:pPr>
      <w:r>
        <w:t>–</w:t>
      </w:r>
      <w:r w:rsidR="00503CE8" w:rsidRPr="00503CE8">
        <w:tab/>
        <w:t>pkt 1</w:t>
      </w:r>
      <w:r w:rsidR="00503CE8">
        <w:t>2</w:t>
      </w:r>
      <w:r w:rsidR="00503CE8" w:rsidRPr="00503CE8">
        <w:t xml:space="preserve"> –</w:t>
      </w:r>
      <w:r w:rsidR="00966BBA">
        <w:t xml:space="preserve"> </w:t>
      </w:r>
      <w:r w:rsidR="00503CE8" w:rsidRPr="00503CE8">
        <w:t xml:space="preserve">zmiana wynikająca ze zniesienia podziału rynku regulowanego na rynek giełdowy i rynek pozagiełdowy, zastąpienie wyrażeń spółka prowadząca giełdę </w:t>
      </w:r>
      <w:r w:rsidR="00C9640A">
        <w:t xml:space="preserve">oraz giełda </w:t>
      </w:r>
      <w:r w:rsidR="00503CE8" w:rsidRPr="00503CE8">
        <w:t>wyrażeniem spółka prowadząca rynek regulowany</w:t>
      </w:r>
      <w:r w:rsidR="008A57EB">
        <w:t>,</w:t>
      </w:r>
    </w:p>
    <w:p w:rsidR="00E12C38" w:rsidRPr="00503CE8" w:rsidRDefault="0082386F" w:rsidP="009C1D74">
      <w:pPr>
        <w:ind w:left="284" w:hanging="284"/>
      </w:pPr>
      <w:r>
        <w:t>–</w:t>
      </w:r>
      <w:r w:rsidR="00BF1F64">
        <w:tab/>
      </w:r>
      <w:r w:rsidR="00E12C38">
        <w:t xml:space="preserve">pkt 13 </w:t>
      </w:r>
      <w:r>
        <w:t>–</w:t>
      </w:r>
      <w:r w:rsidR="00E12C38">
        <w:t xml:space="preserve"> </w:t>
      </w:r>
      <w:r w:rsidR="00E12C38" w:rsidRPr="00E12C38">
        <w:t>zmiana wynikająca ze zmiany organu wydającego zezw</w:t>
      </w:r>
      <w:r w:rsidR="00BF1F64">
        <w:t xml:space="preserve">olenie na prowadzenie </w:t>
      </w:r>
      <w:r w:rsidR="00E12C38" w:rsidRPr="00E12C38">
        <w:t>giełdy/rynku regulowanego</w:t>
      </w:r>
      <w:r w:rsidR="00BE4E1B">
        <w:t>;</w:t>
      </w:r>
      <w:r w:rsidR="007F6685">
        <w:t xml:space="preserve"> w ust. 4 zaproponowano również wyraźne wskazanie terminu na rozpoczęcie prowadzenia działalności objętej zezwoleniem z</w:t>
      </w:r>
      <w:r>
        <w:t> </w:t>
      </w:r>
      <w:r w:rsidR="007F6685">
        <w:t>uwagi na brak przepisu materialnego w tym zakresie</w:t>
      </w:r>
      <w:r w:rsidR="00966BBA">
        <w:t>,</w:t>
      </w:r>
      <w:r w:rsidR="007F6685">
        <w:t xml:space="preserve"> </w:t>
      </w:r>
      <w:r w:rsidR="007F6685" w:rsidRPr="000C3EA1">
        <w:t>mimo ż</w:t>
      </w:r>
      <w:r w:rsidR="00966BBA">
        <w:t>e</w:t>
      </w:r>
      <w:r w:rsidR="007F6685" w:rsidRPr="000C3EA1">
        <w:t xml:space="preserve"> art. 165 ust. 1 pkt</w:t>
      </w:r>
      <w:r>
        <w:t> </w:t>
      </w:r>
      <w:r w:rsidR="007F6685" w:rsidRPr="000C3EA1">
        <w:t>1</w:t>
      </w:r>
      <w:r w:rsidR="007F6685" w:rsidRPr="00BF1F64">
        <w:t xml:space="preserve"> przewiduje</w:t>
      </w:r>
      <w:r w:rsidR="007F6685">
        <w:t xml:space="preserve"> możliwość cofnięcia zezwolenia</w:t>
      </w:r>
      <w:r w:rsidR="00966BBA">
        <w:t>,</w:t>
      </w:r>
      <w:r w:rsidR="007F6685">
        <w:t xml:space="preserve"> w przypadku gdy spółka </w:t>
      </w:r>
      <w:r w:rsidR="007F6685" w:rsidRPr="005A408F">
        <w:t>nie rozpoczęła prowadzenia działalności objętej zezwoleniem w terminie wskazanym w</w:t>
      </w:r>
      <w:r>
        <w:t> </w:t>
      </w:r>
      <w:r w:rsidR="007F6685" w:rsidRPr="005A408F">
        <w:t>decyzji w</w:t>
      </w:r>
      <w:r>
        <w:t> </w:t>
      </w:r>
      <w:r w:rsidR="007F6685" w:rsidRPr="005A408F">
        <w:t>sprawie udzielenia zezwolenia</w:t>
      </w:r>
      <w:r w:rsidR="00966BBA">
        <w:t>;</w:t>
      </w:r>
      <w:r w:rsidR="007F6685">
        <w:t xml:space="preserve"> zauważenia również wymaga, że proponowany termin 12 miesięcy wynika z </w:t>
      </w:r>
      <w:r w:rsidR="007F6685" w:rsidRPr="005A408F">
        <w:t xml:space="preserve">art. 36 ust. 5 lit. a </w:t>
      </w:r>
      <w:r w:rsidR="001E740E">
        <w:t>MiFID</w:t>
      </w:r>
      <w:r w:rsidR="007F6685">
        <w:t xml:space="preserve">, który wskazuje, że </w:t>
      </w:r>
      <w:r w:rsidR="007F6685" w:rsidRPr="005A408F">
        <w:t>właściwe władze mogą cofnąć zezwolenie wydane dla rynku regulowanego, jeżeli rynek regulowany w</w:t>
      </w:r>
      <w:r>
        <w:t> </w:t>
      </w:r>
      <w:r w:rsidR="007F6685" w:rsidRPr="005A408F">
        <w:t>terminie 12 miesięcy nie korzysta z zezwolenia, chyba że Państwo Członkowskie przewidziało wygaśnięcie zezwolenia w tym przypadku</w:t>
      </w:r>
      <w:r w:rsidR="008A57EB">
        <w:t>,</w:t>
      </w:r>
    </w:p>
    <w:p w:rsidR="001C7797" w:rsidRDefault="0082386F" w:rsidP="009C1D74">
      <w:pPr>
        <w:ind w:left="284" w:hanging="284"/>
      </w:pPr>
      <w:r>
        <w:t>–</w:t>
      </w:r>
      <w:r>
        <w:tab/>
      </w:r>
      <w:r w:rsidR="00177D61" w:rsidRPr="00177D61">
        <w:t>pkt 1</w:t>
      </w:r>
      <w:r w:rsidR="00BF1F64">
        <w:t>4</w:t>
      </w:r>
      <w:r w:rsidR="00177D61" w:rsidRPr="00177D61">
        <w:t xml:space="preserve"> – zmiana wynikająca ze zniesienia podziału rynku regulowanego na rynek giełdowy i rynek pozagiełdowy, zastąpienie wyrażeń spółka prowadząca giełdę </w:t>
      </w:r>
      <w:r w:rsidR="00C9640A">
        <w:t xml:space="preserve">oraz giełda </w:t>
      </w:r>
      <w:r w:rsidR="00177D61" w:rsidRPr="00177D61">
        <w:t>wyrażeniem spółka prowadząca rynek regulowany</w:t>
      </w:r>
      <w:r w:rsidR="002C0EB8">
        <w:t>; jednocześnie zrezygnowano ze stosowania w treści ustawy skrótu „zarząd giełdy” i</w:t>
      </w:r>
      <w:r>
        <w:t> </w:t>
      </w:r>
      <w:r w:rsidR="002C0EB8">
        <w:t>zaproponowano zastąpienie go wyrażeniem „zarząd spółki prowadzącej rynek regulowany”</w:t>
      </w:r>
      <w:r w:rsidR="008A57EB">
        <w:t>,</w:t>
      </w:r>
    </w:p>
    <w:p w:rsidR="00177D61" w:rsidRDefault="0082386F" w:rsidP="009C1D74">
      <w:pPr>
        <w:ind w:left="284" w:hanging="284"/>
      </w:pPr>
      <w:r>
        <w:t>–</w:t>
      </w:r>
      <w:r w:rsidR="00177D61" w:rsidRPr="00177D61">
        <w:tab/>
        <w:t>pkt 1</w:t>
      </w:r>
      <w:r w:rsidR="002E1E9E">
        <w:t>5</w:t>
      </w:r>
      <w:r w:rsidR="00177D61" w:rsidRPr="00177D61">
        <w:t xml:space="preserve"> – </w:t>
      </w:r>
      <w:r w:rsidR="002E1E9E" w:rsidRPr="00177D61">
        <w:t>zmiana wynikająca ze zniesienia podziału rynku regulowanego na rynek giełdowy i rynek p</w:t>
      </w:r>
      <w:r w:rsidR="002E1E9E">
        <w:t>ozagiełdowy, zastąpienie wyrażenia</w:t>
      </w:r>
      <w:r w:rsidR="002E1E9E" w:rsidRPr="00177D61">
        <w:t xml:space="preserve"> </w:t>
      </w:r>
      <w:r w:rsidR="002E1E9E">
        <w:t>giełda oraz spółka prowadząca giełdę</w:t>
      </w:r>
      <w:r w:rsidR="002E1E9E" w:rsidRPr="00177D61">
        <w:t xml:space="preserve"> wyrażeniem spółka prowadząca rynek regulowany</w:t>
      </w:r>
      <w:r w:rsidR="008A57EB">
        <w:t>,</w:t>
      </w:r>
    </w:p>
    <w:p w:rsidR="002E1E9E" w:rsidRPr="00177D61" w:rsidRDefault="0082386F" w:rsidP="009C1D74">
      <w:pPr>
        <w:ind w:left="284" w:hanging="284"/>
      </w:pPr>
      <w:r>
        <w:lastRenderedPageBreak/>
        <w:t>–</w:t>
      </w:r>
      <w:r w:rsidR="002E1E9E">
        <w:tab/>
        <w:t xml:space="preserve">pkt 16 </w:t>
      </w:r>
      <w:r w:rsidR="006F4193">
        <w:t>–</w:t>
      </w:r>
      <w:r w:rsidR="002E1E9E">
        <w:t xml:space="preserve"> </w:t>
      </w:r>
      <w:r w:rsidR="006F4193">
        <w:t>zmiana wynikająca ze zmiany organu wydającego zezwolenie na prowadzenie giełdy/rynku regulowanego;</w:t>
      </w:r>
      <w:r w:rsidR="00564B54">
        <w:t xml:space="preserve"> ponadto </w:t>
      </w:r>
      <w:r w:rsidR="00564B54" w:rsidRPr="00564B54">
        <w:t>zmiana wynikająca ze zniesienia podziału rynku regulowanego na rynek giełdowy i rynek p</w:t>
      </w:r>
      <w:r w:rsidR="00564B54">
        <w:t>ozagiełdowy, zastąpienie wyrażenia</w:t>
      </w:r>
      <w:r w:rsidR="00564B54" w:rsidRPr="00564B54">
        <w:t xml:space="preserve"> giełda</w:t>
      </w:r>
      <w:r w:rsidR="00564B54">
        <w:t xml:space="preserve"> </w:t>
      </w:r>
      <w:r w:rsidR="00564B54" w:rsidRPr="00177D61">
        <w:t>wyrażeniem rynek regulowany</w:t>
      </w:r>
      <w:r w:rsidR="008A57EB">
        <w:t>,</w:t>
      </w:r>
    </w:p>
    <w:p w:rsidR="00177D61" w:rsidRPr="00177D61" w:rsidRDefault="0082386F" w:rsidP="009C1D74">
      <w:pPr>
        <w:ind w:left="284" w:hanging="284"/>
      </w:pPr>
      <w:r>
        <w:t>–</w:t>
      </w:r>
      <w:r w:rsidR="00177D61" w:rsidRPr="00177D61">
        <w:tab/>
        <w:t>pkt 1</w:t>
      </w:r>
      <w:r w:rsidR="006F4193">
        <w:t>7</w:t>
      </w:r>
      <w:r w:rsidR="00FA4904">
        <w:t xml:space="preserve"> i </w:t>
      </w:r>
      <w:r w:rsidR="00177D61">
        <w:t>1</w:t>
      </w:r>
      <w:r w:rsidR="006F4193">
        <w:t>8</w:t>
      </w:r>
      <w:r w:rsidR="003A453B">
        <w:t xml:space="preserve"> </w:t>
      </w:r>
      <w:r w:rsidR="00177D61" w:rsidRPr="00177D61">
        <w:t>– zmiana wynikająca ze zniesienia podziału rynku regulowanego na rynek giełdowy i rynek pozagiełdowy, zastąpienie wyrażeń spółka prowadząca giełdę wyrażeniem spółka prowadząca rynek regulowany</w:t>
      </w:r>
      <w:r w:rsidR="00177D61">
        <w:t xml:space="preserve"> oraz wyrażeń </w:t>
      </w:r>
      <w:r w:rsidR="00564B54">
        <w:t>giełda, rynek giełdowy wyrażeniem rynek regulowany</w:t>
      </w:r>
      <w:r w:rsidR="002C0EB8">
        <w:t xml:space="preserve">, a także rezygnacja ze stosowania w treści ustawy skrótu „zarząd giełdy”; podobnie w przepisach </w:t>
      </w:r>
      <w:r w:rsidR="002C0EB8" w:rsidRPr="002C0EB8">
        <w:t>zrezygnowano ze stosowania skrótu „rada giełdy” i zaproponowano zastąpienie go wyrażeniem „rada nadzorcza spółki prowadzącej rynek regulowany”</w:t>
      </w:r>
      <w:r w:rsidR="008A57EB">
        <w:t>,</w:t>
      </w:r>
    </w:p>
    <w:p w:rsidR="009A73B5" w:rsidRDefault="0082386F" w:rsidP="009C1D74">
      <w:pPr>
        <w:ind w:left="284" w:hanging="284"/>
      </w:pPr>
      <w:r>
        <w:t>–</w:t>
      </w:r>
      <w:r w:rsidR="00331836" w:rsidRPr="00331836">
        <w:tab/>
        <w:t xml:space="preserve">pkt </w:t>
      </w:r>
      <w:r w:rsidR="00331836">
        <w:t xml:space="preserve">19 </w:t>
      </w:r>
      <w:r w:rsidR="00331836" w:rsidRPr="00331836">
        <w:t xml:space="preserve">i </w:t>
      </w:r>
      <w:r w:rsidR="00331836">
        <w:t>20</w:t>
      </w:r>
      <w:r w:rsidR="00331836" w:rsidRPr="00331836">
        <w:t xml:space="preserve"> – zmiana wynikająca ze zniesienia podziału rynku regulowanego na rynek giełdowy i rynek pozagiełdowy, zastąpienie wyrażeń spółka prowadząca giełdę</w:t>
      </w:r>
      <w:r w:rsidR="009A73B5">
        <w:t>, giełda</w:t>
      </w:r>
      <w:r w:rsidR="00331836" w:rsidRPr="00331836">
        <w:t xml:space="preserve"> </w:t>
      </w:r>
      <w:r w:rsidR="009A73B5">
        <w:t xml:space="preserve">odpowiednio </w:t>
      </w:r>
      <w:r w:rsidR="00331836" w:rsidRPr="00331836">
        <w:t>wyrażeniem spółka prowadząca rynek regulowany</w:t>
      </w:r>
      <w:r w:rsidR="009A73B5">
        <w:t>, rynek regulowany, ponadto zastąpienie wyrażenia rada giełdy wyrażeniem rada nadzorcza spółki prowadzącej rynek regulowany</w:t>
      </w:r>
      <w:r w:rsidR="008A57EB">
        <w:t>,</w:t>
      </w:r>
    </w:p>
    <w:p w:rsidR="009A73B5" w:rsidRPr="00331836" w:rsidRDefault="0082386F" w:rsidP="009C1D74">
      <w:pPr>
        <w:ind w:left="284" w:hanging="284"/>
      </w:pPr>
      <w:r>
        <w:t>–</w:t>
      </w:r>
      <w:r>
        <w:tab/>
        <w:t>pkt 21 –</w:t>
      </w:r>
      <w:r w:rsidR="009A73B5">
        <w:t xml:space="preserve"> zmiana mająca na celu </w:t>
      </w:r>
      <w:r w:rsidR="009A73B5" w:rsidRPr="00924765">
        <w:t>wyposażeni</w:t>
      </w:r>
      <w:r w:rsidR="009A73B5">
        <w:t xml:space="preserve">e Komisji Nadzoru Finansowego </w:t>
      </w:r>
      <w:r w:rsidR="009A73B5" w:rsidRPr="00924765">
        <w:t>w</w:t>
      </w:r>
      <w:r>
        <w:t> </w:t>
      </w:r>
      <w:r w:rsidR="009A73B5" w:rsidRPr="00924765">
        <w:t>skuteczne narzędzia nadzorcze, dzięki którym możliwe będzie zapewnienie efektywnego nadzoru nad bezpieczeństwem i prawidłowością wtórnego obrotu instrumentami finansowymi</w:t>
      </w:r>
      <w:r w:rsidR="009A73B5">
        <w:t>; propozycja zakłada, iż Komisja lub jej upoważniony przedstawiciel będzie mógł żądać od tzw. „zdalnego członka giełdy”, za pośrednictwem którego zawierana jest transakcja na rynku regulowanym, kopii dokumentów i innych nośników informacji oraz do udzielania pisemnych lub ustnych wyjaśnień w zakresie transakcji zawieranych na rynku regulowanym; z</w:t>
      </w:r>
      <w:r>
        <w:t> </w:t>
      </w:r>
      <w:r w:rsidR="009A73B5">
        <w:t>uwag</w:t>
      </w:r>
      <w:r w:rsidR="00966BBA">
        <w:t>i</w:t>
      </w:r>
      <w:r w:rsidR="009A73B5">
        <w:t xml:space="preserve"> na fakt, iż podmiot taki podlega nadzorowi właściwego organu nadzoru państwa siedziby tego podmiotu</w:t>
      </w:r>
      <w:r w:rsidR="00966BBA">
        <w:t>,</w:t>
      </w:r>
      <w:r w:rsidR="009A73B5">
        <w:t xml:space="preserve"> przewidziano również obowiązek poinformowania przez Komisję o tym zdarzeniu właściwego organu nadzoru tego podmiotu</w:t>
      </w:r>
      <w:r w:rsidR="009A73B5" w:rsidRPr="00177D61">
        <w:t>;</w:t>
      </w:r>
      <w:r w:rsidR="009A73B5">
        <w:t xml:space="preserve"> mając na uwadze potrzebę zapewnienia skuteczności przyznawanego Komisji uprawnienia a</w:t>
      </w:r>
      <w:r>
        <w:t> </w:t>
      </w:r>
      <w:r w:rsidR="009A73B5">
        <w:t xml:space="preserve">zarazem </w:t>
      </w:r>
      <w:r w:rsidR="009A73B5" w:rsidRPr="00A16B19">
        <w:t>zgodności proponowanego rozwiązania z prawem europejskim</w:t>
      </w:r>
      <w:r w:rsidR="00966BBA">
        <w:t>,</w:t>
      </w:r>
      <w:r w:rsidR="009A73B5" w:rsidRPr="00A16B19">
        <w:t xml:space="preserve"> </w:t>
      </w:r>
      <w:r w:rsidR="009A73B5">
        <w:t>zaproponowano</w:t>
      </w:r>
      <w:r w:rsidR="00966BBA">
        <w:t>,</w:t>
      </w:r>
      <w:r w:rsidR="009A73B5">
        <w:t xml:space="preserve"> aby </w:t>
      </w:r>
      <w:r w:rsidR="009A73B5" w:rsidRPr="00A16B19">
        <w:t xml:space="preserve">w przypadku odmowy udostępnienia informacji bądź niewłaściwego wypełnienia tego obowiązku </w:t>
      </w:r>
      <w:r w:rsidR="009A73B5">
        <w:t xml:space="preserve">Komisja mogła </w:t>
      </w:r>
      <w:r w:rsidR="009A73B5" w:rsidRPr="00A16B19">
        <w:t>powiadomi</w:t>
      </w:r>
      <w:r w:rsidR="009A73B5">
        <w:t>ć</w:t>
      </w:r>
      <w:r w:rsidR="009A73B5" w:rsidRPr="00A16B19">
        <w:t xml:space="preserve"> właściwy organ nadzoru zagranicznej firmy inwestycyjnej</w:t>
      </w:r>
      <w:r w:rsidR="009A73B5">
        <w:t>; jednocześnie proponuje się</w:t>
      </w:r>
      <w:r w:rsidR="00966BBA">
        <w:t>,</w:t>
      </w:r>
      <w:r w:rsidR="009A73B5">
        <w:t xml:space="preserve"> aby w</w:t>
      </w:r>
      <w:r w:rsidR="002D7A6D">
        <w:t> </w:t>
      </w:r>
      <w:r w:rsidR="009A73B5" w:rsidRPr="00A16B19">
        <w:t xml:space="preserve">przypadku gdy, mimo poinformowania przez Komisję, właściwy organ </w:t>
      </w:r>
      <w:r w:rsidR="009A73B5">
        <w:lastRenderedPageBreak/>
        <w:t xml:space="preserve">zagranicznej firmy inwestycyjnej </w:t>
      </w:r>
      <w:r w:rsidR="009A73B5" w:rsidRPr="00A16B19">
        <w:t xml:space="preserve">nie podejmie działań mających na celu udostępnienie Komisji wnioskowanych informacji lub gdy te działania będą nieskuteczne, Komisja mogła, po uprzednim poinformowaniu tego organu, nałożyć na </w:t>
      </w:r>
      <w:r w:rsidR="009A73B5">
        <w:t xml:space="preserve">taką zagraniczną firmę inwestycyjną </w:t>
      </w:r>
      <w:r w:rsidR="009A73B5" w:rsidRPr="00A16B19">
        <w:t>karę pieniężną w wysokości do 500</w:t>
      </w:r>
      <w:r w:rsidR="009C1D74">
        <w:t xml:space="preserve"> </w:t>
      </w:r>
      <w:r w:rsidR="009A73B5" w:rsidRPr="00A16B19">
        <w:t>000</w:t>
      </w:r>
      <w:r w:rsidR="009C1D74">
        <w:t xml:space="preserve"> </w:t>
      </w:r>
      <w:r w:rsidR="009A73B5" w:rsidRPr="00A16B19">
        <w:t>zł</w:t>
      </w:r>
      <w:r w:rsidR="008A57EB">
        <w:t>,</w:t>
      </w:r>
    </w:p>
    <w:p w:rsidR="00A42541" w:rsidRDefault="0082386F" w:rsidP="009C1D74">
      <w:pPr>
        <w:ind w:left="284" w:hanging="284"/>
      </w:pPr>
      <w:r>
        <w:t>–</w:t>
      </w:r>
      <w:r w:rsidR="00331836" w:rsidRPr="00331836">
        <w:tab/>
        <w:t xml:space="preserve">pkt </w:t>
      </w:r>
      <w:r w:rsidR="00331836">
        <w:t>2</w:t>
      </w:r>
      <w:r w:rsidR="003A453B">
        <w:t>2</w:t>
      </w:r>
      <w:r w:rsidR="00522023">
        <w:t xml:space="preserve"> </w:t>
      </w:r>
      <w:r w:rsidR="00BE4E1B" w:rsidRPr="00BE4E1B">
        <w:t xml:space="preserve">– </w:t>
      </w:r>
      <w:r w:rsidR="00522023" w:rsidRPr="00331836">
        <w:t>zmiana wynikająca ze zniesienia podziału rynku regulowanego na rynek giełdowy i rynek pozagiełdowy</w:t>
      </w:r>
      <w:r w:rsidR="00522023">
        <w:t>, zastąpienie wyrażeń rynek giełdowy, giełda, spóła prowadząca rynek giełdowy odpowiednio wyrażeniem rynek regulowany oraz spółka prowadząca rynek regulowany, jednocześnie zastąpienie wyrażenia rada giełdy, zarząd giełdy odpowiednio wyrażeniem rada nadzorcza spółki prowadzącej rynek regulowany oraz zarząd spółki prowadzącej rynek regulowany</w:t>
      </w:r>
      <w:r w:rsidR="008A57EB">
        <w:t>,</w:t>
      </w:r>
    </w:p>
    <w:p w:rsidR="00522023" w:rsidRDefault="0082386F" w:rsidP="009C1D74">
      <w:pPr>
        <w:ind w:left="284" w:hanging="284"/>
      </w:pPr>
      <w:r>
        <w:t>–</w:t>
      </w:r>
      <w:r w:rsidR="00A42541">
        <w:tab/>
        <w:t>pkt 23 – zmiana mająca na celu nałożenie na spółkę prowadzącą rynek regulowany obowiązków związanych z archiwizacją dokumentacji związanej z prowadzeniem rynku regulowanego lub platformy aukcyjnej</w:t>
      </w:r>
      <w:r w:rsidR="00BF46C1">
        <w:t>;</w:t>
      </w:r>
      <w:r w:rsidR="00A42541">
        <w:t xml:space="preserve"> przepis ten określa również termin przechowywania ww. dokumentacji</w:t>
      </w:r>
      <w:r w:rsidR="008A57EB">
        <w:t>,</w:t>
      </w:r>
    </w:p>
    <w:p w:rsidR="00494848" w:rsidRDefault="0082386F" w:rsidP="009C1D74">
      <w:pPr>
        <w:ind w:left="284" w:hanging="284"/>
      </w:pPr>
      <w:r>
        <w:t>–</w:t>
      </w:r>
      <w:r w:rsidR="00494848">
        <w:tab/>
        <w:t xml:space="preserve">pkt 24 – zmiana </w:t>
      </w:r>
      <w:r w:rsidR="00494848" w:rsidRPr="00331836">
        <w:t>wynikająca ze zniesienia podziału rynku regulowanego na rynek giełdowy i rynek pozagiełdowy</w:t>
      </w:r>
      <w:r w:rsidR="008A57EB">
        <w:t>,</w:t>
      </w:r>
    </w:p>
    <w:p w:rsidR="00331836" w:rsidRDefault="0082386F" w:rsidP="009C1D74">
      <w:pPr>
        <w:ind w:left="284" w:hanging="284"/>
      </w:pPr>
      <w:r>
        <w:t>–</w:t>
      </w:r>
      <w:r w:rsidR="00494848">
        <w:tab/>
        <w:t xml:space="preserve">pkt 25 </w:t>
      </w:r>
      <w:r w:rsidR="00BE4E1B" w:rsidRPr="00BE4E1B">
        <w:t>–</w:t>
      </w:r>
      <w:r w:rsidR="00494848">
        <w:t xml:space="preserve"> </w:t>
      </w:r>
      <w:r w:rsidR="00331836" w:rsidRPr="00331836">
        <w:t>zmiana wynikająca z wprowadzenia rachunku derywatów</w:t>
      </w:r>
      <w:r w:rsidR="00331836">
        <w:t>, umożliwienie podmiotom prowadzącym rachunki derywatów oraz podmiotom, które zmierzają prowadzić takie rachunki</w:t>
      </w:r>
      <w:r w:rsidR="00BF46C1">
        <w:t>,</w:t>
      </w:r>
      <w:r w:rsidR="00331836">
        <w:t xml:space="preserve"> uczestnictwa w podmiocie rozliczającym</w:t>
      </w:r>
      <w:r w:rsidR="008A57EB">
        <w:t>,</w:t>
      </w:r>
    </w:p>
    <w:p w:rsidR="00494848" w:rsidRPr="00331836" w:rsidRDefault="0082386F" w:rsidP="009C1D74">
      <w:pPr>
        <w:ind w:left="284" w:hanging="284"/>
      </w:pPr>
      <w:r>
        <w:t>–</w:t>
      </w:r>
      <w:r w:rsidR="00494848">
        <w:tab/>
      </w:r>
      <w:r>
        <w:t>pkt 26 –</w:t>
      </w:r>
      <w:r w:rsidR="00494848" w:rsidRPr="00505EC3">
        <w:t xml:space="preserve"> zmiana wynikająca ze zniesienia podziału rynku regulowanego na rynek giełdowy i rynek pozagiełdowy; zastąpienie wyrażenia </w:t>
      </w:r>
      <w:r w:rsidR="00A84E07" w:rsidRPr="00505EC3">
        <w:t>spółka prowadząca giełdę, spółka prowadząca rynek pozagiełdowy wyrażeniem rynek regulowany</w:t>
      </w:r>
      <w:r w:rsidR="008A57EB">
        <w:t>,</w:t>
      </w:r>
    </w:p>
    <w:p w:rsidR="00331836" w:rsidRPr="00331836" w:rsidRDefault="0082386F" w:rsidP="009C1D74">
      <w:pPr>
        <w:ind w:left="284" w:hanging="284"/>
      </w:pPr>
      <w:r>
        <w:t>–</w:t>
      </w:r>
      <w:r w:rsidR="00331836" w:rsidRPr="00331836">
        <w:tab/>
        <w:t xml:space="preserve">pkt </w:t>
      </w:r>
      <w:r w:rsidR="00331836">
        <w:t>2</w:t>
      </w:r>
      <w:r w:rsidR="00071B9F">
        <w:t>7</w:t>
      </w:r>
      <w:r w:rsidR="00BF46C1">
        <w:t xml:space="preserve"> </w:t>
      </w:r>
      <w:r w:rsidR="00331836" w:rsidRPr="00331836">
        <w:t>– zmiana wynikająca ze zniesienia podziału rynku regulowanego na rynek giełdowy i rynek pozagiełdowy,</w:t>
      </w:r>
      <w:r w:rsidR="00505EC3">
        <w:t xml:space="preserve"> </w:t>
      </w:r>
      <w:r w:rsidR="00505EC3" w:rsidRPr="00505EC3">
        <w:t>zastąpienie wyrażenia spółka prowadząca giełdę, spółka prowadząca rynek pozagiełdowy wyrażeniem rynek regulowany</w:t>
      </w:r>
      <w:r w:rsidR="008A57EB">
        <w:t>,</w:t>
      </w:r>
    </w:p>
    <w:p w:rsidR="00CE2D48" w:rsidRDefault="0082386F" w:rsidP="009C1D74">
      <w:pPr>
        <w:ind w:left="284" w:hanging="284"/>
      </w:pPr>
      <w:r>
        <w:t>–</w:t>
      </w:r>
      <w:r w:rsidR="00CE2D48" w:rsidRPr="00CE2D48">
        <w:tab/>
        <w:t>pkt 2</w:t>
      </w:r>
      <w:r w:rsidR="00071B9F">
        <w:t>8</w:t>
      </w:r>
      <w:r w:rsidR="00CE2D48" w:rsidRPr="00CE2D48">
        <w:t xml:space="preserve"> – zmiany wynikające z wprowadzenia rachunku derywatów mające na celu </w:t>
      </w:r>
      <w:r w:rsidR="00CE2D48">
        <w:t>w</w:t>
      </w:r>
      <w:r>
        <w:t> </w:t>
      </w:r>
      <w:r w:rsidR="00CE2D48">
        <w:t xml:space="preserve">szczególności określenie zasad rejestracji instrumentów pochodnych dopuszczonych do obrotu na rynku regulowanym </w:t>
      </w:r>
      <w:r w:rsidR="00CE2D48" w:rsidRPr="00CE2D48">
        <w:t xml:space="preserve">(art. </w:t>
      </w:r>
      <w:r w:rsidR="00CE2D48">
        <w:t>57a</w:t>
      </w:r>
      <w:r w:rsidR="00CE2D48" w:rsidRPr="00CE2D48">
        <w:t>)</w:t>
      </w:r>
      <w:r w:rsidR="008A57EB">
        <w:t>,</w:t>
      </w:r>
    </w:p>
    <w:p w:rsidR="00071B9F" w:rsidRDefault="0082386F" w:rsidP="009C1D74">
      <w:pPr>
        <w:ind w:left="284" w:hanging="284"/>
      </w:pPr>
      <w:r>
        <w:t>–</w:t>
      </w:r>
      <w:r w:rsidR="007F2BD4">
        <w:tab/>
        <w:t>pkt 29</w:t>
      </w:r>
      <w:r w:rsidR="00BE4E1B">
        <w:t xml:space="preserve"> i </w:t>
      </w:r>
      <w:r w:rsidR="007F2BD4">
        <w:t>30</w:t>
      </w:r>
      <w:r w:rsidR="00071B9F">
        <w:t xml:space="preserve"> </w:t>
      </w:r>
      <w:r w:rsidR="00BE4E1B" w:rsidRPr="00BE4E1B">
        <w:t>–</w:t>
      </w:r>
      <w:r w:rsidR="00071B9F">
        <w:t xml:space="preserve"> </w:t>
      </w:r>
      <w:r w:rsidR="00071B9F" w:rsidRPr="00071B9F">
        <w:t>zmiany wynikające z wprowadzenia rachunku derywatów</w:t>
      </w:r>
      <w:r w:rsidR="008A57EB">
        <w:t>,</w:t>
      </w:r>
    </w:p>
    <w:p w:rsidR="00FC40EC" w:rsidRDefault="0082386F" w:rsidP="009C1D74">
      <w:pPr>
        <w:ind w:left="284" w:hanging="284"/>
      </w:pPr>
      <w:r>
        <w:t>–</w:t>
      </w:r>
      <w:r w:rsidR="00FC40EC" w:rsidRPr="00CE2D48">
        <w:tab/>
      </w:r>
      <w:r w:rsidR="00FC40EC">
        <w:t xml:space="preserve">pkt </w:t>
      </w:r>
      <w:r w:rsidR="007F2BD4">
        <w:t>31</w:t>
      </w:r>
      <w:r w:rsidR="00FC40EC">
        <w:t xml:space="preserve"> – zmiana ma na celu wyeliminowanie pojawiających się wątpliwości interpretacyjnych przepisów art. 79 ust. 1 nowelizowanej ustawy, przez doprecyzowanie, iż relacja firmy inwestycyjnej i jej agenta w oparciu o zawartą umowę dotyczy wyłącznie wykonywania przez agenta czynności pośrednictwa </w:t>
      </w:r>
      <w:r w:rsidR="00FC40EC">
        <w:lastRenderedPageBreak/>
        <w:t>w</w:t>
      </w:r>
      <w:r>
        <w:t> </w:t>
      </w:r>
      <w:r w:rsidR="00FC40EC">
        <w:t>zakresie działalności maklerskiej prowadzonej przez tę firmę inwestycyjną (a nie</w:t>
      </w:r>
      <w:r w:rsidR="00BF46C1">
        <w:t>,</w:t>
      </w:r>
      <w:r w:rsidR="00FC40EC">
        <w:t xml:space="preserve"> jak może to wynikać z obecnej redakcji przepisu</w:t>
      </w:r>
      <w:r w:rsidR="00BF46C1">
        <w:t>,</w:t>
      </w:r>
      <w:r w:rsidR="00FC40EC">
        <w:t xml:space="preserve"> z jakiejkolwiek działalności tej firmy)</w:t>
      </w:r>
      <w:r w:rsidR="008A57EB">
        <w:t>,</w:t>
      </w:r>
    </w:p>
    <w:p w:rsidR="007F2BD4" w:rsidRDefault="0082386F" w:rsidP="009C1D74">
      <w:pPr>
        <w:ind w:left="284" w:hanging="284"/>
      </w:pPr>
      <w:r>
        <w:t>–</w:t>
      </w:r>
      <w:r w:rsidR="007F2BD4" w:rsidRPr="00A73D18">
        <w:tab/>
        <w:t xml:space="preserve">pkt 32 – </w:t>
      </w:r>
      <w:r w:rsidR="00A73D18" w:rsidRPr="00A73D18">
        <w:t>zmiana mająca na celu</w:t>
      </w:r>
      <w:r w:rsidR="00A73D18">
        <w:t xml:space="preserve"> wprowadzenie regulacji ustanawiających wymóg ewidencjonowania i minimalny czas przechowywania dokumentów związanych z</w:t>
      </w:r>
      <w:r>
        <w:t> </w:t>
      </w:r>
      <w:r w:rsidR="00A73D18">
        <w:t>prowadzoną działalnością spółki prowadzącej rynek regulowany</w:t>
      </w:r>
      <w:r w:rsidR="008A57EB">
        <w:t>,</w:t>
      </w:r>
    </w:p>
    <w:p w:rsidR="007F2BD4" w:rsidRDefault="0082386F" w:rsidP="009C1D74">
      <w:pPr>
        <w:ind w:left="284" w:hanging="284"/>
      </w:pPr>
      <w:r>
        <w:t>–</w:t>
      </w:r>
      <w:r w:rsidR="007F2BD4">
        <w:tab/>
        <w:t xml:space="preserve">pkt 33 </w:t>
      </w:r>
      <w:r w:rsidR="00536E29" w:rsidRPr="00536E29">
        <w:t>–</w:t>
      </w:r>
      <w:r w:rsidR="007F2BD4">
        <w:t xml:space="preserve"> </w:t>
      </w:r>
      <w:r w:rsidR="007F2BD4" w:rsidRPr="007F2BD4">
        <w:t>zmiana wynikająca z wprowadzenia rachunku derywatów</w:t>
      </w:r>
      <w:r w:rsidR="008A57EB">
        <w:t>,</w:t>
      </w:r>
    </w:p>
    <w:p w:rsidR="00C53608" w:rsidRDefault="0082386F" w:rsidP="009C1D74">
      <w:pPr>
        <w:ind w:left="284" w:hanging="284"/>
      </w:pPr>
      <w:r>
        <w:t>–</w:t>
      </w:r>
      <w:r w:rsidR="00C53608">
        <w:tab/>
        <w:t xml:space="preserve">pkt 34 </w:t>
      </w:r>
      <w:r w:rsidR="00536E29" w:rsidRPr="00536E29">
        <w:t>–</w:t>
      </w:r>
      <w:r w:rsidR="00C53608">
        <w:t xml:space="preserve"> </w:t>
      </w:r>
      <w:r w:rsidR="00C53608" w:rsidRPr="00C53608">
        <w:t>zmiana wynikająca ze zniesienia podziału rynku regulowanego na rynek giełdowy i rynek pozagiełdowy</w:t>
      </w:r>
      <w:r w:rsidR="008A57EB">
        <w:t>,</w:t>
      </w:r>
    </w:p>
    <w:p w:rsidR="00D722CA" w:rsidRPr="00991C65" w:rsidRDefault="0082386F" w:rsidP="009C1D74">
      <w:pPr>
        <w:ind w:left="284" w:hanging="284"/>
      </w:pPr>
      <w:r>
        <w:t>–</w:t>
      </w:r>
      <w:r w:rsidR="00D722CA">
        <w:tab/>
        <w:t xml:space="preserve">pkt </w:t>
      </w:r>
      <w:r w:rsidR="00C53608">
        <w:t>35</w:t>
      </w:r>
      <w:r w:rsidR="00D722CA">
        <w:t xml:space="preserve"> – zmiana art. 106e ustawy ma na celu </w:t>
      </w:r>
      <w:r w:rsidR="00991C65">
        <w:t>wyeliminowanie ewentualnej sprzeczności z prawem Unii Europejskiej; instytucję pełnomocnika do doręczeń</w:t>
      </w:r>
      <w:r w:rsidR="00BF46C1">
        <w:t>,</w:t>
      </w:r>
      <w:r w:rsidR="00991C65">
        <w:t xml:space="preserve"> w</w:t>
      </w:r>
      <w:r w:rsidR="0025590B">
        <w:t> </w:t>
      </w:r>
      <w:r w:rsidR="00991C65">
        <w:t>zbliżonym kształcie istniejącą do niedawna w</w:t>
      </w:r>
      <w:r>
        <w:t> </w:t>
      </w:r>
      <w:r w:rsidR="00991C65">
        <w:t>art.</w:t>
      </w:r>
      <w:r>
        <w:t> </w:t>
      </w:r>
      <w:r w:rsidR="00991C65">
        <w:t>1135</w:t>
      </w:r>
      <w:r w:rsidR="00991C65" w:rsidRPr="008A57EB">
        <w:rPr>
          <w:vertAlign w:val="superscript"/>
        </w:rPr>
        <w:t>5</w:t>
      </w:r>
      <w:r w:rsidR="00991C65">
        <w:t xml:space="preserve"> ustawy – Kodeks postępowania cywilnego, zakwestionowała Komisja Europejska (sprawa EU Pilot 1953/11/JUST; naruszenie nr 2011/2102); </w:t>
      </w:r>
      <w:r w:rsidR="00BF46C1">
        <w:t>z</w:t>
      </w:r>
      <w:r w:rsidR="00991C65">
        <w:t>arzuciła ona takiemu rozwiązaniu m.in. dyskryminację pośrednią, powołując się na art. 18 Traktatu o funkcjonowaniu Unii Europejskiej, zgodnie z którym zakazana jest wszelka dyskryminacja ze względu na obywatelstwo</w:t>
      </w:r>
      <w:r w:rsidR="00A01C12">
        <w:t>; w</w:t>
      </w:r>
      <w:r w:rsidR="00991C65">
        <w:t xml:space="preserve"> wyroku w sprawie C-325/11 Alder et Alder, Trybunał Sprawiedliwości UE uznał art. 1135</w:t>
      </w:r>
      <w:r w:rsidR="00991C65" w:rsidRPr="008A57EB">
        <w:rPr>
          <w:vertAlign w:val="superscript"/>
        </w:rPr>
        <w:t>5</w:t>
      </w:r>
      <w:r w:rsidR="00991C65">
        <w:t xml:space="preserve"> k.p.c. za niezgodny z</w:t>
      </w:r>
      <w:r>
        <w:t> </w:t>
      </w:r>
      <w:r w:rsidR="00991C65">
        <w:t>rozporządzeniem Parlamentu Europejskiego i Rady nr 1393/2007 z dnia 13</w:t>
      </w:r>
      <w:r>
        <w:t> </w:t>
      </w:r>
      <w:r w:rsidR="00991C65">
        <w:t>listopada 2007</w:t>
      </w:r>
      <w:r w:rsidR="009C1D74">
        <w:t xml:space="preserve"> </w:t>
      </w:r>
      <w:r w:rsidR="00991C65">
        <w:t xml:space="preserve">r. </w:t>
      </w:r>
      <w:r w:rsidR="00A01C12">
        <w:t>dotyczącym doręczania w państwach członkowskich dokumentów sądowych i pozasądowych w sprawach cywilnych i handlowych („doręczanie dokumentów”) oraz uchylającym rozporządzenie Rady (WE) nr</w:t>
      </w:r>
      <w:r>
        <w:t> </w:t>
      </w:r>
      <w:r w:rsidR="00A01C12">
        <w:t>1348/2000; w konsekwencji przepis został zmieniony w taki sposób, ażeby osoby mające miejsce zamieszkania lub siedzibę w innym państwie członkowskim Unii Europejskiej również nie były zobowiązane do ustanowienia pełnomocnika do spraw doręczeń na terytorium RP</w:t>
      </w:r>
      <w:r w:rsidR="008A57EB">
        <w:t>,</w:t>
      </w:r>
    </w:p>
    <w:p w:rsidR="00FC40EC" w:rsidRDefault="0082386F" w:rsidP="009C1D74">
      <w:pPr>
        <w:ind w:left="284" w:hanging="284"/>
      </w:pPr>
      <w:r>
        <w:t>–</w:t>
      </w:r>
      <w:r w:rsidR="00A01C12">
        <w:tab/>
        <w:t>pkt 3</w:t>
      </w:r>
      <w:r w:rsidR="00C53608">
        <w:t>6</w:t>
      </w:r>
      <w:r w:rsidR="00536E29">
        <w:t xml:space="preserve"> i </w:t>
      </w:r>
      <w:r w:rsidR="00FC40EC" w:rsidRPr="00FC40EC">
        <w:t>3</w:t>
      </w:r>
      <w:r w:rsidR="00C53608">
        <w:t>7</w:t>
      </w:r>
      <w:r w:rsidR="00536E29">
        <w:t xml:space="preserve"> </w:t>
      </w:r>
      <w:r w:rsidR="00FC40EC" w:rsidRPr="00FC40EC">
        <w:t>– zmiany wynikające z wprowadzenia rachunku derywatów mające na celu w szczególności uprawnienie banków powierniczych do prowadzenia</w:t>
      </w:r>
      <w:r w:rsidR="008A57EB">
        <w:t xml:space="preserve"> rachunków derywatów (art. 119),</w:t>
      </w:r>
    </w:p>
    <w:p w:rsidR="00AF2598" w:rsidRDefault="0082386F" w:rsidP="009C1D74">
      <w:pPr>
        <w:ind w:left="284" w:hanging="284"/>
      </w:pPr>
      <w:r>
        <w:t>–</w:t>
      </w:r>
      <w:r w:rsidR="00AF2598">
        <w:tab/>
      </w:r>
      <w:r w:rsidR="00AF2598" w:rsidRPr="008728C2">
        <w:t>pkt 3</w:t>
      </w:r>
      <w:r w:rsidR="00470F36" w:rsidRPr="008728C2">
        <w:t>8</w:t>
      </w:r>
      <w:r w:rsidR="00AF2598" w:rsidRPr="008728C2">
        <w:t xml:space="preserve"> – </w:t>
      </w:r>
      <w:r w:rsidR="008728C2" w:rsidRPr="008728C2">
        <w:t>zmiana związana z ujednoliceniem przepisów dotyczących obowiązków archiwizacyjnych</w:t>
      </w:r>
      <w:r w:rsidR="008A57EB">
        <w:t>,</w:t>
      </w:r>
    </w:p>
    <w:p w:rsidR="00470F36" w:rsidRDefault="0082386F" w:rsidP="009C1D74">
      <w:pPr>
        <w:ind w:left="284" w:hanging="284"/>
      </w:pPr>
      <w:r>
        <w:t>–</w:t>
      </w:r>
      <w:r w:rsidR="00470F36">
        <w:tab/>
        <w:t>pkt 39</w:t>
      </w:r>
      <w:r>
        <w:t>–</w:t>
      </w:r>
      <w:r w:rsidR="00470F36">
        <w:t xml:space="preserve">42 </w:t>
      </w:r>
      <w:r w:rsidR="00536E29" w:rsidRPr="00536E29">
        <w:t>–</w:t>
      </w:r>
      <w:r w:rsidR="00470F36">
        <w:t xml:space="preserve"> </w:t>
      </w:r>
      <w:r w:rsidR="00470F36" w:rsidRPr="00470F36">
        <w:t>zmiana wynikająca z wprowadzenia rachunku derywatów</w:t>
      </w:r>
      <w:r w:rsidR="008A57EB">
        <w:t>,</w:t>
      </w:r>
    </w:p>
    <w:p w:rsidR="009C20F2" w:rsidRDefault="0082386F" w:rsidP="009C1D74">
      <w:pPr>
        <w:ind w:left="284" w:hanging="284"/>
      </w:pPr>
      <w:r>
        <w:t>–</w:t>
      </w:r>
      <w:r w:rsidR="00657A05">
        <w:tab/>
      </w:r>
      <w:r w:rsidR="00CE2D48" w:rsidRPr="00CE2D48">
        <w:t xml:space="preserve">pkt </w:t>
      </w:r>
      <w:r w:rsidR="00470F36">
        <w:t>43</w:t>
      </w:r>
      <w:r w:rsidR="00CE2D48" w:rsidRPr="00CE2D48">
        <w:t xml:space="preserve"> – </w:t>
      </w:r>
      <w:r w:rsidR="009C20F2">
        <w:t>zmiana wynikająca z wprowadzenia definicji danych osobowych</w:t>
      </w:r>
      <w:r w:rsidR="00BF46C1">
        <w:t>;</w:t>
      </w:r>
      <w:r w:rsidR="009C20F2">
        <w:t xml:space="preserve"> należy zauważyć, iż co prawda obecne br</w:t>
      </w:r>
      <w:r>
        <w:t>zmienie art. 147 ust. 1 w pkt 1–</w:t>
      </w:r>
      <w:r w:rsidR="009C20F2">
        <w:t xml:space="preserve">4 nowelizowanej </w:t>
      </w:r>
      <w:r w:rsidR="009C20F2">
        <w:lastRenderedPageBreak/>
        <w:t xml:space="preserve">ustawy wskazuje przykładowy katalog informacji objętych tajemnicą zawodową, niemniej jednak celem doprecyzowania </w:t>
      </w:r>
      <w:r w:rsidR="007B2ED3">
        <w:t>pkt 1 tego przepisu, w ocenie projektodawcy, zasadne jest wyraźne wskazanie, iż tajemnicą zawodową objęte są również inne dane pozwalające na identyfikacj</w:t>
      </w:r>
      <w:r w:rsidR="00BF46C1">
        <w:t>ę</w:t>
      </w:r>
      <w:r w:rsidR="007B2ED3">
        <w:t xml:space="preserve"> strony umowy niż zawarte w</w:t>
      </w:r>
      <w:r>
        <w:t> </w:t>
      </w:r>
      <w:r w:rsidR="007B2ED3">
        <w:t xml:space="preserve">definicji danych osobowych, w tym dane identyfikujące osoby prawne będące stronami </w:t>
      </w:r>
      <w:r w:rsidR="004457B5">
        <w:t>umów lub innych czynności prawnych</w:t>
      </w:r>
      <w:r w:rsidR="008A57EB">
        <w:t>,</w:t>
      </w:r>
    </w:p>
    <w:p w:rsidR="00470F36" w:rsidRPr="009C1D74" w:rsidRDefault="0082386F" w:rsidP="009C1D74">
      <w:pPr>
        <w:ind w:left="284" w:hanging="284"/>
      </w:pPr>
      <w:r>
        <w:t>–</w:t>
      </w:r>
      <w:r w:rsidR="004457B5">
        <w:tab/>
      </w:r>
      <w:r w:rsidR="004457B5" w:rsidRPr="00A73D18">
        <w:t xml:space="preserve">pkt </w:t>
      </w:r>
      <w:r w:rsidR="00470F36" w:rsidRPr="00A73D18">
        <w:t>44</w:t>
      </w:r>
      <w:r w:rsidR="004457B5" w:rsidRPr="00A73D18">
        <w:t xml:space="preserve"> – </w:t>
      </w:r>
      <w:r w:rsidR="00690784" w:rsidRPr="00A73D18">
        <w:t>zmiana wynikająca ze zniesienia podziału rynku regulowanego na rynek giełdowy i rynek pozagiełdowy</w:t>
      </w:r>
      <w:r w:rsidR="008A57EB">
        <w:t>,</w:t>
      </w:r>
    </w:p>
    <w:p w:rsidR="00CE2D48" w:rsidRPr="00CE2D48" w:rsidRDefault="0082386F" w:rsidP="009C1D74">
      <w:pPr>
        <w:ind w:left="284" w:hanging="284"/>
      </w:pPr>
      <w:r>
        <w:t>–</w:t>
      </w:r>
      <w:r w:rsidR="00470F36" w:rsidRPr="00A73D18">
        <w:tab/>
        <w:t xml:space="preserve">pkt 45 </w:t>
      </w:r>
      <w:r w:rsidR="00536E29" w:rsidRPr="00536E29">
        <w:t>–</w:t>
      </w:r>
      <w:r w:rsidR="00470F36" w:rsidRPr="00A73D18">
        <w:t xml:space="preserve"> </w:t>
      </w:r>
      <w:r w:rsidR="00CE2D48" w:rsidRPr="00A73D18">
        <w:t>zmiana wynikająca ze zmiany organu wydającego zezwolenie na prowadzenie giełdy/rynku regulowanego</w:t>
      </w:r>
      <w:r w:rsidR="008A57EB">
        <w:t>,</w:t>
      </w:r>
    </w:p>
    <w:p w:rsidR="00CE2D48" w:rsidRPr="00CE2D48" w:rsidRDefault="0082386F" w:rsidP="009C1D74">
      <w:pPr>
        <w:ind w:left="284" w:hanging="284"/>
      </w:pPr>
      <w:r>
        <w:t>–</w:t>
      </w:r>
      <w:r w:rsidR="00CE2D48" w:rsidRPr="00CE2D48">
        <w:tab/>
        <w:t xml:space="preserve">pkt </w:t>
      </w:r>
      <w:r w:rsidR="00470F36">
        <w:t>46</w:t>
      </w:r>
      <w:r w:rsidR="00CE2D48" w:rsidRPr="00CE2D48">
        <w:t xml:space="preserve"> – zmiana wynikająca ze zmiany organu wydającego zezwolenie na prowadzenie giełdy/rynku regulowanego</w:t>
      </w:r>
      <w:r w:rsidR="00CE2D48">
        <w:t xml:space="preserve"> a zarazem mająca na celu </w:t>
      </w:r>
      <w:r w:rsidR="00C26240">
        <w:t>uregulowanie sankcji administracyjnych dla spółek prowadzących rynek regulowany, w przypadku których działalność ta jest prowadzona na innej podstawie niż zezwolenie</w:t>
      </w:r>
      <w:r w:rsidR="004457B5">
        <w:t xml:space="preserve"> (</w:t>
      </w:r>
      <w:r w:rsidR="004457B5" w:rsidRPr="004457B5">
        <w:t>G</w:t>
      </w:r>
      <w:r w:rsidR="004457B5">
        <w:t xml:space="preserve">iełda </w:t>
      </w:r>
      <w:r w:rsidR="004457B5" w:rsidRPr="004457B5">
        <w:t>P</w:t>
      </w:r>
      <w:r w:rsidR="004457B5">
        <w:t xml:space="preserve">apierów </w:t>
      </w:r>
      <w:r w:rsidR="004457B5" w:rsidRPr="004457B5">
        <w:t>W</w:t>
      </w:r>
      <w:r w:rsidR="004457B5">
        <w:t>artościowych S</w:t>
      </w:r>
      <w:r w:rsidR="003800FF">
        <w:t>.</w:t>
      </w:r>
      <w:r w:rsidR="004457B5">
        <w:t>A</w:t>
      </w:r>
      <w:r w:rsidR="003800FF">
        <w:t>.</w:t>
      </w:r>
      <w:r w:rsidR="004457B5">
        <w:t xml:space="preserve"> w Warszawie</w:t>
      </w:r>
      <w:r w:rsidR="004457B5" w:rsidRPr="004457B5">
        <w:t xml:space="preserve"> prowadzi działalność na podstawie aktu założycielskiego giełdy podpisanego przez Ministra Finansów oraz ówczesnego Ministra Przekształceń Własnościowych</w:t>
      </w:r>
      <w:r w:rsidR="004457B5">
        <w:t>)</w:t>
      </w:r>
      <w:r w:rsidR="008A57EB">
        <w:t>,</w:t>
      </w:r>
    </w:p>
    <w:p w:rsidR="00CE2D48" w:rsidRPr="00CE2D48" w:rsidRDefault="0082386F" w:rsidP="009C1D74">
      <w:pPr>
        <w:ind w:left="284" w:hanging="284"/>
      </w:pPr>
      <w:r>
        <w:t>–</w:t>
      </w:r>
      <w:r w:rsidR="00CE2D48" w:rsidRPr="00A73D18">
        <w:tab/>
        <w:t xml:space="preserve">pkt </w:t>
      </w:r>
      <w:r w:rsidR="00470F36" w:rsidRPr="00A73D18">
        <w:t>47</w:t>
      </w:r>
      <w:r>
        <w:t>–</w:t>
      </w:r>
      <w:r w:rsidR="00690784" w:rsidRPr="00A73D18">
        <w:t>49</w:t>
      </w:r>
      <w:r w:rsidR="00CE2D48" w:rsidRPr="00A73D18">
        <w:t xml:space="preserve"> – </w:t>
      </w:r>
      <w:r w:rsidR="00C26240" w:rsidRPr="00A73D18">
        <w:t xml:space="preserve">zmiana wynikająca ze zniesienia podziału rynku regulowanego na rynek giełdowy i rynek pozagiełdowy, uchylenie art. 166 </w:t>
      </w:r>
      <w:r w:rsidR="00690784" w:rsidRPr="00A73D18">
        <w:t xml:space="preserve">i art. 166b </w:t>
      </w:r>
      <w:r w:rsidR="00C26240" w:rsidRPr="00A73D18">
        <w:t>z uwagi na bezprzedmiotowość oraz dostosowanie art. 173 ust. 3 do nowej siatki pojęciowej</w:t>
      </w:r>
      <w:r w:rsidR="008A57EB">
        <w:t>,</w:t>
      </w:r>
    </w:p>
    <w:p w:rsidR="00D2131C" w:rsidRDefault="0082386F" w:rsidP="009C1D74">
      <w:pPr>
        <w:ind w:left="284" w:hanging="284"/>
      </w:pPr>
      <w:r>
        <w:t>–</w:t>
      </w:r>
      <w:r w:rsidR="00D2131C" w:rsidRPr="00D2131C">
        <w:tab/>
        <w:t xml:space="preserve">pkt </w:t>
      </w:r>
      <w:r w:rsidR="005F0052">
        <w:t>50</w:t>
      </w:r>
      <w:r w:rsidR="00D2131C" w:rsidRPr="00D2131C">
        <w:t xml:space="preserve"> – zmiana </w:t>
      </w:r>
      <w:r w:rsidR="00D2131C">
        <w:t xml:space="preserve">mająca na celu penalizację używania przez podmioty do tego nieuprawnione oznaczeń </w:t>
      </w:r>
      <w:r w:rsidR="00D2131C" w:rsidRPr="00D2131C">
        <w:t>„rynek regulowany”</w:t>
      </w:r>
      <w:r w:rsidR="00D2131C">
        <w:t>,</w:t>
      </w:r>
      <w:r w:rsidR="00D2131C" w:rsidRPr="00D2131C">
        <w:t xml:space="preserve"> „giełda instrumentów finansowych”</w:t>
      </w:r>
      <w:r w:rsidR="00D2131C">
        <w:t xml:space="preserve"> albo </w:t>
      </w:r>
      <w:r w:rsidR="00D2131C" w:rsidRPr="00D2131C">
        <w:t>„giełda papierów wartościowych”</w:t>
      </w:r>
      <w:r w:rsidR="007116C2">
        <w:t>;</w:t>
      </w:r>
      <w:r w:rsidR="00D2131C">
        <w:t xml:space="preserve"> proponowane rozwiązanie powinno przyczynić się do zapewnienia pewności obrotu oraz ochrony interesów inwestorów przez utrudnienie podmiotom działającym bez zezwolenia KNF ewentualne podszywanie się pod spółkę prowadzącą rynek regulowany i posługiwanie się w</w:t>
      </w:r>
      <w:r>
        <w:t> </w:t>
      </w:r>
      <w:r w:rsidR="00D2131C">
        <w:t xml:space="preserve">obrocie gospodarczym oznaczeniami, które mogłyby wskazywać na prowadzenie działalności </w:t>
      </w:r>
      <w:r w:rsidR="007116C2">
        <w:t>polegającej na organizowaniu rynku regulowanego</w:t>
      </w:r>
      <w:r w:rsidR="00D2131C" w:rsidRPr="00D2131C">
        <w:t>;</w:t>
      </w:r>
      <w:r w:rsidR="007116C2">
        <w:t xml:space="preserve"> wysokość oraz rodzaj proponowanych kar </w:t>
      </w:r>
      <w:r w:rsidR="0025590B">
        <w:t>są</w:t>
      </w:r>
      <w:r w:rsidR="007116C2">
        <w:t xml:space="preserve"> analogiczn</w:t>
      </w:r>
      <w:r w:rsidR="0025590B">
        <w:t>e</w:t>
      </w:r>
      <w:r w:rsidR="007116C2">
        <w:t xml:space="preserve"> do sankcji przewidzianej za tego typu naruszenie w art. 296 ustawy z dnia 27 maja 2004</w:t>
      </w:r>
      <w:r w:rsidR="009C1D74">
        <w:t xml:space="preserve"> </w:t>
      </w:r>
      <w:r w:rsidR="007116C2">
        <w:t xml:space="preserve">r. o funduszach inwestycyjnych </w:t>
      </w:r>
      <w:r w:rsidR="00E62AF7">
        <w:t>i</w:t>
      </w:r>
      <w:r w:rsidR="003B610C">
        <w:t> </w:t>
      </w:r>
      <w:r w:rsidR="00E62AF7">
        <w:t xml:space="preserve">zarządzaniu alternatywnymi funduszami inwestycyjnymi </w:t>
      </w:r>
      <w:r w:rsidR="007116C2">
        <w:t>(Dz. U. z 2014</w:t>
      </w:r>
      <w:r w:rsidR="009C1D74">
        <w:t xml:space="preserve"> </w:t>
      </w:r>
      <w:r w:rsidR="007116C2">
        <w:t>r. poz.</w:t>
      </w:r>
      <w:r w:rsidR="003B610C">
        <w:t> </w:t>
      </w:r>
      <w:r w:rsidR="007116C2">
        <w:t>157</w:t>
      </w:r>
      <w:r w:rsidR="0025590B">
        <w:t>, z późn. zm.</w:t>
      </w:r>
      <w:r w:rsidR="007116C2">
        <w:t>) oraz w art. 215 ustawy z dnia 28 sierpnia 1997</w:t>
      </w:r>
      <w:r w:rsidR="009C1D74">
        <w:t xml:space="preserve"> </w:t>
      </w:r>
      <w:r w:rsidR="007116C2">
        <w:t>r. o</w:t>
      </w:r>
      <w:r>
        <w:t> </w:t>
      </w:r>
      <w:r w:rsidR="007116C2">
        <w:t>organizacji i</w:t>
      </w:r>
      <w:r w:rsidR="003B610C">
        <w:t> </w:t>
      </w:r>
      <w:r w:rsidR="007116C2">
        <w:t xml:space="preserve"> funkcjonowaniu funduszy emerytalnych (Dz. U. z 201</w:t>
      </w:r>
      <w:r w:rsidR="00463505">
        <w:t>6</w:t>
      </w:r>
      <w:r w:rsidR="009C1D74">
        <w:t xml:space="preserve"> </w:t>
      </w:r>
      <w:r w:rsidR="007116C2">
        <w:t xml:space="preserve">r. poz. </w:t>
      </w:r>
      <w:r w:rsidR="00463505">
        <w:t>291,</w:t>
      </w:r>
      <w:r w:rsidR="007116C2">
        <w:t xml:space="preserve"> z</w:t>
      </w:r>
      <w:r>
        <w:t> </w:t>
      </w:r>
      <w:r w:rsidR="007116C2">
        <w:t>późn. zm.)</w:t>
      </w:r>
      <w:r w:rsidR="008A57EB">
        <w:t>,</w:t>
      </w:r>
    </w:p>
    <w:p w:rsidR="007116C2" w:rsidRPr="007116C2" w:rsidRDefault="0082386F" w:rsidP="009C1D74">
      <w:pPr>
        <w:ind w:left="284" w:hanging="284"/>
      </w:pPr>
      <w:r>
        <w:lastRenderedPageBreak/>
        <w:t>–</w:t>
      </w:r>
      <w:r w:rsidR="007116C2" w:rsidRPr="007116C2">
        <w:tab/>
        <w:t xml:space="preserve">pkt </w:t>
      </w:r>
      <w:r w:rsidR="005F0052">
        <w:t>51</w:t>
      </w:r>
      <w:r w:rsidR="007116C2" w:rsidRPr="007116C2">
        <w:t xml:space="preserve"> – zmiana </w:t>
      </w:r>
      <w:r w:rsidR="007116C2">
        <w:t xml:space="preserve">będąca konsekwencją </w:t>
      </w:r>
      <w:r w:rsidR="007116C2" w:rsidRPr="007116C2">
        <w:t>uregulowani</w:t>
      </w:r>
      <w:r w:rsidR="007116C2">
        <w:t>a</w:t>
      </w:r>
      <w:r w:rsidR="007116C2" w:rsidRPr="007116C2">
        <w:t xml:space="preserve"> </w:t>
      </w:r>
      <w:r w:rsidR="007116C2">
        <w:t>w dodawanym art. 165</w:t>
      </w:r>
      <w:r w:rsidR="00A73D18">
        <w:t>b</w:t>
      </w:r>
      <w:r w:rsidR="007116C2">
        <w:t xml:space="preserve"> </w:t>
      </w:r>
      <w:r w:rsidR="007116C2" w:rsidRPr="007116C2">
        <w:t>sankcji administracyjnych dla spółek prowadzących rynek regulowany na innej podstawie niż zezwolenie</w:t>
      </w:r>
      <w:r w:rsidR="008A57EB">
        <w:t>,</w:t>
      </w:r>
    </w:p>
    <w:p w:rsidR="002C0EB8" w:rsidRPr="002C0EB8" w:rsidRDefault="0082386F" w:rsidP="009C1D74">
      <w:pPr>
        <w:ind w:left="284" w:hanging="284"/>
      </w:pPr>
      <w:r>
        <w:t>–</w:t>
      </w:r>
      <w:r w:rsidR="002C0EB8" w:rsidRPr="002C0EB8">
        <w:tab/>
        <w:t xml:space="preserve">pkt </w:t>
      </w:r>
      <w:r w:rsidR="005F0052">
        <w:t>52</w:t>
      </w:r>
      <w:r w:rsidR="002C0EB8" w:rsidRPr="002C0EB8">
        <w:t xml:space="preserve"> – zmiana wynikająca ze zniesienia podziału rynku regulowanego na rynek giełdowy i rynek pozagiełdowy, uchylenie </w:t>
      </w:r>
      <w:r w:rsidR="005F0052">
        <w:t xml:space="preserve">w </w:t>
      </w:r>
      <w:r w:rsidR="002C0EB8" w:rsidRPr="002C0EB8">
        <w:t xml:space="preserve">art. </w:t>
      </w:r>
      <w:r w:rsidR="002C0EB8">
        <w:t>215</w:t>
      </w:r>
      <w:r w:rsidR="002C0EB8" w:rsidRPr="002C0EB8">
        <w:t xml:space="preserve"> </w:t>
      </w:r>
      <w:r w:rsidR="005F0052">
        <w:t xml:space="preserve">ust. 2 </w:t>
      </w:r>
      <w:r w:rsidR="002C0EB8" w:rsidRPr="002C0EB8">
        <w:t xml:space="preserve">z uwagi na </w:t>
      </w:r>
      <w:r w:rsidR="002C0EB8">
        <w:t xml:space="preserve">jego </w:t>
      </w:r>
      <w:r w:rsidR="002C0EB8" w:rsidRPr="002C0EB8">
        <w:t>bezprzedmiotowość</w:t>
      </w:r>
      <w:r w:rsidR="002C0EB8">
        <w:t>.</w:t>
      </w:r>
    </w:p>
    <w:p w:rsidR="00D04EF5" w:rsidRDefault="00D04EF5" w:rsidP="009C1D74">
      <w:pPr>
        <w:keepNext/>
        <w:spacing w:before="120"/>
        <w:rPr>
          <w:b/>
        </w:rPr>
      </w:pPr>
      <w:r>
        <w:rPr>
          <w:b/>
        </w:rPr>
        <w:t xml:space="preserve">Art. 2 (zmiana </w:t>
      </w:r>
      <w:r w:rsidRPr="00F04715">
        <w:rPr>
          <w:b/>
        </w:rPr>
        <w:t>ustawy z dnia 29 wrze</w:t>
      </w:r>
      <w:r w:rsidRPr="00F04715">
        <w:rPr>
          <w:rFonts w:hint="eastAsia"/>
          <w:b/>
        </w:rPr>
        <w:t>ś</w:t>
      </w:r>
      <w:r w:rsidRPr="00F04715">
        <w:rPr>
          <w:b/>
        </w:rPr>
        <w:t>nia 1994</w:t>
      </w:r>
      <w:r w:rsidR="009C1D74">
        <w:rPr>
          <w:b/>
        </w:rPr>
        <w:t xml:space="preserve"> </w:t>
      </w:r>
      <w:r w:rsidRPr="00F04715">
        <w:rPr>
          <w:b/>
        </w:rPr>
        <w:t>r. o rachunkowo</w:t>
      </w:r>
      <w:r w:rsidRPr="00F04715">
        <w:rPr>
          <w:rFonts w:hint="eastAsia"/>
          <w:b/>
        </w:rPr>
        <w:t>ś</w:t>
      </w:r>
      <w:r w:rsidRPr="00F04715">
        <w:rPr>
          <w:b/>
        </w:rPr>
        <w:t>ci)</w:t>
      </w:r>
    </w:p>
    <w:p w:rsidR="00D04EF5" w:rsidRDefault="00D04EF5" w:rsidP="009C1D74">
      <w:pPr>
        <w:spacing w:before="120"/>
      </w:pPr>
      <w:r>
        <w:t>Projektowana zmiana</w:t>
      </w:r>
      <w:r w:rsidR="00091FE8" w:rsidRPr="00091FE8">
        <w:t xml:space="preserve"> </w:t>
      </w:r>
      <w:r w:rsidR="00091FE8">
        <w:t xml:space="preserve">art. 82 ust. 4 </w:t>
      </w:r>
      <w:r>
        <w:t>dotyczy upoważni</w:t>
      </w:r>
      <w:r w:rsidR="00091FE8">
        <w:t xml:space="preserve">enia dla </w:t>
      </w:r>
      <w:r>
        <w:t>Ministra Finansów do określenia</w:t>
      </w:r>
      <w:r w:rsidR="00091FE8">
        <w:t xml:space="preserve">, </w:t>
      </w:r>
      <w:r>
        <w:t>w</w:t>
      </w:r>
      <w:r w:rsidR="00F03F90">
        <w:t xml:space="preserve"> </w:t>
      </w:r>
      <w:r>
        <w:t>drodze rozporządzenia</w:t>
      </w:r>
      <w:r w:rsidR="00091FE8">
        <w:t xml:space="preserve">, </w:t>
      </w:r>
      <w:r w:rsidRPr="00F04715">
        <w:t>szczególn</w:t>
      </w:r>
      <w:r>
        <w:t>ych</w:t>
      </w:r>
      <w:r w:rsidRPr="00F04715">
        <w:t xml:space="preserve"> zasad rachunkowości spółek prowadzących </w:t>
      </w:r>
      <w:r>
        <w:t xml:space="preserve">rynek regulowany (dotychczas spółki prowadzącej </w:t>
      </w:r>
      <w:r w:rsidRPr="00F04715">
        <w:t>giełd</w:t>
      </w:r>
      <w:r>
        <w:t>ę</w:t>
      </w:r>
      <w:r w:rsidRPr="00F04715">
        <w:t xml:space="preserve"> oraz </w:t>
      </w:r>
      <w:r>
        <w:t xml:space="preserve">spółki prowadzącej </w:t>
      </w:r>
      <w:r w:rsidRPr="00F04715">
        <w:t>rynek pozagiełdowy</w:t>
      </w:r>
      <w:r>
        <w:t xml:space="preserve">). Na podstawie </w:t>
      </w:r>
      <w:r w:rsidR="00091FE8">
        <w:t xml:space="preserve">ww. przepisu </w:t>
      </w:r>
      <w:r>
        <w:t>nie zostały do tej pory wydane akty wykonawcze, nie istnieje więc potrzeba wprowadzania przepisów utrzymujących czasowo w mocy dotychczasow</w:t>
      </w:r>
      <w:r w:rsidR="00A86CC7">
        <w:t>e</w:t>
      </w:r>
      <w:r>
        <w:t xml:space="preserve"> przepis</w:t>
      </w:r>
      <w:r w:rsidR="00A86CC7">
        <w:t>y</w:t>
      </w:r>
      <w:r>
        <w:t xml:space="preserve"> wykonawcz</w:t>
      </w:r>
      <w:r w:rsidR="00A86CC7">
        <w:t>e.</w:t>
      </w:r>
      <w:r>
        <w:t xml:space="preserve"> </w:t>
      </w:r>
    </w:p>
    <w:p w:rsidR="00D04EF5" w:rsidRDefault="00D04EF5" w:rsidP="009C1D74">
      <w:pPr>
        <w:keepNext/>
        <w:spacing w:before="120"/>
        <w:rPr>
          <w:b/>
        </w:rPr>
      </w:pPr>
      <w:r w:rsidRPr="00F04715">
        <w:rPr>
          <w:b/>
        </w:rPr>
        <w:t>Art. 3 (zmiana ustawy z dnia 27 pa</w:t>
      </w:r>
      <w:r w:rsidRPr="00F04715">
        <w:rPr>
          <w:rFonts w:hint="eastAsia"/>
          <w:b/>
        </w:rPr>
        <w:t>ź</w:t>
      </w:r>
      <w:r w:rsidRPr="00F04715">
        <w:rPr>
          <w:b/>
        </w:rPr>
        <w:t>dziernika 1994</w:t>
      </w:r>
      <w:r w:rsidR="009C1D74">
        <w:rPr>
          <w:rFonts w:hint="eastAsia"/>
          <w:b/>
        </w:rPr>
        <w:t xml:space="preserve"> </w:t>
      </w:r>
      <w:r w:rsidRPr="00F04715">
        <w:rPr>
          <w:b/>
        </w:rPr>
        <w:t>r. o autostradach p</w:t>
      </w:r>
      <w:r w:rsidRPr="00F04715">
        <w:rPr>
          <w:rFonts w:hint="eastAsia"/>
          <w:b/>
        </w:rPr>
        <w:t>ł</w:t>
      </w:r>
      <w:r w:rsidRPr="00F04715">
        <w:rPr>
          <w:b/>
        </w:rPr>
        <w:t>atnych oraz Krajowym Funduszu Drogowym)</w:t>
      </w:r>
    </w:p>
    <w:p w:rsidR="00D04EF5" w:rsidRDefault="00D04EF5" w:rsidP="009C1D74">
      <w:pPr>
        <w:spacing w:before="120"/>
      </w:pPr>
      <w:r>
        <w:t xml:space="preserve">Projektowana zmiana </w:t>
      </w:r>
      <w:r w:rsidR="00091FE8">
        <w:t xml:space="preserve">art. 39p ust. 5 </w:t>
      </w:r>
      <w:r>
        <w:t>dotyczy określ</w:t>
      </w:r>
      <w:r w:rsidR="00091FE8">
        <w:t xml:space="preserve">enia </w:t>
      </w:r>
      <w:r>
        <w:t>miejsc</w:t>
      </w:r>
      <w:r w:rsidR="00091FE8">
        <w:t>a</w:t>
      </w:r>
      <w:r>
        <w:t xml:space="preserve"> obrotu obligacji emitowanych na rynku krajowym („rynek regulowany” zamiast „</w:t>
      </w:r>
      <w:r w:rsidRPr="00670908">
        <w:t>giełdow</w:t>
      </w:r>
      <w:r>
        <w:t>ego</w:t>
      </w:r>
      <w:r w:rsidRPr="00670908">
        <w:t xml:space="preserve"> lub pozagiełdow</w:t>
      </w:r>
      <w:r>
        <w:t>ego</w:t>
      </w:r>
      <w:r w:rsidRPr="00670908">
        <w:t xml:space="preserve"> rynku regulowan</w:t>
      </w:r>
      <w:r>
        <w:t>ego”).</w:t>
      </w:r>
    </w:p>
    <w:p w:rsidR="00D04EF5" w:rsidRDefault="00D04EF5" w:rsidP="009C1D74">
      <w:pPr>
        <w:keepNext/>
        <w:spacing w:before="120"/>
        <w:rPr>
          <w:b/>
        </w:rPr>
      </w:pPr>
      <w:bookmarkStart w:id="18" w:name="mip20881841"/>
      <w:bookmarkEnd w:id="18"/>
      <w:r w:rsidRPr="00F04715">
        <w:rPr>
          <w:b/>
        </w:rPr>
        <w:t xml:space="preserve">Art. </w:t>
      </w:r>
      <w:r w:rsidR="00391445">
        <w:rPr>
          <w:b/>
        </w:rPr>
        <w:t>4</w:t>
      </w:r>
      <w:r w:rsidRPr="00F04715">
        <w:rPr>
          <w:b/>
        </w:rPr>
        <w:t xml:space="preserve"> (zmiana ustawy z dnia 10 kwietnia 1997</w:t>
      </w:r>
      <w:r w:rsidR="009C1D74">
        <w:rPr>
          <w:b/>
        </w:rPr>
        <w:t xml:space="preserve"> </w:t>
      </w:r>
      <w:r w:rsidRPr="00F04715">
        <w:rPr>
          <w:b/>
        </w:rPr>
        <w:t xml:space="preserve">r. </w:t>
      </w:r>
      <w:r w:rsidR="00F03F90" w:rsidRPr="00271DF3">
        <w:rPr>
          <w:b/>
        </w:rPr>
        <w:t>–</w:t>
      </w:r>
      <w:r w:rsidR="00F03F90">
        <w:rPr>
          <w:b/>
        </w:rPr>
        <w:t xml:space="preserve"> </w:t>
      </w:r>
      <w:r w:rsidRPr="00F04715">
        <w:rPr>
          <w:b/>
        </w:rPr>
        <w:t>Prawo energetyczne)</w:t>
      </w:r>
    </w:p>
    <w:p w:rsidR="00D04EF5" w:rsidRDefault="00883441" w:rsidP="009C1D74">
      <w:pPr>
        <w:spacing w:before="120"/>
      </w:pPr>
      <w:r>
        <w:t xml:space="preserve">Projektowana </w:t>
      </w:r>
      <w:r w:rsidR="00D04EF5">
        <w:t>zmiana</w:t>
      </w:r>
      <w:r w:rsidRPr="00883441">
        <w:t xml:space="preserve"> </w:t>
      </w:r>
      <w:r w:rsidR="00091FE8">
        <w:t xml:space="preserve">art. 3 pkt 44 </w:t>
      </w:r>
      <w:r>
        <w:t>dotyczy</w:t>
      </w:r>
      <w:r w:rsidR="00D04EF5">
        <w:t xml:space="preserve"> definicji pojęcia „</w:t>
      </w:r>
      <w:r w:rsidR="00D04EF5" w:rsidRPr="00670908">
        <w:t>rynek organizowany przez podmiot prowadzący na terytorium Rzeczypospolitej Polskiej rynek regulowany</w:t>
      </w:r>
      <w:r w:rsidR="00D04EF5">
        <w:t>” w</w:t>
      </w:r>
      <w:r w:rsidR="0082386F">
        <w:t> </w:t>
      </w:r>
      <w:r w:rsidR="00D04EF5">
        <w:t>części odwołującej się spółki prowadzącej giełdę albo spółki prowadzącej rynek pozagiełdowy.</w:t>
      </w:r>
    </w:p>
    <w:p w:rsidR="003909F0" w:rsidRDefault="003909F0" w:rsidP="009C1D74">
      <w:pPr>
        <w:spacing w:before="120"/>
        <w:rPr>
          <w:b/>
        </w:rPr>
      </w:pPr>
      <w:r w:rsidRPr="003909F0">
        <w:rPr>
          <w:b/>
        </w:rPr>
        <w:t xml:space="preserve">Art. </w:t>
      </w:r>
      <w:r w:rsidR="00391445">
        <w:rPr>
          <w:b/>
        </w:rPr>
        <w:t>5</w:t>
      </w:r>
      <w:r w:rsidRPr="003909F0">
        <w:rPr>
          <w:b/>
        </w:rPr>
        <w:t xml:space="preserve"> (zmiana ustawy z dnia </w:t>
      </w:r>
      <w:r>
        <w:rPr>
          <w:b/>
        </w:rPr>
        <w:t>29 sierpnia 1997</w:t>
      </w:r>
      <w:r w:rsidR="009C1D74">
        <w:rPr>
          <w:b/>
        </w:rPr>
        <w:t xml:space="preserve"> </w:t>
      </w:r>
      <w:r w:rsidRPr="003909F0">
        <w:rPr>
          <w:b/>
        </w:rPr>
        <w:t xml:space="preserve">r. – </w:t>
      </w:r>
      <w:r>
        <w:rPr>
          <w:b/>
        </w:rPr>
        <w:t>Prawo bankowe</w:t>
      </w:r>
      <w:r w:rsidRPr="003909F0">
        <w:rPr>
          <w:b/>
        </w:rPr>
        <w:t>)</w:t>
      </w:r>
    </w:p>
    <w:p w:rsidR="003909F0" w:rsidRDefault="003909F0" w:rsidP="009C1D74">
      <w:pPr>
        <w:spacing w:before="120"/>
      </w:pPr>
      <w:r w:rsidRPr="003909F0">
        <w:t xml:space="preserve">Projektowana zmiana art. 4 ust. 1 pkt 35 lit. a tiret pierwsze </w:t>
      </w:r>
      <w:r>
        <w:t>jest konsekwencją zniesienia podziału rynku regulowanego na rynek giełdowy i rynek pozagiełdowy.</w:t>
      </w:r>
    </w:p>
    <w:p w:rsidR="00D04EF5" w:rsidRDefault="00D04EF5" w:rsidP="009C1D74">
      <w:pPr>
        <w:keepNext/>
        <w:spacing w:before="120"/>
        <w:rPr>
          <w:b/>
        </w:rPr>
      </w:pPr>
      <w:bookmarkStart w:id="19" w:name="mip21180793"/>
      <w:bookmarkEnd w:id="19"/>
      <w:r w:rsidRPr="00F04715">
        <w:rPr>
          <w:b/>
        </w:rPr>
        <w:t xml:space="preserve">Art. </w:t>
      </w:r>
      <w:r w:rsidR="00391445">
        <w:rPr>
          <w:b/>
        </w:rPr>
        <w:t>6</w:t>
      </w:r>
      <w:r w:rsidRPr="00F04715">
        <w:rPr>
          <w:b/>
        </w:rPr>
        <w:t xml:space="preserve"> (zmiana ustawy z dnia 15 wrze</w:t>
      </w:r>
      <w:r w:rsidRPr="00F04715">
        <w:rPr>
          <w:rFonts w:hint="eastAsia"/>
          <w:b/>
        </w:rPr>
        <w:t>ś</w:t>
      </w:r>
      <w:r w:rsidRPr="00F04715">
        <w:rPr>
          <w:b/>
        </w:rPr>
        <w:t>nia 2000</w:t>
      </w:r>
      <w:r w:rsidR="009C1D74">
        <w:rPr>
          <w:b/>
        </w:rPr>
        <w:t xml:space="preserve"> </w:t>
      </w:r>
      <w:r w:rsidRPr="00F04715">
        <w:rPr>
          <w:b/>
        </w:rPr>
        <w:t xml:space="preserve">r. </w:t>
      </w:r>
      <w:r w:rsidR="00F03F90" w:rsidRPr="0044763E">
        <w:rPr>
          <w:b/>
        </w:rPr>
        <w:t>–</w:t>
      </w:r>
      <w:r w:rsidR="00F03F90">
        <w:rPr>
          <w:b/>
        </w:rPr>
        <w:t xml:space="preserve"> </w:t>
      </w:r>
      <w:r w:rsidRPr="00F04715">
        <w:rPr>
          <w:b/>
        </w:rPr>
        <w:t>Kodeks sp</w:t>
      </w:r>
      <w:r w:rsidRPr="00F04715">
        <w:rPr>
          <w:rFonts w:hint="eastAsia"/>
          <w:b/>
        </w:rPr>
        <w:t>ół</w:t>
      </w:r>
      <w:r w:rsidRPr="00F04715">
        <w:rPr>
          <w:b/>
        </w:rPr>
        <w:t>ek handlowych)</w:t>
      </w:r>
    </w:p>
    <w:p w:rsidR="00D04EF5" w:rsidRPr="00F04715" w:rsidRDefault="00D04EF5" w:rsidP="009C1D74">
      <w:pPr>
        <w:spacing w:before="120"/>
      </w:pPr>
      <w:r>
        <w:t>Projektowana z</w:t>
      </w:r>
      <w:r w:rsidRPr="00F04715">
        <w:t xml:space="preserve">miana </w:t>
      </w:r>
      <w:r>
        <w:t xml:space="preserve">art. 403 (zdanie drugie) jest konsekwencją zastąpienia wyrażenia „giełda” wyrażeniem „rynek regulowany”. </w:t>
      </w:r>
    </w:p>
    <w:p w:rsidR="00D04EF5" w:rsidRDefault="00D04EF5" w:rsidP="009C1D74">
      <w:pPr>
        <w:keepNext/>
        <w:spacing w:before="120"/>
        <w:rPr>
          <w:b/>
        </w:rPr>
      </w:pPr>
      <w:bookmarkStart w:id="20" w:name="mip25214562"/>
      <w:bookmarkStart w:id="21" w:name="mip25215723"/>
      <w:bookmarkStart w:id="22" w:name="mip25215724"/>
      <w:bookmarkStart w:id="23" w:name="mip25215725"/>
      <w:bookmarkStart w:id="24" w:name="mip25215726"/>
      <w:bookmarkStart w:id="25" w:name="mip25215727"/>
      <w:bookmarkEnd w:id="20"/>
      <w:bookmarkEnd w:id="21"/>
      <w:bookmarkEnd w:id="22"/>
      <w:bookmarkEnd w:id="23"/>
      <w:bookmarkEnd w:id="24"/>
      <w:bookmarkEnd w:id="25"/>
      <w:r w:rsidRPr="00F04715">
        <w:rPr>
          <w:b/>
        </w:rPr>
        <w:lastRenderedPageBreak/>
        <w:t xml:space="preserve">Art. </w:t>
      </w:r>
      <w:r w:rsidR="00391445">
        <w:rPr>
          <w:b/>
        </w:rPr>
        <w:t>7</w:t>
      </w:r>
      <w:r w:rsidRPr="00F04715">
        <w:rPr>
          <w:b/>
        </w:rPr>
        <w:t xml:space="preserve"> (zmiana ustawy z dnia 26 pa</w:t>
      </w:r>
      <w:r w:rsidRPr="00F04715">
        <w:rPr>
          <w:rFonts w:hint="eastAsia"/>
          <w:b/>
        </w:rPr>
        <w:t>ź</w:t>
      </w:r>
      <w:r w:rsidRPr="00F04715">
        <w:rPr>
          <w:b/>
        </w:rPr>
        <w:t>dziernika 2000</w:t>
      </w:r>
      <w:r w:rsidR="009C1D74">
        <w:rPr>
          <w:b/>
        </w:rPr>
        <w:t xml:space="preserve"> </w:t>
      </w:r>
      <w:r w:rsidRPr="00F04715">
        <w:rPr>
          <w:b/>
        </w:rPr>
        <w:t>r. o gie</w:t>
      </w:r>
      <w:r w:rsidRPr="00F04715">
        <w:rPr>
          <w:rFonts w:hint="eastAsia"/>
          <w:b/>
        </w:rPr>
        <w:t>ł</w:t>
      </w:r>
      <w:r w:rsidRPr="00F04715">
        <w:rPr>
          <w:b/>
        </w:rPr>
        <w:t>dach towarowych)</w:t>
      </w:r>
    </w:p>
    <w:p w:rsidR="00D04EF5" w:rsidRPr="00F04715" w:rsidRDefault="00883441" w:rsidP="009C1D74">
      <w:pPr>
        <w:spacing w:before="120"/>
      </w:pPr>
      <w:r>
        <w:t xml:space="preserve">Projektowana </w:t>
      </w:r>
      <w:r w:rsidR="00D04EF5">
        <w:t xml:space="preserve">zmiana art. 5 jest konsekwencją zastąpienia wyrażeń „giełda” oraz „spółka prowadząca giełdę” odpowiednio wyrażeniami „rynek regulowany” oraz „spółka prowadząca rynek regulowany”. </w:t>
      </w:r>
    </w:p>
    <w:p w:rsidR="000F388E" w:rsidRDefault="000F388E" w:rsidP="009C1D74">
      <w:pPr>
        <w:keepNext/>
        <w:spacing w:before="120"/>
        <w:rPr>
          <w:b/>
        </w:rPr>
      </w:pPr>
      <w:bookmarkStart w:id="26" w:name="mip26804437"/>
      <w:bookmarkStart w:id="27" w:name="mip26804441"/>
      <w:bookmarkStart w:id="28" w:name="mip26804442"/>
      <w:bookmarkStart w:id="29" w:name="mip26804444"/>
      <w:bookmarkStart w:id="30" w:name="mip26804445"/>
      <w:bookmarkStart w:id="31" w:name="mip26804457"/>
      <w:bookmarkEnd w:id="26"/>
      <w:bookmarkEnd w:id="27"/>
      <w:bookmarkEnd w:id="28"/>
      <w:bookmarkEnd w:id="29"/>
      <w:bookmarkEnd w:id="30"/>
      <w:bookmarkEnd w:id="31"/>
      <w:r>
        <w:rPr>
          <w:b/>
        </w:rPr>
        <w:t xml:space="preserve">Art. </w:t>
      </w:r>
      <w:r w:rsidR="00391445">
        <w:rPr>
          <w:b/>
        </w:rPr>
        <w:t>8</w:t>
      </w:r>
      <w:r>
        <w:rPr>
          <w:b/>
        </w:rPr>
        <w:t xml:space="preserve"> (zmiana ustawy z dnia 24 sierpnia 2001 r. o ostateczności rozrachunku w</w:t>
      </w:r>
      <w:r w:rsidR="0082386F">
        <w:rPr>
          <w:b/>
        </w:rPr>
        <w:t> </w:t>
      </w:r>
      <w:r>
        <w:rPr>
          <w:b/>
        </w:rPr>
        <w:t>systemach płatności i systemach rozrachunku papierów wartościowych oraz zasadach nadzoru nad tymi systemami)</w:t>
      </w:r>
    </w:p>
    <w:p w:rsidR="000F388E" w:rsidRPr="000F388E" w:rsidRDefault="000F388E" w:rsidP="009C1D74">
      <w:pPr>
        <w:keepNext/>
        <w:spacing w:before="120"/>
      </w:pPr>
      <w:r w:rsidRPr="000F388E">
        <w:t xml:space="preserve">Projektowana zmiana art. 1 pkt 17 jest </w:t>
      </w:r>
      <w:r w:rsidR="00DE7B49">
        <w:t xml:space="preserve">konsekwencją </w:t>
      </w:r>
      <w:r w:rsidRPr="000F388E">
        <w:t>wprowadzeni</w:t>
      </w:r>
      <w:r w:rsidR="00DE7B49">
        <w:t>a</w:t>
      </w:r>
      <w:r w:rsidRPr="000F388E">
        <w:t xml:space="preserve"> instytucji rachunku derywatów</w:t>
      </w:r>
      <w:r>
        <w:t>.</w:t>
      </w:r>
    </w:p>
    <w:p w:rsidR="00D04EF5" w:rsidRDefault="00D04EF5" w:rsidP="009C1D74">
      <w:pPr>
        <w:keepNext/>
        <w:spacing w:before="120"/>
        <w:rPr>
          <w:b/>
        </w:rPr>
      </w:pPr>
      <w:r w:rsidRPr="00F04715">
        <w:rPr>
          <w:b/>
        </w:rPr>
        <w:t xml:space="preserve">Art. </w:t>
      </w:r>
      <w:r w:rsidR="00391445">
        <w:rPr>
          <w:b/>
        </w:rPr>
        <w:t>9</w:t>
      </w:r>
      <w:r w:rsidRPr="00F04715">
        <w:rPr>
          <w:b/>
        </w:rPr>
        <w:t xml:space="preserve"> (zmiana ustawy z dnia 28 lutego 2003</w:t>
      </w:r>
      <w:r w:rsidR="009C1D74">
        <w:rPr>
          <w:b/>
        </w:rPr>
        <w:t xml:space="preserve"> </w:t>
      </w:r>
      <w:r w:rsidRPr="00F04715">
        <w:rPr>
          <w:b/>
        </w:rPr>
        <w:t xml:space="preserve">r. </w:t>
      </w:r>
      <w:r w:rsidR="00F03F90" w:rsidRPr="0044763E">
        <w:rPr>
          <w:b/>
        </w:rPr>
        <w:t>–</w:t>
      </w:r>
      <w:r w:rsidR="00F03F90">
        <w:rPr>
          <w:b/>
        </w:rPr>
        <w:t xml:space="preserve"> </w:t>
      </w:r>
      <w:r w:rsidRPr="00F04715">
        <w:rPr>
          <w:b/>
        </w:rPr>
        <w:t>Prawo upad</w:t>
      </w:r>
      <w:r w:rsidRPr="00F04715">
        <w:rPr>
          <w:rFonts w:hint="eastAsia"/>
          <w:b/>
        </w:rPr>
        <w:t>ł</w:t>
      </w:r>
      <w:r w:rsidRPr="00F04715">
        <w:rPr>
          <w:b/>
        </w:rPr>
        <w:t>o</w:t>
      </w:r>
      <w:r w:rsidRPr="00F04715">
        <w:rPr>
          <w:rFonts w:hint="eastAsia"/>
          <w:b/>
        </w:rPr>
        <w:t>ś</w:t>
      </w:r>
      <w:r w:rsidRPr="00F04715">
        <w:rPr>
          <w:b/>
        </w:rPr>
        <w:t>ciowe)</w:t>
      </w:r>
    </w:p>
    <w:p w:rsidR="000F388E" w:rsidRPr="000F388E" w:rsidRDefault="000F388E" w:rsidP="009C1D74">
      <w:pPr>
        <w:spacing w:before="120"/>
      </w:pPr>
      <w:r>
        <w:t xml:space="preserve">Zmiana art. 112 </w:t>
      </w:r>
      <w:r w:rsidRPr="000F388E">
        <w:t xml:space="preserve">jest </w:t>
      </w:r>
      <w:r w:rsidR="00DE7B49">
        <w:t xml:space="preserve">konsekwencją </w:t>
      </w:r>
      <w:r w:rsidRPr="000F388E">
        <w:t>wprowadzeni</w:t>
      </w:r>
      <w:r w:rsidR="00DE7B49">
        <w:t>a</w:t>
      </w:r>
      <w:r w:rsidRPr="000F388E">
        <w:t xml:space="preserve"> instytucji rachunku derywatów.</w:t>
      </w:r>
    </w:p>
    <w:p w:rsidR="00D04EF5" w:rsidRDefault="00D04EF5" w:rsidP="009C1D74">
      <w:pPr>
        <w:spacing w:before="120"/>
      </w:pPr>
      <w:r>
        <w:t>Projektowana zmiana art. 334 ust. 4 zdanie drugie jest konsekwencją zastąpienia wyrażenia „giełda” wyrażeniem „rynek regulowany”.</w:t>
      </w:r>
    </w:p>
    <w:p w:rsidR="00D04EF5" w:rsidRDefault="00D04EF5" w:rsidP="009C1D74">
      <w:pPr>
        <w:keepNext/>
        <w:spacing w:before="120"/>
        <w:rPr>
          <w:b/>
        </w:rPr>
      </w:pPr>
      <w:r w:rsidRPr="00F04715">
        <w:rPr>
          <w:b/>
        </w:rPr>
        <w:t xml:space="preserve">Art. </w:t>
      </w:r>
      <w:r w:rsidR="004E1CB3">
        <w:rPr>
          <w:b/>
        </w:rPr>
        <w:t>1</w:t>
      </w:r>
      <w:r w:rsidR="00391445">
        <w:rPr>
          <w:b/>
        </w:rPr>
        <w:t>0</w:t>
      </w:r>
      <w:r w:rsidRPr="00F04715">
        <w:rPr>
          <w:b/>
        </w:rPr>
        <w:t xml:space="preserve"> (zmiana ustawy z dnia 27 maja 2004</w:t>
      </w:r>
      <w:r w:rsidR="009C1D74">
        <w:rPr>
          <w:b/>
        </w:rPr>
        <w:t xml:space="preserve"> </w:t>
      </w:r>
      <w:r w:rsidRPr="00F04715">
        <w:rPr>
          <w:b/>
        </w:rPr>
        <w:t>r. o funduszach inwestycyjnych</w:t>
      </w:r>
      <w:r w:rsidR="00391445" w:rsidRPr="00391445">
        <w:t xml:space="preserve"> </w:t>
      </w:r>
      <w:r w:rsidR="00391445" w:rsidRPr="00391445">
        <w:rPr>
          <w:b/>
        </w:rPr>
        <w:t>i</w:t>
      </w:r>
      <w:r w:rsidR="0082386F">
        <w:rPr>
          <w:b/>
        </w:rPr>
        <w:t> </w:t>
      </w:r>
      <w:r w:rsidR="00391445" w:rsidRPr="00391445">
        <w:rPr>
          <w:b/>
        </w:rPr>
        <w:t>zarządzaniu alternatywnymi funduszami inwestycyjnymi</w:t>
      </w:r>
      <w:r w:rsidRPr="00F04715">
        <w:rPr>
          <w:b/>
        </w:rPr>
        <w:t>)</w:t>
      </w:r>
    </w:p>
    <w:p w:rsidR="00D04EF5" w:rsidRDefault="00883441" w:rsidP="009C1D74">
      <w:pPr>
        <w:spacing w:before="120"/>
      </w:pPr>
      <w:r>
        <w:t>Projektowana z</w:t>
      </w:r>
      <w:r w:rsidR="00D04EF5">
        <w:t>miana art. 65 ust. 2 pkt 7 jest konsekwencją zastąpienia wyrażeń „spółka prowadząca giełdę” oraz „spółka prowadząca rynek pozagiełdowy” wyrażeniem „spółka prowadząca rynek regulowany”.</w:t>
      </w:r>
    </w:p>
    <w:p w:rsidR="00D04EF5" w:rsidRDefault="00D04EF5" w:rsidP="009C1D74">
      <w:pPr>
        <w:keepNext/>
        <w:spacing w:before="120"/>
        <w:rPr>
          <w:b/>
        </w:rPr>
      </w:pPr>
      <w:bookmarkStart w:id="32" w:name="mip26728358"/>
      <w:bookmarkEnd w:id="32"/>
      <w:r w:rsidRPr="00F04715">
        <w:rPr>
          <w:b/>
        </w:rPr>
        <w:t>Art. 1</w:t>
      </w:r>
      <w:r w:rsidR="00391445">
        <w:rPr>
          <w:b/>
        </w:rPr>
        <w:t>1</w:t>
      </w:r>
      <w:r w:rsidRPr="00F04715">
        <w:rPr>
          <w:b/>
        </w:rPr>
        <w:t xml:space="preserve"> (zmiana ustawy z dnia 29 lipca 2005</w:t>
      </w:r>
      <w:r w:rsidR="009C1D74">
        <w:rPr>
          <w:b/>
        </w:rPr>
        <w:t xml:space="preserve"> </w:t>
      </w:r>
      <w:r w:rsidRPr="00F04715">
        <w:rPr>
          <w:b/>
        </w:rPr>
        <w:t>r. o ofercie publicznej i warunkach wprowadzania instrument</w:t>
      </w:r>
      <w:r w:rsidRPr="00F04715">
        <w:rPr>
          <w:rFonts w:hint="eastAsia"/>
          <w:b/>
        </w:rPr>
        <w:t>ó</w:t>
      </w:r>
      <w:r w:rsidRPr="00F04715">
        <w:rPr>
          <w:b/>
        </w:rPr>
        <w:t>w finansowych do zorganizowanego systemu obrotu oraz o</w:t>
      </w:r>
      <w:r w:rsidR="009C1D74">
        <w:rPr>
          <w:rFonts w:hint="eastAsia"/>
          <w:b/>
        </w:rPr>
        <w:t xml:space="preserve"> </w:t>
      </w:r>
      <w:r w:rsidRPr="00F04715">
        <w:rPr>
          <w:b/>
        </w:rPr>
        <w:t>sp</w:t>
      </w:r>
      <w:r w:rsidRPr="00F04715">
        <w:rPr>
          <w:rFonts w:hint="eastAsia"/>
          <w:b/>
        </w:rPr>
        <w:t>ół</w:t>
      </w:r>
      <w:r w:rsidRPr="00F04715">
        <w:rPr>
          <w:b/>
        </w:rPr>
        <w:t>kach publicznych)</w:t>
      </w:r>
    </w:p>
    <w:p w:rsidR="00D04EF5" w:rsidRDefault="00D04EF5" w:rsidP="009C1D74">
      <w:pPr>
        <w:spacing w:before="120"/>
      </w:pPr>
      <w:r>
        <w:t xml:space="preserve">Projektowane zmiany </w:t>
      </w:r>
      <w:r w:rsidR="00091FE8">
        <w:t xml:space="preserve">art. 56 ust. 1 pkt 2, art. 60 ust. 2, art. 61, art. 69 ust. 2 pkt 1 lit. a, art. 79 ust. 9 i art. 80 ust. 2 </w:t>
      </w:r>
      <w:r>
        <w:t>są konsekwencją zastosowania nowej siatki pojęciowej w</w:t>
      </w:r>
      <w:r w:rsidR="0082386F">
        <w:t> </w:t>
      </w:r>
      <w:r>
        <w:t>ustawie o</w:t>
      </w:r>
      <w:r w:rsidR="009C1D74">
        <w:t xml:space="preserve"> </w:t>
      </w:r>
      <w:r>
        <w:t>obrocie instrumentami finansowymi i zastąpienia:</w:t>
      </w:r>
    </w:p>
    <w:p w:rsidR="00D04EF5" w:rsidRPr="00F04715" w:rsidRDefault="00D04EF5" w:rsidP="0082386F">
      <w:pPr>
        <w:numPr>
          <w:ilvl w:val="0"/>
          <w:numId w:val="50"/>
        </w:numPr>
        <w:ind w:left="357" w:hanging="357"/>
      </w:pPr>
      <w:r w:rsidRPr="00F04715">
        <w:t>wyra</w:t>
      </w:r>
      <w:r w:rsidRPr="00F04715">
        <w:rPr>
          <w:rFonts w:hint="eastAsia"/>
        </w:rPr>
        <w:t>ż</w:t>
      </w:r>
      <w:r w:rsidRPr="00F04715">
        <w:t xml:space="preserve">enia </w:t>
      </w:r>
      <w:r w:rsidRPr="00F04715">
        <w:rPr>
          <w:rFonts w:hint="eastAsia"/>
        </w:rPr>
        <w:t>„</w:t>
      </w:r>
      <w:r w:rsidRPr="00F04715">
        <w:t>rynek oficjalnych notowa</w:t>
      </w:r>
      <w:r w:rsidRPr="00F04715">
        <w:rPr>
          <w:rFonts w:hint="eastAsia"/>
        </w:rPr>
        <w:t>ń</w:t>
      </w:r>
      <w:r w:rsidRPr="00F04715">
        <w:t xml:space="preserve"> gie</w:t>
      </w:r>
      <w:r w:rsidRPr="00F04715">
        <w:rPr>
          <w:rFonts w:hint="eastAsia"/>
        </w:rPr>
        <w:t>ł</w:t>
      </w:r>
      <w:r w:rsidRPr="00F04715">
        <w:t>dowych</w:t>
      </w:r>
      <w:r w:rsidRPr="00F04715">
        <w:rPr>
          <w:rFonts w:hint="eastAsia"/>
        </w:rPr>
        <w:t>”</w:t>
      </w:r>
      <w:r w:rsidRPr="00F04715">
        <w:t xml:space="preserve"> wyra</w:t>
      </w:r>
      <w:r w:rsidRPr="00F04715">
        <w:rPr>
          <w:rFonts w:hint="eastAsia"/>
        </w:rPr>
        <w:t>ż</w:t>
      </w:r>
      <w:r w:rsidRPr="00F04715">
        <w:t xml:space="preserve">eniem </w:t>
      </w:r>
      <w:r w:rsidRPr="00F04715">
        <w:rPr>
          <w:rFonts w:hint="eastAsia"/>
        </w:rPr>
        <w:t>„</w:t>
      </w:r>
      <w:r w:rsidRPr="00F04715">
        <w:t>rynek oficjalnych notowa</w:t>
      </w:r>
      <w:r w:rsidRPr="00F04715">
        <w:rPr>
          <w:rFonts w:hint="eastAsia"/>
        </w:rPr>
        <w:t>ń”</w:t>
      </w:r>
      <w:r w:rsidRPr="00F04715">
        <w:t>,</w:t>
      </w:r>
    </w:p>
    <w:p w:rsidR="00D04EF5" w:rsidRPr="00F04715" w:rsidRDefault="00D04EF5" w:rsidP="0082386F">
      <w:pPr>
        <w:numPr>
          <w:ilvl w:val="0"/>
          <w:numId w:val="50"/>
        </w:numPr>
        <w:ind w:left="357" w:hanging="357"/>
      </w:pPr>
      <w:r w:rsidRPr="00F04715">
        <w:t>wyra</w:t>
      </w:r>
      <w:r w:rsidRPr="00F04715">
        <w:rPr>
          <w:rFonts w:hint="eastAsia"/>
        </w:rPr>
        <w:t>ż</w:t>
      </w:r>
      <w:r w:rsidRPr="00F04715">
        <w:t>e</w:t>
      </w:r>
      <w:r w:rsidRPr="00F04715">
        <w:rPr>
          <w:rFonts w:hint="eastAsia"/>
        </w:rPr>
        <w:t>ń</w:t>
      </w:r>
      <w:r w:rsidRPr="00F04715">
        <w:t xml:space="preserve"> </w:t>
      </w:r>
      <w:r w:rsidRPr="00F04715">
        <w:rPr>
          <w:rFonts w:hint="eastAsia"/>
        </w:rPr>
        <w:t>„</w:t>
      </w:r>
      <w:r w:rsidRPr="00F04715">
        <w:t>rynek gie</w:t>
      </w:r>
      <w:r w:rsidRPr="00F04715">
        <w:rPr>
          <w:rFonts w:hint="eastAsia"/>
        </w:rPr>
        <w:t>ł</w:t>
      </w:r>
      <w:r w:rsidRPr="00F04715">
        <w:t>dowy</w:t>
      </w:r>
      <w:r w:rsidRPr="00F04715">
        <w:rPr>
          <w:rFonts w:hint="eastAsia"/>
        </w:rPr>
        <w:t>”</w:t>
      </w:r>
      <w:r w:rsidRPr="00F04715">
        <w:t xml:space="preserve"> i</w:t>
      </w:r>
      <w:r w:rsidR="009C1D74">
        <w:rPr>
          <w:rFonts w:hint="eastAsia"/>
        </w:rPr>
        <w:t xml:space="preserve"> </w:t>
      </w:r>
      <w:r w:rsidRPr="00F04715">
        <w:rPr>
          <w:rFonts w:hint="eastAsia"/>
        </w:rPr>
        <w:t>„</w:t>
      </w:r>
      <w:r w:rsidRPr="00F04715">
        <w:t>rynek pozagie</w:t>
      </w:r>
      <w:r w:rsidRPr="00F04715">
        <w:rPr>
          <w:rFonts w:hint="eastAsia"/>
        </w:rPr>
        <w:t>ł</w:t>
      </w:r>
      <w:r w:rsidRPr="00F04715">
        <w:t>dowy</w:t>
      </w:r>
      <w:r w:rsidRPr="00F04715">
        <w:rPr>
          <w:rFonts w:hint="eastAsia"/>
        </w:rPr>
        <w:t>”</w:t>
      </w:r>
      <w:r w:rsidRPr="00F04715">
        <w:t xml:space="preserve"> wyra</w:t>
      </w:r>
      <w:r w:rsidRPr="00F04715">
        <w:rPr>
          <w:rFonts w:hint="eastAsia"/>
        </w:rPr>
        <w:t>ż</w:t>
      </w:r>
      <w:r w:rsidRPr="00F04715">
        <w:t xml:space="preserve">eniem </w:t>
      </w:r>
      <w:r w:rsidRPr="00F04715">
        <w:rPr>
          <w:rFonts w:hint="eastAsia"/>
        </w:rPr>
        <w:t>„</w:t>
      </w:r>
      <w:r w:rsidRPr="00F04715">
        <w:t>rynek regulowany</w:t>
      </w:r>
      <w:r w:rsidRPr="00F04715">
        <w:rPr>
          <w:rFonts w:hint="eastAsia"/>
        </w:rPr>
        <w:t>”</w:t>
      </w:r>
      <w:r w:rsidRPr="00F04715">
        <w:t>,</w:t>
      </w:r>
    </w:p>
    <w:p w:rsidR="00D04EF5" w:rsidRPr="00AD333A" w:rsidRDefault="00D04EF5" w:rsidP="0082386F">
      <w:pPr>
        <w:numPr>
          <w:ilvl w:val="0"/>
          <w:numId w:val="50"/>
        </w:numPr>
        <w:ind w:left="357" w:hanging="357"/>
      </w:pPr>
      <w:bookmarkStart w:id="33" w:name="mip25956827"/>
      <w:bookmarkEnd w:id="33"/>
      <w:r w:rsidRPr="00AD333A">
        <w:t>wyrażenia „notowania giełdowe” wyrażeniem „notowania na rynku regulowanym”.</w:t>
      </w:r>
    </w:p>
    <w:p w:rsidR="00D04EF5" w:rsidRDefault="00D04EF5" w:rsidP="009C1D74">
      <w:pPr>
        <w:spacing w:before="120"/>
      </w:pPr>
      <w:r>
        <w:t xml:space="preserve">Dodatkowo projektowana zmiana art. 90 ust. 1 stanowi dostosowanie odesłania do </w:t>
      </w:r>
      <w:r>
        <w:lastRenderedPageBreak/>
        <w:t>zmienionych przepisów ustawy (w</w:t>
      </w:r>
      <w:r w:rsidR="009C1D74">
        <w:t xml:space="preserve"> </w:t>
      </w:r>
      <w:r>
        <w:t>części dotyczącej uchylanego art. 37 ustawy).</w:t>
      </w:r>
    </w:p>
    <w:p w:rsidR="00D04EF5" w:rsidRPr="00F04715" w:rsidRDefault="00D04EF5" w:rsidP="009C1D74">
      <w:pPr>
        <w:keepNext/>
        <w:spacing w:before="120"/>
        <w:rPr>
          <w:b/>
        </w:rPr>
      </w:pPr>
      <w:bookmarkStart w:id="34" w:name="mip25956858"/>
      <w:bookmarkStart w:id="35" w:name="mip25956859"/>
      <w:bookmarkStart w:id="36" w:name="mip25956860"/>
      <w:bookmarkStart w:id="37" w:name="mip25956861"/>
      <w:bookmarkStart w:id="38" w:name="mip25956863"/>
      <w:bookmarkStart w:id="39" w:name="mip25956864"/>
      <w:bookmarkStart w:id="40" w:name="mip25956865"/>
      <w:bookmarkStart w:id="41" w:name="mip25956866"/>
      <w:bookmarkStart w:id="42" w:name="mip25957051"/>
      <w:bookmarkStart w:id="43" w:name="mip25957052"/>
      <w:bookmarkStart w:id="44" w:name="mip25957057"/>
      <w:bookmarkStart w:id="45" w:name="mip25957161"/>
      <w:bookmarkEnd w:id="34"/>
      <w:bookmarkEnd w:id="35"/>
      <w:bookmarkEnd w:id="36"/>
      <w:bookmarkEnd w:id="37"/>
      <w:bookmarkEnd w:id="38"/>
      <w:bookmarkEnd w:id="39"/>
      <w:bookmarkEnd w:id="40"/>
      <w:bookmarkEnd w:id="41"/>
      <w:bookmarkEnd w:id="42"/>
      <w:bookmarkEnd w:id="43"/>
      <w:bookmarkEnd w:id="44"/>
      <w:bookmarkEnd w:id="45"/>
      <w:r w:rsidRPr="00F04715">
        <w:rPr>
          <w:b/>
        </w:rPr>
        <w:t>Art. 1</w:t>
      </w:r>
      <w:r w:rsidR="00391445">
        <w:rPr>
          <w:b/>
        </w:rPr>
        <w:t>2</w:t>
      </w:r>
      <w:r w:rsidRPr="00F04715">
        <w:rPr>
          <w:b/>
        </w:rPr>
        <w:t xml:space="preserve"> (zmiana ustawy z dnia 21 lipca 2006</w:t>
      </w:r>
      <w:r w:rsidR="009C1D74">
        <w:rPr>
          <w:rFonts w:hint="eastAsia"/>
          <w:b/>
        </w:rPr>
        <w:t xml:space="preserve"> </w:t>
      </w:r>
      <w:r w:rsidRPr="00F04715">
        <w:rPr>
          <w:b/>
        </w:rPr>
        <w:t xml:space="preserve">r. o nadzorze nad rynkiem finansowym). </w:t>
      </w:r>
    </w:p>
    <w:p w:rsidR="00D04EF5" w:rsidRDefault="00D04EF5" w:rsidP="009C1D74">
      <w:pPr>
        <w:spacing w:before="120"/>
      </w:pPr>
      <w:r>
        <w:t>Projektowana zmiana art. 12 ust. 2 pkt 4 lit. i jest konsekwencją zastąpienia wyrażenia „giełda” wyrażeniem „rynek regulowany”, zaś uchylenie lit. j w art. 12 ust. 2 pkt 4 jest konsekwencją uchylenia przepisów ustawy regulujących funkcjonowanie rynku pozagiełdowego (</w:t>
      </w:r>
      <w:r w:rsidR="00EC3376">
        <w:t>o</w:t>
      </w:r>
      <w:r>
        <w:t xml:space="preserve">ddział 2 </w:t>
      </w:r>
      <w:r w:rsidRPr="00F04715">
        <w:t xml:space="preserve">w </w:t>
      </w:r>
      <w:r w:rsidR="00EC3376">
        <w:t>d</w:t>
      </w:r>
      <w:r w:rsidRPr="00F04715">
        <w:t xml:space="preserve">ziale II w </w:t>
      </w:r>
      <w:r w:rsidR="00EC3376">
        <w:t>r</w:t>
      </w:r>
      <w:r w:rsidRPr="00F04715">
        <w:t>ozdziale 2</w:t>
      </w:r>
      <w:r>
        <w:t xml:space="preserve"> ustawy).</w:t>
      </w:r>
    </w:p>
    <w:p w:rsidR="0042090B" w:rsidRDefault="0042090B" w:rsidP="009C1D74">
      <w:pPr>
        <w:keepNext/>
        <w:spacing w:before="120"/>
        <w:rPr>
          <w:b/>
        </w:rPr>
      </w:pPr>
      <w:r>
        <w:rPr>
          <w:b/>
        </w:rPr>
        <w:t>Art. 1</w:t>
      </w:r>
      <w:r w:rsidR="00391445">
        <w:rPr>
          <w:b/>
        </w:rPr>
        <w:t>3</w:t>
      </w:r>
    </w:p>
    <w:p w:rsidR="0042090B" w:rsidRPr="0042090B" w:rsidRDefault="00F72BD4" w:rsidP="009C1D74">
      <w:pPr>
        <w:keepNext/>
        <w:spacing w:before="120"/>
      </w:pPr>
      <w:r>
        <w:t>Wprowadzenie przepisu przejściowego związane jest z wprowadzeniem instytucji rachunku derywatów</w:t>
      </w:r>
      <w:r w:rsidR="001D2E5C">
        <w:t xml:space="preserve"> i ma na celu umożliwienie prowadzenia takich rachunków</w:t>
      </w:r>
      <w:r w:rsidR="001D2E5C" w:rsidRPr="001D2E5C">
        <w:t xml:space="preserve"> </w:t>
      </w:r>
      <w:r w:rsidR="001D2E5C">
        <w:t>przez f</w:t>
      </w:r>
      <w:r w:rsidR="001D2E5C" w:rsidRPr="001D2E5C">
        <w:t>irmy inwestycyjne uprawnione do przechowywania lub rejestrowania instrumentów finansowych, w tym prowadzenia rachunków papierów wartościowych i rachunków zbiorczych, oraz prowadzenia rachunków pieniężnych oraz banki uprawnione do prowadzenia działalności powierniczej</w:t>
      </w:r>
      <w:r w:rsidR="001D2E5C">
        <w:t xml:space="preserve"> przed datą wejścia w życie projektowanej ustawy, bez potrzeby uzyskiwania nowego zezwolenia Komisji Nadzoru Finansowego</w:t>
      </w:r>
      <w:r>
        <w:t>.</w:t>
      </w:r>
      <w:r w:rsidR="001D2E5C">
        <w:t xml:space="preserve"> Przyjmuje się, iż wyodrębnienie rachunków powierniczych będzie miało charakter techniczny</w:t>
      </w:r>
      <w:r w:rsidR="006040A1">
        <w:t>,</w:t>
      </w:r>
      <w:r w:rsidR="001D2E5C">
        <w:t xml:space="preserve"> z tego też względu nie zachodzi potrzeba wznawiania zezwolenia.</w:t>
      </w:r>
    </w:p>
    <w:p w:rsidR="00D04EF5" w:rsidRPr="00F04715" w:rsidRDefault="00D04EF5" w:rsidP="009C1D74">
      <w:pPr>
        <w:keepNext/>
        <w:spacing w:before="120"/>
        <w:rPr>
          <w:b/>
        </w:rPr>
      </w:pPr>
      <w:r w:rsidRPr="00F04715">
        <w:rPr>
          <w:b/>
        </w:rPr>
        <w:t>Art. 1</w:t>
      </w:r>
      <w:r w:rsidR="00391445">
        <w:rPr>
          <w:b/>
        </w:rPr>
        <w:t>4</w:t>
      </w:r>
    </w:p>
    <w:p w:rsidR="00A66FDB" w:rsidRDefault="00563DBF" w:rsidP="009C1D74">
      <w:pPr>
        <w:spacing w:before="120"/>
      </w:pPr>
      <w:r>
        <w:t>Projektowany przepis ma na celu umożliwienie spółkom prowadzącym giełdę oraz rynek pozagiełdowy na podstawie dotychczasowych zezwoleń prowadzenie rynku regulowanego. Rozwiązanie to podyktowane jest faktem, iż jak było to podnoszone wcześniej</w:t>
      </w:r>
      <w:r w:rsidR="00EC3376">
        <w:t>,</w:t>
      </w:r>
      <w:r>
        <w:t xml:space="preserve"> doszło do zatarcia różnic między wymogami przewidzianymi w zakresie prowadzenia rynku regulowanego oraz pozagiełdowego, z tego też względu nie zachodzi potrzeba ponownego licencjonowania t</w:t>
      </w:r>
      <w:r w:rsidR="00A66FDB">
        <w:t>ych podmiotów. W ocenie projektodawcy w przedmiotowym przypadku wystarczając</w:t>
      </w:r>
      <w:r w:rsidR="00EC3376">
        <w:t>e</w:t>
      </w:r>
      <w:r w:rsidR="00A66FDB">
        <w:t xml:space="preserve"> jest wprowadzenie zaproponowanych okresów przejściowych na dostosowanie się do nowych wymagań. W konsekwencji z</w:t>
      </w:r>
      <w:r w:rsidR="00A66FDB" w:rsidRPr="00A66FDB">
        <w:t xml:space="preserve"> dniem wejścia w życie </w:t>
      </w:r>
      <w:r w:rsidR="00A66FDB">
        <w:t xml:space="preserve">projektowanej ustawy </w:t>
      </w:r>
      <w:r w:rsidR="00A66FDB" w:rsidRPr="00A66FDB">
        <w:t>zezwolenie na prowadzenie giełdy oraz zezwolenie na prowadzenie rynku pozagiełdowego</w:t>
      </w:r>
      <w:r w:rsidR="00A66FDB">
        <w:t xml:space="preserve"> stanie się </w:t>
      </w:r>
      <w:r w:rsidR="00A66FDB" w:rsidRPr="00A66FDB">
        <w:t>zezwoleni</w:t>
      </w:r>
      <w:r w:rsidR="00A66FDB">
        <w:t>em</w:t>
      </w:r>
      <w:r w:rsidR="00A66FDB" w:rsidRPr="00A66FDB">
        <w:t xml:space="preserve"> na prowadzenie rynku regulowanego</w:t>
      </w:r>
      <w:r w:rsidR="00A66FDB">
        <w:t>. Dodatkowo</w:t>
      </w:r>
      <w:r w:rsidR="00ED2D94">
        <w:t>, z uwagi na status G</w:t>
      </w:r>
      <w:r w:rsidR="003800FF">
        <w:t xml:space="preserve">iełdy </w:t>
      </w:r>
      <w:r w:rsidR="00ED2D94">
        <w:t>P</w:t>
      </w:r>
      <w:r w:rsidR="003800FF">
        <w:t xml:space="preserve">apierów </w:t>
      </w:r>
      <w:r w:rsidR="00ED2D94">
        <w:t>W</w:t>
      </w:r>
      <w:r w:rsidR="003800FF">
        <w:t>artościowych S.A.</w:t>
      </w:r>
      <w:r w:rsidR="00ED2D94">
        <w:t xml:space="preserve">, która prowadzi działalność na podstawie </w:t>
      </w:r>
      <w:r w:rsidR="00ED2D94" w:rsidRPr="00ED2D94">
        <w:t>aktu założycielskiego giełdy podpisanego przez Ministra Finansów oraz ówczesnego Ministra Przekształceń Własnościowych,</w:t>
      </w:r>
      <w:r w:rsidR="00A66FDB">
        <w:t xml:space="preserve"> w ust. 2 uregulowano sytuację gdzie </w:t>
      </w:r>
      <w:r w:rsidR="00A66FDB">
        <w:lastRenderedPageBreak/>
        <w:t>prowadzenie giełdy odbywa się na innej podstawie niż zezwolenie. Zaproponowany ust.</w:t>
      </w:r>
      <w:r w:rsidR="0082386F">
        <w:t> </w:t>
      </w:r>
      <w:r w:rsidR="00A66FDB">
        <w:t xml:space="preserve">6 ma na celu </w:t>
      </w:r>
      <w:r w:rsidR="009F03B1">
        <w:t xml:space="preserve">uwzględnienie sytuacji, w której zezwolenie na prowadzenie giełdy zostało udzielone w związku z art. 5 ust. 2b ustawy z dnia </w:t>
      </w:r>
      <w:r w:rsidR="009F03B1" w:rsidRPr="009F03B1">
        <w:t>26 października 2000 r. o</w:t>
      </w:r>
      <w:r w:rsidR="0082386F">
        <w:t> </w:t>
      </w:r>
      <w:r w:rsidR="009F03B1" w:rsidRPr="009F03B1">
        <w:t>giełdach towarowych</w:t>
      </w:r>
      <w:r w:rsidR="009F03B1">
        <w:t>, w którym projektowana ustawa dokonuje zmian terminologicznych.</w:t>
      </w:r>
    </w:p>
    <w:p w:rsidR="00D04EF5" w:rsidRPr="00F04715" w:rsidRDefault="00D04EF5" w:rsidP="009C1D74">
      <w:pPr>
        <w:keepNext/>
        <w:spacing w:before="120"/>
        <w:rPr>
          <w:b/>
        </w:rPr>
      </w:pPr>
      <w:r w:rsidRPr="00F04715">
        <w:rPr>
          <w:b/>
        </w:rPr>
        <w:t>Art. 1</w:t>
      </w:r>
      <w:r w:rsidR="00391445">
        <w:rPr>
          <w:b/>
        </w:rPr>
        <w:t>5</w:t>
      </w:r>
    </w:p>
    <w:p w:rsidR="00D04EF5" w:rsidRDefault="00D04EF5" w:rsidP="009C1D74">
      <w:pPr>
        <w:spacing w:before="120"/>
      </w:pPr>
      <w:r>
        <w:t xml:space="preserve">W projektowanym przepisie </w:t>
      </w:r>
      <w:r w:rsidR="008105AA">
        <w:t xml:space="preserve">zakłada się, iż </w:t>
      </w:r>
      <w:r w:rsidR="00D94EED">
        <w:t>d</w:t>
      </w:r>
      <w:r w:rsidR="00D94EED" w:rsidRPr="0078016B">
        <w:t>o postępowań wszczętych i</w:t>
      </w:r>
      <w:r w:rsidR="0082386F">
        <w:t> </w:t>
      </w:r>
      <w:r w:rsidR="00D94EED" w:rsidRPr="0078016B">
        <w:t xml:space="preserve">niezakończonych przed dniem wejścia w życie ustawy </w:t>
      </w:r>
      <w:r w:rsidR="008105AA">
        <w:t xml:space="preserve">zastosowanie znajdą </w:t>
      </w:r>
      <w:r w:rsidR="00D94EED" w:rsidRPr="0078016B">
        <w:t>przepisy dotychczasowe</w:t>
      </w:r>
      <w:r w:rsidR="00D94EED">
        <w:t xml:space="preserve">. </w:t>
      </w:r>
      <w:r w:rsidR="003161C9">
        <w:t>Proponuje się</w:t>
      </w:r>
      <w:r w:rsidR="008105AA">
        <w:t>,</w:t>
      </w:r>
      <w:r w:rsidR="003161C9">
        <w:t xml:space="preserve"> aby decyzja w sprawie zezwolenia wydawana była na podstawie przepisów w zmienionym brzmieniu nowego art. 25 ustawy</w:t>
      </w:r>
      <w:r w:rsidR="00282997">
        <w:t xml:space="preserve"> </w:t>
      </w:r>
      <w:r w:rsidR="008105AA">
        <w:t xml:space="preserve">przez ten sam organ, przed którym nastąpiło wszczęcie postępowania, co powinno zapewnić sprawny przebieg wszczętych a niezakończonych przed dniem wejścia wżycie projektowanej ustawy postępowań. Jednocześnie proponuje się, aby w przypadku </w:t>
      </w:r>
      <w:r w:rsidR="008105AA" w:rsidRPr="003161C9">
        <w:t>postępowań o</w:t>
      </w:r>
      <w:r w:rsidR="00972A14">
        <w:t> </w:t>
      </w:r>
      <w:r w:rsidR="008105AA" w:rsidRPr="003161C9">
        <w:t>wydanie zezwolenia, o którym mowa w</w:t>
      </w:r>
      <w:r w:rsidR="0082386F">
        <w:t> </w:t>
      </w:r>
      <w:r w:rsidR="008105AA" w:rsidRPr="003161C9">
        <w:t xml:space="preserve">art. 25 ust. 1 lub art. 36 ust. 1 </w:t>
      </w:r>
      <w:r w:rsidR="008105AA">
        <w:t>zmienianej ustawy, na wnioskodawcy spoczywał obowiązek dostosowania, w terminie 6</w:t>
      </w:r>
      <w:r w:rsidR="009655EE">
        <w:t xml:space="preserve"> </w:t>
      </w:r>
      <w:r w:rsidR="008105AA">
        <w:t>miesięcy, treści wniosku</w:t>
      </w:r>
      <w:r w:rsidR="008105AA" w:rsidRPr="00D94EED">
        <w:t xml:space="preserve"> </w:t>
      </w:r>
      <w:r w:rsidR="008105AA">
        <w:t>(w tym statutu i</w:t>
      </w:r>
      <w:r w:rsidR="0082386F">
        <w:t> </w:t>
      </w:r>
      <w:r w:rsidR="008105AA">
        <w:t xml:space="preserve">regulaminu, będących załącznikiem do wniosku) do przepisów znowelizowanej ustawy o obrocie instrumentami finansowymi. Ponadto </w:t>
      </w:r>
      <w:r w:rsidR="000850EF">
        <w:t>w</w:t>
      </w:r>
      <w:r w:rsidR="00972A14">
        <w:t> </w:t>
      </w:r>
      <w:r w:rsidR="000850EF">
        <w:t xml:space="preserve">ust. 4 </w:t>
      </w:r>
      <w:r w:rsidR="008105AA">
        <w:t xml:space="preserve">zaproponowano uregulowanie kwestii intertemporalnych w zakresie naruszeń ustawy, popełnionych przed wejściem w życie </w:t>
      </w:r>
      <w:r w:rsidR="000850EF">
        <w:t>projektowanej ustawy</w:t>
      </w:r>
      <w:r w:rsidR="00282997">
        <w:t>,</w:t>
      </w:r>
      <w:r w:rsidR="000850EF">
        <w:t xml:space="preserve"> i nakładania w</w:t>
      </w:r>
      <w:r w:rsidR="00972A14">
        <w:t> </w:t>
      </w:r>
      <w:r w:rsidR="000850EF">
        <w:t>związku z nimi sankcji administracyjnej, z uwzględnieniem projektowanej zmiany organu właściwego do stosowania sankcji.</w:t>
      </w:r>
    </w:p>
    <w:p w:rsidR="00185D39" w:rsidRDefault="00185D39" w:rsidP="009C1D74">
      <w:pPr>
        <w:spacing w:before="120"/>
        <w:rPr>
          <w:b/>
        </w:rPr>
      </w:pPr>
      <w:r w:rsidRPr="00185D39">
        <w:rPr>
          <w:b/>
        </w:rPr>
        <w:t>Art. 1</w:t>
      </w:r>
      <w:r w:rsidR="00391445">
        <w:rPr>
          <w:b/>
        </w:rPr>
        <w:t>6</w:t>
      </w:r>
    </w:p>
    <w:p w:rsidR="00185D39" w:rsidRPr="00302816" w:rsidRDefault="00302816" w:rsidP="009C1D74">
      <w:pPr>
        <w:spacing w:before="120"/>
      </w:pPr>
      <w:r w:rsidRPr="00302816">
        <w:t xml:space="preserve">W projektowanym przepisie zakłada się, iż za naruszenia </w:t>
      </w:r>
      <w:r>
        <w:t>przepisów ustawy zaistniałe przed wejściem w życie ustawy zmieniającej Komisja Nadzoru Finansowego wymierza sankcje administracyjne według przepisów dotychczasowych. Jednocześnie, w sytuacji gdy przewidziana przez przepisy zmieniające sankcja administracyjna jest względniejsza – stosuje się te przepisy.</w:t>
      </w:r>
    </w:p>
    <w:p w:rsidR="005A7EE4" w:rsidRDefault="005A7EE4" w:rsidP="009C1D74">
      <w:pPr>
        <w:keepNext/>
        <w:spacing w:before="120"/>
        <w:rPr>
          <w:b/>
        </w:rPr>
      </w:pPr>
      <w:r w:rsidRPr="00F04715">
        <w:rPr>
          <w:b/>
        </w:rPr>
        <w:t>Art. 1</w:t>
      </w:r>
      <w:r w:rsidR="00391445">
        <w:rPr>
          <w:b/>
        </w:rPr>
        <w:t>7</w:t>
      </w:r>
    </w:p>
    <w:p w:rsidR="00BA5B7B" w:rsidRPr="00BA5B7B" w:rsidRDefault="00BA5B7B" w:rsidP="009C1D74">
      <w:pPr>
        <w:spacing w:before="120"/>
      </w:pPr>
      <w:r w:rsidRPr="00BA5B7B">
        <w:t xml:space="preserve">W projektowanym przepisie proponuje się, aby dotychczasowe przepisy wykonawcze wydane na podstawie art. 94 ust. 1 pkt 5 ustawy </w:t>
      </w:r>
      <w:r>
        <w:t>(r</w:t>
      </w:r>
      <w:r w:rsidRPr="00BA5B7B">
        <w:t>ozporządzenie Ministra Finansów z</w:t>
      </w:r>
      <w:r w:rsidR="009F131A">
        <w:t> </w:t>
      </w:r>
      <w:r w:rsidRPr="00BA5B7B">
        <w:t>dnia 24 września 2012 r</w:t>
      </w:r>
      <w:r>
        <w:t xml:space="preserve">. </w:t>
      </w:r>
      <w:r w:rsidRPr="00BA5B7B">
        <w:t xml:space="preserve">w sprawie określenia szczegółowych warunków technicznych i organizacyjnych dla firm inwestycyjnych, banków, o których mowa </w:t>
      </w:r>
      <w:r w:rsidRPr="00BA5B7B">
        <w:lastRenderedPageBreak/>
        <w:t>w</w:t>
      </w:r>
      <w:r w:rsidR="00245680">
        <w:t> </w:t>
      </w:r>
      <w:r w:rsidRPr="00BA5B7B">
        <w:t>art. 70 ust. 2 ustawy o obrocie instrumentami finansowymi, i banków powierniczych oraz warunków szacowania przez dom maklerski kapitału wewnętrznego</w:t>
      </w:r>
      <w:r>
        <w:t xml:space="preserve">) </w:t>
      </w:r>
      <w:r w:rsidRPr="00BA5B7B">
        <w:t xml:space="preserve">zachowały moc do czasu wejścia w życie ustawy zmieniającej, nie dłużej jednak niż przez </w:t>
      </w:r>
      <w:r w:rsidR="000850EF">
        <w:t>12</w:t>
      </w:r>
      <w:r w:rsidR="00245680">
        <w:t> </w:t>
      </w:r>
      <w:r w:rsidRPr="00BA5B7B">
        <w:t>miesięcy od dnia jej wejścia w życie.</w:t>
      </w:r>
    </w:p>
    <w:p w:rsidR="00BA5B7B" w:rsidRPr="00BA5B7B" w:rsidRDefault="00BA5B7B" w:rsidP="009C1D74">
      <w:pPr>
        <w:spacing w:before="120"/>
        <w:rPr>
          <w:b/>
        </w:rPr>
      </w:pPr>
      <w:r w:rsidRPr="00BA5B7B">
        <w:rPr>
          <w:b/>
        </w:rPr>
        <w:t>Art. 1</w:t>
      </w:r>
      <w:r w:rsidR="00391445">
        <w:rPr>
          <w:b/>
        </w:rPr>
        <w:t>8</w:t>
      </w:r>
    </w:p>
    <w:p w:rsidR="00385406" w:rsidRDefault="00650DDC" w:rsidP="009C1D74">
      <w:pPr>
        <w:spacing w:before="120"/>
      </w:pPr>
      <w:r>
        <w:t xml:space="preserve">W projektowanym przepisie </w:t>
      </w:r>
      <w:r w:rsidR="00571365">
        <w:t>proponuje się</w:t>
      </w:r>
      <w:r w:rsidR="00D94EED">
        <w:t>, a</w:t>
      </w:r>
      <w:r>
        <w:t xml:space="preserve">by dotychczasowe przepisy wykonawcze wydane na podstawie art. 60 ust. 2 ustawy o </w:t>
      </w:r>
      <w:r w:rsidRPr="005A7EE4">
        <w:t>ofercie publicznej i warunkach wprowadzania instrument</w:t>
      </w:r>
      <w:r w:rsidRPr="005A7EE4">
        <w:rPr>
          <w:rFonts w:hint="eastAsia"/>
        </w:rPr>
        <w:t>ó</w:t>
      </w:r>
      <w:r w:rsidRPr="005A7EE4">
        <w:t>w finansowych do zorganizowanego systemu obrotu oraz o</w:t>
      </w:r>
      <w:r w:rsidR="0082386F">
        <w:t> </w:t>
      </w:r>
      <w:r w:rsidRPr="005A7EE4">
        <w:t>sp</w:t>
      </w:r>
      <w:r w:rsidRPr="005A7EE4">
        <w:rPr>
          <w:rFonts w:hint="eastAsia"/>
        </w:rPr>
        <w:t>ół</w:t>
      </w:r>
      <w:r w:rsidRPr="005A7EE4">
        <w:t>kach publicznych</w:t>
      </w:r>
      <w:r>
        <w:t xml:space="preserve"> (r</w:t>
      </w:r>
      <w:r w:rsidRPr="00571365">
        <w:t>ozporządzeni</w:t>
      </w:r>
      <w:r>
        <w:t>e</w:t>
      </w:r>
      <w:r w:rsidRPr="00571365">
        <w:t xml:space="preserve"> Ministra Finansów </w:t>
      </w:r>
      <w:r w:rsidRPr="00476F1E">
        <w:t>z dnia 19 lutego 2009</w:t>
      </w:r>
      <w:r w:rsidR="009C1D74">
        <w:t xml:space="preserve"> </w:t>
      </w:r>
      <w:r w:rsidRPr="00476F1E">
        <w:t xml:space="preserve">r. </w:t>
      </w:r>
      <w:r w:rsidRPr="00571365">
        <w:t>w</w:t>
      </w:r>
      <w:r w:rsidR="0082386F">
        <w:t> </w:t>
      </w:r>
      <w:r>
        <w:t>sprawie informacji bieżących i</w:t>
      </w:r>
      <w:r w:rsidR="009C1D74">
        <w:t xml:space="preserve"> </w:t>
      </w:r>
      <w:r w:rsidRPr="00571365">
        <w:t>okresowych przekazywanych przez emitentów papierów wartościowych oraz warunków uznawania za równoważne informacji wymaganych przepisami prawa państwa niebędącego państwem członkowskim</w:t>
      </w:r>
      <w:r>
        <w:t xml:space="preserve"> (Dz. U. z 2014</w:t>
      </w:r>
      <w:r w:rsidR="009C1D74">
        <w:t xml:space="preserve"> </w:t>
      </w:r>
      <w:r>
        <w:t>r. poz. 133</w:t>
      </w:r>
      <w:r w:rsidR="009F131A">
        <w:t>, z późn. zm.</w:t>
      </w:r>
      <w:r>
        <w:t>)</w:t>
      </w:r>
      <w:r w:rsidR="00D46C82">
        <w:t xml:space="preserve"> </w:t>
      </w:r>
      <w:r>
        <w:t xml:space="preserve">utrzymane zostały czasowo </w:t>
      </w:r>
      <w:r w:rsidR="00571365">
        <w:t>w mocy</w:t>
      </w:r>
      <w:r w:rsidR="00C761E9">
        <w:t>, jednak nie dłużej niż przez 12</w:t>
      </w:r>
      <w:r w:rsidR="00282997">
        <w:t> </w:t>
      </w:r>
      <w:r w:rsidR="00C761E9">
        <w:t>miesięcy od dnia wejścia w życie niniejszej ustawy.</w:t>
      </w:r>
    </w:p>
    <w:p w:rsidR="00571365" w:rsidRDefault="00571365" w:rsidP="009C1D74">
      <w:pPr>
        <w:keepNext/>
        <w:spacing w:before="120"/>
        <w:rPr>
          <w:b/>
        </w:rPr>
      </w:pPr>
      <w:r w:rsidRPr="00F04715">
        <w:rPr>
          <w:b/>
        </w:rPr>
        <w:t xml:space="preserve">Art. </w:t>
      </w:r>
      <w:r w:rsidR="00391445">
        <w:rPr>
          <w:b/>
        </w:rPr>
        <w:t>19</w:t>
      </w:r>
    </w:p>
    <w:p w:rsidR="00D04EF5" w:rsidRPr="00F04715" w:rsidRDefault="00D04EF5" w:rsidP="009C1D74">
      <w:pPr>
        <w:keepNext/>
        <w:spacing w:before="120"/>
      </w:pPr>
      <w:r>
        <w:t xml:space="preserve">Mając na uwadze postanowienia § 1 ust. 1 uchwały </w:t>
      </w:r>
      <w:r w:rsidR="00282997">
        <w:t>n</w:t>
      </w:r>
      <w:r>
        <w:t>r 20 Rady Ministrów z dnia 18</w:t>
      </w:r>
      <w:r w:rsidR="0082386F">
        <w:t> </w:t>
      </w:r>
      <w:r>
        <w:t>lutego 2014</w:t>
      </w:r>
      <w:r w:rsidR="009C1D74">
        <w:t xml:space="preserve"> </w:t>
      </w:r>
      <w:r>
        <w:t xml:space="preserve">r. w sprawie zaleceń ujednolicenia terminów wejścia w życie niektórych aktów normatywnych (M.P. poz. 205), termin wejścia w życie projektowanej ustawy określono na dzień 1 </w:t>
      </w:r>
      <w:r w:rsidR="00391445">
        <w:t>stycznia</w:t>
      </w:r>
      <w:r w:rsidR="0056125F">
        <w:t xml:space="preserve"> </w:t>
      </w:r>
      <w:r>
        <w:t>201</w:t>
      </w:r>
      <w:r w:rsidR="00410C01">
        <w:t>7</w:t>
      </w:r>
      <w:r w:rsidR="009C1D74">
        <w:t xml:space="preserve"> </w:t>
      </w:r>
      <w:r>
        <w:t xml:space="preserve">r. </w:t>
      </w:r>
    </w:p>
    <w:p w:rsidR="00D04EF5" w:rsidRPr="00CF11C7" w:rsidRDefault="00D04EF5" w:rsidP="000B16FB">
      <w:pPr>
        <w:spacing w:before="240"/>
      </w:pPr>
      <w:r w:rsidRPr="00CF11C7">
        <w:t xml:space="preserve">Projekt </w:t>
      </w:r>
      <w:r>
        <w:t xml:space="preserve">ustawy nie zawiera przepisów technicznych i </w:t>
      </w:r>
      <w:r w:rsidRPr="00CF11C7">
        <w:t>nie podlega notyfikacji zgodnie z</w:t>
      </w:r>
      <w:r w:rsidR="0082386F">
        <w:t> </w:t>
      </w:r>
      <w:r w:rsidRPr="00CF11C7">
        <w:t>trybem przewidzianym w przepisach dotyczących sposobu funkcjonowania krajowego systemu notyfikacji norm i aktów prawnych</w:t>
      </w:r>
      <w:r>
        <w:t xml:space="preserve">, tj. </w:t>
      </w:r>
      <w:r w:rsidRPr="00CF11C7">
        <w:t>rozporządzeni</w:t>
      </w:r>
      <w:r w:rsidR="00282997">
        <w:t>u</w:t>
      </w:r>
      <w:r w:rsidRPr="00CF11C7">
        <w:t xml:space="preserve"> Rady Ministrów z</w:t>
      </w:r>
      <w:r w:rsidR="0082386F">
        <w:t> </w:t>
      </w:r>
      <w:r w:rsidRPr="00CF11C7">
        <w:t>dnia 23</w:t>
      </w:r>
      <w:r w:rsidR="009C1D74">
        <w:t xml:space="preserve"> </w:t>
      </w:r>
      <w:r w:rsidRPr="00CF11C7">
        <w:t>grudnia 2002</w:t>
      </w:r>
      <w:r w:rsidR="00DF6D86">
        <w:t xml:space="preserve"> </w:t>
      </w:r>
      <w:r w:rsidRPr="00CF11C7">
        <w:t>r. w sprawie sposobu funkcjonowania krajowego systemu notyfikacji norm i</w:t>
      </w:r>
      <w:r w:rsidR="009C1D74">
        <w:t xml:space="preserve"> </w:t>
      </w:r>
      <w:r w:rsidRPr="00CF11C7">
        <w:t>aktów prawnych (Dz. U. poz.</w:t>
      </w:r>
      <w:r w:rsidR="009C1D74">
        <w:t xml:space="preserve"> </w:t>
      </w:r>
      <w:r w:rsidRPr="00CF11C7">
        <w:t>2039 oraz z 2004</w:t>
      </w:r>
      <w:r w:rsidR="009C1D74">
        <w:t xml:space="preserve"> </w:t>
      </w:r>
      <w:r w:rsidRPr="00CF11C7">
        <w:t>r. poz.</w:t>
      </w:r>
      <w:r w:rsidR="0082386F">
        <w:t> </w:t>
      </w:r>
      <w:r w:rsidRPr="00CF11C7">
        <w:t>597).</w:t>
      </w:r>
    </w:p>
    <w:p w:rsidR="00D04EF5" w:rsidRDefault="00D04EF5" w:rsidP="000B16FB">
      <w:pPr>
        <w:spacing w:before="240"/>
      </w:pPr>
      <w:r w:rsidRPr="00CF11C7">
        <w:t>W związku z art. 50 ustawy z dnia 27 sierpnia 2009</w:t>
      </w:r>
      <w:r w:rsidR="009C1D74">
        <w:t xml:space="preserve"> </w:t>
      </w:r>
      <w:r w:rsidRPr="00CF11C7">
        <w:t>r. o finansach publicznych (Dz.</w:t>
      </w:r>
      <w:r>
        <w:t xml:space="preserve"> </w:t>
      </w:r>
      <w:r w:rsidRPr="00CF11C7">
        <w:t>U.</w:t>
      </w:r>
      <w:r>
        <w:t xml:space="preserve"> </w:t>
      </w:r>
      <w:r w:rsidRPr="00CF11C7">
        <w:t>z</w:t>
      </w:r>
      <w:r w:rsidR="0082386F">
        <w:t> </w:t>
      </w:r>
      <w:r w:rsidRPr="00CF11C7">
        <w:t>2013</w:t>
      </w:r>
      <w:r w:rsidR="009C1D74">
        <w:t xml:space="preserve"> </w:t>
      </w:r>
      <w:r w:rsidRPr="00CF11C7">
        <w:t>r. poz. 885</w:t>
      </w:r>
      <w:r>
        <w:t>, z późn. zm.</w:t>
      </w:r>
      <w:r w:rsidRPr="00CF11C7">
        <w:t>) należy podnieść, że nie przewiduje</w:t>
      </w:r>
      <w:r w:rsidR="00EE212C">
        <w:t xml:space="preserve"> się</w:t>
      </w:r>
      <w:r w:rsidRPr="00CF11C7">
        <w:t xml:space="preserve">, aby zmiany </w:t>
      </w:r>
      <w:r>
        <w:t>ustawy</w:t>
      </w:r>
      <w:r w:rsidRPr="00CF11C7">
        <w:t xml:space="preserve"> miały wpływ na sektor finansów publicznych, w tym na zwiększenie wydatków lub zmniejszenie dochodów jednostek sektora finansów publicznych.</w:t>
      </w:r>
    </w:p>
    <w:p w:rsidR="00800E3A" w:rsidRDefault="00D04EF5" w:rsidP="000B16FB">
      <w:pPr>
        <w:spacing w:before="240"/>
      </w:pPr>
      <w:r w:rsidRPr="00E460DC">
        <w:t xml:space="preserve">Projekt </w:t>
      </w:r>
      <w:r>
        <w:t>ustawy</w:t>
      </w:r>
      <w:r w:rsidRPr="00E460DC">
        <w:t xml:space="preserve"> nie jest sprzeczny z prawem Unii Europejskiej.</w:t>
      </w:r>
    </w:p>
    <w:p w:rsidR="0082386F" w:rsidRPr="0082386F" w:rsidRDefault="0082386F" w:rsidP="005632E1">
      <w:pPr>
        <w:spacing w:before="120"/>
        <w:rPr>
          <w:sz w:val="20"/>
        </w:rPr>
      </w:pPr>
    </w:p>
    <w:sectPr w:rsidR="0082386F" w:rsidRPr="0082386F" w:rsidSect="009C1D74">
      <w:headerReference w:type="default" r:id="rId15"/>
      <w:footerReference w:type="default" r:id="rId16"/>
      <w:footerReference w:type="first" r:id="rId17"/>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77E" w:rsidRDefault="00F3777E">
      <w:pPr>
        <w:spacing w:line="240" w:lineRule="auto"/>
      </w:pPr>
      <w:r>
        <w:separator/>
      </w:r>
    </w:p>
  </w:endnote>
  <w:endnote w:type="continuationSeparator" w:id="0">
    <w:p w:rsidR="00F3777E" w:rsidRDefault="00F377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141587"/>
      <w:docPartObj>
        <w:docPartGallery w:val="Page Numbers (Bottom of Page)"/>
        <w:docPartUnique/>
      </w:docPartObj>
    </w:sdtPr>
    <w:sdtEndPr/>
    <w:sdtContent>
      <w:p w:rsidR="007116C2" w:rsidRPr="009C1D74" w:rsidRDefault="009C1D74" w:rsidP="009C1D74">
        <w:pPr>
          <w:pStyle w:val="Stopka"/>
          <w:jc w:val="center"/>
        </w:pPr>
        <w:r>
          <w:fldChar w:fldCharType="begin"/>
        </w:r>
        <w:r>
          <w:instrText>PAGE   \* MERGEFORMAT</w:instrText>
        </w:r>
        <w:r>
          <w:fldChar w:fldCharType="separate"/>
        </w:r>
        <w:r w:rsidR="008E7129">
          <w:rPr>
            <w:noProof/>
          </w:rPr>
          <w:t>20</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6C2" w:rsidRDefault="007116C2" w:rsidP="009C1D74">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77E" w:rsidRDefault="00F3777E">
      <w:pPr>
        <w:spacing w:line="240" w:lineRule="auto"/>
      </w:pPr>
      <w:r>
        <w:separator/>
      </w:r>
    </w:p>
  </w:footnote>
  <w:footnote w:type="continuationSeparator" w:id="0">
    <w:p w:rsidR="00F3777E" w:rsidRDefault="00F3777E">
      <w:pPr>
        <w:spacing w:line="240" w:lineRule="auto"/>
      </w:pPr>
      <w:r>
        <w:continuationSeparator/>
      </w:r>
    </w:p>
  </w:footnote>
  <w:footnote w:id="1">
    <w:p w:rsidR="007116C2" w:rsidRDefault="007116C2" w:rsidP="009C1D74">
      <w:pPr>
        <w:pStyle w:val="Tekstprzypisudolnego"/>
        <w:spacing w:line="240" w:lineRule="auto"/>
        <w:ind w:left="238" w:hanging="238"/>
      </w:pPr>
      <w:r>
        <w:rPr>
          <w:rStyle w:val="Odwoanieprzypisudolnego"/>
        </w:rPr>
        <w:footnoteRef/>
      </w:r>
      <w:r w:rsidRPr="00271DF3">
        <w:rPr>
          <w:vertAlign w:val="superscript"/>
        </w:rPr>
        <w:t>)</w:t>
      </w:r>
      <w:r w:rsidR="009C1D74">
        <w:tab/>
      </w:r>
      <w:r w:rsidRPr="00271DF3">
        <w:rPr>
          <w:sz w:val="20"/>
          <w:szCs w:val="20"/>
        </w:rPr>
        <w:t>Rozporządzenie Ministra Finansów z dnia 19</w:t>
      </w:r>
      <w:r w:rsidR="009C1D74">
        <w:rPr>
          <w:sz w:val="20"/>
          <w:szCs w:val="20"/>
        </w:rPr>
        <w:t xml:space="preserve"> </w:t>
      </w:r>
      <w:r w:rsidRPr="00271DF3">
        <w:rPr>
          <w:sz w:val="20"/>
          <w:szCs w:val="20"/>
        </w:rPr>
        <w:t>lutego 2009</w:t>
      </w:r>
      <w:r w:rsidR="009C1D74">
        <w:rPr>
          <w:sz w:val="20"/>
          <w:szCs w:val="20"/>
        </w:rPr>
        <w:t xml:space="preserve"> </w:t>
      </w:r>
      <w:r w:rsidRPr="00271DF3">
        <w:rPr>
          <w:sz w:val="20"/>
          <w:szCs w:val="20"/>
        </w:rPr>
        <w:t>r. w sprawie informacji bieżących i</w:t>
      </w:r>
      <w:r w:rsidR="009C1D74">
        <w:rPr>
          <w:sz w:val="20"/>
          <w:szCs w:val="20"/>
        </w:rPr>
        <w:t> </w:t>
      </w:r>
      <w:r w:rsidRPr="00271DF3">
        <w:rPr>
          <w:sz w:val="20"/>
          <w:szCs w:val="20"/>
        </w:rPr>
        <w:t>okresowych przekazywanych przez emitentów papierów wartościowych oraz warunków uznawania za równoważne informacji wymaganych przepisami prawa państwa niebędącego państwem członkowskim</w:t>
      </w:r>
      <w:r>
        <w:rPr>
          <w:sz w:val="20"/>
          <w:szCs w:val="20"/>
        </w:rPr>
        <w:t xml:space="preserve"> (Dz. U. z 2014</w:t>
      </w:r>
      <w:r w:rsidR="009C1D74">
        <w:rPr>
          <w:sz w:val="20"/>
          <w:szCs w:val="20"/>
        </w:rPr>
        <w:t xml:space="preserve"> </w:t>
      </w:r>
      <w:r>
        <w:rPr>
          <w:sz w:val="20"/>
          <w:szCs w:val="20"/>
        </w:rPr>
        <w:t>r. poz.</w:t>
      </w:r>
      <w:r w:rsidR="009C1D74">
        <w:rPr>
          <w:sz w:val="20"/>
          <w:szCs w:val="20"/>
        </w:rPr>
        <w:t xml:space="preserve"> </w:t>
      </w:r>
      <w:r w:rsidRPr="00271DF3">
        <w:rPr>
          <w:sz w:val="20"/>
          <w:szCs w:val="20"/>
        </w:rPr>
        <w:t>133</w:t>
      </w:r>
      <w:r w:rsidR="00115305">
        <w:rPr>
          <w:sz w:val="20"/>
          <w:szCs w:val="20"/>
        </w:rPr>
        <w:t>, z późn. zm.</w:t>
      </w:r>
      <w:r w:rsidRPr="00271DF3">
        <w:rPr>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6C2" w:rsidRPr="00B371CC" w:rsidRDefault="007116C2" w:rsidP="00C921C1">
    <w:pPr>
      <w:pStyle w:val="Nagwek"/>
      <w:jc w:val="center"/>
    </w:pPr>
  </w:p>
  <w:p w:rsidR="007116C2" w:rsidRDefault="007116C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0EEE84"/>
    <w:lvl w:ilvl="0">
      <w:start w:val="1"/>
      <w:numFmt w:val="decimal"/>
      <w:lvlText w:val="%1."/>
      <w:lvlJc w:val="left"/>
      <w:pPr>
        <w:tabs>
          <w:tab w:val="num" w:pos="1492"/>
        </w:tabs>
        <w:ind w:left="1492" w:hanging="360"/>
      </w:pPr>
    </w:lvl>
  </w:abstractNum>
  <w:abstractNum w:abstractNumId="1">
    <w:nsid w:val="FFFFFF7D"/>
    <w:multiLevelType w:val="singleLevel"/>
    <w:tmpl w:val="1C38D222"/>
    <w:lvl w:ilvl="0">
      <w:start w:val="1"/>
      <w:numFmt w:val="decimal"/>
      <w:lvlText w:val="%1."/>
      <w:lvlJc w:val="left"/>
      <w:pPr>
        <w:tabs>
          <w:tab w:val="num" w:pos="1209"/>
        </w:tabs>
        <w:ind w:left="1209" w:hanging="360"/>
      </w:pPr>
    </w:lvl>
  </w:abstractNum>
  <w:abstractNum w:abstractNumId="2">
    <w:nsid w:val="FFFFFF7E"/>
    <w:multiLevelType w:val="singleLevel"/>
    <w:tmpl w:val="69B23806"/>
    <w:lvl w:ilvl="0">
      <w:start w:val="1"/>
      <w:numFmt w:val="decimal"/>
      <w:lvlText w:val="%1."/>
      <w:lvlJc w:val="left"/>
      <w:pPr>
        <w:tabs>
          <w:tab w:val="num" w:pos="926"/>
        </w:tabs>
        <w:ind w:left="926" w:hanging="360"/>
      </w:pPr>
    </w:lvl>
  </w:abstractNum>
  <w:abstractNum w:abstractNumId="3">
    <w:nsid w:val="FFFFFF7F"/>
    <w:multiLevelType w:val="singleLevel"/>
    <w:tmpl w:val="4C98C7E4"/>
    <w:lvl w:ilvl="0">
      <w:start w:val="1"/>
      <w:numFmt w:val="decimal"/>
      <w:lvlText w:val="%1."/>
      <w:lvlJc w:val="left"/>
      <w:pPr>
        <w:tabs>
          <w:tab w:val="num" w:pos="643"/>
        </w:tabs>
        <w:ind w:left="643" w:hanging="360"/>
      </w:pPr>
    </w:lvl>
  </w:abstractNum>
  <w:abstractNum w:abstractNumId="4">
    <w:nsid w:val="FFFFFF80"/>
    <w:multiLevelType w:val="singleLevel"/>
    <w:tmpl w:val="F342AEA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46AB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432BE0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4E8DA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1A0051A"/>
    <w:lvl w:ilvl="0">
      <w:start w:val="1"/>
      <w:numFmt w:val="decimal"/>
      <w:lvlText w:val="%1."/>
      <w:lvlJc w:val="left"/>
      <w:pPr>
        <w:tabs>
          <w:tab w:val="num" w:pos="360"/>
        </w:tabs>
        <w:ind w:left="360" w:hanging="360"/>
      </w:pPr>
    </w:lvl>
  </w:abstractNum>
  <w:abstractNum w:abstractNumId="9">
    <w:nsid w:val="FFFFFF89"/>
    <w:multiLevelType w:val="singleLevel"/>
    <w:tmpl w:val="5ED6D304"/>
    <w:lvl w:ilvl="0">
      <w:start w:val="1"/>
      <w:numFmt w:val="bullet"/>
      <w:lvlText w:val=""/>
      <w:lvlJc w:val="left"/>
      <w:pPr>
        <w:tabs>
          <w:tab w:val="num" w:pos="360"/>
        </w:tabs>
        <w:ind w:left="360" w:hanging="360"/>
      </w:pPr>
      <w:rPr>
        <w:rFonts w:ascii="Symbol" w:hAnsi="Symbol" w:hint="default"/>
      </w:rPr>
    </w:lvl>
  </w:abstractNum>
  <w:abstractNum w:abstractNumId="10">
    <w:nsid w:val="01BD59A0"/>
    <w:multiLevelType w:val="hybridMultilevel"/>
    <w:tmpl w:val="46601FBC"/>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05EC610B"/>
    <w:multiLevelType w:val="hybridMultilevel"/>
    <w:tmpl w:val="788C14B0"/>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07F03A47"/>
    <w:multiLevelType w:val="hybridMultilevel"/>
    <w:tmpl w:val="F40023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AF17175"/>
    <w:multiLevelType w:val="hybridMultilevel"/>
    <w:tmpl w:val="EF68243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10762750"/>
    <w:multiLevelType w:val="hybridMultilevel"/>
    <w:tmpl w:val="A906FF40"/>
    <w:lvl w:ilvl="0" w:tplc="8188D07A">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2C41C4B"/>
    <w:multiLevelType w:val="hybridMultilevel"/>
    <w:tmpl w:val="2FD8F0CE"/>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15545C34"/>
    <w:multiLevelType w:val="multilevel"/>
    <w:tmpl w:val="654CB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5E10A9C"/>
    <w:multiLevelType w:val="hybridMultilevel"/>
    <w:tmpl w:val="4C8AB6FA"/>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1668569F"/>
    <w:multiLevelType w:val="hybridMultilevel"/>
    <w:tmpl w:val="AE3477F6"/>
    <w:lvl w:ilvl="0" w:tplc="04150011">
      <w:start w:val="1"/>
      <w:numFmt w:val="decimal"/>
      <w:lvlText w:val="%1)"/>
      <w:lvlJc w:val="left"/>
      <w:pPr>
        <w:ind w:left="903" w:hanging="360"/>
      </w:pPr>
      <w:rPr>
        <w:rFonts w:cs="Times New Roman"/>
      </w:rPr>
    </w:lvl>
    <w:lvl w:ilvl="1" w:tplc="04150011">
      <w:start w:val="1"/>
      <w:numFmt w:val="decimal"/>
      <w:lvlText w:val="%2)"/>
      <w:lvlJc w:val="left"/>
      <w:pPr>
        <w:ind w:left="1623" w:hanging="360"/>
      </w:pPr>
      <w:rPr>
        <w:rFonts w:cs="Times New Roman"/>
      </w:rPr>
    </w:lvl>
    <w:lvl w:ilvl="2" w:tplc="0415001B" w:tentative="1">
      <w:start w:val="1"/>
      <w:numFmt w:val="lowerRoman"/>
      <w:lvlText w:val="%3."/>
      <w:lvlJc w:val="right"/>
      <w:pPr>
        <w:ind w:left="2343" w:hanging="180"/>
      </w:pPr>
      <w:rPr>
        <w:rFonts w:cs="Times New Roman"/>
      </w:rPr>
    </w:lvl>
    <w:lvl w:ilvl="3" w:tplc="0415000F" w:tentative="1">
      <w:start w:val="1"/>
      <w:numFmt w:val="decimal"/>
      <w:lvlText w:val="%4."/>
      <w:lvlJc w:val="left"/>
      <w:pPr>
        <w:ind w:left="3063" w:hanging="360"/>
      </w:pPr>
      <w:rPr>
        <w:rFonts w:cs="Times New Roman"/>
      </w:rPr>
    </w:lvl>
    <w:lvl w:ilvl="4" w:tplc="04150019" w:tentative="1">
      <w:start w:val="1"/>
      <w:numFmt w:val="lowerLetter"/>
      <w:lvlText w:val="%5."/>
      <w:lvlJc w:val="left"/>
      <w:pPr>
        <w:ind w:left="3783" w:hanging="360"/>
      </w:pPr>
      <w:rPr>
        <w:rFonts w:cs="Times New Roman"/>
      </w:rPr>
    </w:lvl>
    <w:lvl w:ilvl="5" w:tplc="0415001B" w:tentative="1">
      <w:start w:val="1"/>
      <w:numFmt w:val="lowerRoman"/>
      <w:lvlText w:val="%6."/>
      <w:lvlJc w:val="right"/>
      <w:pPr>
        <w:ind w:left="4503" w:hanging="180"/>
      </w:pPr>
      <w:rPr>
        <w:rFonts w:cs="Times New Roman"/>
      </w:rPr>
    </w:lvl>
    <w:lvl w:ilvl="6" w:tplc="0415000F" w:tentative="1">
      <w:start w:val="1"/>
      <w:numFmt w:val="decimal"/>
      <w:lvlText w:val="%7."/>
      <w:lvlJc w:val="left"/>
      <w:pPr>
        <w:ind w:left="5223" w:hanging="360"/>
      </w:pPr>
      <w:rPr>
        <w:rFonts w:cs="Times New Roman"/>
      </w:rPr>
    </w:lvl>
    <w:lvl w:ilvl="7" w:tplc="04150019" w:tentative="1">
      <w:start w:val="1"/>
      <w:numFmt w:val="lowerLetter"/>
      <w:lvlText w:val="%8."/>
      <w:lvlJc w:val="left"/>
      <w:pPr>
        <w:ind w:left="5943" w:hanging="360"/>
      </w:pPr>
      <w:rPr>
        <w:rFonts w:cs="Times New Roman"/>
      </w:rPr>
    </w:lvl>
    <w:lvl w:ilvl="8" w:tplc="0415001B" w:tentative="1">
      <w:start w:val="1"/>
      <w:numFmt w:val="lowerRoman"/>
      <w:lvlText w:val="%9."/>
      <w:lvlJc w:val="right"/>
      <w:pPr>
        <w:ind w:left="6663" w:hanging="180"/>
      </w:pPr>
      <w:rPr>
        <w:rFonts w:cs="Times New Roman"/>
      </w:rPr>
    </w:lvl>
  </w:abstractNum>
  <w:abstractNum w:abstractNumId="19">
    <w:nsid w:val="1EF67EFC"/>
    <w:multiLevelType w:val="hybridMultilevel"/>
    <w:tmpl w:val="B3E4CEB2"/>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0">
    <w:nsid w:val="1F105D4B"/>
    <w:multiLevelType w:val="hybridMultilevel"/>
    <w:tmpl w:val="C5D40D16"/>
    <w:lvl w:ilvl="0" w:tplc="04150017">
      <w:start w:val="1"/>
      <w:numFmt w:val="lowerLetter"/>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nsid w:val="28DE0624"/>
    <w:multiLevelType w:val="hybridMultilevel"/>
    <w:tmpl w:val="7ECAAD3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2A577D24"/>
    <w:multiLevelType w:val="multilevel"/>
    <w:tmpl w:val="654CB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E066712"/>
    <w:multiLevelType w:val="hybridMultilevel"/>
    <w:tmpl w:val="D0307134"/>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34F85993"/>
    <w:multiLevelType w:val="hybridMultilevel"/>
    <w:tmpl w:val="32C62EEE"/>
    <w:lvl w:ilvl="0" w:tplc="688E6C82">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52625E6"/>
    <w:multiLevelType w:val="hybridMultilevel"/>
    <w:tmpl w:val="2C065464"/>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nsid w:val="36005057"/>
    <w:multiLevelType w:val="hybridMultilevel"/>
    <w:tmpl w:val="772E969C"/>
    <w:lvl w:ilvl="0" w:tplc="04150017">
      <w:start w:val="1"/>
      <w:numFmt w:val="lowerLetter"/>
      <w:lvlText w:val="%1)"/>
      <w:lvlJc w:val="left"/>
      <w:pPr>
        <w:ind w:left="720" w:hanging="360"/>
      </w:pPr>
      <w:rPr>
        <w:rFonts w:cs="Times New Roman"/>
      </w:rPr>
    </w:lvl>
    <w:lvl w:ilvl="1" w:tplc="808033F2">
      <w:start w:val="1"/>
      <w:numFmt w:val="decimal"/>
      <w:lvlText w:val="%2)"/>
      <w:lvlJc w:val="left"/>
      <w:pPr>
        <w:ind w:left="1455" w:hanging="37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nsid w:val="3B1128F1"/>
    <w:multiLevelType w:val="hybridMultilevel"/>
    <w:tmpl w:val="C8C6E10A"/>
    <w:lvl w:ilvl="0" w:tplc="8188D07A">
      <w:start w:val="1"/>
      <w:numFmt w:val="bullet"/>
      <w:lvlText w:val="-"/>
      <w:lvlJc w:val="left"/>
      <w:pPr>
        <w:ind w:left="862"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3BC12B62"/>
    <w:multiLevelType w:val="hybridMultilevel"/>
    <w:tmpl w:val="2FB82E50"/>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nsid w:val="3C3618C9"/>
    <w:multiLevelType w:val="hybridMultilevel"/>
    <w:tmpl w:val="FE1CFCD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3EAF0358"/>
    <w:multiLevelType w:val="hybridMultilevel"/>
    <w:tmpl w:val="FA460B36"/>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nsid w:val="43EB441C"/>
    <w:multiLevelType w:val="hybridMultilevel"/>
    <w:tmpl w:val="34C4C48C"/>
    <w:lvl w:ilvl="0" w:tplc="04150017">
      <w:start w:val="1"/>
      <w:numFmt w:val="lowerLetter"/>
      <w:lvlText w:val="%1)"/>
      <w:lvlJc w:val="left"/>
      <w:pPr>
        <w:ind w:left="862" w:hanging="360"/>
      </w:pPr>
      <w:rPr>
        <w:rFonts w:cs="Times New Roman"/>
      </w:rPr>
    </w:lvl>
    <w:lvl w:ilvl="1" w:tplc="04150019" w:tentative="1">
      <w:start w:val="1"/>
      <w:numFmt w:val="lowerLetter"/>
      <w:lvlText w:val="%2."/>
      <w:lvlJc w:val="left"/>
      <w:pPr>
        <w:ind w:left="1582" w:hanging="360"/>
      </w:pPr>
      <w:rPr>
        <w:rFonts w:cs="Times New Roman"/>
      </w:rPr>
    </w:lvl>
    <w:lvl w:ilvl="2" w:tplc="0415001B" w:tentative="1">
      <w:start w:val="1"/>
      <w:numFmt w:val="lowerRoman"/>
      <w:lvlText w:val="%3."/>
      <w:lvlJc w:val="right"/>
      <w:pPr>
        <w:ind w:left="2302" w:hanging="180"/>
      </w:pPr>
      <w:rPr>
        <w:rFonts w:cs="Times New Roman"/>
      </w:rPr>
    </w:lvl>
    <w:lvl w:ilvl="3" w:tplc="0415000F" w:tentative="1">
      <w:start w:val="1"/>
      <w:numFmt w:val="decimal"/>
      <w:lvlText w:val="%4."/>
      <w:lvlJc w:val="left"/>
      <w:pPr>
        <w:ind w:left="3022" w:hanging="360"/>
      </w:pPr>
      <w:rPr>
        <w:rFonts w:cs="Times New Roman"/>
      </w:rPr>
    </w:lvl>
    <w:lvl w:ilvl="4" w:tplc="04150019" w:tentative="1">
      <w:start w:val="1"/>
      <w:numFmt w:val="lowerLetter"/>
      <w:lvlText w:val="%5."/>
      <w:lvlJc w:val="left"/>
      <w:pPr>
        <w:ind w:left="3742" w:hanging="360"/>
      </w:pPr>
      <w:rPr>
        <w:rFonts w:cs="Times New Roman"/>
      </w:rPr>
    </w:lvl>
    <w:lvl w:ilvl="5" w:tplc="0415001B" w:tentative="1">
      <w:start w:val="1"/>
      <w:numFmt w:val="lowerRoman"/>
      <w:lvlText w:val="%6."/>
      <w:lvlJc w:val="right"/>
      <w:pPr>
        <w:ind w:left="4462" w:hanging="180"/>
      </w:pPr>
      <w:rPr>
        <w:rFonts w:cs="Times New Roman"/>
      </w:rPr>
    </w:lvl>
    <w:lvl w:ilvl="6" w:tplc="0415000F" w:tentative="1">
      <w:start w:val="1"/>
      <w:numFmt w:val="decimal"/>
      <w:lvlText w:val="%7."/>
      <w:lvlJc w:val="left"/>
      <w:pPr>
        <w:ind w:left="5182" w:hanging="360"/>
      </w:pPr>
      <w:rPr>
        <w:rFonts w:cs="Times New Roman"/>
      </w:rPr>
    </w:lvl>
    <w:lvl w:ilvl="7" w:tplc="04150019" w:tentative="1">
      <w:start w:val="1"/>
      <w:numFmt w:val="lowerLetter"/>
      <w:lvlText w:val="%8."/>
      <w:lvlJc w:val="left"/>
      <w:pPr>
        <w:ind w:left="5902" w:hanging="360"/>
      </w:pPr>
      <w:rPr>
        <w:rFonts w:cs="Times New Roman"/>
      </w:rPr>
    </w:lvl>
    <w:lvl w:ilvl="8" w:tplc="0415001B" w:tentative="1">
      <w:start w:val="1"/>
      <w:numFmt w:val="lowerRoman"/>
      <w:lvlText w:val="%9."/>
      <w:lvlJc w:val="right"/>
      <w:pPr>
        <w:ind w:left="6622" w:hanging="180"/>
      </w:pPr>
      <w:rPr>
        <w:rFonts w:cs="Times New Roman"/>
      </w:rPr>
    </w:lvl>
  </w:abstractNum>
  <w:abstractNum w:abstractNumId="37">
    <w:nsid w:val="48215AC9"/>
    <w:multiLevelType w:val="hybridMultilevel"/>
    <w:tmpl w:val="22E88556"/>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48FB1602"/>
    <w:multiLevelType w:val="hybridMultilevel"/>
    <w:tmpl w:val="0B90D2B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40">
    <w:nsid w:val="51740FAC"/>
    <w:multiLevelType w:val="hybridMultilevel"/>
    <w:tmpl w:val="E478509C"/>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nsid w:val="522527E5"/>
    <w:multiLevelType w:val="hybridMultilevel"/>
    <w:tmpl w:val="4BE60C14"/>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nsid w:val="582254C6"/>
    <w:multiLevelType w:val="multilevel"/>
    <w:tmpl w:val="098ECBFA"/>
    <w:lvl w:ilvl="0">
      <w:start w:val="1"/>
      <w:numFmt w:val="decimal"/>
      <w:lvlText w:val="%1."/>
      <w:lvlJc w:val="left"/>
      <w:pPr>
        <w:tabs>
          <w:tab w:val="num" w:pos="502"/>
        </w:tabs>
        <w:ind w:left="502" w:hanging="360"/>
      </w:pPr>
    </w:lvl>
    <w:lvl w:ilvl="1">
      <w:start w:val="1"/>
      <w:numFmt w:val="lowerLetter"/>
      <w:lvlText w:val="%2."/>
      <w:lvlJc w:val="left"/>
      <w:pPr>
        <w:tabs>
          <w:tab w:val="num" w:pos="1222"/>
        </w:tabs>
        <w:ind w:left="1222" w:hanging="360"/>
      </w:pPr>
    </w:lvl>
    <w:lvl w:ilvl="2" w:tentative="1">
      <w:start w:val="1"/>
      <w:numFmt w:val="lowerRoman"/>
      <w:lvlText w:val="%3."/>
      <w:lvlJc w:val="right"/>
      <w:pPr>
        <w:tabs>
          <w:tab w:val="num" w:pos="1942"/>
        </w:tabs>
        <w:ind w:left="1942" w:hanging="180"/>
      </w:pPr>
    </w:lvl>
    <w:lvl w:ilvl="3" w:tentative="1">
      <w:start w:val="1"/>
      <w:numFmt w:val="decimal"/>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Roman"/>
      <w:lvlText w:val="%6."/>
      <w:lvlJc w:val="right"/>
      <w:pPr>
        <w:tabs>
          <w:tab w:val="num" w:pos="4102"/>
        </w:tabs>
        <w:ind w:left="4102" w:hanging="180"/>
      </w:pPr>
    </w:lvl>
    <w:lvl w:ilvl="6" w:tentative="1">
      <w:start w:val="1"/>
      <w:numFmt w:val="decimal"/>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43">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44">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5">
    <w:nsid w:val="5F5170EA"/>
    <w:multiLevelType w:val="hybridMultilevel"/>
    <w:tmpl w:val="1FE88D3C"/>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60016347"/>
    <w:multiLevelType w:val="hybridMultilevel"/>
    <w:tmpl w:val="B8BC86EC"/>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nsid w:val="65441CDC"/>
    <w:multiLevelType w:val="hybridMultilevel"/>
    <w:tmpl w:val="D974F17A"/>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6BAD26E5"/>
    <w:multiLevelType w:val="hybridMultilevel"/>
    <w:tmpl w:val="D846B2AE"/>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nsid w:val="6D313E3B"/>
    <w:multiLevelType w:val="hybridMultilevel"/>
    <w:tmpl w:val="032CFF3E"/>
    <w:lvl w:ilvl="0" w:tplc="FBD6E1C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51">
    <w:nsid w:val="726567A1"/>
    <w:multiLevelType w:val="hybridMultilevel"/>
    <w:tmpl w:val="E7D67878"/>
    <w:lvl w:ilvl="0" w:tplc="04150017">
      <w:start w:val="1"/>
      <w:numFmt w:val="lowerLetter"/>
      <w:lvlText w:val="%1)"/>
      <w:lvlJc w:val="left"/>
      <w:pPr>
        <w:ind w:left="862" w:hanging="360"/>
      </w:pPr>
      <w:rPr>
        <w:rFonts w:cs="Times New Roman"/>
      </w:rPr>
    </w:lvl>
    <w:lvl w:ilvl="1" w:tplc="F5486F80">
      <w:start w:val="1"/>
      <w:numFmt w:val="decimal"/>
      <w:lvlText w:val="%2)"/>
      <w:lvlJc w:val="left"/>
      <w:pPr>
        <w:ind w:left="1597" w:hanging="375"/>
      </w:pPr>
      <w:rPr>
        <w:rFonts w:cs="Times New Roman" w:hint="default"/>
      </w:rPr>
    </w:lvl>
    <w:lvl w:ilvl="2" w:tplc="0415001B" w:tentative="1">
      <w:start w:val="1"/>
      <w:numFmt w:val="lowerRoman"/>
      <w:lvlText w:val="%3."/>
      <w:lvlJc w:val="right"/>
      <w:pPr>
        <w:ind w:left="2302" w:hanging="180"/>
      </w:pPr>
      <w:rPr>
        <w:rFonts w:cs="Times New Roman"/>
      </w:rPr>
    </w:lvl>
    <w:lvl w:ilvl="3" w:tplc="0415000F" w:tentative="1">
      <w:start w:val="1"/>
      <w:numFmt w:val="decimal"/>
      <w:lvlText w:val="%4."/>
      <w:lvlJc w:val="left"/>
      <w:pPr>
        <w:ind w:left="3022" w:hanging="360"/>
      </w:pPr>
      <w:rPr>
        <w:rFonts w:cs="Times New Roman"/>
      </w:rPr>
    </w:lvl>
    <w:lvl w:ilvl="4" w:tplc="04150019" w:tentative="1">
      <w:start w:val="1"/>
      <w:numFmt w:val="lowerLetter"/>
      <w:lvlText w:val="%5."/>
      <w:lvlJc w:val="left"/>
      <w:pPr>
        <w:ind w:left="3742" w:hanging="360"/>
      </w:pPr>
      <w:rPr>
        <w:rFonts w:cs="Times New Roman"/>
      </w:rPr>
    </w:lvl>
    <w:lvl w:ilvl="5" w:tplc="0415001B" w:tentative="1">
      <w:start w:val="1"/>
      <w:numFmt w:val="lowerRoman"/>
      <w:lvlText w:val="%6."/>
      <w:lvlJc w:val="right"/>
      <w:pPr>
        <w:ind w:left="4462" w:hanging="180"/>
      </w:pPr>
      <w:rPr>
        <w:rFonts w:cs="Times New Roman"/>
      </w:rPr>
    </w:lvl>
    <w:lvl w:ilvl="6" w:tplc="0415000F" w:tentative="1">
      <w:start w:val="1"/>
      <w:numFmt w:val="decimal"/>
      <w:lvlText w:val="%7."/>
      <w:lvlJc w:val="left"/>
      <w:pPr>
        <w:ind w:left="5182" w:hanging="360"/>
      </w:pPr>
      <w:rPr>
        <w:rFonts w:cs="Times New Roman"/>
      </w:rPr>
    </w:lvl>
    <w:lvl w:ilvl="7" w:tplc="04150019" w:tentative="1">
      <w:start w:val="1"/>
      <w:numFmt w:val="lowerLetter"/>
      <w:lvlText w:val="%8."/>
      <w:lvlJc w:val="left"/>
      <w:pPr>
        <w:ind w:left="5902" w:hanging="360"/>
      </w:pPr>
      <w:rPr>
        <w:rFonts w:cs="Times New Roman"/>
      </w:rPr>
    </w:lvl>
    <w:lvl w:ilvl="8" w:tplc="0415001B" w:tentative="1">
      <w:start w:val="1"/>
      <w:numFmt w:val="lowerRoman"/>
      <w:lvlText w:val="%9."/>
      <w:lvlJc w:val="right"/>
      <w:pPr>
        <w:ind w:left="6622" w:hanging="180"/>
      </w:pPr>
      <w:rPr>
        <w:rFonts w:cs="Times New Roman"/>
      </w:rPr>
    </w:lvl>
  </w:abstractNum>
  <w:abstractNum w:abstractNumId="52">
    <w:nsid w:val="752A13B5"/>
    <w:multiLevelType w:val="hybridMultilevel"/>
    <w:tmpl w:val="48DED674"/>
    <w:lvl w:ilvl="0" w:tplc="D60E955E">
      <w:start w:val="1"/>
      <w:numFmt w:val="decimal"/>
      <w:lvlText w:val="%1)"/>
      <w:lvlJc w:val="left"/>
      <w:pPr>
        <w:tabs>
          <w:tab w:val="num" w:pos="567"/>
        </w:tabs>
        <w:ind w:left="0" w:firstLine="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nsid w:val="770C4F29"/>
    <w:multiLevelType w:val="hybridMultilevel"/>
    <w:tmpl w:val="60922540"/>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nsid w:val="79D77B05"/>
    <w:multiLevelType w:val="hybridMultilevel"/>
    <w:tmpl w:val="82D0D958"/>
    <w:lvl w:ilvl="0" w:tplc="04150011">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1"/>
  </w:num>
  <w:num w:numId="2">
    <w:abstractNumId w:val="34"/>
  </w:num>
  <w:num w:numId="3">
    <w:abstractNumId w:val="51"/>
  </w:num>
  <w:num w:numId="4">
    <w:abstractNumId w:val="29"/>
  </w:num>
  <w:num w:numId="5">
    <w:abstractNumId w:val="32"/>
  </w:num>
  <w:num w:numId="6">
    <w:abstractNumId w:val="35"/>
  </w:num>
  <w:num w:numId="7">
    <w:abstractNumId w:val="33"/>
  </w:num>
  <w:num w:numId="8">
    <w:abstractNumId w:val="37"/>
  </w:num>
  <w:num w:numId="9">
    <w:abstractNumId w:val="48"/>
  </w:num>
  <w:num w:numId="10">
    <w:abstractNumId w:val="54"/>
  </w:num>
  <w:num w:numId="11">
    <w:abstractNumId w:val="47"/>
  </w:num>
  <w:num w:numId="12">
    <w:abstractNumId w:val="13"/>
  </w:num>
  <w:num w:numId="13">
    <w:abstractNumId w:val="10"/>
  </w:num>
  <w:num w:numId="14">
    <w:abstractNumId w:val="20"/>
  </w:num>
  <w:num w:numId="15">
    <w:abstractNumId w:val="19"/>
  </w:num>
  <w:num w:numId="16">
    <w:abstractNumId w:val="18"/>
  </w:num>
  <w:num w:numId="17">
    <w:abstractNumId w:val="36"/>
  </w:num>
  <w:num w:numId="18">
    <w:abstractNumId w:val="24"/>
  </w:num>
  <w:num w:numId="19">
    <w:abstractNumId w:val="53"/>
  </w:num>
  <w:num w:numId="20">
    <w:abstractNumId w:val="41"/>
  </w:num>
  <w:num w:numId="21">
    <w:abstractNumId w:val="40"/>
  </w:num>
  <w:num w:numId="22">
    <w:abstractNumId w:val="11"/>
  </w:num>
  <w:num w:numId="23">
    <w:abstractNumId w:val="26"/>
  </w:num>
  <w:num w:numId="24">
    <w:abstractNumId w:val="45"/>
  </w:num>
  <w:num w:numId="25">
    <w:abstractNumId w:val="46"/>
  </w:num>
  <w:num w:numId="26">
    <w:abstractNumId w:val="28"/>
  </w:num>
  <w:num w:numId="27">
    <w:abstractNumId w:val="15"/>
  </w:num>
  <w:num w:numId="28">
    <w:abstractNumId w:val="38"/>
  </w:num>
  <w:num w:numId="29">
    <w:abstractNumId w:val="17"/>
  </w:num>
  <w:num w:numId="30">
    <w:abstractNumId w:val="8"/>
  </w:num>
  <w:num w:numId="31">
    <w:abstractNumId w:val="3"/>
  </w:num>
  <w:num w:numId="32">
    <w:abstractNumId w:val="2"/>
  </w:num>
  <w:num w:numId="33">
    <w:abstractNumId w:val="1"/>
  </w:num>
  <w:num w:numId="34">
    <w:abstractNumId w:val="0"/>
  </w:num>
  <w:num w:numId="35">
    <w:abstractNumId w:val="9"/>
  </w:num>
  <w:num w:numId="36">
    <w:abstractNumId w:val="7"/>
  </w:num>
  <w:num w:numId="37">
    <w:abstractNumId w:val="6"/>
  </w:num>
  <w:num w:numId="38">
    <w:abstractNumId w:val="5"/>
  </w:num>
  <w:num w:numId="39">
    <w:abstractNumId w:val="4"/>
  </w:num>
  <w:num w:numId="40">
    <w:abstractNumId w:val="52"/>
  </w:num>
  <w:num w:numId="41">
    <w:abstractNumId w:val="21"/>
  </w:num>
  <w:num w:numId="42">
    <w:abstractNumId w:val="30"/>
  </w:num>
  <w:num w:numId="43">
    <w:abstractNumId w:val="22"/>
  </w:num>
  <w:num w:numId="44">
    <w:abstractNumId w:val="39"/>
  </w:num>
  <w:num w:numId="45">
    <w:abstractNumId w:val="43"/>
  </w:num>
  <w:num w:numId="46">
    <w:abstractNumId w:val="23"/>
  </w:num>
  <w:num w:numId="47">
    <w:abstractNumId w:val="50"/>
  </w:num>
  <w:num w:numId="48">
    <w:abstractNumId w:val="44"/>
  </w:num>
  <w:num w:numId="49">
    <w:abstractNumId w:val="12"/>
  </w:num>
  <w:num w:numId="50">
    <w:abstractNumId w:val="49"/>
  </w:num>
  <w:num w:numId="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num>
  <w:num w:numId="53">
    <w:abstractNumId w:val="27"/>
  </w:num>
  <w:num w:numId="54">
    <w:abstractNumId w:val="25"/>
  </w:num>
  <w:num w:numId="55">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EF5"/>
    <w:rsid w:val="00012A6A"/>
    <w:rsid w:val="000200C6"/>
    <w:rsid w:val="00020DCB"/>
    <w:rsid w:val="000276E3"/>
    <w:rsid w:val="00044EC7"/>
    <w:rsid w:val="00062DA9"/>
    <w:rsid w:val="00063EAD"/>
    <w:rsid w:val="00071B9F"/>
    <w:rsid w:val="00077892"/>
    <w:rsid w:val="0008166A"/>
    <w:rsid w:val="000850EF"/>
    <w:rsid w:val="0008780D"/>
    <w:rsid w:val="00091A9A"/>
    <w:rsid w:val="00091FE8"/>
    <w:rsid w:val="00094C8C"/>
    <w:rsid w:val="000A1F58"/>
    <w:rsid w:val="000A3585"/>
    <w:rsid w:val="000A394B"/>
    <w:rsid w:val="000A7991"/>
    <w:rsid w:val="000B0D63"/>
    <w:rsid w:val="000B16FB"/>
    <w:rsid w:val="000B57B2"/>
    <w:rsid w:val="000C15A2"/>
    <w:rsid w:val="000C3EA1"/>
    <w:rsid w:val="000C41DE"/>
    <w:rsid w:val="000D21EB"/>
    <w:rsid w:val="000E25F3"/>
    <w:rsid w:val="000E4504"/>
    <w:rsid w:val="000F2564"/>
    <w:rsid w:val="000F388E"/>
    <w:rsid w:val="000F6238"/>
    <w:rsid w:val="001041E2"/>
    <w:rsid w:val="0011039A"/>
    <w:rsid w:val="00115305"/>
    <w:rsid w:val="00125FEA"/>
    <w:rsid w:val="00131286"/>
    <w:rsid w:val="001328B2"/>
    <w:rsid w:val="001330C9"/>
    <w:rsid w:val="001602E6"/>
    <w:rsid w:val="00177D61"/>
    <w:rsid w:val="00183C68"/>
    <w:rsid w:val="00185D39"/>
    <w:rsid w:val="00190971"/>
    <w:rsid w:val="00194D07"/>
    <w:rsid w:val="001A0B47"/>
    <w:rsid w:val="001A35AE"/>
    <w:rsid w:val="001B3254"/>
    <w:rsid w:val="001C1691"/>
    <w:rsid w:val="001C7797"/>
    <w:rsid w:val="001C79F7"/>
    <w:rsid w:val="001D2E5C"/>
    <w:rsid w:val="001E041C"/>
    <w:rsid w:val="001E740E"/>
    <w:rsid w:val="001F0D55"/>
    <w:rsid w:val="001F440A"/>
    <w:rsid w:val="00220D6C"/>
    <w:rsid w:val="002357E8"/>
    <w:rsid w:val="00245680"/>
    <w:rsid w:val="00245C73"/>
    <w:rsid w:val="00246D26"/>
    <w:rsid w:val="00253313"/>
    <w:rsid w:val="0025590B"/>
    <w:rsid w:val="00271DF3"/>
    <w:rsid w:val="00282997"/>
    <w:rsid w:val="002832DE"/>
    <w:rsid w:val="00286C69"/>
    <w:rsid w:val="002910D1"/>
    <w:rsid w:val="00291CE1"/>
    <w:rsid w:val="002969A8"/>
    <w:rsid w:val="002A156E"/>
    <w:rsid w:val="002B28D7"/>
    <w:rsid w:val="002B3504"/>
    <w:rsid w:val="002C0EB8"/>
    <w:rsid w:val="002C1BB4"/>
    <w:rsid w:val="002D2460"/>
    <w:rsid w:val="002D2CD6"/>
    <w:rsid w:val="002D3925"/>
    <w:rsid w:val="002D7A6D"/>
    <w:rsid w:val="002E1E9E"/>
    <w:rsid w:val="002E3E74"/>
    <w:rsid w:val="002F3CBF"/>
    <w:rsid w:val="00301FAD"/>
    <w:rsid w:val="00302816"/>
    <w:rsid w:val="0030606D"/>
    <w:rsid w:val="003161C9"/>
    <w:rsid w:val="0031702E"/>
    <w:rsid w:val="0032360E"/>
    <w:rsid w:val="00331836"/>
    <w:rsid w:val="00332A7B"/>
    <w:rsid w:val="00336A96"/>
    <w:rsid w:val="00337AF0"/>
    <w:rsid w:val="00346B7F"/>
    <w:rsid w:val="00346F7F"/>
    <w:rsid w:val="003470BC"/>
    <w:rsid w:val="00352E77"/>
    <w:rsid w:val="00353072"/>
    <w:rsid w:val="00360806"/>
    <w:rsid w:val="00364D6E"/>
    <w:rsid w:val="00371116"/>
    <w:rsid w:val="003800FF"/>
    <w:rsid w:val="00385406"/>
    <w:rsid w:val="00386962"/>
    <w:rsid w:val="0039011D"/>
    <w:rsid w:val="003909F0"/>
    <w:rsid w:val="00391445"/>
    <w:rsid w:val="003A0453"/>
    <w:rsid w:val="003A453B"/>
    <w:rsid w:val="003B610C"/>
    <w:rsid w:val="003E51EC"/>
    <w:rsid w:val="003F6CBA"/>
    <w:rsid w:val="00410C01"/>
    <w:rsid w:val="0041797D"/>
    <w:rsid w:val="0042090B"/>
    <w:rsid w:val="0042189D"/>
    <w:rsid w:val="00432D7C"/>
    <w:rsid w:val="004363BA"/>
    <w:rsid w:val="00436D09"/>
    <w:rsid w:val="00437D6B"/>
    <w:rsid w:val="00441B9F"/>
    <w:rsid w:val="00441FB8"/>
    <w:rsid w:val="004457B5"/>
    <w:rsid w:val="00453DF3"/>
    <w:rsid w:val="00457B2A"/>
    <w:rsid w:val="00463505"/>
    <w:rsid w:val="00470F36"/>
    <w:rsid w:val="00476F1E"/>
    <w:rsid w:val="00481933"/>
    <w:rsid w:val="00494848"/>
    <w:rsid w:val="004966E9"/>
    <w:rsid w:val="004A27F1"/>
    <w:rsid w:val="004B0D50"/>
    <w:rsid w:val="004B4CFF"/>
    <w:rsid w:val="004C3BEE"/>
    <w:rsid w:val="004C4D96"/>
    <w:rsid w:val="004E1CB3"/>
    <w:rsid w:val="004E353E"/>
    <w:rsid w:val="004E439D"/>
    <w:rsid w:val="004E4595"/>
    <w:rsid w:val="004F5B84"/>
    <w:rsid w:val="00503CE8"/>
    <w:rsid w:val="00505EC3"/>
    <w:rsid w:val="00507517"/>
    <w:rsid w:val="005126F0"/>
    <w:rsid w:val="00522023"/>
    <w:rsid w:val="0052425C"/>
    <w:rsid w:val="00530B59"/>
    <w:rsid w:val="00536E03"/>
    <w:rsid w:val="00536E29"/>
    <w:rsid w:val="00540FA6"/>
    <w:rsid w:val="00543FDB"/>
    <w:rsid w:val="00545878"/>
    <w:rsid w:val="0056125F"/>
    <w:rsid w:val="005632E1"/>
    <w:rsid w:val="00563DBF"/>
    <w:rsid w:val="00564B54"/>
    <w:rsid w:val="00570886"/>
    <w:rsid w:val="00571365"/>
    <w:rsid w:val="0057555F"/>
    <w:rsid w:val="00576ABB"/>
    <w:rsid w:val="00594614"/>
    <w:rsid w:val="00595873"/>
    <w:rsid w:val="005A2D7A"/>
    <w:rsid w:val="005A408F"/>
    <w:rsid w:val="005A7EE4"/>
    <w:rsid w:val="005C1712"/>
    <w:rsid w:val="005C4BA1"/>
    <w:rsid w:val="005D3D42"/>
    <w:rsid w:val="005D52C4"/>
    <w:rsid w:val="005D6C5E"/>
    <w:rsid w:val="005D71B0"/>
    <w:rsid w:val="005E2FD4"/>
    <w:rsid w:val="005E4B5F"/>
    <w:rsid w:val="005F001F"/>
    <w:rsid w:val="005F0052"/>
    <w:rsid w:val="006006A0"/>
    <w:rsid w:val="006040A1"/>
    <w:rsid w:val="00604614"/>
    <w:rsid w:val="00606FDA"/>
    <w:rsid w:val="006150AC"/>
    <w:rsid w:val="006157F7"/>
    <w:rsid w:val="00620370"/>
    <w:rsid w:val="00625CF0"/>
    <w:rsid w:val="00632C3C"/>
    <w:rsid w:val="00650DDC"/>
    <w:rsid w:val="0065634C"/>
    <w:rsid w:val="00657A05"/>
    <w:rsid w:val="00664DC5"/>
    <w:rsid w:val="006657C1"/>
    <w:rsid w:val="00666913"/>
    <w:rsid w:val="006806B0"/>
    <w:rsid w:val="00680E8D"/>
    <w:rsid w:val="0068221B"/>
    <w:rsid w:val="00683FB4"/>
    <w:rsid w:val="00690784"/>
    <w:rsid w:val="006A3B3E"/>
    <w:rsid w:val="006A6BF1"/>
    <w:rsid w:val="006B1543"/>
    <w:rsid w:val="006B2DE2"/>
    <w:rsid w:val="006B3B49"/>
    <w:rsid w:val="006D1894"/>
    <w:rsid w:val="006F18C5"/>
    <w:rsid w:val="006F2D3D"/>
    <w:rsid w:val="006F4193"/>
    <w:rsid w:val="006F76DC"/>
    <w:rsid w:val="00700C6E"/>
    <w:rsid w:val="007019AA"/>
    <w:rsid w:val="007108A0"/>
    <w:rsid w:val="007116C2"/>
    <w:rsid w:val="00715F42"/>
    <w:rsid w:val="00731C95"/>
    <w:rsid w:val="00746438"/>
    <w:rsid w:val="00753EA5"/>
    <w:rsid w:val="00762A73"/>
    <w:rsid w:val="00762DF4"/>
    <w:rsid w:val="0077100A"/>
    <w:rsid w:val="00773531"/>
    <w:rsid w:val="007741EF"/>
    <w:rsid w:val="007A04E0"/>
    <w:rsid w:val="007A06EA"/>
    <w:rsid w:val="007B1B38"/>
    <w:rsid w:val="007B2ED3"/>
    <w:rsid w:val="007B50A4"/>
    <w:rsid w:val="007B52BE"/>
    <w:rsid w:val="007C44C0"/>
    <w:rsid w:val="007D7902"/>
    <w:rsid w:val="007E34DA"/>
    <w:rsid w:val="007E4425"/>
    <w:rsid w:val="007E681A"/>
    <w:rsid w:val="007F2BD4"/>
    <w:rsid w:val="007F440A"/>
    <w:rsid w:val="007F6685"/>
    <w:rsid w:val="00800E3A"/>
    <w:rsid w:val="008105AA"/>
    <w:rsid w:val="0081361C"/>
    <w:rsid w:val="00814D11"/>
    <w:rsid w:val="00822017"/>
    <w:rsid w:val="0082386F"/>
    <w:rsid w:val="00826B3E"/>
    <w:rsid w:val="00827401"/>
    <w:rsid w:val="00831630"/>
    <w:rsid w:val="00845341"/>
    <w:rsid w:val="00850E2E"/>
    <w:rsid w:val="00851C1A"/>
    <w:rsid w:val="00861D1F"/>
    <w:rsid w:val="00866804"/>
    <w:rsid w:val="008728C2"/>
    <w:rsid w:val="00875B8E"/>
    <w:rsid w:val="00877C28"/>
    <w:rsid w:val="00881435"/>
    <w:rsid w:val="00883441"/>
    <w:rsid w:val="0088354E"/>
    <w:rsid w:val="008876DD"/>
    <w:rsid w:val="00887A8B"/>
    <w:rsid w:val="008A3EB1"/>
    <w:rsid w:val="008A57EB"/>
    <w:rsid w:val="008A77FB"/>
    <w:rsid w:val="008B13D7"/>
    <w:rsid w:val="008C04AE"/>
    <w:rsid w:val="008C3744"/>
    <w:rsid w:val="008C5BD1"/>
    <w:rsid w:val="008D2FAD"/>
    <w:rsid w:val="008E3506"/>
    <w:rsid w:val="008E7129"/>
    <w:rsid w:val="008F6047"/>
    <w:rsid w:val="00923677"/>
    <w:rsid w:val="00924765"/>
    <w:rsid w:val="00927383"/>
    <w:rsid w:val="00927A8D"/>
    <w:rsid w:val="00933E91"/>
    <w:rsid w:val="00940A96"/>
    <w:rsid w:val="00951466"/>
    <w:rsid w:val="009613A1"/>
    <w:rsid w:val="00964ECE"/>
    <w:rsid w:val="009655EE"/>
    <w:rsid w:val="00966BBA"/>
    <w:rsid w:val="0097274D"/>
    <w:rsid w:val="00972A14"/>
    <w:rsid w:val="00975773"/>
    <w:rsid w:val="0097793E"/>
    <w:rsid w:val="00984D24"/>
    <w:rsid w:val="00984F81"/>
    <w:rsid w:val="00986E88"/>
    <w:rsid w:val="00991C65"/>
    <w:rsid w:val="009945BD"/>
    <w:rsid w:val="009A25D6"/>
    <w:rsid w:val="009A33DE"/>
    <w:rsid w:val="009A72B1"/>
    <w:rsid w:val="009A73B5"/>
    <w:rsid w:val="009B2CE4"/>
    <w:rsid w:val="009C1D74"/>
    <w:rsid w:val="009C20F2"/>
    <w:rsid w:val="009D5309"/>
    <w:rsid w:val="009F03B1"/>
    <w:rsid w:val="009F131A"/>
    <w:rsid w:val="009F5F25"/>
    <w:rsid w:val="00A00562"/>
    <w:rsid w:val="00A01C12"/>
    <w:rsid w:val="00A06995"/>
    <w:rsid w:val="00A1144F"/>
    <w:rsid w:val="00A16B19"/>
    <w:rsid w:val="00A21EAE"/>
    <w:rsid w:val="00A225EC"/>
    <w:rsid w:val="00A264A2"/>
    <w:rsid w:val="00A33032"/>
    <w:rsid w:val="00A416C7"/>
    <w:rsid w:val="00A41875"/>
    <w:rsid w:val="00A4218E"/>
    <w:rsid w:val="00A42541"/>
    <w:rsid w:val="00A44EF4"/>
    <w:rsid w:val="00A60E08"/>
    <w:rsid w:val="00A66FDB"/>
    <w:rsid w:val="00A70A8A"/>
    <w:rsid w:val="00A73D18"/>
    <w:rsid w:val="00A75FEC"/>
    <w:rsid w:val="00A835C2"/>
    <w:rsid w:val="00A83C73"/>
    <w:rsid w:val="00A84E07"/>
    <w:rsid w:val="00A86CC7"/>
    <w:rsid w:val="00A919F8"/>
    <w:rsid w:val="00A92317"/>
    <w:rsid w:val="00A96244"/>
    <w:rsid w:val="00A9780C"/>
    <w:rsid w:val="00A97E2A"/>
    <w:rsid w:val="00AC3814"/>
    <w:rsid w:val="00AC640A"/>
    <w:rsid w:val="00AD33D0"/>
    <w:rsid w:val="00AD51BE"/>
    <w:rsid w:val="00AF2598"/>
    <w:rsid w:val="00B00C34"/>
    <w:rsid w:val="00B02EAB"/>
    <w:rsid w:val="00B031BE"/>
    <w:rsid w:val="00B07B6C"/>
    <w:rsid w:val="00B213C6"/>
    <w:rsid w:val="00B24A18"/>
    <w:rsid w:val="00B25D80"/>
    <w:rsid w:val="00B37CB8"/>
    <w:rsid w:val="00B4110E"/>
    <w:rsid w:val="00B4123C"/>
    <w:rsid w:val="00B5348C"/>
    <w:rsid w:val="00B80FD4"/>
    <w:rsid w:val="00B9103E"/>
    <w:rsid w:val="00BA02D6"/>
    <w:rsid w:val="00BA5B7B"/>
    <w:rsid w:val="00BA7515"/>
    <w:rsid w:val="00BC1969"/>
    <w:rsid w:val="00BC6324"/>
    <w:rsid w:val="00BD7D89"/>
    <w:rsid w:val="00BE4E1B"/>
    <w:rsid w:val="00BF1F64"/>
    <w:rsid w:val="00BF46C1"/>
    <w:rsid w:val="00BF64E4"/>
    <w:rsid w:val="00C037CA"/>
    <w:rsid w:val="00C16AB6"/>
    <w:rsid w:val="00C26240"/>
    <w:rsid w:val="00C303F3"/>
    <w:rsid w:val="00C3791E"/>
    <w:rsid w:val="00C43194"/>
    <w:rsid w:val="00C4325C"/>
    <w:rsid w:val="00C53608"/>
    <w:rsid w:val="00C55831"/>
    <w:rsid w:val="00C701C2"/>
    <w:rsid w:val="00C75ECC"/>
    <w:rsid w:val="00C761E9"/>
    <w:rsid w:val="00C81AA4"/>
    <w:rsid w:val="00C8259F"/>
    <w:rsid w:val="00C86090"/>
    <w:rsid w:val="00C867C6"/>
    <w:rsid w:val="00C8707D"/>
    <w:rsid w:val="00C921C1"/>
    <w:rsid w:val="00C95AB9"/>
    <w:rsid w:val="00C9640A"/>
    <w:rsid w:val="00C96E26"/>
    <w:rsid w:val="00C96E58"/>
    <w:rsid w:val="00CB0CAD"/>
    <w:rsid w:val="00CB7957"/>
    <w:rsid w:val="00CC72DD"/>
    <w:rsid w:val="00CD12EF"/>
    <w:rsid w:val="00CD4989"/>
    <w:rsid w:val="00CD572D"/>
    <w:rsid w:val="00CE233F"/>
    <w:rsid w:val="00CE2D48"/>
    <w:rsid w:val="00CF63D5"/>
    <w:rsid w:val="00CF71CB"/>
    <w:rsid w:val="00D04027"/>
    <w:rsid w:val="00D04EF5"/>
    <w:rsid w:val="00D10C20"/>
    <w:rsid w:val="00D15795"/>
    <w:rsid w:val="00D1585D"/>
    <w:rsid w:val="00D177EA"/>
    <w:rsid w:val="00D2131C"/>
    <w:rsid w:val="00D2297B"/>
    <w:rsid w:val="00D314DA"/>
    <w:rsid w:val="00D31667"/>
    <w:rsid w:val="00D33456"/>
    <w:rsid w:val="00D46C82"/>
    <w:rsid w:val="00D47EEF"/>
    <w:rsid w:val="00D52471"/>
    <w:rsid w:val="00D53DC7"/>
    <w:rsid w:val="00D570D6"/>
    <w:rsid w:val="00D576D9"/>
    <w:rsid w:val="00D722CA"/>
    <w:rsid w:val="00D72C47"/>
    <w:rsid w:val="00D743F3"/>
    <w:rsid w:val="00D76144"/>
    <w:rsid w:val="00D821E8"/>
    <w:rsid w:val="00D8758C"/>
    <w:rsid w:val="00D94EED"/>
    <w:rsid w:val="00D97D9D"/>
    <w:rsid w:val="00DA24FB"/>
    <w:rsid w:val="00DA2FB2"/>
    <w:rsid w:val="00DA35CB"/>
    <w:rsid w:val="00DC2049"/>
    <w:rsid w:val="00DE7B49"/>
    <w:rsid w:val="00DF6D86"/>
    <w:rsid w:val="00E046BE"/>
    <w:rsid w:val="00E12C38"/>
    <w:rsid w:val="00E14719"/>
    <w:rsid w:val="00E16AAC"/>
    <w:rsid w:val="00E16E32"/>
    <w:rsid w:val="00E21AD7"/>
    <w:rsid w:val="00E41E06"/>
    <w:rsid w:val="00E50626"/>
    <w:rsid w:val="00E60544"/>
    <w:rsid w:val="00E62AF7"/>
    <w:rsid w:val="00E94473"/>
    <w:rsid w:val="00E96868"/>
    <w:rsid w:val="00EA28A5"/>
    <w:rsid w:val="00EB5576"/>
    <w:rsid w:val="00EC3376"/>
    <w:rsid w:val="00ED2D94"/>
    <w:rsid w:val="00EE212C"/>
    <w:rsid w:val="00EE6217"/>
    <w:rsid w:val="00EF04C3"/>
    <w:rsid w:val="00F03F90"/>
    <w:rsid w:val="00F21690"/>
    <w:rsid w:val="00F219E7"/>
    <w:rsid w:val="00F2201C"/>
    <w:rsid w:val="00F2629B"/>
    <w:rsid w:val="00F312F4"/>
    <w:rsid w:val="00F31C01"/>
    <w:rsid w:val="00F35492"/>
    <w:rsid w:val="00F3777E"/>
    <w:rsid w:val="00F42888"/>
    <w:rsid w:val="00F435ED"/>
    <w:rsid w:val="00F454BB"/>
    <w:rsid w:val="00F50FBF"/>
    <w:rsid w:val="00F56AE3"/>
    <w:rsid w:val="00F72BD4"/>
    <w:rsid w:val="00F73421"/>
    <w:rsid w:val="00F83819"/>
    <w:rsid w:val="00F839F5"/>
    <w:rsid w:val="00FA4904"/>
    <w:rsid w:val="00FA531F"/>
    <w:rsid w:val="00FA702B"/>
    <w:rsid w:val="00FB02FC"/>
    <w:rsid w:val="00FC2E4C"/>
    <w:rsid w:val="00FC40EC"/>
    <w:rsid w:val="00FC47DE"/>
    <w:rsid w:val="00FD1E49"/>
    <w:rsid w:val="00FD690B"/>
    <w:rsid w:val="00FF5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Hyperlink" w:uiPriority="0"/>
    <w:lsdException w:name="Strong" w:semiHidden="0" w:uiPriority="0" w:unhideWhenUsed="0" w:qFormat="1"/>
    <w:lsdException w:name="Emphasis" w:semiHidden="0" w:uiPriority="0" w:unhideWhenUsed="0" w:qFormat="1"/>
    <w:lsdException w:name="HTML Cit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0EB8"/>
    <w:pPr>
      <w:widowControl w:val="0"/>
      <w:autoSpaceDE w:val="0"/>
      <w:autoSpaceDN w:val="0"/>
      <w:adjustRightInd w:val="0"/>
      <w:spacing w:after="0" w:line="360" w:lineRule="auto"/>
      <w:jc w:val="both"/>
    </w:pPr>
    <w:rPr>
      <w:rFonts w:ascii="Times New Roman" w:eastAsia="Times New Roman" w:hAnsi="Times New Roman" w:cs="Arial"/>
      <w:sz w:val="24"/>
      <w:szCs w:val="20"/>
    </w:rPr>
  </w:style>
  <w:style w:type="paragraph" w:styleId="Nagwek1">
    <w:name w:val="heading 1"/>
    <w:basedOn w:val="Normalny"/>
    <w:next w:val="Normalny"/>
    <w:link w:val="Nagwek1Znak"/>
    <w:qFormat/>
    <w:rsid w:val="00D04EF5"/>
    <w:pPr>
      <w:keepNext/>
      <w:keepLines/>
      <w:numPr>
        <w:numId w:val="1"/>
      </w:numPr>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semiHidden/>
    <w:unhideWhenUsed/>
    <w:qFormat/>
    <w:rsid w:val="00D04E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8">
    <w:name w:val="heading 8"/>
    <w:basedOn w:val="Normalny"/>
    <w:next w:val="Normalny"/>
    <w:link w:val="Nagwek8Znak"/>
    <w:qFormat/>
    <w:rsid w:val="00D04EF5"/>
    <w:pPr>
      <w:spacing w:before="240" w:after="60"/>
      <w:outlineLvl w:val="7"/>
    </w:pPr>
    <w:rPr>
      <w:rFonts w:cs="Times New Roman"/>
      <w:i/>
      <w:i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04EF5"/>
    <w:rPr>
      <w:rFonts w:ascii="Cambria" w:eastAsia="Times New Roman" w:hAnsi="Cambria" w:cs="Times New Roman"/>
      <w:b/>
      <w:bCs/>
      <w:color w:val="365F91"/>
      <w:kern w:val="1"/>
      <w:sz w:val="28"/>
      <w:szCs w:val="28"/>
      <w:lang w:eastAsia="ar-SA"/>
    </w:rPr>
  </w:style>
  <w:style w:type="character" w:customStyle="1" w:styleId="Nagwek2Znak">
    <w:name w:val="Nagłówek 2 Znak"/>
    <w:basedOn w:val="Domylnaczcionkaakapitu"/>
    <w:link w:val="Nagwek2"/>
    <w:semiHidden/>
    <w:rsid w:val="00D04EF5"/>
    <w:rPr>
      <w:rFonts w:asciiTheme="majorHAnsi" w:eastAsiaTheme="majorEastAsia" w:hAnsiTheme="majorHAnsi" w:cstheme="majorBidi"/>
      <w:b/>
      <w:bCs/>
      <w:color w:val="4F81BD" w:themeColor="accent1"/>
      <w:sz w:val="26"/>
      <w:szCs w:val="26"/>
    </w:rPr>
  </w:style>
  <w:style w:type="character" w:customStyle="1" w:styleId="Nagwek8Znak">
    <w:name w:val="Nagłówek 8 Znak"/>
    <w:basedOn w:val="Domylnaczcionkaakapitu"/>
    <w:link w:val="Nagwek8"/>
    <w:rsid w:val="00D04EF5"/>
    <w:rPr>
      <w:rFonts w:ascii="Times New Roman" w:eastAsia="Times New Roman" w:hAnsi="Times New Roman" w:cs="Times New Roman"/>
      <w:i/>
      <w:iCs/>
      <w:sz w:val="24"/>
      <w:szCs w:val="24"/>
    </w:rPr>
  </w:style>
  <w:style w:type="paragraph" w:customStyle="1" w:styleId="ZLITwPKTzmlitwpktartykuempunktem">
    <w:name w:val="Z/LIT_w_PKT – zm. lit. w pkt artykułem (punktem)"/>
    <w:basedOn w:val="LITlitera"/>
    <w:rsid w:val="00D04EF5"/>
    <w:pPr>
      <w:ind w:left="1497"/>
    </w:pPr>
  </w:style>
  <w:style w:type="paragraph" w:customStyle="1" w:styleId="ZTIRwPKTzmtirwpktartykuempunktem">
    <w:name w:val="Z/TIR_w_PKT – zm. tir. w pkt artykułem (punktem)"/>
    <w:basedOn w:val="TIRtiret"/>
    <w:link w:val="ZTIRwPKTzmtirwpktartykuempunktemZnak"/>
    <w:rsid w:val="00D04EF5"/>
    <w:pPr>
      <w:ind w:left="1894"/>
    </w:pPr>
  </w:style>
  <w:style w:type="character" w:customStyle="1" w:styleId="ZTIRwPKTzmtirwpktartykuempunktemZnak">
    <w:name w:val="Z/TIR_w_PKT – zm. tir. w pkt artykułem (punktem) Znak"/>
    <w:link w:val="ZTIRwPKTzmtirwpktartykuempunktem"/>
    <w:rsid w:val="00D04EF5"/>
    <w:rPr>
      <w:rFonts w:ascii="Times" w:eastAsia="Times New Roman" w:hAnsi="Times" w:cs="Arial"/>
      <w:bCs/>
      <w:sz w:val="24"/>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rsid w:val="00D04EF5"/>
    <w:pPr>
      <w:ind w:left="1021"/>
    </w:pPr>
  </w:style>
  <w:style w:type="paragraph" w:customStyle="1" w:styleId="2TIRpodwjnytiret">
    <w:name w:val="2TIR – podwójny tiret"/>
    <w:basedOn w:val="TIRtiret"/>
    <w:link w:val="2TIRpodwjnytiretZnak"/>
    <w:rsid w:val="00D04EF5"/>
    <w:pPr>
      <w:ind w:left="2177"/>
    </w:pPr>
  </w:style>
  <w:style w:type="character" w:customStyle="1" w:styleId="ZCZWSPLITwPKTzmczciwsplitwpktartykuempunktemZnak">
    <w:name w:val="Z/CZ_WSP_LIT_w_PKT – zm. części wsp. lit. w pkt artykułem (punktem) Znak"/>
    <w:link w:val="ZCZWSPLITwPKTzmczciwsplitwpktartykuempunktem"/>
    <w:rsid w:val="00D04EF5"/>
    <w:rPr>
      <w:rFonts w:ascii="Times" w:eastAsia="Times New Roman" w:hAnsi="Times" w:cs="Arial"/>
      <w:bCs/>
      <w:sz w:val="24"/>
      <w:szCs w:val="24"/>
    </w:rPr>
  </w:style>
  <w:style w:type="character" w:customStyle="1" w:styleId="2TIRpodwjnytiretZnak">
    <w:name w:val="2TIR – podwójny tiret Znak"/>
    <w:link w:val="2TIRpodwjnytiret"/>
    <w:rsid w:val="00D04EF5"/>
    <w:rPr>
      <w:rFonts w:ascii="Times" w:eastAsia="Times New Roman" w:hAnsi="Times" w:cs="Arial"/>
      <w:bCs/>
      <w:sz w:val="24"/>
      <w:szCs w:val="20"/>
    </w:rPr>
  </w:style>
  <w:style w:type="character" w:styleId="Odwoanieprzypisudolnego">
    <w:name w:val="footnote reference"/>
    <w:aliases w:val="OZNAKA OPOMBE,FZ"/>
    <w:rsid w:val="00D04EF5"/>
    <w:rPr>
      <w:rFonts w:cs="Times New Roman"/>
      <w:vertAlign w:val="superscript"/>
    </w:rPr>
  </w:style>
  <w:style w:type="paragraph" w:styleId="Nagwek">
    <w:name w:val="header"/>
    <w:basedOn w:val="Normalny"/>
    <w:link w:val="NagwekZnak"/>
    <w:rsid w:val="00D04EF5"/>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basedOn w:val="Domylnaczcionkaakapitu"/>
    <w:link w:val="Nagwek"/>
    <w:rsid w:val="00D04EF5"/>
    <w:rPr>
      <w:rFonts w:ascii="Times" w:eastAsia="Times New Roman" w:hAnsi="Times" w:cs="Times New Roman"/>
      <w:kern w:val="1"/>
      <w:sz w:val="24"/>
      <w:szCs w:val="24"/>
      <w:lang w:eastAsia="ar-SA"/>
    </w:rPr>
  </w:style>
  <w:style w:type="paragraph" w:styleId="Stopka">
    <w:name w:val="footer"/>
    <w:basedOn w:val="Normalny"/>
    <w:link w:val="StopkaZnak"/>
    <w:uiPriority w:val="99"/>
    <w:rsid w:val="00D04EF5"/>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basedOn w:val="Domylnaczcionkaakapitu"/>
    <w:link w:val="Stopka"/>
    <w:uiPriority w:val="99"/>
    <w:rsid w:val="00D04EF5"/>
    <w:rPr>
      <w:rFonts w:ascii="Times" w:eastAsia="Times New Roman" w:hAnsi="Times" w:cs="Times New Roman"/>
      <w:kern w:val="1"/>
      <w:sz w:val="24"/>
      <w:szCs w:val="24"/>
      <w:lang w:eastAsia="ar-SA"/>
    </w:rPr>
  </w:style>
  <w:style w:type="paragraph" w:styleId="Tekstdymka">
    <w:name w:val="Balloon Text"/>
    <w:basedOn w:val="Normalny"/>
    <w:link w:val="TekstdymkaZnak"/>
    <w:rsid w:val="00D04EF5"/>
    <w:pPr>
      <w:suppressAutoHyphens/>
      <w:autoSpaceDE/>
      <w:autoSpaceDN/>
      <w:adjustRightInd/>
    </w:pPr>
    <w:rPr>
      <w:rFonts w:ascii="Tahoma" w:hAnsi="Tahoma" w:cs="Tahoma"/>
      <w:kern w:val="1"/>
      <w:szCs w:val="16"/>
      <w:lang w:eastAsia="ar-SA"/>
    </w:rPr>
  </w:style>
  <w:style w:type="character" w:customStyle="1" w:styleId="TekstdymkaZnak">
    <w:name w:val="Tekst dymka Znak"/>
    <w:basedOn w:val="Domylnaczcionkaakapitu"/>
    <w:link w:val="Tekstdymka"/>
    <w:rsid w:val="00D04EF5"/>
    <w:rPr>
      <w:rFonts w:ascii="Tahoma" w:eastAsia="Times New Roman" w:hAnsi="Tahoma" w:cs="Tahoma"/>
      <w:kern w:val="1"/>
      <w:sz w:val="24"/>
      <w:szCs w:val="16"/>
      <w:lang w:eastAsia="ar-SA"/>
    </w:rPr>
  </w:style>
  <w:style w:type="paragraph" w:customStyle="1" w:styleId="ARTartustawynprozporzdzenia">
    <w:name w:val="ART(§) – art. ustawy (§ np. rozporządzenia)"/>
    <w:link w:val="ARTartustawynprozporzdzeniaZnak"/>
    <w:rsid w:val="00D04EF5"/>
    <w:pPr>
      <w:suppressAutoHyphens/>
      <w:autoSpaceDE w:val="0"/>
      <w:autoSpaceDN w:val="0"/>
      <w:adjustRightInd w:val="0"/>
      <w:spacing w:before="120" w:after="0" w:line="360" w:lineRule="auto"/>
      <w:ind w:firstLine="510"/>
      <w:jc w:val="both"/>
    </w:pPr>
    <w:rPr>
      <w:rFonts w:ascii="Times" w:eastAsia="Times New Roman" w:hAnsi="Times" w:cs="Arial"/>
      <w:sz w:val="24"/>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rsid w:val="00D04EF5"/>
    <w:pPr>
      <w:ind w:left="1497"/>
    </w:pPr>
  </w:style>
  <w:style w:type="character" w:customStyle="1" w:styleId="ZCZWSPTIRwPKTzmczciwsptirwpktartykuempunktemZnak">
    <w:name w:val="Z/CZ_WSP_TIR_w_PKT – zm. części wsp. tir. w pkt artykułem (punktem) Znak"/>
    <w:link w:val="ZCZWSPTIRwPKTzmczciwsptirwpktartykuempunktem"/>
    <w:rsid w:val="00D04EF5"/>
    <w:rPr>
      <w:rFonts w:ascii="Times" w:eastAsia="Times New Roman" w:hAnsi="Times" w:cs="Arial"/>
      <w:bCs/>
      <w:sz w:val="24"/>
      <w:szCs w:val="20"/>
    </w:rPr>
  </w:style>
  <w:style w:type="paragraph" w:customStyle="1" w:styleId="ZTIRwLITzmtirwlitartykuempunktem">
    <w:name w:val="Z/TIR_w_LIT – zm. tir. w lit. artykułem (punktem)"/>
    <w:basedOn w:val="TIRtiret"/>
    <w:link w:val="ZTIRwLITzmtirwlitartykuempunktemZnak"/>
    <w:rsid w:val="00D04EF5"/>
  </w:style>
  <w:style w:type="character" w:customStyle="1" w:styleId="ZTIRwLITzmtirwlitartykuempunktemZnak">
    <w:name w:val="Z/TIR_w_LIT – zm. tir. w lit. artykułem (punktem) Znak"/>
    <w:link w:val="ZTIRwLITzmtirwlitartykuempunktem"/>
    <w:rsid w:val="00D04EF5"/>
    <w:rPr>
      <w:rFonts w:ascii="Times" w:eastAsia="Times New Roman" w:hAnsi="Times" w:cs="Arial"/>
      <w:bCs/>
      <w:sz w:val="24"/>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rsid w:val="00D04EF5"/>
  </w:style>
  <w:style w:type="character" w:customStyle="1" w:styleId="ZCZWSPTIRwLITzmczciwsptirwlitartykuempunktemZnak">
    <w:name w:val="Z/CZ_WSP_TIR_w_LIT – zm. części wsp. tir. w lit. artykułem (punktem) Znak"/>
    <w:link w:val="ZCZWSPTIRwLITzmczciwsptirwlitartykuempunktem"/>
    <w:rsid w:val="00D04EF5"/>
    <w:rPr>
      <w:rFonts w:ascii="Times" w:eastAsia="Times New Roman" w:hAnsi="Times" w:cs="Arial"/>
      <w:bCs/>
      <w:sz w:val="24"/>
      <w:szCs w:val="20"/>
    </w:rPr>
  </w:style>
  <w:style w:type="paragraph" w:customStyle="1" w:styleId="nowela">
    <w:name w:val="nowela"/>
    <w:basedOn w:val="ARTartustawynprozporzdzenia"/>
    <w:link w:val="nowelaZnak"/>
    <w:rsid w:val="00D04EF5"/>
    <w:pPr>
      <w:spacing w:before="60"/>
      <w:ind w:left="510"/>
    </w:pPr>
  </w:style>
  <w:style w:type="character" w:customStyle="1" w:styleId="ARTartustawynprozporzdzeniaZnak">
    <w:name w:val="ART(§) – art. ustawy (§ np. rozporządzenia) Znak"/>
    <w:link w:val="ARTartustawynprozporzdzenia"/>
    <w:locked/>
    <w:rsid w:val="00D04EF5"/>
    <w:rPr>
      <w:rFonts w:ascii="Times" w:eastAsia="Times New Roman" w:hAnsi="Times" w:cs="Arial"/>
      <w:sz w:val="24"/>
      <w:szCs w:val="20"/>
    </w:rPr>
  </w:style>
  <w:style w:type="character" w:customStyle="1" w:styleId="nowelaZnak">
    <w:name w:val="nowela Znak"/>
    <w:link w:val="nowela"/>
    <w:locked/>
    <w:rsid w:val="00D04EF5"/>
    <w:rPr>
      <w:rFonts w:ascii="Times" w:eastAsia="Times New Roman" w:hAnsi="Times" w:cs="Arial"/>
      <w:sz w:val="24"/>
      <w:szCs w:val="20"/>
    </w:rPr>
  </w:style>
  <w:style w:type="paragraph" w:styleId="Bezodstpw">
    <w:name w:val="No Spacing"/>
    <w:qFormat/>
    <w:rsid w:val="00D04EF5"/>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link w:val="ZPKTzmpktartykuempunktemZnak"/>
    <w:rsid w:val="00D04EF5"/>
    <w:pPr>
      <w:ind w:left="1020"/>
    </w:pPr>
  </w:style>
  <w:style w:type="paragraph" w:customStyle="1" w:styleId="ZARTzmartartykuempunktem">
    <w:name w:val="Z/ART(§) – zm. art. (§) artykułem (punktem)"/>
    <w:basedOn w:val="ARTartustawynprozporzdzenia"/>
    <w:rsid w:val="00D04EF5"/>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rsid w:val="00D04EF5"/>
    <w:pPr>
      <w:keepNext/>
      <w:suppressAutoHyphens/>
      <w:spacing w:before="120" w:after="120" w:line="360" w:lineRule="auto"/>
      <w:jc w:val="center"/>
    </w:pPr>
    <w:rPr>
      <w:rFonts w:ascii="Times" w:eastAsia="Times New Roman" w:hAnsi="Times" w:cs="Arial"/>
      <w:bCs/>
      <w:sz w:val="24"/>
      <w:szCs w:val="24"/>
    </w:rPr>
  </w:style>
  <w:style w:type="character" w:customStyle="1" w:styleId="DATAAKTUdatauchwalenialubwydaniaaktuZnak">
    <w:name w:val="DATA_AKTU – data uchwalenia lub wydania aktu Znak"/>
    <w:link w:val="DATAAKTUdatauchwalenialubwydaniaaktu"/>
    <w:rsid w:val="00D04EF5"/>
    <w:rPr>
      <w:rFonts w:ascii="Times" w:eastAsia="Times New Roman" w:hAnsi="Times" w:cs="Arial"/>
      <w:bCs/>
      <w:sz w:val="24"/>
      <w:szCs w:val="24"/>
    </w:rPr>
  </w:style>
  <w:style w:type="paragraph" w:customStyle="1" w:styleId="TYTUAKTUprzedmiotregulacjiustawylubrozporzdzenia">
    <w:name w:val="TYTUŁ_AKTU – przedmiot regulacji ustawy lub rozporządzenia"/>
    <w:next w:val="ARTartustawynprozporzdzenia"/>
    <w:link w:val="TYTUAKTUprzedmiotregulacjiustawylubrozporzdzeniaZnak"/>
    <w:rsid w:val="00D04EF5"/>
    <w:pPr>
      <w:keepNext/>
      <w:suppressAutoHyphens/>
      <w:spacing w:before="120" w:after="360" w:line="360" w:lineRule="auto"/>
      <w:jc w:val="center"/>
    </w:pPr>
    <w:rPr>
      <w:rFonts w:ascii="Times" w:eastAsia="Times New Roman" w:hAnsi="Times" w:cs="Arial"/>
      <w:b/>
      <w:bCs/>
      <w:sz w:val="24"/>
      <w:szCs w:val="24"/>
    </w:rPr>
  </w:style>
  <w:style w:type="character" w:customStyle="1" w:styleId="TYTUAKTUprzedmiotregulacjiustawylubrozporzdzeniaZnak">
    <w:name w:val="TYTUŁ_AKTU – przedmiot regulacji ustawy lub rozporządzenia Znak"/>
    <w:link w:val="TYTUAKTUprzedmiotregulacjiustawylubrozporzdzenia"/>
    <w:rsid w:val="00D04EF5"/>
    <w:rPr>
      <w:rFonts w:ascii="Times" w:eastAsia="Times New Roman" w:hAnsi="Times" w:cs="Arial"/>
      <w:b/>
      <w:bCs/>
      <w:sz w:val="24"/>
      <w:szCs w:val="24"/>
    </w:rPr>
  </w:style>
  <w:style w:type="paragraph" w:customStyle="1" w:styleId="CZKSIGAoznaczenieiprzedmiotczcilubksigi">
    <w:name w:val="CZĘŚĆ(KSIĘGA) – oznaczenie i przedmiot części lub księgi"/>
    <w:next w:val="ARTartustawynprozporzdzenia"/>
    <w:link w:val="CZKSIGAoznaczenieiprzedmiotczcilubksigiZnak"/>
    <w:rsid w:val="00D04EF5"/>
    <w:pPr>
      <w:keepNext/>
      <w:suppressAutoHyphens/>
      <w:spacing w:before="120" w:after="0" w:line="360" w:lineRule="auto"/>
      <w:jc w:val="center"/>
    </w:pPr>
    <w:rPr>
      <w:rFonts w:ascii="Times" w:eastAsia="Times New Roman" w:hAnsi="Times" w:cs="Times New Roman"/>
      <w:b/>
      <w:bCs/>
      <w:caps/>
      <w:kern w:val="24"/>
      <w:sz w:val="24"/>
      <w:szCs w:val="24"/>
    </w:rPr>
  </w:style>
  <w:style w:type="character" w:customStyle="1" w:styleId="CZKSIGAoznaczenieiprzedmiotczcilubksigiZnak">
    <w:name w:val="CZĘŚĆ(KSIĘGA) – oznaczenie i przedmiot części lub księgi Znak"/>
    <w:link w:val="CZKSIGAoznaczenieiprzedmiotczcilubksigi"/>
    <w:rsid w:val="00D04EF5"/>
    <w:rPr>
      <w:rFonts w:ascii="Times" w:eastAsia="Times New Roman" w:hAnsi="Times" w:cs="Times New Roman"/>
      <w:b/>
      <w:bCs/>
      <w:caps/>
      <w:kern w:val="24"/>
      <w:sz w:val="24"/>
      <w:szCs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rsid w:val="00D04EF5"/>
    <w:rPr>
      <w:bCs/>
    </w:rPr>
  </w:style>
  <w:style w:type="character" w:customStyle="1" w:styleId="NIEARTTEKSTtekstnieartykuowanynppreambuaZnak">
    <w:name w:val="NIEART_TEKST – tekst nieartykułowany (np. preambuła) Znak"/>
    <w:link w:val="NIEARTTEKSTtekstnieartykuowanynppreambua"/>
    <w:rsid w:val="00D04EF5"/>
    <w:rPr>
      <w:rFonts w:ascii="Times" w:eastAsia="Times New Roman" w:hAnsi="Times" w:cs="Arial"/>
      <w:bCs/>
      <w:sz w:val="24"/>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rsid w:val="00D04EF5"/>
    <w:pPr>
      <w:keepNext/>
      <w:suppressAutoHyphens/>
      <w:spacing w:after="120" w:line="360" w:lineRule="auto"/>
      <w:jc w:val="center"/>
    </w:pPr>
    <w:rPr>
      <w:rFonts w:ascii="Times" w:eastAsia="Times New Roman" w:hAnsi="Times" w:cs="Times New Roman"/>
      <w:b/>
      <w:bCs/>
      <w:caps/>
      <w:spacing w:val="54"/>
      <w:kern w:val="24"/>
      <w:sz w:val="24"/>
      <w:szCs w:val="24"/>
    </w:rPr>
  </w:style>
  <w:style w:type="character" w:customStyle="1" w:styleId="OZNRODZAKTUtznustawalubrozporzdzenieiorganwydajcyZnak">
    <w:name w:val="OZN_RODZ_AKTU – tzn. ustawa lub rozporządzenie i organ wydający Znak"/>
    <w:link w:val="OZNRODZAKTUtznustawalubrozporzdzenieiorganwydajcy"/>
    <w:rsid w:val="00D04EF5"/>
    <w:rPr>
      <w:rFonts w:ascii="Times" w:eastAsia="Times New Roman" w:hAnsi="Times" w:cs="Times New Roman"/>
      <w:b/>
      <w:bCs/>
      <w:caps/>
      <w:spacing w:val="54"/>
      <w:kern w:val="24"/>
      <w:sz w:val="24"/>
      <w:szCs w:val="24"/>
    </w:rPr>
  </w:style>
  <w:style w:type="paragraph" w:customStyle="1" w:styleId="USTustnpkodeksu">
    <w:name w:val="UST(§) – ust. (§ np. kodeksu)"/>
    <w:basedOn w:val="ARTartustawynprozporzdzenia"/>
    <w:link w:val="USTustnpkodeksuZnak"/>
    <w:rsid w:val="00D04EF5"/>
    <w:pPr>
      <w:spacing w:before="0"/>
    </w:pPr>
    <w:rPr>
      <w:bCs/>
    </w:rPr>
  </w:style>
  <w:style w:type="character" w:customStyle="1" w:styleId="USTustnpkodeksuZnak">
    <w:name w:val="UST(§) – ust. (§ np. kodeksu) Znak"/>
    <w:link w:val="USTustnpkodeksu"/>
    <w:rsid w:val="00D04EF5"/>
    <w:rPr>
      <w:rFonts w:ascii="Times" w:eastAsia="Times New Roman" w:hAnsi="Times" w:cs="Arial"/>
      <w:bCs/>
      <w:sz w:val="24"/>
      <w:szCs w:val="20"/>
    </w:rPr>
  </w:style>
  <w:style w:type="paragraph" w:customStyle="1" w:styleId="PKTpunkt">
    <w:name w:val="PKT – punkt"/>
    <w:basedOn w:val="USTustnpkodeksu"/>
    <w:link w:val="PKTpunktZnak"/>
    <w:rsid w:val="00D04EF5"/>
    <w:pPr>
      <w:ind w:left="510" w:hanging="510"/>
    </w:pPr>
  </w:style>
  <w:style w:type="character" w:customStyle="1" w:styleId="PKTpunktZnak">
    <w:name w:val="PKT – punkt Znak"/>
    <w:link w:val="PKTpunkt"/>
    <w:locked/>
    <w:rsid w:val="00D04EF5"/>
    <w:rPr>
      <w:rFonts w:ascii="Times" w:eastAsia="Times New Roman" w:hAnsi="Times" w:cs="Arial"/>
      <w:bCs/>
      <w:sz w:val="24"/>
      <w:szCs w:val="20"/>
    </w:rPr>
  </w:style>
  <w:style w:type="paragraph" w:customStyle="1" w:styleId="CZWSPPKTczwsplnapunktw">
    <w:name w:val="CZ_WSP_PKT – część wspólna punktów"/>
    <w:basedOn w:val="PKTpunkt"/>
    <w:next w:val="USTustnpkodeksu"/>
    <w:link w:val="CZWSPPKTczwsplnapunktwZnak"/>
    <w:rsid w:val="00D04EF5"/>
    <w:pPr>
      <w:ind w:left="0" w:firstLine="0"/>
    </w:pPr>
  </w:style>
  <w:style w:type="character" w:customStyle="1" w:styleId="CZWSPPKTczwsplnapunktwZnak">
    <w:name w:val="CZ_WSP_PKT – część wspólna punktów Znak"/>
    <w:link w:val="CZWSPPKTczwsplnapunktw"/>
    <w:rsid w:val="00D04EF5"/>
    <w:rPr>
      <w:rFonts w:ascii="Times" w:eastAsia="Times New Roman" w:hAnsi="Times" w:cs="Arial"/>
      <w:bCs/>
      <w:sz w:val="24"/>
      <w:szCs w:val="20"/>
    </w:rPr>
  </w:style>
  <w:style w:type="paragraph" w:customStyle="1" w:styleId="LITlitera">
    <w:name w:val="LIT – litera"/>
    <w:basedOn w:val="PKTpunkt"/>
    <w:link w:val="LITliteraZnak"/>
    <w:rsid w:val="00D04EF5"/>
    <w:pPr>
      <w:ind w:left="986" w:hanging="476"/>
    </w:pPr>
  </w:style>
  <w:style w:type="character" w:customStyle="1" w:styleId="LITliteraZnak">
    <w:name w:val="LIT – litera Znak"/>
    <w:link w:val="LITlitera"/>
    <w:rsid w:val="00D04EF5"/>
    <w:rPr>
      <w:rFonts w:ascii="Times" w:eastAsia="Times New Roman" w:hAnsi="Times" w:cs="Arial"/>
      <w:bCs/>
      <w:sz w:val="24"/>
      <w:szCs w:val="20"/>
    </w:rPr>
  </w:style>
  <w:style w:type="paragraph" w:customStyle="1" w:styleId="CZWSPLITczwsplnaliter">
    <w:name w:val="CZ_WSP_LIT – część wspólna liter"/>
    <w:basedOn w:val="LITlitera"/>
    <w:next w:val="USTustnpkodeksu"/>
    <w:link w:val="CZWSPLITczwsplnaliterZnak"/>
    <w:rsid w:val="00D04EF5"/>
    <w:pPr>
      <w:ind w:left="510" w:firstLine="0"/>
    </w:pPr>
    <w:rPr>
      <w:szCs w:val="24"/>
    </w:rPr>
  </w:style>
  <w:style w:type="character" w:customStyle="1" w:styleId="CZWSPLITczwsplnaliterZnak">
    <w:name w:val="CZ_WSP_LIT – część wspólna liter Znak"/>
    <w:link w:val="CZWSPLITczwsplnaliter"/>
    <w:rsid w:val="00D04EF5"/>
    <w:rPr>
      <w:rFonts w:ascii="Times" w:eastAsia="Times New Roman" w:hAnsi="Times" w:cs="Arial"/>
      <w:bCs/>
      <w:sz w:val="24"/>
      <w:szCs w:val="24"/>
    </w:rPr>
  </w:style>
  <w:style w:type="paragraph" w:customStyle="1" w:styleId="TIRtiret">
    <w:name w:val="TIR – tiret"/>
    <w:basedOn w:val="LITlitera"/>
    <w:link w:val="TIRtiretZnak"/>
    <w:rsid w:val="00D04EF5"/>
    <w:pPr>
      <w:ind w:left="1384" w:hanging="397"/>
    </w:pPr>
  </w:style>
  <w:style w:type="character" w:customStyle="1" w:styleId="TIRtiretZnak">
    <w:name w:val="TIR – tiret Znak"/>
    <w:link w:val="TIRtiret"/>
    <w:rsid w:val="00D04EF5"/>
    <w:rPr>
      <w:rFonts w:ascii="Times" w:eastAsia="Times New Roman" w:hAnsi="Times" w:cs="Arial"/>
      <w:bCs/>
      <w:sz w:val="24"/>
      <w:szCs w:val="20"/>
    </w:rPr>
  </w:style>
  <w:style w:type="paragraph" w:customStyle="1" w:styleId="CZWSPTIRczwsplnatiret">
    <w:name w:val="CZ_WSP_TIR – część wspólna tiret"/>
    <w:basedOn w:val="TIRtiret"/>
    <w:next w:val="USTustnpkodeksu"/>
    <w:link w:val="CZWSPTIRczwsplnatiretZnak"/>
    <w:rsid w:val="00D04EF5"/>
    <w:pPr>
      <w:ind w:left="987" w:firstLine="0"/>
    </w:pPr>
  </w:style>
  <w:style w:type="character" w:customStyle="1" w:styleId="CZWSPTIRczwsplnatiretZnak">
    <w:name w:val="CZ_WSP_TIR – część wspólna tiret Znak"/>
    <w:link w:val="CZWSPTIRczwsplnatiret"/>
    <w:rsid w:val="00D04EF5"/>
    <w:rPr>
      <w:rFonts w:ascii="Times" w:eastAsia="Times New Roman" w:hAnsi="Times" w:cs="Arial"/>
      <w:bCs/>
      <w:sz w:val="24"/>
      <w:szCs w:val="20"/>
    </w:rPr>
  </w:style>
  <w:style w:type="paragraph" w:customStyle="1" w:styleId="CYTcytatnpprzysigi">
    <w:name w:val="CYT – cytat np. przysięgi"/>
    <w:basedOn w:val="USTustnpkodeksu"/>
    <w:next w:val="USTustnpkodeksu"/>
    <w:link w:val="CYTcytatnpprzysigiZnak"/>
    <w:rsid w:val="00D04EF5"/>
    <w:pPr>
      <w:ind w:left="510" w:right="510" w:firstLine="0"/>
    </w:pPr>
  </w:style>
  <w:style w:type="character" w:customStyle="1" w:styleId="CYTcytatnpprzysigiZnak">
    <w:name w:val="CYT – cytat np. przysięgi Znak"/>
    <w:link w:val="CYTcytatnpprzysigi"/>
    <w:locked/>
    <w:rsid w:val="00D04EF5"/>
    <w:rPr>
      <w:rFonts w:ascii="Times" w:eastAsia="Times New Roman" w:hAnsi="Times" w:cs="Arial"/>
      <w:bCs/>
      <w:sz w:val="24"/>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rsid w:val="00D04EF5"/>
    <w:pPr>
      <w:keepNext/>
      <w:suppressAutoHyphens/>
      <w:spacing w:before="120" w:after="0" w:line="360" w:lineRule="auto"/>
      <w:jc w:val="center"/>
    </w:pPr>
    <w:rPr>
      <w:rFonts w:ascii="Times" w:eastAsia="Times New Roman" w:hAnsi="Times" w:cs="Times New Roman"/>
      <w:b/>
      <w:bCs/>
      <w:sz w:val="24"/>
      <w:szCs w:val="24"/>
    </w:rPr>
  </w:style>
  <w:style w:type="character" w:customStyle="1" w:styleId="ROZDZODDZPRZEDMprzedmiotregulacjirozdziauluboddziauZnak">
    <w:name w:val="ROZDZ(ODDZ)_PRZEDM – przedmiot regulacji rozdziału lub oddziału Znak"/>
    <w:link w:val="ROZDZODDZPRZEDMprzedmiotregulacjirozdziauluboddziau"/>
    <w:rsid w:val="00D04EF5"/>
    <w:rPr>
      <w:rFonts w:ascii="Times" w:eastAsia="Times New Roman" w:hAnsi="Times" w:cs="Times New Roman"/>
      <w:b/>
      <w:bCs/>
      <w:sz w:val="24"/>
      <w:szCs w:val="24"/>
    </w:rPr>
  </w:style>
  <w:style w:type="paragraph" w:customStyle="1" w:styleId="ZLITzmlitartykuempunktem">
    <w:name w:val="Z/LIT – zm. lit. artykułem (punktem)"/>
    <w:basedOn w:val="LITlitera"/>
    <w:rsid w:val="00D04EF5"/>
  </w:style>
  <w:style w:type="paragraph" w:customStyle="1" w:styleId="ZLITCZWSPTIRwLITzmczciwsptirwlitliter">
    <w:name w:val="Z_LIT/CZ_WSP_TIR_w_LIT – zm. części wsp. tir. w lit. literą"/>
    <w:basedOn w:val="CZWSPTIRczwsplnatiret"/>
    <w:next w:val="LITlitera"/>
    <w:rsid w:val="00D04EF5"/>
    <w:pPr>
      <w:ind w:left="1463"/>
    </w:pPr>
  </w:style>
  <w:style w:type="paragraph" w:customStyle="1" w:styleId="ZLITTIRwLITzmtirwlitliter">
    <w:name w:val="Z_LIT/TIR_w_LIT – zm. tir. w lit. literą"/>
    <w:basedOn w:val="TIRtiret"/>
    <w:rsid w:val="00D04EF5"/>
    <w:pPr>
      <w:ind w:left="1860"/>
    </w:pPr>
  </w:style>
  <w:style w:type="paragraph" w:customStyle="1" w:styleId="TYTDZOZNoznaczenietytuulubdziau">
    <w:name w:val="TYT(DZ)_OZN – oznaczenie tytułu lub działu"/>
    <w:next w:val="Normalny"/>
    <w:link w:val="TYTDZOZNoznaczenietytuulubdziauZnak"/>
    <w:rsid w:val="00D04EF5"/>
    <w:pPr>
      <w:keepNext/>
      <w:spacing w:before="120" w:after="0" w:line="360" w:lineRule="auto"/>
      <w:jc w:val="center"/>
    </w:pPr>
    <w:rPr>
      <w:rFonts w:ascii="Times" w:eastAsia="Times New Roman" w:hAnsi="Times" w:cs="Arial"/>
      <w:bCs/>
      <w:caps/>
      <w:kern w:val="24"/>
      <w:sz w:val="24"/>
      <w:szCs w:val="24"/>
    </w:rPr>
  </w:style>
  <w:style w:type="paragraph" w:customStyle="1" w:styleId="WMATFIZCHEMwzorymatfizlubchemiichlegendy">
    <w:name w:val="W_MAT(FIZ|CHEM) – wzory mat. (fiz. lub chem.) i ich legendy"/>
    <w:link w:val="WMATFIZCHEMwzorymatfizlubchemiichlegendyZnak"/>
    <w:rsid w:val="00D04EF5"/>
    <w:pPr>
      <w:spacing w:after="0" w:line="360" w:lineRule="auto"/>
      <w:ind w:left="986" w:hanging="476"/>
      <w:jc w:val="both"/>
    </w:pPr>
    <w:rPr>
      <w:rFonts w:ascii="Times New Roman" w:eastAsia="Times New Roman" w:hAnsi="Times New Roman" w:cs="Arial"/>
      <w:sz w:val="24"/>
      <w:szCs w:val="20"/>
    </w:rPr>
  </w:style>
  <w:style w:type="character" w:customStyle="1" w:styleId="TYTDZOZNoznaczenietytuulubdziauZnak">
    <w:name w:val="TYT(DZ)_OZN – oznaczenie tytułu lub działu Znak"/>
    <w:link w:val="TYTDZOZNoznaczenietytuulubdziau"/>
    <w:rsid w:val="00D04EF5"/>
    <w:rPr>
      <w:rFonts w:ascii="Times" w:eastAsia="Times New Roman" w:hAnsi="Times" w:cs="Arial"/>
      <w:bCs/>
      <w:caps/>
      <w:kern w:val="24"/>
      <w:sz w:val="24"/>
      <w:szCs w:val="24"/>
    </w:rPr>
  </w:style>
  <w:style w:type="character" w:customStyle="1" w:styleId="WMATFIZCHEMwzorymatfizlubchemiichlegendyZnak">
    <w:name w:val="W_MAT(FIZ|CHEM) – wzory mat. (fiz. lub chem.) i ich legendy Znak"/>
    <w:link w:val="WMATFIZCHEMwzorymatfizlubchemiichlegendy"/>
    <w:rsid w:val="00D04EF5"/>
    <w:rPr>
      <w:rFonts w:ascii="Times New Roman" w:eastAsia="Times New Roman" w:hAnsi="Times New Roman" w:cs="Arial"/>
      <w:sz w:val="24"/>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rsid w:val="00D04EF5"/>
    <w:pPr>
      <w:spacing w:before="0"/>
      <w:ind w:left="510"/>
    </w:pPr>
  </w:style>
  <w:style w:type="character" w:customStyle="1" w:styleId="ZTYTDZOZNzmozntytuudziauartykuempunktemZnak">
    <w:name w:val="Z/TYT(DZ)_OZN – zm. ozn. tytułu (działu) artykułem (punktem) Znak"/>
    <w:link w:val="ZTYTDZOZNzmozntytuudziauartykuempunktem"/>
    <w:rsid w:val="00D04EF5"/>
    <w:rPr>
      <w:rFonts w:ascii="Times" w:eastAsia="Times New Roman" w:hAnsi="Times" w:cs="Arial"/>
      <w:bCs/>
      <w:caps/>
      <w:kern w:val="24"/>
      <w:sz w:val="24"/>
      <w:szCs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rsid w:val="00D04EF5"/>
    <w:pPr>
      <w:keepNext/>
      <w:suppressAutoHyphens/>
      <w:spacing w:after="0" w:line="360" w:lineRule="auto"/>
      <w:ind w:left="510"/>
      <w:jc w:val="center"/>
    </w:pPr>
    <w:rPr>
      <w:rFonts w:ascii="Times" w:eastAsia="Times New Roman" w:hAnsi="Times" w:cs="Times New Roman"/>
      <w:sz w:val="24"/>
      <w:szCs w:val="26"/>
    </w:rPr>
  </w:style>
  <w:style w:type="character" w:customStyle="1" w:styleId="ZTYTDZPRZEDMzmprzedmtytuulubdziauartykuempunktemZnak">
    <w:name w:val="Z/TYT(DZ)_PRZEDM – zm. przedm. tytułu lub działu artykułem (punktem) Znak"/>
    <w:link w:val="ZTYTDZPRZEDMzmprzedmtytuulubdziauartykuempunktem"/>
    <w:rsid w:val="00D04EF5"/>
    <w:rPr>
      <w:rFonts w:ascii="Times" w:eastAsia="Times New Roman" w:hAnsi="Times" w:cs="Times New Roman"/>
      <w:sz w:val="24"/>
      <w:szCs w:val="26"/>
    </w:rPr>
  </w:style>
  <w:style w:type="paragraph" w:customStyle="1" w:styleId="ZTIRzmtirartykuempunktem">
    <w:name w:val="Z/TIR – zm. tir. artykułem (punktem)"/>
    <w:basedOn w:val="TIRtiret"/>
    <w:next w:val="PKTpunkt"/>
    <w:rsid w:val="00D04EF5"/>
    <w:pPr>
      <w:ind w:left="907"/>
    </w:pPr>
  </w:style>
  <w:style w:type="paragraph" w:customStyle="1" w:styleId="ZCZWSPPKTzmczciwsppktartykuempunktem">
    <w:name w:val="Z/CZ_WSP_PKT – zm. części wsp. pkt artykułem (punktem)"/>
    <w:basedOn w:val="CZWSPPKTczwsplnapunktw"/>
    <w:next w:val="ZARTzmartartykuempunktem"/>
    <w:rsid w:val="00D04EF5"/>
    <w:pPr>
      <w:ind w:left="510"/>
    </w:pPr>
  </w:style>
  <w:style w:type="paragraph" w:customStyle="1" w:styleId="ZZLITzmianazmlit">
    <w:name w:val="ZZ/LIT – zmiana zm. lit."/>
    <w:basedOn w:val="ZZPKTzmianazmpkt"/>
    <w:rsid w:val="00D04EF5"/>
    <w:pPr>
      <w:ind w:left="2370" w:hanging="476"/>
    </w:pPr>
  </w:style>
  <w:style w:type="paragraph" w:customStyle="1" w:styleId="ZZTIRzmianazmtir">
    <w:name w:val="ZZ/TIR – zmiana zm. tir."/>
    <w:basedOn w:val="ZZLITzmianazmlit"/>
    <w:rsid w:val="00D04EF5"/>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rsid w:val="00D04EF5"/>
    <w:pPr>
      <w:keepNext/>
      <w:suppressAutoHyphens/>
      <w:spacing w:after="0" w:line="360" w:lineRule="auto"/>
      <w:ind w:left="510"/>
      <w:jc w:val="center"/>
    </w:pPr>
    <w:rPr>
      <w:rFonts w:ascii="Times" w:eastAsia="Times New Roman" w:hAnsi="Times" w:cs="Arial"/>
      <w:bCs/>
      <w:kern w:val="24"/>
      <w:sz w:val="24"/>
      <w:szCs w:val="24"/>
    </w:rPr>
  </w:style>
  <w:style w:type="character" w:customStyle="1" w:styleId="ZROZDZODDZOZNzmoznrozdzoddzartykuempunktemZnak">
    <w:name w:val="Z/ROZDZ(ODDZ)_OZN – zm. ozn. rozdz. (oddz.) artykułem (punktem) Znak"/>
    <w:link w:val="ZROZDZODDZOZNzmoznrozdzoddzartykuempunktem"/>
    <w:rsid w:val="00D04EF5"/>
    <w:rPr>
      <w:rFonts w:ascii="Times" w:eastAsia="Times New Roman" w:hAnsi="Times" w:cs="Arial"/>
      <w:bCs/>
      <w:kern w:val="24"/>
      <w:sz w:val="24"/>
      <w:szCs w:val="24"/>
    </w:rPr>
  </w:style>
  <w:style w:type="character" w:customStyle="1" w:styleId="ZPKTzmpktartykuempunktemZnak">
    <w:name w:val="Z/PKT – zm. pkt artykułem (punktem) Znak"/>
    <w:link w:val="ZPKTzmpktartykuempunktem"/>
    <w:rsid w:val="00D04EF5"/>
    <w:rPr>
      <w:rFonts w:ascii="Times" w:eastAsia="Times New Roman" w:hAnsi="Times" w:cs="Arial"/>
      <w:bCs/>
      <w:sz w:val="24"/>
      <w:szCs w:val="20"/>
    </w:rPr>
  </w:style>
  <w:style w:type="paragraph" w:customStyle="1" w:styleId="ZLITUSTzmustliter">
    <w:name w:val="Z_LIT/UST(§) – zm. ust. (§) literą"/>
    <w:basedOn w:val="USTustnpkodeksu"/>
    <w:rsid w:val="00D04EF5"/>
    <w:pPr>
      <w:ind w:left="987"/>
    </w:pPr>
  </w:style>
  <w:style w:type="paragraph" w:customStyle="1" w:styleId="ZLITPKTzmpktliter">
    <w:name w:val="Z_LIT/PKT – zm. pkt literą"/>
    <w:basedOn w:val="PKTpunkt"/>
    <w:rsid w:val="00D04EF5"/>
    <w:pPr>
      <w:ind w:left="1497"/>
    </w:pPr>
  </w:style>
  <w:style w:type="paragraph" w:customStyle="1" w:styleId="ZZCZWSPPKTzmianazmczciwsppkt">
    <w:name w:val="ZZ/CZ_WSP_PKT – zmiana. zm. części wsp. pkt"/>
    <w:basedOn w:val="ZZARTzmianazmart"/>
    <w:next w:val="ZPKTzmpktartykuempunktem"/>
    <w:rsid w:val="00D04EF5"/>
    <w:pPr>
      <w:ind w:firstLine="0"/>
    </w:pPr>
  </w:style>
  <w:style w:type="paragraph" w:customStyle="1" w:styleId="ZLITLITzmlitliter">
    <w:name w:val="Z_LIT/LIT – zm. lit. literą"/>
    <w:basedOn w:val="LITlitera"/>
    <w:rsid w:val="00D04EF5"/>
    <w:pPr>
      <w:ind w:left="1463"/>
    </w:pPr>
  </w:style>
  <w:style w:type="paragraph" w:customStyle="1" w:styleId="ZLITCZWSPPKTzmczciwsppktliter">
    <w:name w:val="Z_LIT/CZ_WSP_PKT – zm. części wsp. pkt literą"/>
    <w:basedOn w:val="CZWSPLITczwsplnaliter"/>
    <w:next w:val="LITlitera"/>
    <w:rsid w:val="00D04EF5"/>
    <w:pPr>
      <w:ind w:left="987"/>
    </w:pPr>
  </w:style>
  <w:style w:type="paragraph" w:customStyle="1" w:styleId="ZLITTIRzmtirliter">
    <w:name w:val="Z_LIT/TIR – zm. tir. literą"/>
    <w:basedOn w:val="TIRtiret"/>
    <w:rsid w:val="00D04EF5"/>
  </w:style>
  <w:style w:type="paragraph" w:customStyle="1" w:styleId="ZZCZWSPLITwPKTzmianazmczciwsplitwpkt">
    <w:name w:val="ZZ/CZ_WSP_LIT_w_PKT – zmiana zm. części wsp. lit. w pkt"/>
    <w:basedOn w:val="ZZLITwPKTzmianazmlitwpkt"/>
    <w:rsid w:val="00D04EF5"/>
    <w:pPr>
      <w:ind w:left="2404" w:firstLine="0"/>
    </w:pPr>
  </w:style>
  <w:style w:type="paragraph" w:customStyle="1" w:styleId="ZLITLITwPKTzmlitwpktliter">
    <w:name w:val="Z_LIT/LIT_w_PKT – zm. lit. w pkt literą"/>
    <w:basedOn w:val="LITlitera"/>
    <w:rsid w:val="00D04EF5"/>
    <w:pPr>
      <w:ind w:left="1973"/>
    </w:pPr>
  </w:style>
  <w:style w:type="paragraph" w:customStyle="1" w:styleId="ZLITCZWSPLITwPKTzmczciwsplitwpktliter">
    <w:name w:val="Z_LIT/CZ_WSP_LIT_w_PKT – zm. części wsp. lit. w pkt literą"/>
    <w:basedOn w:val="CZWSPLITczwsplnaliter"/>
    <w:next w:val="LITlitera"/>
    <w:rsid w:val="00D04EF5"/>
    <w:pPr>
      <w:ind w:left="1497"/>
    </w:pPr>
  </w:style>
  <w:style w:type="paragraph" w:customStyle="1" w:styleId="ZLITTIRwPKTzmtirwpktliter">
    <w:name w:val="Z_LIT/TIR_w_PKT – zm. tir. w pkt literą"/>
    <w:basedOn w:val="TIRtiret"/>
    <w:rsid w:val="00D04EF5"/>
    <w:pPr>
      <w:ind w:left="2370"/>
    </w:pPr>
  </w:style>
  <w:style w:type="paragraph" w:customStyle="1" w:styleId="ZLITCZWSPTIRwPKTzmczciwsptirwpktliter">
    <w:name w:val="Z_LIT/CZ_WSP_TIR_w_PKT – zm. części wsp. tir. w pkt literą"/>
    <w:basedOn w:val="CZWSPTIRczwsplnatiret"/>
    <w:next w:val="LITlitera"/>
    <w:rsid w:val="00D04EF5"/>
    <w:pPr>
      <w:ind w:left="1973"/>
    </w:pPr>
  </w:style>
  <w:style w:type="paragraph" w:styleId="Tekstprzypisudolnego">
    <w:name w:val="footnote text"/>
    <w:aliases w:val="Fodnotetekst Tegn1,Fodnotetekst Tegn Tegn,Fodnotetekst Tegn2 Tegn Tegn,Fodnotetekst Tegn Tegn Tegn Tegn,Fodnotetekst Tegn1 Tegn Tegn Tegn Tegn,Fodnotetekst Tegn Tegn Tegn Tegn Tegn Tegn"/>
    <w:basedOn w:val="Normalny"/>
    <w:link w:val="TekstprzypisudolnegoZnak"/>
    <w:rsid w:val="00D04EF5"/>
    <w:rPr>
      <w:rFonts w:ascii="Times" w:hAnsi="Times" w:cs="Times New Roman"/>
      <w:szCs w:val="24"/>
    </w:rPr>
  </w:style>
  <w:style w:type="character" w:customStyle="1" w:styleId="TekstprzypisudolnegoZnak">
    <w:name w:val="Tekst przypisu dolnego Znak"/>
    <w:aliases w:val="Fodnotetekst Tegn1 Znak,Fodnotetekst Tegn Tegn Znak,Fodnotetekst Tegn2 Tegn Tegn Znak,Fodnotetekst Tegn Tegn Tegn Tegn Znak,Fodnotetekst Tegn1 Tegn Tegn Tegn Tegn Znak,Fodnotetekst Tegn Tegn Tegn Tegn Tegn Tegn Znak"/>
    <w:basedOn w:val="Domylnaczcionkaakapitu"/>
    <w:link w:val="Tekstprzypisudolnego"/>
    <w:rsid w:val="00D04EF5"/>
    <w:rPr>
      <w:rFonts w:ascii="Times" w:eastAsia="Times New Roman" w:hAnsi="Times" w:cs="Times New Roman"/>
      <w:sz w:val="24"/>
      <w:szCs w:val="24"/>
    </w:rPr>
  </w:style>
  <w:style w:type="paragraph" w:customStyle="1" w:styleId="ZTIRLITzmlittiret">
    <w:name w:val="Z_TIR/LIT – zm. lit. tiret"/>
    <w:basedOn w:val="LITlitera"/>
    <w:link w:val="ZTIRLITzmlittiretZnak"/>
    <w:rsid w:val="00D04EF5"/>
    <w:pPr>
      <w:ind w:left="1859"/>
    </w:pPr>
  </w:style>
  <w:style w:type="character" w:customStyle="1" w:styleId="ZTIRLITzmlittiretZnak">
    <w:name w:val="Z_TIR/LIT – zm. lit. tiret Znak"/>
    <w:link w:val="ZTIRLITzmlittiret"/>
    <w:rsid w:val="00D04EF5"/>
    <w:rPr>
      <w:rFonts w:ascii="Times" w:eastAsia="Times New Roman" w:hAnsi="Times" w:cs="Arial"/>
      <w:bCs/>
      <w:sz w:val="24"/>
      <w:szCs w:val="20"/>
    </w:rPr>
  </w:style>
  <w:style w:type="paragraph" w:customStyle="1" w:styleId="ZTIRCZWSPPKTzmczciwsppkttiret">
    <w:name w:val="Z_TIR/CZ_WSP_PKT – zm. części wsp. pkt tiret"/>
    <w:basedOn w:val="CZWSPLITczwsplnaliter"/>
    <w:next w:val="TIRtiret"/>
    <w:link w:val="ZTIRCZWSPPKTzmczciwsppkttiretZnak"/>
    <w:rsid w:val="00D04EF5"/>
    <w:pPr>
      <w:ind w:left="1383"/>
    </w:pPr>
  </w:style>
  <w:style w:type="character" w:customStyle="1" w:styleId="ZTIRCZWSPPKTzmczciwsppkttiretZnak">
    <w:name w:val="Z_TIR/CZ_WSP_PKT – zm. części wsp. pkt tiret Znak"/>
    <w:link w:val="ZTIRCZWSPPKTzmczciwsppkttiret"/>
    <w:rsid w:val="00D04EF5"/>
    <w:rPr>
      <w:rFonts w:ascii="Times" w:eastAsia="Times New Roman" w:hAnsi="Times" w:cs="Arial"/>
      <w:bCs/>
      <w:sz w:val="24"/>
      <w:szCs w:val="24"/>
    </w:rPr>
  </w:style>
  <w:style w:type="paragraph" w:customStyle="1" w:styleId="ZTIRTIRzmtirtiret">
    <w:name w:val="Z_TIR/TIR – zm. tir. tiret"/>
    <w:basedOn w:val="TIRtiret"/>
    <w:link w:val="ZTIRTIRzmtirtiretZnak"/>
    <w:rsid w:val="00D04EF5"/>
    <w:pPr>
      <w:ind w:left="1780"/>
    </w:pPr>
  </w:style>
  <w:style w:type="character" w:customStyle="1" w:styleId="ZTIRTIRzmtirtiretZnak">
    <w:name w:val="Z_TIR/TIR – zm. tir. tiret Znak"/>
    <w:link w:val="ZTIRTIRzmtirtiret"/>
    <w:rsid w:val="00D04EF5"/>
    <w:rPr>
      <w:rFonts w:ascii="Times" w:eastAsia="Times New Roman" w:hAnsi="Times" w:cs="Arial"/>
      <w:bCs/>
      <w:sz w:val="24"/>
      <w:szCs w:val="20"/>
    </w:rPr>
  </w:style>
  <w:style w:type="paragraph" w:customStyle="1" w:styleId="ZZCZWSPTIRwPKTzmianazmczciwsptirwpkt">
    <w:name w:val="ZZ/CZ_WSP_TIR_w_PKT – zmiana zm. części wsp. tir. w pkt"/>
    <w:basedOn w:val="ZZTIRwPKTzmianazmtirwpkt"/>
    <w:rsid w:val="00D04EF5"/>
    <w:pPr>
      <w:ind w:left="2880" w:firstLine="0"/>
    </w:pPr>
  </w:style>
  <w:style w:type="paragraph" w:customStyle="1" w:styleId="ZZTIRwLITzmianazmtirwlit">
    <w:name w:val="ZZ/TIR_w_LIT – zmiana zm. tir. w lit."/>
    <w:basedOn w:val="ZZTIRzmianazmtir"/>
    <w:rsid w:val="00D04EF5"/>
    <w:pPr>
      <w:ind w:left="2767"/>
    </w:pPr>
  </w:style>
  <w:style w:type="paragraph" w:customStyle="1" w:styleId="ZTIRTIRwLITzmtirwlittiret">
    <w:name w:val="Z_TIR/TIR_w_LIT – zm. tir. w lit. tiret"/>
    <w:basedOn w:val="TIRtiret"/>
    <w:link w:val="ZTIRTIRwLITzmtirwlittiretZnak"/>
    <w:rsid w:val="00D04EF5"/>
    <w:pPr>
      <w:ind w:left="2257"/>
    </w:pPr>
  </w:style>
  <w:style w:type="character" w:customStyle="1" w:styleId="ZTIRTIRwLITzmtirwlittiretZnak">
    <w:name w:val="Z_TIR/TIR_w_LIT – zm. tir. w lit. tiret Znak"/>
    <w:link w:val="ZTIRTIRwLITzmtirwlittiret"/>
    <w:rsid w:val="00D04EF5"/>
    <w:rPr>
      <w:rFonts w:ascii="Times" w:eastAsia="Times New Roman" w:hAnsi="Times" w:cs="Arial"/>
      <w:bCs/>
      <w:sz w:val="24"/>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rsid w:val="00D04EF5"/>
    <w:pPr>
      <w:ind w:left="1860"/>
    </w:pPr>
  </w:style>
  <w:style w:type="character" w:customStyle="1" w:styleId="ZTIRCZWSPTIRwLITzmczciwsptirwlittiretZnak">
    <w:name w:val="Z_TIR/CZ_WSP_TIR_w_LIT – zm. części wsp. tir. w lit. tiret Znak"/>
    <w:link w:val="ZTIRCZWSPTIRwLITzmczciwsptirwlittiret"/>
    <w:rsid w:val="00D04EF5"/>
    <w:rPr>
      <w:rFonts w:ascii="Times" w:eastAsia="Times New Roman" w:hAnsi="Times" w:cs="Arial"/>
      <w:bCs/>
      <w:sz w:val="24"/>
      <w:szCs w:val="20"/>
    </w:rPr>
  </w:style>
  <w:style w:type="paragraph" w:customStyle="1" w:styleId="CZWSP2TIRczwsplnapodwjnychtiret">
    <w:name w:val="CZ_WSP_2TIR – część wspólna podwójnych tiret"/>
    <w:basedOn w:val="CZWSPTIRczwsplnatiret"/>
    <w:next w:val="TIRtiret"/>
    <w:link w:val="CZWSP2TIRczwsplnapodwjnychtiretZnak"/>
    <w:rsid w:val="00D04EF5"/>
    <w:pPr>
      <w:ind w:left="1780"/>
    </w:pPr>
  </w:style>
  <w:style w:type="character" w:customStyle="1" w:styleId="CZWSP2TIRczwsplnapodwjnychtiretZnak">
    <w:name w:val="CZ_WSP_2TIR – część wspólna podwójnych tiret Znak"/>
    <w:link w:val="CZWSP2TIRczwsplnapodwjnychtiret"/>
    <w:rsid w:val="00D04EF5"/>
    <w:rPr>
      <w:rFonts w:ascii="Times" w:eastAsia="Times New Roman" w:hAnsi="Times" w:cs="Arial"/>
      <w:bCs/>
      <w:sz w:val="24"/>
      <w:szCs w:val="20"/>
    </w:rPr>
  </w:style>
  <w:style w:type="paragraph" w:customStyle="1" w:styleId="Z2TIRzmpodwtirartykuempunktem">
    <w:name w:val="Z/2TIR – zm. podw. tir. artykułem (punktem)"/>
    <w:basedOn w:val="TIRtiret"/>
    <w:link w:val="Z2TIRzmpodwtirartykuempunktemZnak"/>
    <w:rsid w:val="00D04EF5"/>
    <w:pPr>
      <w:ind w:left="907"/>
    </w:pPr>
  </w:style>
  <w:style w:type="character" w:customStyle="1" w:styleId="Z2TIRzmpodwtirartykuempunktemZnak">
    <w:name w:val="Z/2TIR – zm. podw. tir. artykułem (punktem) Znak"/>
    <w:link w:val="Z2TIRzmpodwtirartykuempunktem"/>
    <w:rsid w:val="00D04EF5"/>
    <w:rPr>
      <w:rFonts w:ascii="Times" w:eastAsia="Times New Roman" w:hAnsi="Times" w:cs="Arial"/>
      <w:bCs/>
      <w:sz w:val="24"/>
      <w:szCs w:val="20"/>
    </w:rPr>
  </w:style>
  <w:style w:type="paragraph" w:customStyle="1" w:styleId="ZZCZWSPTIRwLITzmianazmczciwsptirwlit">
    <w:name w:val="ZZ/CZ_WSP_TIR_w_LIT – zmiana zm. części wsp. tir. w lit."/>
    <w:basedOn w:val="ZZTIRwLITzmianazmtirwlit"/>
    <w:rsid w:val="00D04EF5"/>
    <w:pPr>
      <w:ind w:left="2370" w:firstLine="0"/>
    </w:pPr>
  </w:style>
  <w:style w:type="paragraph" w:customStyle="1" w:styleId="ZLIT2TIRzmpodwtirliter">
    <w:name w:val="Z_LIT/2TIR – zm. podw. tir. literą"/>
    <w:basedOn w:val="TIRtiret"/>
    <w:link w:val="ZLIT2TIRzmpodwtirliterZnak"/>
    <w:rsid w:val="00D04EF5"/>
  </w:style>
  <w:style w:type="character" w:customStyle="1" w:styleId="ZLIT2TIRzmpodwtirliterZnak">
    <w:name w:val="Z_LIT/2TIR – zm. podw. tir. literą Znak"/>
    <w:link w:val="ZLIT2TIRzmpodwtirliter"/>
    <w:rsid w:val="00D04EF5"/>
    <w:rPr>
      <w:rFonts w:ascii="Times" w:eastAsia="Times New Roman" w:hAnsi="Times" w:cs="Arial"/>
      <w:bCs/>
      <w:sz w:val="24"/>
      <w:szCs w:val="20"/>
    </w:rPr>
  </w:style>
  <w:style w:type="paragraph" w:customStyle="1" w:styleId="ZTIR2TIRzmpodwtirtiret">
    <w:name w:val="Z_TIR/2TIR – zm. podw. tir. tiret"/>
    <w:basedOn w:val="TIRtiret"/>
    <w:link w:val="ZTIR2TIRzmpodwtirtiretZnak"/>
    <w:rsid w:val="00D04EF5"/>
    <w:pPr>
      <w:ind w:left="1780"/>
    </w:pPr>
  </w:style>
  <w:style w:type="character" w:customStyle="1" w:styleId="ZTIR2TIRzmpodwtirtiretZnak">
    <w:name w:val="Z_TIR/2TIR – zm. podw. tir. tiret Znak"/>
    <w:link w:val="ZTIR2TIRzmpodwtirtiret"/>
    <w:rsid w:val="00D04EF5"/>
    <w:rPr>
      <w:rFonts w:ascii="Times" w:eastAsia="Times New Roman" w:hAnsi="Times" w:cs="Arial"/>
      <w:bCs/>
      <w:sz w:val="24"/>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rsid w:val="00D04EF5"/>
    <w:pPr>
      <w:ind w:left="1780"/>
    </w:pPr>
  </w:style>
  <w:style w:type="character" w:customStyle="1" w:styleId="Z2TIRCZWSPLITzmczciwsplitpodwjnymtiretZnak">
    <w:name w:val="Z_2TIR/CZ_WSP_LIT – zm. części wsp. lit. podwójnym tiret Znak"/>
    <w:link w:val="Z2TIRCZWSPLITzmczciwsplitpodwjnymtiret"/>
    <w:rsid w:val="00D04EF5"/>
    <w:rPr>
      <w:rFonts w:ascii="Times" w:eastAsia="Times New Roman" w:hAnsi="Times" w:cs="Arial"/>
      <w:bCs/>
      <w:sz w:val="24"/>
      <w:szCs w:val="20"/>
    </w:rPr>
  </w:style>
  <w:style w:type="paragraph" w:customStyle="1" w:styleId="Z2TIRwPKTzmpodwtirwpktartykuempunktem">
    <w:name w:val="Z/2TIR_w_PKT – zm. podw. tir. w pkt artykułem (punktem)"/>
    <w:basedOn w:val="TIRtiret"/>
    <w:next w:val="ZPKTzmpktartykuempunktem"/>
    <w:link w:val="Z2TIRwPKTzmpodwtirwpktartykuempunktemZnak"/>
    <w:rsid w:val="00D04EF5"/>
    <w:pPr>
      <w:ind w:left="2291"/>
    </w:pPr>
  </w:style>
  <w:style w:type="character" w:customStyle="1" w:styleId="Z2TIRwPKTzmpodwtirwpktartykuempunktemZnak">
    <w:name w:val="Z/2TIR_w_PKT – zm. podw. tir. w pkt artykułem (punktem) Znak"/>
    <w:link w:val="Z2TIRwPKTzmpodwtirwpktartykuempunktem"/>
    <w:rsid w:val="00D04EF5"/>
    <w:rPr>
      <w:rFonts w:ascii="Times" w:eastAsia="Times New Roman" w:hAnsi="Times" w:cs="Arial"/>
      <w:bCs/>
      <w:sz w:val="24"/>
      <w:szCs w:val="20"/>
    </w:rPr>
  </w:style>
  <w:style w:type="paragraph" w:customStyle="1" w:styleId="ZTIRPKTzmpkttiret">
    <w:name w:val="Z_TIR/PKT – zm. pkt tiret"/>
    <w:basedOn w:val="PKTpunkt"/>
    <w:link w:val="ZTIRPKTzmpkttiretZnak"/>
    <w:rsid w:val="00D04EF5"/>
    <w:pPr>
      <w:ind w:left="1893"/>
    </w:pPr>
  </w:style>
  <w:style w:type="character" w:customStyle="1" w:styleId="ZTIRPKTzmpkttiretZnak">
    <w:name w:val="Z_TIR/PKT – zm. pkt tiret Znak"/>
    <w:link w:val="ZTIRPKTzmpkttiret"/>
    <w:rsid w:val="00D04EF5"/>
    <w:rPr>
      <w:rFonts w:ascii="Times" w:eastAsia="Times New Roman" w:hAnsi="Times" w:cs="Arial"/>
      <w:bCs/>
      <w:sz w:val="24"/>
      <w:szCs w:val="20"/>
    </w:rPr>
  </w:style>
  <w:style w:type="paragraph" w:customStyle="1" w:styleId="ZTIRLITwPKTzmlitwpkttiret">
    <w:name w:val="Z_TIR/LIT_w_PKT – zm. lit. w pkt tiret"/>
    <w:basedOn w:val="LITlitera"/>
    <w:link w:val="ZTIRLITwPKTzmlitwpkttiretZnak"/>
    <w:rsid w:val="00D04EF5"/>
    <w:pPr>
      <w:ind w:left="2336"/>
    </w:pPr>
  </w:style>
  <w:style w:type="character" w:customStyle="1" w:styleId="ZTIRLITwPKTzmlitwpkttiretZnak">
    <w:name w:val="Z_TIR/LIT_w_PKT – zm. lit. w pkt tiret Znak"/>
    <w:link w:val="ZTIRLITwPKTzmlitwpkttiret"/>
    <w:rsid w:val="00D04EF5"/>
    <w:rPr>
      <w:rFonts w:ascii="Times" w:eastAsia="Times New Roman" w:hAnsi="Times" w:cs="Arial"/>
      <w:bCs/>
      <w:sz w:val="24"/>
      <w:szCs w:val="20"/>
    </w:rPr>
  </w:style>
  <w:style w:type="paragraph" w:customStyle="1" w:styleId="ZTIRCZWSPLITwPKTzmczciwsplitwpkttiret">
    <w:name w:val="Z_TIR/CZ_WSP_LIT_w_PKT – zm. części wsp. lit. w pkt tiret"/>
    <w:basedOn w:val="CZWSPLITczwsplnaliter"/>
    <w:link w:val="ZTIRCZWSPLITwPKTzmczciwsplitwpkttiretZnak"/>
    <w:rsid w:val="00D04EF5"/>
    <w:pPr>
      <w:ind w:left="1860"/>
    </w:pPr>
  </w:style>
  <w:style w:type="character" w:customStyle="1" w:styleId="ZTIRCZWSPLITwPKTzmczciwsplitwpkttiretZnak">
    <w:name w:val="Z_TIR/CZ_WSP_LIT_w_PKT – zm. części wsp. lit. w pkt tiret Znak"/>
    <w:link w:val="ZTIRCZWSPLITwPKTzmczciwsplitwpkttiret"/>
    <w:rsid w:val="00D04EF5"/>
    <w:rPr>
      <w:rFonts w:ascii="Times" w:eastAsia="Times New Roman" w:hAnsi="Times" w:cs="Arial"/>
      <w:bCs/>
      <w:sz w:val="24"/>
      <w:szCs w:val="24"/>
    </w:rPr>
  </w:style>
  <w:style w:type="paragraph" w:customStyle="1" w:styleId="ZTIR2TIRwLITzmpodwtirwlittiret">
    <w:name w:val="Z_TIR/2TIR_w_LIT – zm. podw. tir. w lit. tiret"/>
    <w:basedOn w:val="TIRtiret"/>
    <w:link w:val="ZTIR2TIRwLITzmpodwtirwlittiretZnak"/>
    <w:rsid w:val="00D04EF5"/>
    <w:pPr>
      <w:ind w:left="2654"/>
    </w:pPr>
  </w:style>
  <w:style w:type="character" w:customStyle="1" w:styleId="ZTIR2TIRwLITzmpodwtirwlittiretZnak">
    <w:name w:val="Z_TIR/2TIR_w_LIT – zm. podw. tir. w lit. tiret Znak"/>
    <w:link w:val="ZTIR2TIRwLITzmpodwtirwlittiret"/>
    <w:rsid w:val="00D04EF5"/>
    <w:rPr>
      <w:rFonts w:ascii="Times" w:eastAsia="Times New Roman" w:hAnsi="Times" w:cs="Arial"/>
      <w:bCs/>
      <w:sz w:val="24"/>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rsid w:val="00D04EF5"/>
    <w:pPr>
      <w:ind w:left="2257"/>
    </w:pPr>
  </w:style>
  <w:style w:type="character" w:customStyle="1" w:styleId="ZTIRCZWSP2TIRwLITzmczciwsppodwtirwlittiretZnak">
    <w:name w:val="Z_TIR/CZ_WSP_2TIR_w_LIT – zm. części wsp. podw. tir. w lit. tiret Znak"/>
    <w:link w:val="ZTIRCZWSP2TIRwLITzmczciwsppodwtirwlittiret"/>
    <w:rsid w:val="00D04EF5"/>
    <w:rPr>
      <w:rFonts w:ascii="Times" w:eastAsia="Times New Roman" w:hAnsi="Times" w:cs="Arial"/>
      <w:bCs/>
      <w:sz w:val="24"/>
      <w:szCs w:val="20"/>
    </w:rPr>
  </w:style>
  <w:style w:type="paragraph" w:customStyle="1" w:styleId="ZTIR2TIRwTIRzmpodwtirwtirtiret">
    <w:name w:val="Z_TIR/2TIR_w_TIR – zm. podw. tir. w tir. tiret"/>
    <w:basedOn w:val="TIRtiret"/>
    <w:link w:val="ZTIR2TIRwTIRzmpodwtirwtirtiretZnak"/>
    <w:rsid w:val="00D04EF5"/>
    <w:pPr>
      <w:ind w:left="2177"/>
    </w:pPr>
  </w:style>
  <w:style w:type="character" w:customStyle="1" w:styleId="ZTIR2TIRwTIRzmpodwtirwtirtiretZnak">
    <w:name w:val="Z_TIR/2TIR_w_TIR – zm. podw. tir. w tir. tiret Znak"/>
    <w:link w:val="ZTIR2TIRwTIRzmpodwtirwtirtiret"/>
    <w:rsid w:val="00D04EF5"/>
    <w:rPr>
      <w:rFonts w:ascii="Times" w:eastAsia="Times New Roman" w:hAnsi="Times" w:cs="Arial"/>
      <w:bCs/>
      <w:sz w:val="24"/>
      <w:szCs w:val="20"/>
    </w:rPr>
  </w:style>
  <w:style w:type="paragraph" w:customStyle="1" w:styleId="ZTIRCZWSP2TIRwTIRzmczciwsppodwtirwtirtiret">
    <w:name w:val="Z_TIR/CZ_WSP_2TIR_w_TIR – zm. części wsp. podw. tir. w tir. tiret"/>
    <w:basedOn w:val="CZWSPTIRczwsplnatiret"/>
    <w:link w:val="ZTIRCZWSP2TIRwTIRzmczciwsppodwtirwtirtiretZnak"/>
    <w:rsid w:val="00D04EF5"/>
    <w:pPr>
      <w:ind w:left="1780"/>
    </w:pPr>
  </w:style>
  <w:style w:type="character" w:customStyle="1" w:styleId="ZTIRCZWSP2TIRwTIRzmczciwsppodwtirwtirtiretZnak">
    <w:name w:val="Z_TIR/CZ_WSP_2TIR_w_TIR – zm. części wsp. podw. tir. w tir. tiret Znak"/>
    <w:link w:val="ZTIRCZWSP2TIRwTIRzmczciwsppodwtirwtirtiret"/>
    <w:rsid w:val="00D04EF5"/>
    <w:rPr>
      <w:rFonts w:ascii="Times" w:eastAsia="Times New Roman" w:hAnsi="Times" w:cs="Arial"/>
      <w:bCs/>
      <w:sz w:val="24"/>
      <w:szCs w:val="20"/>
    </w:rPr>
  </w:style>
  <w:style w:type="paragraph" w:customStyle="1" w:styleId="Z2TIRLITzmlitpodwjnymtiret">
    <w:name w:val="Z_2TIR/LIT – zm. lit. podwójnym tiret"/>
    <w:basedOn w:val="LITlitera"/>
    <w:link w:val="Z2TIRLITzmlitpodwjnymtiretZnak"/>
    <w:rsid w:val="00D04EF5"/>
    <w:pPr>
      <w:ind w:left="2256"/>
    </w:pPr>
  </w:style>
  <w:style w:type="character" w:customStyle="1" w:styleId="Z2TIRLITzmlitpodwjnymtiretZnak">
    <w:name w:val="Z_2TIR/LIT – zm. lit. podwójnym tiret Znak"/>
    <w:link w:val="Z2TIRLITzmlitpodwjnymtiret"/>
    <w:rsid w:val="00D04EF5"/>
    <w:rPr>
      <w:rFonts w:ascii="Times" w:eastAsia="Times New Roman" w:hAnsi="Times" w:cs="Arial"/>
      <w:bCs/>
      <w:sz w:val="24"/>
      <w:szCs w:val="20"/>
    </w:rPr>
  </w:style>
  <w:style w:type="paragraph" w:customStyle="1" w:styleId="ZZ2TIRwTIRzmianazmpodwtirwtir">
    <w:name w:val="ZZ/2TIR_w_TIR – zmiana zm. podw. tir. w tir."/>
    <w:basedOn w:val="ZZCZWSP2TIRzmianazmczciwsppodwtir"/>
    <w:rsid w:val="00D04EF5"/>
    <w:pPr>
      <w:ind w:left="2688" w:hanging="397"/>
    </w:pPr>
  </w:style>
  <w:style w:type="paragraph" w:customStyle="1" w:styleId="ZZ2TIRwLITzmianazmpodwtirwlit">
    <w:name w:val="ZZ/2TIR_w_LIT – zmiana zm. podw. tir. w lit."/>
    <w:basedOn w:val="ZZ2TIRwTIRzmianazmpodwtirwtir"/>
    <w:rsid w:val="00D04EF5"/>
    <w:pPr>
      <w:ind w:left="3164"/>
    </w:pPr>
  </w:style>
  <w:style w:type="paragraph" w:customStyle="1" w:styleId="Z2TIRTIRwLITzmtirwlitpodwjnymtiret">
    <w:name w:val="Z_2TIR/TIR_w_LIT – zm. tir. w lit. podwójnym tiret"/>
    <w:basedOn w:val="TIRtiret"/>
    <w:link w:val="Z2TIRTIRwLITzmtirwlitpodwjnymtiretZnak"/>
    <w:rsid w:val="00D04EF5"/>
    <w:pPr>
      <w:ind w:left="2654"/>
    </w:pPr>
  </w:style>
  <w:style w:type="character" w:customStyle="1" w:styleId="Z2TIRTIRwLITzmtirwlitpodwjnymtiretZnak">
    <w:name w:val="Z_2TIR/TIR_w_LIT – zm. tir. w lit. podwójnym tiret Znak"/>
    <w:link w:val="Z2TIRTIRwLITzmtirwlitpodwjnymtiret"/>
    <w:rsid w:val="00D04EF5"/>
    <w:rPr>
      <w:rFonts w:ascii="Times" w:eastAsia="Times New Roman" w:hAnsi="Times" w:cs="Arial"/>
      <w:bCs/>
      <w:sz w:val="24"/>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rsid w:val="00D04EF5"/>
    <w:pPr>
      <w:ind w:left="2257"/>
    </w:pPr>
  </w:style>
  <w:style w:type="character" w:customStyle="1" w:styleId="Z2TIRCZWSPTIRwLITzmczciwsptirwlitpodwjnymtiretZnak">
    <w:name w:val="Z_2TIR/CZ_WSP_TIR_w_LIT – zm. części wsp. tir. w lit. podwójnym tiret Znak"/>
    <w:link w:val="Z2TIRCZWSPTIRwLITzmczciwsptirwlitpodwjnymtiret"/>
    <w:rsid w:val="00D04EF5"/>
    <w:rPr>
      <w:rFonts w:ascii="Times" w:eastAsia="Times New Roman" w:hAnsi="Times" w:cs="Arial"/>
      <w:bCs/>
      <w:sz w:val="24"/>
      <w:szCs w:val="20"/>
    </w:rPr>
  </w:style>
  <w:style w:type="paragraph" w:customStyle="1" w:styleId="ZZ2TIRwPKTzmianazmpodwtirwpkt">
    <w:name w:val="ZZ/2TIR_w_PKT – zmiana zm. podw. tir. w pkt"/>
    <w:basedOn w:val="ZZ2TIRwLITzmianazmpodwtirwlit"/>
    <w:rsid w:val="00D04EF5"/>
    <w:pPr>
      <w:ind w:left="3674"/>
    </w:pPr>
  </w:style>
  <w:style w:type="paragraph" w:customStyle="1" w:styleId="ZZCZWSP2TIRwTIRzmianazmczciwsppodwtirwtir">
    <w:name w:val="ZZ/CZ_WSP_2TIR_w_TIR – zmiana zm. części wsp. podw. tir. w tir."/>
    <w:basedOn w:val="ZZ2TIRwLITzmianazmpodwtirwlit"/>
    <w:rsid w:val="00D04EF5"/>
    <w:pPr>
      <w:ind w:left="2291" w:firstLine="0"/>
    </w:pPr>
  </w:style>
  <w:style w:type="paragraph" w:customStyle="1" w:styleId="Z2TIR2TIRwTIRzmpodwtirwtirpodwjnymtiret">
    <w:name w:val="Z_2TIR/2TIR_w_TIR – zm. podw. tir. w tir. podwójnym tiret"/>
    <w:basedOn w:val="TIRtiret"/>
    <w:link w:val="Z2TIR2TIRwTIRzmpodwtirwtirpodwjnymtiretZnak"/>
    <w:rsid w:val="00D04EF5"/>
    <w:pPr>
      <w:ind w:left="2574"/>
    </w:pPr>
  </w:style>
  <w:style w:type="character" w:customStyle="1" w:styleId="Z2TIR2TIRwTIRzmpodwtirwtirpodwjnymtiretZnak">
    <w:name w:val="Z_2TIR/2TIR_w_TIR – zm. podw. tir. w tir. podwójnym tiret Znak"/>
    <w:link w:val="Z2TIR2TIRwTIRzmpodwtirwtirpodwjnymtiret"/>
    <w:rsid w:val="00D04EF5"/>
    <w:rPr>
      <w:rFonts w:ascii="Times" w:eastAsia="Times New Roman" w:hAnsi="Times" w:cs="Arial"/>
      <w:bCs/>
      <w:sz w:val="24"/>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rsid w:val="00D04EF5"/>
    <w:pPr>
      <w:ind w:left="2177"/>
    </w:pPr>
  </w:style>
  <w:style w:type="character" w:customStyle="1" w:styleId="Z2TIRCZWSP2TIRwTIRzmczciwsppodwtirwtiretpodwjnymtiretZnak">
    <w:name w:val="Z_2TIR/CZ_WSP_2TIR_w_TIR – zm. części wsp. podw. tir. w tiret podwójnym tiret Znak"/>
    <w:link w:val="Z2TIRCZWSP2TIRwTIRzmczciwsppodwtirwtiretpodwjnymtiret"/>
    <w:rsid w:val="00D04EF5"/>
    <w:rPr>
      <w:rFonts w:ascii="Times" w:eastAsia="Times New Roman" w:hAnsi="Times" w:cs="Arial"/>
      <w:bCs/>
      <w:sz w:val="24"/>
      <w:szCs w:val="20"/>
    </w:rPr>
  </w:style>
  <w:style w:type="paragraph" w:customStyle="1" w:styleId="Z2TIR2TIRwLITzmpodwtirwlitpodwjnymtiret">
    <w:name w:val="Z_2TIR/2TIR_w_LIT – zm. podw. tir. w lit. podwójnym tiret"/>
    <w:basedOn w:val="TIRtiret"/>
    <w:link w:val="Z2TIR2TIRwLITzmpodwtirwlitpodwjnymtiretZnak"/>
    <w:rsid w:val="00D04EF5"/>
    <w:pPr>
      <w:ind w:left="3051"/>
    </w:pPr>
  </w:style>
  <w:style w:type="character" w:customStyle="1" w:styleId="Z2TIR2TIRwLITzmpodwtirwlitpodwjnymtiretZnak">
    <w:name w:val="Z_2TIR/2TIR_w_LIT – zm. podw. tir. w lit. podwójnym tiret Znak"/>
    <w:link w:val="Z2TIR2TIRwLITzmpodwtirwlitpodwjnymtiret"/>
    <w:rsid w:val="00D04EF5"/>
    <w:rPr>
      <w:rFonts w:ascii="Times" w:eastAsia="Times New Roman" w:hAnsi="Times" w:cs="Arial"/>
      <w:bCs/>
      <w:sz w:val="24"/>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rsid w:val="00D04EF5"/>
    <w:pPr>
      <w:ind w:left="2654"/>
    </w:pPr>
  </w:style>
  <w:style w:type="character" w:customStyle="1" w:styleId="Z2TIRCZWSP2TIRwLITzmczciwsppodwtirwlitpodwjnymtiretZnak">
    <w:name w:val="Z_2TIR/CZ_WSP_2TIR_w_LIT – zm. części wsp. podw. tir. w lit. podwójnym tiret Znak"/>
    <w:link w:val="Z2TIRCZWSP2TIRwLITzmczciwsppodwtirwlitpodwjnymtiret"/>
    <w:rsid w:val="00D04EF5"/>
    <w:rPr>
      <w:rFonts w:ascii="Times" w:eastAsia="Times New Roman" w:hAnsi="Times" w:cs="Arial"/>
      <w:bCs/>
      <w:sz w:val="24"/>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rsid w:val="00D04EF5"/>
    <w:pPr>
      <w:ind w:left="510"/>
    </w:pPr>
    <w:rPr>
      <w:b w:val="0"/>
    </w:rPr>
  </w:style>
  <w:style w:type="character" w:customStyle="1" w:styleId="ZCZCIKSIGIzmozniprzedmczciksigiartykuempunktemZnak">
    <w:name w:val="Z/CZĘŚCI(KSIĘGI) – zm. ozn. i przedm. części (księgi) artykułem (punktem) Znak"/>
    <w:link w:val="ZCZCIKSIGIzmozniprzedmczciksigiartykuempunktem"/>
    <w:rsid w:val="00D04EF5"/>
    <w:rPr>
      <w:rFonts w:ascii="Times" w:eastAsia="Times New Roman" w:hAnsi="Times" w:cs="Times New Roman"/>
      <w:bCs/>
      <w:caps/>
      <w:kern w:val="24"/>
      <w:sz w:val="24"/>
      <w:szCs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rsid w:val="00D04EF5"/>
    <w:pPr>
      <w:ind w:left="510"/>
    </w:pPr>
    <w:rPr>
      <w:b w:val="0"/>
    </w:rPr>
  </w:style>
  <w:style w:type="character" w:customStyle="1" w:styleId="ZROZDZODDZPRZEDMzmprzedmrozdzoddzartykuempunktemZnak">
    <w:name w:val="Z/ROZDZ(ODDZ)_PRZEDM – zm. przedm. rozdz. (oddz.) artykułem (punktem) Znak"/>
    <w:link w:val="ZROZDZODDZPRZEDMzmprzedmrozdzoddzartykuempunktem"/>
    <w:rsid w:val="00D04EF5"/>
    <w:rPr>
      <w:rFonts w:ascii="Times" w:eastAsia="Times New Roman" w:hAnsi="Times" w:cs="Times New Roman"/>
      <w:bCs/>
      <w:sz w:val="24"/>
      <w:szCs w:val="24"/>
    </w:rPr>
  </w:style>
  <w:style w:type="character" w:styleId="Odwoaniedokomentarza">
    <w:name w:val="annotation reference"/>
    <w:rsid w:val="00D04EF5"/>
    <w:rPr>
      <w:sz w:val="16"/>
      <w:szCs w:val="16"/>
    </w:rPr>
  </w:style>
  <w:style w:type="paragraph" w:styleId="Tekstkomentarza">
    <w:name w:val="annotation text"/>
    <w:basedOn w:val="Normalny"/>
    <w:link w:val="TekstkomentarzaZnak"/>
    <w:rsid w:val="00D04EF5"/>
    <w:rPr>
      <w:rFonts w:ascii="Times" w:hAnsi="Times" w:cs="Times New Roman"/>
      <w:szCs w:val="24"/>
    </w:rPr>
  </w:style>
  <w:style w:type="character" w:customStyle="1" w:styleId="TekstkomentarzaZnak">
    <w:name w:val="Tekst komentarza Znak"/>
    <w:basedOn w:val="Domylnaczcionkaakapitu"/>
    <w:link w:val="Tekstkomentarza"/>
    <w:rsid w:val="00D04EF5"/>
    <w:rPr>
      <w:rFonts w:ascii="Times" w:eastAsia="Times New Roman" w:hAnsi="Times" w:cs="Times New Roman"/>
      <w:sz w:val="24"/>
      <w:szCs w:val="24"/>
    </w:rPr>
  </w:style>
  <w:style w:type="paragraph" w:styleId="Tematkomentarza">
    <w:name w:val="annotation subject"/>
    <w:basedOn w:val="Tekstkomentarza"/>
    <w:next w:val="Tekstkomentarza"/>
    <w:link w:val="TematkomentarzaZnak"/>
    <w:rsid w:val="00D04EF5"/>
    <w:rPr>
      <w:b/>
      <w:bCs/>
    </w:rPr>
  </w:style>
  <w:style w:type="character" w:customStyle="1" w:styleId="TematkomentarzaZnak">
    <w:name w:val="Temat komentarza Znak"/>
    <w:basedOn w:val="TekstkomentarzaZnak"/>
    <w:link w:val="Tematkomentarza"/>
    <w:rsid w:val="00D04EF5"/>
    <w:rPr>
      <w:rFonts w:ascii="Times" w:eastAsia="Times New Roman" w:hAnsi="Times" w:cs="Times New Roman"/>
      <w:b/>
      <w:bCs/>
      <w:sz w:val="24"/>
      <w:szCs w:val="24"/>
    </w:rPr>
  </w:style>
  <w:style w:type="paragraph" w:customStyle="1" w:styleId="ZZARTzmianazmart">
    <w:name w:val="ZZ/ART(§) – zmiana zm. art. (§)"/>
    <w:basedOn w:val="ZARTzmartartykuempunktem"/>
    <w:rsid w:val="00D04EF5"/>
    <w:pPr>
      <w:ind w:left="1894"/>
    </w:pPr>
  </w:style>
  <w:style w:type="paragraph" w:customStyle="1" w:styleId="ZZPKTzmianazmpkt">
    <w:name w:val="ZZ/PKT – zmiana zm. pkt"/>
    <w:basedOn w:val="ZPKTzmpktartykuempunktem"/>
    <w:rsid w:val="00D04EF5"/>
    <w:pPr>
      <w:ind w:left="2404"/>
    </w:pPr>
  </w:style>
  <w:style w:type="paragraph" w:customStyle="1" w:styleId="ZZLITwPKTzmianazmlitwpkt">
    <w:name w:val="ZZ/LIT_w_PKT – zmiana zm. lit. w pkt"/>
    <w:basedOn w:val="ZLITwPKTzmlitwpktartykuempunktem"/>
    <w:rsid w:val="00D04EF5"/>
    <w:pPr>
      <w:ind w:left="2880"/>
    </w:pPr>
  </w:style>
  <w:style w:type="paragraph" w:customStyle="1" w:styleId="ZZTIRwPKTzmianazmtirwpkt">
    <w:name w:val="ZZ/TIR_w_PKT – zmiana zm. tir. w pkt"/>
    <w:basedOn w:val="ZTIRwPKTzmtirwpktartykuempunktem"/>
    <w:rsid w:val="00D04EF5"/>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rsid w:val="00D04EF5"/>
    <w:pPr>
      <w:ind w:left="1497"/>
    </w:pPr>
  </w:style>
  <w:style w:type="paragraph" w:customStyle="1" w:styleId="ODNONIKtreodnonika">
    <w:name w:val="ODNOŚNIK – treść odnośnika"/>
    <w:rsid w:val="00D04EF5"/>
    <w:pPr>
      <w:spacing w:after="0" w:line="240" w:lineRule="auto"/>
      <w:ind w:left="284" w:hanging="284"/>
      <w:jc w:val="both"/>
    </w:pPr>
    <w:rPr>
      <w:rFonts w:ascii="Times New Roman" w:eastAsia="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rsid w:val="00D04EF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rsid w:val="00D04EF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rsid w:val="00D04EF5"/>
    <w:rPr>
      <w:rFonts w:ascii="Times New Roman" w:hAnsi="Times New Roman"/>
    </w:rPr>
  </w:style>
  <w:style w:type="paragraph" w:customStyle="1" w:styleId="ZTIRTIRwPKTzmtirwpkttiret">
    <w:name w:val="Z_TIR/TIR_w_PKT – zm. tir. w pkt tiret"/>
    <w:basedOn w:val="ZTIRTIRwLITzmtirwlittiret"/>
    <w:rsid w:val="00D04EF5"/>
    <w:pPr>
      <w:ind w:left="2733"/>
    </w:pPr>
  </w:style>
  <w:style w:type="paragraph" w:customStyle="1" w:styleId="ZTIRCZWSPTIRwPKTzmczciwsptirtiret">
    <w:name w:val="Z_TIR/CZ_WSP_TIR_w_PKT – zm. części wsp. tir. tiret"/>
    <w:basedOn w:val="ZTIRTIRwPKTzmtirwpkttiret"/>
    <w:next w:val="TIRtiret"/>
    <w:rsid w:val="00D04EF5"/>
    <w:pPr>
      <w:ind w:left="2336" w:firstLine="0"/>
    </w:pPr>
  </w:style>
  <w:style w:type="paragraph" w:customStyle="1" w:styleId="SKARNsankcjakarnawszczeglnociwKodeksiekarnym">
    <w:name w:val="S_KARN – sankcja karna w szczególności w Kodeksie karnym"/>
    <w:basedOn w:val="USTustnpkodeksu"/>
    <w:next w:val="ARTartustawynprozporzdzenia"/>
    <w:rsid w:val="00D04EF5"/>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rsid w:val="00D04EF5"/>
    <w:pPr>
      <w:keepNext/>
      <w:suppressAutoHyphens/>
      <w:spacing w:before="120" w:after="0" w:line="360" w:lineRule="auto"/>
      <w:jc w:val="center"/>
    </w:pPr>
    <w:rPr>
      <w:rFonts w:ascii="Times" w:eastAsia="Times New Roman" w:hAnsi="Times" w:cs="Arial"/>
      <w:bCs/>
      <w:kern w:val="24"/>
      <w:sz w:val="24"/>
      <w:szCs w:val="24"/>
    </w:rPr>
  </w:style>
  <w:style w:type="character" w:customStyle="1" w:styleId="ROZDZODDZOZNoznaczenierozdziauluboddziauZnak">
    <w:name w:val="ROZDZ(ODDZ)_OZN – oznaczenie rozdziału lub oddziału Znak"/>
    <w:link w:val="ROZDZODDZOZNoznaczenierozdziauluboddziau"/>
    <w:rsid w:val="00D04EF5"/>
    <w:rPr>
      <w:rFonts w:ascii="Times" w:eastAsia="Times New Roman" w:hAnsi="Times" w:cs="Arial"/>
      <w:bCs/>
      <w:kern w:val="24"/>
      <w:sz w:val="24"/>
      <w:szCs w:val="24"/>
    </w:rPr>
  </w:style>
  <w:style w:type="paragraph" w:customStyle="1" w:styleId="Z2TIR2TIRzmpodwtirpodwjnymtiret">
    <w:name w:val="Z_2TIR/2TIR – zm. podw. tir. podwójnym tiret"/>
    <w:basedOn w:val="TIRtiret"/>
    <w:link w:val="Z2TIR2TIRzmpodwtirpodwjnymtiretZnak"/>
    <w:rsid w:val="00D04EF5"/>
    <w:pPr>
      <w:ind w:left="2177"/>
    </w:pPr>
  </w:style>
  <w:style w:type="character" w:customStyle="1" w:styleId="Z2TIR2TIRzmpodwtirpodwjnymtiretZnak">
    <w:name w:val="Z_2TIR/2TIR – zm. podw. tir. podwójnym tiret Znak"/>
    <w:link w:val="Z2TIR2TIRzmpodwtirpodwjnymtiret"/>
    <w:rsid w:val="00D04EF5"/>
    <w:rPr>
      <w:rFonts w:ascii="Times" w:eastAsia="Times New Roman" w:hAnsi="Times" w:cs="Arial"/>
      <w:bCs/>
      <w:sz w:val="24"/>
      <w:szCs w:val="20"/>
    </w:rPr>
  </w:style>
  <w:style w:type="paragraph" w:customStyle="1" w:styleId="Z2TIRTIRzmtirpodwjnymtiret">
    <w:name w:val="Z_2TIR/TIR – zm. tir. podwójnym tiret"/>
    <w:basedOn w:val="TIRtiret"/>
    <w:link w:val="Z2TIRTIRzmtirpodwjnymtiretZnak"/>
    <w:rsid w:val="00D04EF5"/>
    <w:pPr>
      <w:ind w:left="2177"/>
    </w:pPr>
  </w:style>
  <w:style w:type="character" w:customStyle="1" w:styleId="Z2TIRTIRzmtirpodwjnymtiretZnak">
    <w:name w:val="Z_2TIR/TIR – zm. tir. podwójnym tiret Znak"/>
    <w:link w:val="Z2TIRTIRzmtirpodwjnymtiret"/>
    <w:rsid w:val="00D04EF5"/>
    <w:rPr>
      <w:rFonts w:ascii="Times" w:eastAsia="Times New Roman" w:hAnsi="Times" w:cs="Arial"/>
      <w:bCs/>
      <w:sz w:val="24"/>
      <w:szCs w:val="20"/>
    </w:rPr>
  </w:style>
  <w:style w:type="paragraph" w:customStyle="1" w:styleId="ZSKARNzmsankcjikarnejwszczeglnociwKodeksiekarnym">
    <w:name w:val="Z/S_KARN – zm. sankcji karnej w szczególności w Kodeksie karnym"/>
    <w:basedOn w:val="SKARNsankcjakarnawszczeglnociwKodeksiekarnym"/>
    <w:next w:val="PKTpunkt"/>
    <w:rsid w:val="00D04EF5"/>
    <w:pPr>
      <w:ind w:left="1021"/>
    </w:pPr>
  </w:style>
  <w:style w:type="paragraph" w:customStyle="1" w:styleId="ZLITSKARNzmsankcjikarnejliter">
    <w:name w:val="Z_LIT/S_KARN – zm. sankcji karnej literą"/>
    <w:basedOn w:val="ZSKARNzmsankcjikarnejwszczeglnociwKodeksiekarnym"/>
    <w:rsid w:val="00D04EF5"/>
    <w:pPr>
      <w:ind w:left="1497"/>
    </w:pPr>
  </w:style>
  <w:style w:type="paragraph" w:customStyle="1" w:styleId="ZCYTwARTUSTzmcytatuwrazzartlubust">
    <w:name w:val="Z/CYT_w_ART(§|UST) – zm. cytatu wraz z art. (§ lub ust.)"/>
    <w:basedOn w:val="CYTcytatnpprzysigi"/>
    <w:rsid w:val="00D04EF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rsid w:val="00D04EF5"/>
    <w:pPr>
      <w:ind w:left="1894" w:firstLine="0"/>
    </w:pPr>
  </w:style>
  <w:style w:type="paragraph" w:customStyle="1" w:styleId="Z2TIRwLITzmpodwtirwlitartykuempunktem">
    <w:name w:val="Z/2TIR_w_LIT – zm. podw. tir. w lit. artykułem (punktem)"/>
    <w:basedOn w:val="Z2TIRwPKTzmpodwtirwpktartykuempunktem"/>
    <w:rsid w:val="00D04EF5"/>
    <w:pPr>
      <w:ind w:left="1780"/>
    </w:pPr>
  </w:style>
  <w:style w:type="paragraph" w:customStyle="1" w:styleId="Z2TIRwTIRzmpodwtirwtirartykuempunktem">
    <w:name w:val="Z/2TIR_w_TIR – zm. podw. tir. w tir. artykułem (punktem)"/>
    <w:basedOn w:val="Z2TIRwLITzmpodwtirwlitartykuempunktem"/>
    <w:rsid w:val="00D04EF5"/>
    <w:pPr>
      <w:ind w:left="1304"/>
    </w:pPr>
  </w:style>
  <w:style w:type="paragraph" w:customStyle="1" w:styleId="ZCZWSP2TIRwTIRzmczciwsppodwtirwtirartykuempunktem">
    <w:name w:val="Z/CZ_WSP_2TIR_w_TIR – zm. części wsp. podw. tir. w tir. artykułem (punktem)"/>
    <w:basedOn w:val="Z2TIRwTIRzmpodwtirwtirartykuempunktem"/>
    <w:next w:val="PKTpunkt"/>
    <w:rsid w:val="00D04EF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rsid w:val="00D04EF5"/>
    <w:pPr>
      <w:ind w:left="1383" w:firstLine="0"/>
    </w:pPr>
  </w:style>
  <w:style w:type="paragraph" w:customStyle="1" w:styleId="ZLITCYTwUSTzmcytatunpprzysigiwustlubliter">
    <w:name w:val="Z_LIT/CYT_w_UST(§) – zm. cytatu np. przysięgi w ust. lub § literą"/>
    <w:basedOn w:val="ZCYTwARTUSTzmcytatuwrazzartlubust"/>
    <w:rsid w:val="00D04EF5"/>
    <w:pPr>
      <w:ind w:left="1497"/>
    </w:pPr>
  </w:style>
  <w:style w:type="paragraph" w:customStyle="1" w:styleId="ZZCZWSP2TIRzmianazmczciwsppodwtir">
    <w:name w:val="ZZ/CZ_WSP_2TIR – zmiana zm. części wsp. podw. tir."/>
    <w:basedOn w:val="ZZTIRzmianazmtir"/>
    <w:next w:val="ZZUSTzmianazmust"/>
    <w:rsid w:val="00D04EF5"/>
    <w:pPr>
      <w:ind w:left="1894" w:firstLine="0"/>
    </w:pPr>
  </w:style>
  <w:style w:type="paragraph" w:customStyle="1" w:styleId="PKTODNONIKApunktodnonika">
    <w:name w:val="PKT_ODNOŚNIKA – punkt odnośnika"/>
    <w:basedOn w:val="ODNONIKtreodnonika"/>
    <w:rsid w:val="00D04EF5"/>
    <w:pPr>
      <w:ind w:left="568"/>
    </w:pPr>
  </w:style>
  <w:style w:type="paragraph" w:customStyle="1" w:styleId="ZODNONIKAzmtekstuodnonikaartykuempunktem">
    <w:name w:val="Z/ODNOŚNIKA – zm. tekstu odnośnika artykułem (punktem)"/>
    <w:basedOn w:val="ODNONIKtreodnonika"/>
    <w:rsid w:val="00D04EF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rsid w:val="00D04EF5"/>
    <w:pPr>
      <w:ind w:left="1304"/>
    </w:pPr>
  </w:style>
  <w:style w:type="paragraph" w:customStyle="1" w:styleId="ZPKTODNONIKAzmpktodnonikaartykuempunktem">
    <w:name w:val="Z/PKT_ODNOŚNIKA – zm. pkt odnośnika artykułem (punktem)"/>
    <w:basedOn w:val="ZODNONIKAzmtekstuodnonikaartykuempunktem"/>
    <w:rsid w:val="00D04EF5"/>
  </w:style>
  <w:style w:type="paragraph" w:customStyle="1" w:styleId="ZLIT2TIRwTIRzmpodwtirwtirliter">
    <w:name w:val="Z_LIT/2TIR_w_TIR – zm. podw. tir. w tir. literą"/>
    <w:basedOn w:val="ZLIT2TIRzmpodwtirliter"/>
    <w:rsid w:val="00D04EF5"/>
    <w:pPr>
      <w:ind w:left="1780"/>
    </w:pPr>
  </w:style>
  <w:style w:type="paragraph" w:customStyle="1" w:styleId="ZLIT2TIRwLITzmpodwtirwlitliter">
    <w:name w:val="Z_LIT/2TIR_w_LIT – zm. podw. tir. w lit. literą"/>
    <w:basedOn w:val="ZLIT2TIRwTIRzmpodwtirwtirliter"/>
    <w:rsid w:val="00D04EF5"/>
    <w:pPr>
      <w:ind w:left="2257"/>
    </w:pPr>
  </w:style>
  <w:style w:type="paragraph" w:customStyle="1" w:styleId="ZLIT2TIRwPKTzmpodwtirwpktliter">
    <w:name w:val="Z_LIT/2TIR_w_PKT – zm. podw. tir. w pkt literą"/>
    <w:basedOn w:val="ZLIT2TIRwLITzmpodwtirwlitliter"/>
    <w:rsid w:val="00D04EF5"/>
    <w:pPr>
      <w:ind w:left="2767"/>
    </w:pPr>
  </w:style>
  <w:style w:type="paragraph" w:customStyle="1" w:styleId="ZLITCZWSP2TIRwTIRzmczciwsppodwtirwtirliter">
    <w:name w:val="Z_LIT/CZ_WSP_2TIR_w_TIR – zm. części wsp. podw. tir. w tir. literą"/>
    <w:basedOn w:val="ZLIT2TIRwTIRzmpodwtirwtirliter"/>
    <w:next w:val="LITlitera"/>
    <w:rsid w:val="00D04EF5"/>
    <w:pPr>
      <w:ind w:left="1383" w:firstLine="0"/>
    </w:pPr>
  </w:style>
  <w:style w:type="paragraph" w:customStyle="1" w:styleId="ZLITCZWSP2TIRwLITzmczciwsppodwtirwlitliter">
    <w:name w:val="Z_LIT/CZ_WSP_2TIR_w_LIT – zm. części wsp. podw. tir. w lit. literą"/>
    <w:basedOn w:val="ZLIT2TIRwLITzmpodwtirwlitliter"/>
    <w:next w:val="LITlitera"/>
    <w:rsid w:val="00D04EF5"/>
    <w:pPr>
      <w:ind w:left="1860" w:firstLine="0"/>
    </w:pPr>
  </w:style>
  <w:style w:type="paragraph" w:customStyle="1" w:styleId="ZLITCZWSP2TIRwPKTzmczciwsppodwtirwpktliter">
    <w:name w:val="Z_LIT/CZ_WSP_2TIR_w_PKT – zm. części wsp. podw. tir. w pkt literą"/>
    <w:basedOn w:val="ZLIT2TIRwPKTzmpodwtirwpktliter"/>
    <w:next w:val="LITlitera"/>
    <w:rsid w:val="00D04EF5"/>
    <w:pPr>
      <w:ind w:left="2370" w:firstLine="0"/>
    </w:pPr>
  </w:style>
  <w:style w:type="paragraph" w:customStyle="1" w:styleId="ZTIR2TIRwPKTzmpodwtirwpkttiret">
    <w:name w:val="Z_TIR/2TIR_w_PKT – zm. podw. tir. w pkt tiret"/>
    <w:basedOn w:val="ZTIR2TIRwLITzmpodwtirwlittiret"/>
    <w:rsid w:val="00D04EF5"/>
    <w:pPr>
      <w:ind w:left="3164"/>
    </w:pPr>
  </w:style>
  <w:style w:type="paragraph" w:customStyle="1" w:styleId="ZTIRCZWSP2TIRwPKTzmczciwsppodwtirwpkttiret">
    <w:name w:val="Z_TIR/CZ_WSP_2TIR_w_PKT – zm. części wsp. podw. tir. w pkt tiret"/>
    <w:basedOn w:val="ZTIR2TIRwPKTzmpodwtirwpkttiret"/>
    <w:next w:val="TIRtiret"/>
    <w:rsid w:val="00D04EF5"/>
    <w:pPr>
      <w:ind w:left="2767" w:firstLine="0"/>
    </w:pPr>
  </w:style>
  <w:style w:type="paragraph" w:customStyle="1" w:styleId="ZZCZWSP2TIRwLITzmianazmczciwsppodwtirwlit">
    <w:name w:val="ZZ/CZ_WSP_2TIR_w_LIT – zmiana zm. części wsp. podw. tir. w lit."/>
    <w:basedOn w:val="ZZ2TIRwLITzmianazmpodwtirwlit"/>
    <w:rsid w:val="00D04EF5"/>
    <w:pPr>
      <w:ind w:left="2767"/>
    </w:pPr>
  </w:style>
  <w:style w:type="paragraph" w:customStyle="1" w:styleId="ZZCZWSP2TIRwPKTzmianazmczciwsppodwtirwpkt">
    <w:name w:val="ZZ/CZ_WSP_2TIR_w_PKT – zmiana zm. części wsp. podw. tir. w pkt"/>
    <w:basedOn w:val="ZZ2TIRwLITzmianazmpodwtirwlit"/>
    <w:rsid w:val="00D04EF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rsid w:val="00D04EF5"/>
  </w:style>
  <w:style w:type="paragraph" w:customStyle="1" w:styleId="ZLITCZWSP2TIRzmczciwsppodwtirliter">
    <w:name w:val="Z_LIT/CZ_WSP_2TIR – zm. części wsp. podw. tir. literą"/>
    <w:basedOn w:val="ZLITCZWSPPKTzmczciwsppktliter"/>
    <w:next w:val="LITlitera"/>
    <w:rsid w:val="00D04EF5"/>
  </w:style>
  <w:style w:type="paragraph" w:customStyle="1" w:styleId="ZTIRCZWSP2TIRzmczciwsppodwtirtiret">
    <w:name w:val="Z_TIR/CZ_WSP_2TIR – zm. części wsp. podw. tir. tiret"/>
    <w:basedOn w:val="ZLITCZWSP2TIRzmczciwsppodwtirliter"/>
    <w:next w:val="TIRtiret"/>
    <w:rsid w:val="00D04EF5"/>
  </w:style>
  <w:style w:type="paragraph" w:customStyle="1" w:styleId="ZZ2TIRzmianazmpodwtir">
    <w:name w:val="ZZ/2TIR – zmiana zm. podw. tir."/>
    <w:basedOn w:val="ZZCZWSP2TIRzmianazmczciwsppodwtir"/>
    <w:rsid w:val="00D04EF5"/>
    <w:pPr>
      <w:ind w:left="2291" w:hanging="397"/>
    </w:pPr>
  </w:style>
  <w:style w:type="paragraph" w:customStyle="1" w:styleId="ZCZWSPLITzmczciwsplitartykuempunktem">
    <w:name w:val="Z/CZ_WSP_LIT – zm. części wsp. lit. artykułem (punktem)"/>
    <w:basedOn w:val="ZCZWSPPKTzmczciwsppktartykuempunktem"/>
    <w:next w:val="PKTpunkt"/>
    <w:rsid w:val="00D04EF5"/>
  </w:style>
  <w:style w:type="paragraph" w:customStyle="1" w:styleId="ZCZWSPTIRzmczciwsptirartykuempunktem">
    <w:name w:val="Z/CZ_WSP_TIR – zm. części wsp. tir. artykułem (punktem)"/>
    <w:basedOn w:val="ZCZWSPPKTzmczciwsppktartykuempunktem"/>
    <w:next w:val="PKTpunkt"/>
    <w:rsid w:val="00D04EF5"/>
  </w:style>
  <w:style w:type="paragraph" w:customStyle="1" w:styleId="ZLITCZWSPLITzmczciwsplitliter">
    <w:name w:val="Z_LIT/CZ_WSP_LIT – zm. części wsp. lit. literą"/>
    <w:basedOn w:val="ZLITCZWSPPKTzmczciwsppktliter"/>
    <w:next w:val="LITlitera"/>
    <w:rsid w:val="00D04EF5"/>
  </w:style>
  <w:style w:type="paragraph" w:customStyle="1" w:styleId="ZLITCZWSPTIRzmczciwsptirliter">
    <w:name w:val="Z_LIT/CZ_WSP_TIR – zm. części wsp. tir. literą"/>
    <w:basedOn w:val="ZLITCZWSPPKTzmczciwsppktliter"/>
    <w:next w:val="LITlitera"/>
    <w:rsid w:val="00D04EF5"/>
  </w:style>
  <w:style w:type="paragraph" w:customStyle="1" w:styleId="ZTIRCZWSPLITzmczciwsplittiret">
    <w:name w:val="Z_TIR/CZ_WSP_LIT – zm. części wsp. lit. tiret"/>
    <w:basedOn w:val="ZTIRCZWSPPKTzmczciwsppkttiret"/>
    <w:next w:val="TIRtiret"/>
    <w:rsid w:val="00D04EF5"/>
  </w:style>
  <w:style w:type="paragraph" w:customStyle="1" w:styleId="ZTIRCZWSPTIRzmczciwsptirtiret">
    <w:name w:val="Z_TIR/CZ_WSP_TIR – zm. części wsp. tir. tiret"/>
    <w:basedOn w:val="ZTIRCZWSPPKTzmczciwsppkttiret"/>
    <w:next w:val="TIRtiret"/>
    <w:rsid w:val="00D04EF5"/>
  </w:style>
  <w:style w:type="paragraph" w:customStyle="1" w:styleId="ZZCZWSPLITzmianazmczciwsplit">
    <w:name w:val="ZZ/CZ_WSP_LIT – zmiana. zm. części wsp. lit."/>
    <w:basedOn w:val="ZZCZWSPPKTzmianazmczciwsppkt"/>
    <w:rsid w:val="00D04EF5"/>
  </w:style>
  <w:style w:type="paragraph" w:customStyle="1" w:styleId="ZZCZWSPTIRzmianazmczciwsptir">
    <w:name w:val="ZZ/CZ_WSP_TIR – zmiana. zm. części wsp. tir."/>
    <w:basedOn w:val="ZZCZWSPPKTzmianazmczciwsppkt"/>
    <w:rsid w:val="00D04EF5"/>
  </w:style>
  <w:style w:type="paragraph" w:customStyle="1" w:styleId="Z2TIRCZWSPTIRzmczciwsptirpodwjnymtiret">
    <w:name w:val="Z_2TIR/CZ_WSP_TIR – zm. części wsp. tir. podwójnym tiret"/>
    <w:basedOn w:val="Z2TIRCZWSPLITzmczciwsplitpodwjnymtiret"/>
    <w:next w:val="2TIRpodwjnytiret"/>
    <w:rsid w:val="00D04EF5"/>
  </w:style>
  <w:style w:type="paragraph" w:customStyle="1" w:styleId="Z2TIRCZWSP2TIRzmczciwsppodwtirpodwjnymtiret">
    <w:name w:val="Z_2TIR/CZ_WSP_2TIR – zm. części wsp. podw. tir. podwójnym tiret"/>
    <w:basedOn w:val="Z2TIRCZWSPLITzmczciwsplitpodwjnymtiret"/>
    <w:next w:val="2TIRpodwjnytiret"/>
    <w:rsid w:val="00D04EF5"/>
  </w:style>
  <w:style w:type="paragraph" w:customStyle="1" w:styleId="ZUSTzmustartykuempunktem">
    <w:name w:val="Z/UST(§) – zm. ust. (§) artykułem (punktem)"/>
    <w:basedOn w:val="ZARTzmartartykuempunktem"/>
    <w:rsid w:val="00D04EF5"/>
  </w:style>
  <w:style w:type="paragraph" w:customStyle="1" w:styleId="ZZUSTzmianazmust">
    <w:name w:val="ZZ/UST(§) – zmiana zm. ust. (§)"/>
    <w:basedOn w:val="ZZARTzmianazmart"/>
    <w:rsid w:val="00D04EF5"/>
  </w:style>
  <w:style w:type="paragraph" w:customStyle="1" w:styleId="TYTDZPRZEDMprzedmiotregulacjitytuulubdziau">
    <w:name w:val="TYT(DZ)_PRZEDM – przedmiot regulacji tytułu lub działu"/>
    <w:next w:val="ARTartustawynprozporzdzenia"/>
    <w:link w:val="TYTDZPRZEDMprzedmiotregulacjitytuulubdziauZnak"/>
    <w:rsid w:val="00D04EF5"/>
    <w:pPr>
      <w:keepNext/>
      <w:suppressAutoHyphens/>
      <w:spacing w:before="120" w:after="0" w:line="360" w:lineRule="auto"/>
      <w:jc w:val="center"/>
    </w:pPr>
    <w:rPr>
      <w:rFonts w:ascii="Times" w:eastAsia="Times New Roman" w:hAnsi="Times" w:cs="Times New Roman"/>
      <w:b/>
      <w:sz w:val="24"/>
      <w:szCs w:val="26"/>
    </w:rPr>
  </w:style>
  <w:style w:type="character" w:customStyle="1" w:styleId="TYTDZPRZEDMprzedmiotregulacjitytuulubdziauZnak">
    <w:name w:val="TYT(DZ)_PRZEDM – przedmiot regulacji tytułu lub działu Znak"/>
    <w:link w:val="TYTDZPRZEDMprzedmiotregulacjitytuulubdziau"/>
    <w:rsid w:val="00D04EF5"/>
    <w:rPr>
      <w:rFonts w:ascii="Times" w:eastAsia="Times New Roman" w:hAnsi="Times" w:cs="Times New Roman"/>
      <w:b/>
      <w:sz w:val="24"/>
      <w:szCs w:val="26"/>
    </w:rPr>
  </w:style>
  <w:style w:type="paragraph" w:customStyle="1" w:styleId="ZNIEARTTEKSTzmtekstunieartykuowanego">
    <w:name w:val="Z/NIEART_TEKST – zm. tekstu nieartykułowanego"/>
    <w:basedOn w:val="NIEARTTEKSTtekstnieartykuowanynppreambua"/>
    <w:rsid w:val="00D04EF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rsid w:val="00D04EF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rsid w:val="00D04EF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rsid w:val="00D04EF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rsid w:val="00D04EF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rsid w:val="00D04EF5"/>
    <w:pPr>
      <w:ind w:left="1894"/>
    </w:pPr>
  </w:style>
  <w:style w:type="paragraph" w:customStyle="1" w:styleId="TEKSTWTABELItekstzwcitympierwwierszem">
    <w:name w:val="TEKST_W_TABELI – tekst z wciętym pierw. wierszem"/>
    <w:basedOn w:val="USTustnpkodeksu"/>
    <w:rsid w:val="00D04EF5"/>
    <w:rPr>
      <w:kern w:val="24"/>
    </w:rPr>
  </w:style>
  <w:style w:type="paragraph" w:customStyle="1" w:styleId="P1wTABELIpoziom1numeracjiwtabeli">
    <w:name w:val="P1_w_TABELI – poziom 1 numeracji w tabeli"/>
    <w:basedOn w:val="PKTpunkt"/>
    <w:rsid w:val="00D04EF5"/>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rsid w:val="00D04EF5"/>
    <w:pPr>
      <w:ind w:left="0" w:firstLine="0"/>
    </w:pPr>
  </w:style>
  <w:style w:type="paragraph" w:customStyle="1" w:styleId="P2wTABELIpoziom2numeracjiwtabeli">
    <w:name w:val="P2_w_TABELI – poziom 2 numeracji w tabeli"/>
    <w:basedOn w:val="P1wTABELIpoziom1numeracjiwtabeli"/>
    <w:rsid w:val="00D04EF5"/>
    <w:pPr>
      <w:ind w:left="794"/>
    </w:pPr>
  </w:style>
  <w:style w:type="paragraph" w:customStyle="1" w:styleId="P3wTABELIpoziom3numeracjiwtabeli">
    <w:name w:val="P3_w_TABELI – poziom 3 numeracji w tabeli"/>
    <w:basedOn w:val="P2wTABELIpoziom2numeracjiwtabeli"/>
    <w:rsid w:val="00D04EF5"/>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rsid w:val="00D04EF5"/>
    <w:pPr>
      <w:ind w:left="397"/>
    </w:pPr>
  </w:style>
  <w:style w:type="paragraph" w:customStyle="1" w:styleId="CZWSPP3wTABELIczwsppoziomu3numeracjiwtabeli">
    <w:name w:val="CZ_WSP_P3_w_TABELI – część wsp. poziomu 3 numeracji w tabeli"/>
    <w:basedOn w:val="CZWSPP2wTABELIczwsppoziomu2numeracjiwtabeli"/>
    <w:rsid w:val="00D04EF5"/>
    <w:pPr>
      <w:ind w:left="794"/>
    </w:pPr>
  </w:style>
  <w:style w:type="paragraph" w:customStyle="1" w:styleId="CZWSPP4wTABELIczwsppoziomu4numeracjiwtabeli">
    <w:name w:val="CZ_WSP_P4_w_TABELI – część wsp. poziomu 4 numeracji w tabeli"/>
    <w:basedOn w:val="CZWSPP3wTABELIczwsppoziomu3numeracjiwtabeli"/>
    <w:rsid w:val="00D04EF5"/>
    <w:pPr>
      <w:ind w:left="1191"/>
    </w:pPr>
  </w:style>
  <w:style w:type="paragraph" w:customStyle="1" w:styleId="P4wTABELIpoziom4numeracjiwtabeli">
    <w:name w:val="P4_w_TABELI – poziom 4 numeracji w tabeli"/>
    <w:basedOn w:val="P3wTABELIpoziom3numeracjiwtabeli"/>
    <w:rsid w:val="00D04EF5"/>
    <w:pPr>
      <w:ind w:left="1588"/>
    </w:pPr>
  </w:style>
  <w:style w:type="paragraph" w:customStyle="1" w:styleId="TYTTABELItytutabeli">
    <w:name w:val="TYT_TABELI – tytuł tabeli"/>
    <w:basedOn w:val="TYTDZOZNoznaczenietytuulubdziau"/>
    <w:rsid w:val="00D04EF5"/>
    <w:rPr>
      <w:b/>
    </w:rPr>
  </w:style>
  <w:style w:type="paragraph" w:customStyle="1" w:styleId="OZNPROJEKTUwskazaniedatylubwersjiprojektu">
    <w:name w:val="OZN_PROJEKTU – wskazanie daty lub wersji projektu"/>
    <w:next w:val="OZNRODZAKTUtznustawalubrozporzdzenieiorganwydajcy"/>
    <w:rsid w:val="00D04EF5"/>
    <w:pPr>
      <w:spacing w:after="0" w:line="360" w:lineRule="auto"/>
      <w:jc w:val="right"/>
    </w:pPr>
    <w:rPr>
      <w:rFonts w:ascii="Times New Roman" w:eastAsia="Times New Roman" w:hAnsi="Times New Roman" w:cs="Arial"/>
      <w:sz w:val="24"/>
      <w:szCs w:val="20"/>
      <w:u w:val="single"/>
    </w:rPr>
  </w:style>
  <w:style w:type="paragraph" w:customStyle="1" w:styleId="NAZORGWYDnazwaorganuwydajcegoprojektowanyakt">
    <w:name w:val="NAZ_ORG_WYD – nazwa organu wydającego projektowany akt"/>
    <w:basedOn w:val="OZNRODZAKTUtznustawalubrozporzdzenieiorganwydajcy"/>
    <w:rsid w:val="00D04EF5"/>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rsid w:val="00D04EF5"/>
    <w:pPr>
      <w:jc w:val="left"/>
    </w:pPr>
  </w:style>
  <w:style w:type="paragraph" w:customStyle="1" w:styleId="TEKSTwporozumieniu">
    <w:name w:val="TEKST_&quot;w_porozumieniu:&quot;"/>
    <w:next w:val="NAZORGWPOROZUMIENIUnazwaorganuwporozumieniuzktrymaktjestwydawany"/>
    <w:rsid w:val="00D04EF5"/>
    <w:pPr>
      <w:spacing w:after="0" w:line="360" w:lineRule="auto"/>
    </w:pPr>
    <w:rPr>
      <w:rFonts w:ascii="Times New Roman" w:eastAsia="Times New Roman" w:hAnsi="Times New Roman" w:cs="Arial"/>
      <w:b/>
      <w:sz w:val="24"/>
      <w:szCs w:val="20"/>
    </w:rPr>
  </w:style>
  <w:style w:type="paragraph" w:customStyle="1" w:styleId="CZWSPPKTODNONIKAczwsppunkwodnonika">
    <w:name w:val="CZ_WSP_PKT_ODNOŚNIKA – część wsp. punków odnośnika"/>
    <w:basedOn w:val="PKTODNONIKApunktodnonika"/>
    <w:rsid w:val="00D04EF5"/>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rsid w:val="00D04EF5"/>
    <w:pPr>
      <w:ind w:left="510" w:firstLine="0"/>
    </w:pPr>
  </w:style>
  <w:style w:type="character" w:styleId="Pogrubienie">
    <w:name w:val="Strong"/>
    <w:qFormat/>
    <w:rsid w:val="00D04EF5"/>
    <w:rPr>
      <w:b/>
      <w:bCs/>
    </w:rPr>
  </w:style>
  <w:style w:type="character" w:styleId="Uwydatnienie">
    <w:name w:val="Emphasis"/>
    <w:qFormat/>
    <w:rsid w:val="00D04EF5"/>
    <w:rPr>
      <w:i/>
      <w:iCs/>
    </w:rPr>
  </w:style>
  <w:style w:type="paragraph" w:styleId="Tekstpodstawowy2">
    <w:name w:val="Body Text 2"/>
    <w:basedOn w:val="Normalny"/>
    <w:link w:val="Tekstpodstawowy2Znak"/>
    <w:rsid w:val="00D04EF5"/>
    <w:pPr>
      <w:widowControl/>
      <w:autoSpaceDE/>
      <w:autoSpaceDN/>
      <w:adjustRightInd/>
      <w:spacing w:after="240" w:line="240" w:lineRule="auto"/>
    </w:pPr>
    <w:rPr>
      <w:rFonts w:cs="Times New Roman"/>
    </w:rPr>
  </w:style>
  <w:style w:type="character" w:customStyle="1" w:styleId="Tekstpodstawowy2Znak">
    <w:name w:val="Tekst podstawowy 2 Znak"/>
    <w:basedOn w:val="Domylnaczcionkaakapitu"/>
    <w:link w:val="Tekstpodstawowy2"/>
    <w:rsid w:val="00D04EF5"/>
    <w:rPr>
      <w:rFonts w:ascii="Times New Roman" w:eastAsia="Times New Roman" w:hAnsi="Times New Roman" w:cs="Times New Roman"/>
      <w:sz w:val="24"/>
      <w:szCs w:val="20"/>
    </w:rPr>
  </w:style>
  <w:style w:type="paragraph" w:styleId="Tekstprzypisukocowego">
    <w:name w:val="endnote text"/>
    <w:basedOn w:val="Normalny"/>
    <w:link w:val="TekstprzypisukocowegoZnak"/>
    <w:rsid w:val="00D04EF5"/>
    <w:rPr>
      <w:sz w:val="20"/>
    </w:rPr>
  </w:style>
  <w:style w:type="character" w:customStyle="1" w:styleId="TekstprzypisukocowegoZnak">
    <w:name w:val="Tekst przypisu końcowego Znak"/>
    <w:basedOn w:val="Domylnaczcionkaakapitu"/>
    <w:link w:val="Tekstprzypisukocowego"/>
    <w:rsid w:val="00D04EF5"/>
    <w:rPr>
      <w:rFonts w:ascii="Times New Roman" w:eastAsia="Times New Roman" w:hAnsi="Times New Roman" w:cs="Arial"/>
      <w:sz w:val="20"/>
      <w:szCs w:val="20"/>
    </w:rPr>
  </w:style>
  <w:style w:type="character" w:styleId="Odwoanieprzypisukocowego">
    <w:name w:val="endnote reference"/>
    <w:rsid w:val="00D04EF5"/>
    <w:rPr>
      <w:vertAlign w:val="superscript"/>
    </w:rPr>
  </w:style>
  <w:style w:type="paragraph" w:styleId="Tekstpodstawowywcity">
    <w:name w:val="Body Text Indent"/>
    <w:basedOn w:val="Normalny"/>
    <w:link w:val="TekstpodstawowywcityZnak"/>
    <w:rsid w:val="00D04EF5"/>
    <w:pPr>
      <w:widowControl/>
      <w:autoSpaceDE/>
      <w:autoSpaceDN/>
      <w:adjustRightInd/>
      <w:spacing w:after="120" w:line="240" w:lineRule="auto"/>
      <w:ind w:left="283"/>
    </w:pPr>
    <w:rPr>
      <w:rFonts w:ascii="Arial" w:hAnsi="Arial" w:cs="Times New Roman"/>
      <w:spacing w:val="-5"/>
      <w:sz w:val="20"/>
      <w:lang w:eastAsia="en-US"/>
    </w:rPr>
  </w:style>
  <w:style w:type="character" w:customStyle="1" w:styleId="TekstpodstawowywcityZnak">
    <w:name w:val="Tekst podstawowy wcięty Znak"/>
    <w:basedOn w:val="Domylnaczcionkaakapitu"/>
    <w:link w:val="Tekstpodstawowywcity"/>
    <w:rsid w:val="00D04EF5"/>
    <w:rPr>
      <w:rFonts w:ascii="Arial" w:eastAsia="Times New Roman" w:hAnsi="Arial" w:cs="Times New Roman"/>
      <w:spacing w:val="-5"/>
      <w:sz w:val="20"/>
      <w:szCs w:val="20"/>
      <w:lang w:eastAsia="en-US"/>
    </w:rPr>
  </w:style>
  <w:style w:type="paragraph" w:styleId="NormalnyWeb">
    <w:name w:val="Normal (Web)"/>
    <w:basedOn w:val="Normalny"/>
    <w:uiPriority w:val="99"/>
    <w:rsid w:val="00D04EF5"/>
    <w:pPr>
      <w:widowControl/>
      <w:autoSpaceDE/>
      <w:autoSpaceDN/>
      <w:adjustRightInd/>
      <w:spacing w:before="100" w:beforeAutospacing="1" w:after="100" w:afterAutospacing="1" w:line="240" w:lineRule="auto"/>
      <w:jc w:val="left"/>
    </w:pPr>
    <w:rPr>
      <w:rFonts w:cs="Times New Roman"/>
      <w:szCs w:val="24"/>
    </w:rPr>
  </w:style>
  <w:style w:type="character" w:styleId="HTML-cytat">
    <w:name w:val="HTML Cite"/>
    <w:rsid w:val="00D04EF5"/>
    <w:rPr>
      <w:i/>
      <w:iCs/>
    </w:rPr>
  </w:style>
  <w:style w:type="paragraph" w:styleId="Tekstpodstawowy">
    <w:name w:val="Body Text"/>
    <w:basedOn w:val="Normalny"/>
    <w:link w:val="TekstpodstawowyZnak"/>
    <w:rsid w:val="00D04EF5"/>
    <w:pPr>
      <w:spacing w:after="120"/>
    </w:pPr>
  </w:style>
  <w:style w:type="character" w:customStyle="1" w:styleId="TekstpodstawowyZnak">
    <w:name w:val="Tekst podstawowy Znak"/>
    <w:basedOn w:val="Domylnaczcionkaakapitu"/>
    <w:link w:val="Tekstpodstawowy"/>
    <w:rsid w:val="00D04EF5"/>
    <w:rPr>
      <w:rFonts w:ascii="Times New Roman" w:eastAsia="Times New Roman" w:hAnsi="Times New Roman" w:cs="Arial"/>
      <w:sz w:val="24"/>
      <w:szCs w:val="20"/>
    </w:rPr>
  </w:style>
  <w:style w:type="paragraph" w:styleId="Data">
    <w:name w:val="Date"/>
    <w:basedOn w:val="Normalny"/>
    <w:next w:val="Normalny"/>
    <w:link w:val="DataZnak"/>
    <w:rsid w:val="00D04EF5"/>
  </w:style>
  <w:style w:type="character" w:customStyle="1" w:styleId="DataZnak">
    <w:name w:val="Data Znak"/>
    <w:basedOn w:val="Domylnaczcionkaakapitu"/>
    <w:link w:val="Data"/>
    <w:rsid w:val="00D04EF5"/>
    <w:rPr>
      <w:rFonts w:ascii="Times New Roman" w:eastAsia="Times New Roman" w:hAnsi="Times New Roman" w:cs="Arial"/>
      <w:sz w:val="24"/>
      <w:szCs w:val="20"/>
    </w:rPr>
  </w:style>
  <w:style w:type="character" w:styleId="Hipercze">
    <w:name w:val="Hyperlink"/>
    <w:rsid w:val="00D04EF5"/>
    <w:rPr>
      <w:color w:val="0000FF"/>
      <w:u w:val="single"/>
    </w:rPr>
  </w:style>
  <w:style w:type="character" w:customStyle="1" w:styleId="Bodytext">
    <w:name w:val="Body text_"/>
    <w:link w:val="Bodytext1"/>
    <w:rsid w:val="00D04EF5"/>
    <w:rPr>
      <w:rFonts w:ascii="Times New Roman" w:hAnsi="Times New Roman"/>
      <w:sz w:val="21"/>
      <w:szCs w:val="21"/>
      <w:shd w:val="clear" w:color="auto" w:fill="FFFFFF"/>
    </w:rPr>
  </w:style>
  <w:style w:type="character" w:customStyle="1" w:styleId="Bodytext8">
    <w:name w:val="Body text (8)_"/>
    <w:link w:val="Bodytext81"/>
    <w:rsid w:val="00D04EF5"/>
    <w:rPr>
      <w:rFonts w:ascii="Times New Roman" w:hAnsi="Times New Roman"/>
      <w:sz w:val="21"/>
      <w:szCs w:val="21"/>
      <w:shd w:val="clear" w:color="auto" w:fill="FFFFFF"/>
    </w:rPr>
  </w:style>
  <w:style w:type="character" w:customStyle="1" w:styleId="Bodytext9">
    <w:name w:val="Body text (9)_"/>
    <w:link w:val="Bodytext91"/>
    <w:rsid w:val="00D04EF5"/>
    <w:rPr>
      <w:rFonts w:ascii="Times New Roman" w:hAnsi="Times New Roman"/>
      <w:sz w:val="21"/>
      <w:szCs w:val="21"/>
      <w:shd w:val="clear" w:color="auto" w:fill="FFFFFF"/>
    </w:rPr>
  </w:style>
  <w:style w:type="character" w:customStyle="1" w:styleId="Bodytext9Batang">
    <w:name w:val="Body text (9) + Batang"/>
    <w:aliases w:val="10 pt3,Bold3"/>
    <w:rsid w:val="00D04EF5"/>
    <w:rPr>
      <w:rFonts w:ascii="Batang" w:eastAsia="Batang" w:hAnsi="Times New Roman" w:cs="Batang"/>
      <w:b/>
      <w:bCs/>
      <w:spacing w:val="0"/>
      <w:sz w:val="20"/>
      <w:szCs w:val="20"/>
    </w:rPr>
  </w:style>
  <w:style w:type="character" w:customStyle="1" w:styleId="Heading2">
    <w:name w:val="Heading #2_"/>
    <w:link w:val="Heading20"/>
    <w:rsid w:val="00D04EF5"/>
    <w:rPr>
      <w:rFonts w:ascii="Times New Roman" w:hAnsi="Times New Roman"/>
      <w:sz w:val="21"/>
      <w:szCs w:val="21"/>
      <w:shd w:val="clear" w:color="auto" w:fill="FFFFFF"/>
    </w:rPr>
  </w:style>
  <w:style w:type="paragraph" w:customStyle="1" w:styleId="Bodytext1">
    <w:name w:val="Body text1"/>
    <w:basedOn w:val="Normalny"/>
    <w:link w:val="Bodytext"/>
    <w:rsid w:val="00D04EF5"/>
    <w:pPr>
      <w:widowControl/>
      <w:shd w:val="clear" w:color="auto" w:fill="FFFFFF"/>
      <w:autoSpaceDE/>
      <w:autoSpaceDN/>
      <w:adjustRightInd/>
      <w:spacing w:line="379" w:lineRule="exact"/>
      <w:ind w:hanging="540"/>
    </w:pPr>
    <w:rPr>
      <w:rFonts w:eastAsiaTheme="minorHAnsi" w:cstheme="minorBidi"/>
      <w:sz w:val="21"/>
      <w:szCs w:val="21"/>
    </w:rPr>
  </w:style>
  <w:style w:type="paragraph" w:customStyle="1" w:styleId="Bodytext81">
    <w:name w:val="Body text (8)1"/>
    <w:basedOn w:val="Normalny"/>
    <w:link w:val="Bodytext8"/>
    <w:rsid w:val="00D04EF5"/>
    <w:pPr>
      <w:widowControl/>
      <w:shd w:val="clear" w:color="auto" w:fill="FFFFFF"/>
      <w:autoSpaceDE/>
      <w:autoSpaceDN/>
      <w:adjustRightInd/>
      <w:spacing w:line="494" w:lineRule="exact"/>
      <w:ind w:hanging="360"/>
      <w:jc w:val="left"/>
    </w:pPr>
    <w:rPr>
      <w:rFonts w:eastAsiaTheme="minorHAnsi" w:cstheme="minorBidi"/>
      <w:sz w:val="21"/>
      <w:szCs w:val="21"/>
    </w:rPr>
  </w:style>
  <w:style w:type="paragraph" w:customStyle="1" w:styleId="Bodytext91">
    <w:name w:val="Body text (9)1"/>
    <w:basedOn w:val="Normalny"/>
    <w:link w:val="Bodytext9"/>
    <w:rsid w:val="00D04EF5"/>
    <w:pPr>
      <w:widowControl/>
      <w:shd w:val="clear" w:color="auto" w:fill="FFFFFF"/>
      <w:autoSpaceDE/>
      <w:autoSpaceDN/>
      <w:adjustRightInd/>
      <w:spacing w:before="480" w:after="120" w:line="302" w:lineRule="exact"/>
      <w:ind w:hanging="360"/>
      <w:jc w:val="left"/>
    </w:pPr>
    <w:rPr>
      <w:rFonts w:eastAsiaTheme="minorHAnsi" w:cstheme="minorBidi"/>
      <w:sz w:val="21"/>
      <w:szCs w:val="21"/>
    </w:rPr>
  </w:style>
  <w:style w:type="paragraph" w:customStyle="1" w:styleId="Heading20">
    <w:name w:val="Heading #2"/>
    <w:basedOn w:val="Normalny"/>
    <w:link w:val="Heading2"/>
    <w:rsid w:val="00D04EF5"/>
    <w:pPr>
      <w:widowControl/>
      <w:shd w:val="clear" w:color="auto" w:fill="FFFFFF"/>
      <w:autoSpaceDE/>
      <w:autoSpaceDN/>
      <w:adjustRightInd/>
      <w:spacing w:before="180" w:line="298" w:lineRule="exact"/>
      <w:outlineLvl w:val="1"/>
    </w:pPr>
    <w:rPr>
      <w:rFonts w:eastAsiaTheme="minorHAnsi" w:cstheme="minorBidi"/>
      <w:sz w:val="21"/>
      <w:szCs w:val="21"/>
    </w:rPr>
  </w:style>
  <w:style w:type="paragraph" w:styleId="Akapitzlist">
    <w:name w:val="List Paragraph"/>
    <w:basedOn w:val="Normalny"/>
    <w:qFormat/>
    <w:rsid w:val="00D04EF5"/>
    <w:pPr>
      <w:widowControl/>
      <w:autoSpaceDE/>
      <w:autoSpaceDN/>
      <w:adjustRightInd/>
      <w:spacing w:after="200" w:line="276" w:lineRule="auto"/>
      <w:ind w:left="720"/>
      <w:contextualSpacing/>
      <w:jc w:val="left"/>
    </w:pPr>
    <w:rPr>
      <w:rFonts w:ascii="Calibri" w:eastAsia="Calibri" w:hAnsi="Calibri" w:cs="Times New Roman"/>
      <w:sz w:val="22"/>
      <w:szCs w:val="22"/>
      <w:lang w:eastAsia="en-US"/>
    </w:rPr>
  </w:style>
  <w:style w:type="paragraph" w:customStyle="1" w:styleId="tytakt">
    <w:name w:val="tytakt"/>
    <w:basedOn w:val="Normalny"/>
    <w:rsid w:val="00D04EF5"/>
    <w:pPr>
      <w:widowControl/>
      <w:autoSpaceDE/>
      <w:autoSpaceDN/>
      <w:adjustRightInd/>
      <w:spacing w:before="150" w:after="150" w:line="240" w:lineRule="auto"/>
      <w:jc w:val="center"/>
    </w:pPr>
    <w:rPr>
      <w:rFonts w:cs="Times New Roman"/>
      <w:b/>
      <w:bCs/>
      <w:color w:val="150A59"/>
      <w:sz w:val="29"/>
      <w:szCs w:val="29"/>
    </w:rPr>
  </w:style>
  <w:style w:type="paragraph" w:customStyle="1" w:styleId="pub">
    <w:name w:val="pub"/>
    <w:basedOn w:val="Normalny"/>
    <w:rsid w:val="00D04EF5"/>
    <w:pPr>
      <w:widowControl/>
      <w:autoSpaceDE/>
      <w:autoSpaceDN/>
      <w:adjustRightInd/>
      <w:spacing w:before="150" w:after="150" w:line="240" w:lineRule="auto"/>
      <w:jc w:val="center"/>
    </w:pPr>
    <w:rPr>
      <w:rFonts w:cs="Times New Roman"/>
      <w:b/>
      <w:bCs/>
      <w:szCs w:val="24"/>
    </w:rPr>
  </w:style>
  <w:style w:type="character" w:customStyle="1" w:styleId="Normalny1">
    <w:name w:val="Normalny1"/>
    <w:rsid w:val="00D04EF5"/>
    <w:rPr>
      <w:b w:val="0"/>
      <w:bCs w:val="0"/>
      <w:i w:val="0"/>
      <w:iCs w:val="0"/>
    </w:rPr>
  </w:style>
  <w:style w:type="paragraph" w:customStyle="1" w:styleId="p">
    <w:name w:val="p"/>
    <w:rsid w:val="00C303F3"/>
    <w:pPr>
      <w:widowControl w:val="0"/>
      <w:autoSpaceDE w:val="0"/>
      <w:autoSpaceDN w:val="0"/>
      <w:adjustRightInd w:val="0"/>
      <w:spacing w:before="20" w:after="40" w:line="40" w:lineRule="atLeast"/>
      <w:jc w:val="both"/>
    </w:pPr>
    <w:rPr>
      <w:rFonts w:ascii="Arial" w:eastAsia="Times New Roman" w:hAnsi="Arial" w:cs="Arial"/>
      <w:color w:val="000000"/>
      <w:sz w:val="18"/>
      <w:szCs w:val="18"/>
    </w:rPr>
  </w:style>
  <w:style w:type="paragraph" w:customStyle="1" w:styleId="Tekstpodstawowy1">
    <w:name w:val="Tekst podstawowy1"/>
    <w:basedOn w:val="Normalny"/>
    <w:rsid w:val="004B0D50"/>
    <w:pPr>
      <w:widowControl/>
      <w:shd w:val="clear" w:color="auto" w:fill="FFFFFF"/>
      <w:autoSpaceDE/>
      <w:autoSpaceDN/>
      <w:adjustRightInd/>
      <w:spacing w:before="300" w:line="274" w:lineRule="exact"/>
      <w:jc w:val="left"/>
    </w:pPr>
    <w:rPr>
      <w:rFonts w:cs="Times New Roman"/>
      <w:color w:val="000000"/>
      <w:szCs w:val="24"/>
      <w:lang w:va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Hyperlink" w:uiPriority="0"/>
    <w:lsdException w:name="Strong" w:semiHidden="0" w:uiPriority="0" w:unhideWhenUsed="0" w:qFormat="1"/>
    <w:lsdException w:name="Emphasis" w:semiHidden="0" w:uiPriority="0" w:unhideWhenUsed="0" w:qFormat="1"/>
    <w:lsdException w:name="HTML Cit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0EB8"/>
    <w:pPr>
      <w:widowControl w:val="0"/>
      <w:autoSpaceDE w:val="0"/>
      <w:autoSpaceDN w:val="0"/>
      <w:adjustRightInd w:val="0"/>
      <w:spacing w:after="0" w:line="360" w:lineRule="auto"/>
      <w:jc w:val="both"/>
    </w:pPr>
    <w:rPr>
      <w:rFonts w:ascii="Times New Roman" w:eastAsia="Times New Roman" w:hAnsi="Times New Roman" w:cs="Arial"/>
      <w:sz w:val="24"/>
      <w:szCs w:val="20"/>
    </w:rPr>
  </w:style>
  <w:style w:type="paragraph" w:styleId="Nagwek1">
    <w:name w:val="heading 1"/>
    <w:basedOn w:val="Normalny"/>
    <w:next w:val="Normalny"/>
    <w:link w:val="Nagwek1Znak"/>
    <w:qFormat/>
    <w:rsid w:val="00D04EF5"/>
    <w:pPr>
      <w:keepNext/>
      <w:keepLines/>
      <w:numPr>
        <w:numId w:val="1"/>
      </w:numPr>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semiHidden/>
    <w:unhideWhenUsed/>
    <w:qFormat/>
    <w:rsid w:val="00D04E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8">
    <w:name w:val="heading 8"/>
    <w:basedOn w:val="Normalny"/>
    <w:next w:val="Normalny"/>
    <w:link w:val="Nagwek8Znak"/>
    <w:qFormat/>
    <w:rsid w:val="00D04EF5"/>
    <w:pPr>
      <w:spacing w:before="240" w:after="60"/>
      <w:outlineLvl w:val="7"/>
    </w:pPr>
    <w:rPr>
      <w:rFonts w:cs="Times New Roman"/>
      <w:i/>
      <w:i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04EF5"/>
    <w:rPr>
      <w:rFonts w:ascii="Cambria" w:eastAsia="Times New Roman" w:hAnsi="Cambria" w:cs="Times New Roman"/>
      <w:b/>
      <w:bCs/>
      <w:color w:val="365F91"/>
      <w:kern w:val="1"/>
      <w:sz w:val="28"/>
      <w:szCs w:val="28"/>
      <w:lang w:eastAsia="ar-SA"/>
    </w:rPr>
  </w:style>
  <w:style w:type="character" w:customStyle="1" w:styleId="Nagwek2Znak">
    <w:name w:val="Nagłówek 2 Znak"/>
    <w:basedOn w:val="Domylnaczcionkaakapitu"/>
    <w:link w:val="Nagwek2"/>
    <w:semiHidden/>
    <w:rsid w:val="00D04EF5"/>
    <w:rPr>
      <w:rFonts w:asciiTheme="majorHAnsi" w:eastAsiaTheme="majorEastAsia" w:hAnsiTheme="majorHAnsi" w:cstheme="majorBidi"/>
      <w:b/>
      <w:bCs/>
      <w:color w:val="4F81BD" w:themeColor="accent1"/>
      <w:sz w:val="26"/>
      <w:szCs w:val="26"/>
    </w:rPr>
  </w:style>
  <w:style w:type="character" w:customStyle="1" w:styleId="Nagwek8Znak">
    <w:name w:val="Nagłówek 8 Znak"/>
    <w:basedOn w:val="Domylnaczcionkaakapitu"/>
    <w:link w:val="Nagwek8"/>
    <w:rsid w:val="00D04EF5"/>
    <w:rPr>
      <w:rFonts w:ascii="Times New Roman" w:eastAsia="Times New Roman" w:hAnsi="Times New Roman" w:cs="Times New Roman"/>
      <w:i/>
      <w:iCs/>
      <w:sz w:val="24"/>
      <w:szCs w:val="24"/>
    </w:rPr>
  </w:style>
  <w:style w:type="paragraph" w:customStyle="1" w:styleId="ZLITwPKTzmlitwpktartykuempunktem">
    <w:name w:val="Z/LIT_w_PKT – zm. lit. w pkt artykułem (punktem)"/>
    <w:basedOn w:val="LITlitera"/>
    <w:rsid w:val="00D04EF5"/>
    <w:pPr>
      <w:ind w:left="1497"/>
    </w:pPr>
  </w:style>
  <w:style w:type="paragraph" w:customStyle="1" w:styleId="ZTIRwPKTzmtirwpktartykuempunktem">
    <w:name w:val="Z/TIR_w_PKT – zm. tir. w pkt artykułem (punktem)"/>
    <w:basedOn w:val="TIRtiret"/>
    <w:link w:val="ZTIRwPKTzmtirwpktartykuempunktemZnak"/>
    <w:rsid w:val="00D04EF5"/>
    <w:pPr>
      <w:ind w:left="1894"/>
    </w:pPr>
  </w:style>
  <w:style w:type="character" w:customStyle="1" w:styleId="ZTIRwPKTzmtirwpktartykuempunktemZnak">
    <w:name w:val="Z/TIR_w_PKT – zm. tir. w pkt artykułem (punktem) Znak"/>
    <w:link w:val="ZTIRwPKTzmtirwpktartykuempunktem"/>
    <w:rsid w:val="00D04EF5"/>
    <w:rPr>
      <w:rFonts w:ascii="Times" w:eastAsia="Times New Roman" w:hAnsi="Times" w:cs="Arial"/>
      <w:bCs/>
      <w:sz w:val="24"/>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rsid w:val="00D04EF5"/>
    <w:pPr>
      <w:ind w:left="1021"/>
    </w:pPr>
  </w:style>
  <w:style w:type="paragraph" w:customStyle="1" w:styleId="2TIRpodwjnytiret">
    <w:name w:val="2TIR – podwójny tiret"/>
    <w:basedOn w:val="TIRtiret"/>
    <w:link w:val="2TIRpodwjnytiretZnak"/>
    <w:rsid w:val="00D04EF5"/>
    <w:pPr>
      <w:ind w:left="2177"/>
    </w:pPr>
  </w:style>
  <w:style w:type="character" w:customStyle="1" w:styleId="ZCZWSPLITwPKTzmczciwsplitwpktartykuempunktemZnak">
    <w:name w:val="Z/CZ_WSP_LIT_w_PKT – zm. części wsp. lit. w pkt artykułem (punktem) Znak"/>
    <w:link w:val="ZCZWSPLITwPKTzmczciwsplitwpktartykuempunktem"/>
    <w:rsid w:val="00D04EF5"/>
    <w:rPr>
      <w:rFonts w:ascii="Times" w:eastAsia="Times New Roman" w:hAnsi="Times" w:cs="Arial"/>
      <w:bCs/>
      <w:sz w:val="24"/>
      <w:szCs w:val="24"/>
    </w:rPr>
  </w:style>
  <w:style w:type="character" w:customStyle="1" w:styleId="2TIRpodwjnytiretZnak">
    <w:name w:val="2TIR – podwójny tiret Znak"/>
    <w:link w:val="2TIRpodwjnytiret"/>
    <w:rsid w:val="00D04EF5"/>
    <w:rPr>
      <w:rFonts w:ascii="Times" w:eastAsia="Times New Roman" w:hAnsi="Times" w:cs="Arial"/>
      <w:bCs/>
      <w:sz w:val="24"/>
      <w:szCs w:val="20"/>
    </w:rPr>
  </w:style>
  <w:style w:type="character" w:styleId="Odwoanieprzypisudolnego">
    <w:name w:val="footnote reference"/>
    <w:aliases w:val="OZNAKA OPOMBE,FZ"/>
    <w:rsid w:val="00D04EF5"/>
    <w:rPr>
      <w:rFonts w:cs="Times New Roman"/>
      <w:vertAlign w:val="superscript"/>
    </w:rPr>
  </w:style>
  <w:style w:type="paragraph" w:styleId="Nagwek">
    <w:name w:val="header"/>
    <w:basedOn w:val="Normalny"/>
    <w:link w:val="NagwekZnak"/>
    <w:rsid w:val="00D04EF5"/>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basedOn w:val="Domylnaczcionkaakapitu"/>
    <w:link w:val="Nagwek"/>
    <w:rsid w:val="00D04EF5"/>
    <w:rPr>
      <w:rFonts w:ascii="Times" w:eastAsia="Times New Roman" w:hAnsi="Times" w:cs="Times New Roman"/>
      <w:kern w:val="1"/>
      <w:sz w:val="24"/>
      <w:szCs w:val="24"/>
      <w:lang w:eastAsia="ar-SA"/>
    </w:rPr>
  </w:style>
  <w:style w:type="paragraph" w:styleId="Stopka">
    <w:name w:val="footer"/>
    <w:basedOn w:val="Normalny"/>
    <w:link w:val="StopkaZnak"/>
    <w:uiPriority w:val="99"/>
    <w:rsid w:val="00D04EF5"/>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basedOn w:val="Domylnaczcionkaakapitu"/>
    <w:link w:val="Stopka"/>
    <w:uiPriority w:val="99"/>
    <w:rsid w:val="00D04EF5"/>
    <w:rPr>
      <w:rFonts w:ascii="Times" w:eastAsia="Times New Roman" w:hAnsi="Times" w:cs="Times New Roman"/>
      <w:kern w:val="1"/>
      <w:sz w:val="24"/>
      <w:szCs w:val="24"/>
      <w:lang w:eastAsia="ar-SA"/>
    </w:rPr>
  </w:style>
  <w:style w:type="paragraph" w:styleId="Tekstdymka">
    <w:name w:val="Balloon Text"/>
    <w:basedOn w:val="Normalny"/>
    <w:link w:val="TekstdymkaZnak"/>
    <w:rsid w:val="00D04EF5"/>
    <w:pPr>
      <w:suppressAutoHyphens/>
      <w:autoSpaceDE/>
      <w:autoSpaceDN/>
      <w:adjustRightInd/>
    </w:pPr>
    <w:rPr>
      <w:rFonts w:ascii="Tahoma" w:hAnsi="Tahoma" w:cs="Tahoma"/>
      <w:kern w:val="1"/>
      <w:szCs w:val="16"/>
      <w:lang w:eastAsia="ar-SA"/>
    </w:rPr>
  </w:style>
  <w:style w:type="character" w:customStyle="1" w:styleId="TekstdymkaZnak">
    <w:name w:val="Tekst dymka Znak"/>
    <w:basedOn w:val="Domylnaczcionkaakapitu"/>
    <w:link w:val="Tekstdymka"/>
    <w:rsid w:val="00D04EF5"/>
    <w:rPr>
      <w:rFonts w:ascii="Tahoma" w:eastAsia="Times New Roman" w:hAnsi="Tahoma" w:cs="Tahoma"/>
      <w:kern w:val="1"/>
      <w:sz w:val="24"/>
      <w:szCs w:val="16"/>
      <w:lang w:eastAsia="ar-SA"/>
    </w:rPr>
  </w:style>
  <w:style w:type="paragraph" w:customStyle="1" w:styleId="ARTartustawynprozporzdzenia">
    <w:name w:val="ART(§) – art. ustawy (§ np. rozporządzenia)"/>
    <w:link w:val="ARTartustawynprozporzdzeniaZnak"/>
    <w:rsid w:val="00D04EF5"/>
    <w:pPr>
      <w:suppressAutoHyphens/>
      <w:autoSpaceDE w:val="0"/>
      <w:autoSpaceDN w:val="0"/>
      <w:adjustRightInd w:val="0"/>
      <w:spacing w:before="120" w:after="0" w:line="360" w:lineRule="auto"/>
      <w:ind w:firstLine="510"/>
      <w:jc w:val="both"/>
    </w:pPr>
    <w:rPr>
      <w:rFonts w:ascii="Times" w:eastAsia="Times New Roman" w:hAnsi="Times" w:cs="Arial"/>
      <w:sz w:val="24"/>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rsid w:val="00D04EF5"/>
    <w:pPr>
      <w:ind w:left="1497"/>
    </w:pPr>
  </w:style>
  <w:style w:type="character" w:customStyle="1" w:styleId="ZCZWSPTIRwPKTzmczciwsptirwpktartykuempunktemZnak">
    <w:name w:val="Z/CZ_WSP_TIR_w_PKT – zm. części wsp. tir. w pkt artykułem (punktem) Znak"/>
    <w:link w:val="ZCZWSPTIRwPKTzmczciwsptirwpktartykuempunktem"/>
    <w:rsid w:val="00D04EF5"/>
    <w:rPr>
      <w:rFonts w:ascii="Times" w:eastAsia="Times New Roman" w:hAnsi="Times" w:cs="Arial"/>
      <w:bCs/>
      <w:sz w:val="24"/>
      <w:szCs w:val="20"/>
    </w:rPr>
  </w:style>
  <w:style w:type="paragraph" w:customStyle="1" w:styleId="ZTIRwLITzmtirwlitartykuempunktem">
    <w:name w:val="Z/TIR_w_LIT – zm. tir. w lit. artykułem (punktem)"/>
    <w:basedOn w:val="TIRtiret"/>
    <w:link w:val="ZTIRwLITzmtirwlitartykuempunktemZnak"/>
    <w:rsid w:val="00D04EF5"/>
  </w:style>
  <w:style w:type="character" w:customStyle="1" w:styleId="ZTIRwLITzmtirwlitartykuempunktemZnak">
    <w:name w:val="Z/TIR_w_LIT – zm. tir. w lit. artykułem (punktem) Znak"/>
    <w:link w:val="ZTIRwLITzmtirwlitartykuempunktem"/>
    <w:rsid w:val="00D04EF5"/>
    <w:rPr>
      <w:rFonts w:ascii="Times" w:eastAsia="Times New Roman" w:hAnsi="Times" w:cs="Arial"/>
      <w:bCs/>
      <w:sz w:val="24"/>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rsid w:val="00D04EF5"/>
  </w:style>
  <w:style w:type="character" w:customStyle="1" w:styleId="ZCZWSPTIRwLITzmczciwsptirwlitartykuempunktemZnak">
    <w:name w:val="Z/CZ_WSP_TIR_w_LIT – zm. części wsp. tir. w lit. artykułem (punktem) Znak"/>
    <w:link w:val="ZCZWSPTIRwLITzmczciwsptirwlitartykuempunktem"/>
    <w:rsid w:val="00D04EF5"/>
    <w:rPr>
      <w:rFonts w:ascii="Times" w:eastAsia="Times New Roman" w:hAnsi="Times" w:cs="Arial"/>
      <w:bCs/>
      <w:sz w:val="24"/>
      <w:szCs w:val="20"/>
    </w:rPr>
  </w:style>
  <w:style w:type="paragraph" w:customStyle="1" w:styleId="nowela">
    <w:name w:val="nowela"/>
    <w:basedOn w:val="ARTartustawynprozporzdzenia"/>
    <w:link w:val="nowelaZnak"/>
    <w:rsid w:val="00D04EF5"/>
    <w:pPr>
      <w:spacing w:before="60"/>
      <w:ind w:left="510"/>
    </w:pPr>
  </w:style>
  <w:style w:type="character" w:customStyle="1" w:styleId="ARTartustawynprozporzdzeniaZnak">
    <w:name w:val="ART(§) – art. ustawy (§ np. rozporządzenia) Znak"/>
    <w:link w:val="ARTartustawynprozporzdzenia"/>
    <w:locked/>
    <w:rsid w:val="00D04EF5"/>
    <w:rPr>
      <w:rFonts w:ascii="Times" w:eastAsia="Times New Roman" w:hAnsi="Times" w:cs="Arial"/>
      <w:sz w:val="24"/>
      <w:szCs w:val="20"/>
    </w:rPr>
  </w:style>
  <w:style w:type="character" w:customStyle="1" w:styleId="nowelaZnak">
    <w:name w:val="nowela Znak"/>
    <w:link w:val="nowela"/>
    <w:locked/>
    <w:rsid w:val="00D04EF5"/>
    <w:rPr>
      <w:rFonts w:ascii="Times" w:eastAsia="Times New Roman" w:hAnsi="Times" w:cs="Arial"/>
      <w:sz w:val="24"/>
      <w:szCs w:val="20"/>
    </w:rPr>
  </w:style>
  <w:style w:type="paragraph" w:styleId="Bezodstpw">
    <w:name w:val="No Spacing"/>
    <w:qFormat/>
    <w:rsid w:val="00D04EF5"/>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link w:val="ZPKTzmpktartykuempunktemZnak"/>
    <w:rsid w:val="00D04EF5"/>
    <w:pPr>
      <w:ind w:left="1020"/>
    </w:pPr>
  </w:style>
  <w:style w:type="paragraph" w:customStyle="1" w:styleId="ZARTzmartartykuempunktem">
    <w:name w:val="Z/ART(§) – zm. art. (§) artykułem (punktem)"/>
    <w:basedOn w:val="ARTartustawynprozporzdzenia"/>
    <w:rsid w:val="00D04EF5"/>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rsid w:val="00D04EF5"/>
    <w:pPr>
      <w:keepNext/>
      <w:suppressAutoHyphens/>
      <w:spacing w:before="120" w:after="120" w:line="360" w:lineRule="auto"/>
      <w:jc w:val="center"/>
    </w:pPr>
    <w:rPr>
      <w:rFonts w:ascii="Times" w:eastAsia="Times New Roman" w:hAnsi="Times" w:cs="Arial"/>
      <w:bCs/>
      <w:sz w:val="24"/>
      <w:szCs w:val="24"/>
    </w:rPr>
  </w:style>
  <w:style w:type="character" w:customStyle="1" w:styleId="DATAAKTUdatauchwalenialubwydaniaaktuZnak">
    <w:name w:val="DATA_AKTU – data uchwalenia lub wydania aktu Znak"/>
    <w:link w:val="DATAAKTUdatauchwalenialubwydaniaaktu"/>
    <w:rsid w:val="00D04EF5"/>
    <w:rPr>
      <w:rFonts w:ascii="Times" w:eastAsia="Times New Roman" w:hAnsi="Times" w:cs="Arial"/>
      <w:bCs/>
      <w:sz w:val="24"/>
      <w:szCs w:val="24"/>
    </w:rPr>
  </w:style>
  <w:style w:type="paragraph" w:customStyle="1" w:styleId="TYTUAKTUprzedmiotregulacjiustawylubrozporzdzenia">
    <w:name w:val="TYTUŁ_AKTU – przedmiot regulacji ustawy lub rozporządzenia"/>
    <w:next w:val="ARTartustawynprozporzdzenia"/>
    <w:link w:val="TYTUAKTUprzedmiotregulacjiustawylubrozporzdzeniaZnak"/>
    <w:rsid w:val="00D04EF5"/>
    <w:pPr>
      <w:keepNext/>
      <w:suppressAutoHyphens/>
      <w:spacing w:before="120" w:after="360" w:line="360" w:lineRule="auto"/>
      <w:jc w:val="center"/>
    </w:pPr>
    <w:rPr>
      <w:rFonts w:ascii="Times" w:eastAsia="Times New Roman" w:hAnsi="Times" w:cs="Arial"/>
      <w:b/>
      <w:bCs/>
      <w:sz w:val="24"/>
      <w:szCs w:val="24"/>
    </w:rPr>
  </w:style>
  <w:style w:type="character" w:customStyle="1" w:styleId="TYTUAKTUprzedmiotregulacjiustawylubrozporzdzeniaZnak">
    <w:name w:val="TYTUŁ_AKTU – przedmiot regulacji ustawy lub rozporządzenia Znak"/>
    <w:link w:val="TYTUAKTUprzedmiotregulacjiustawylubrozporzdzenia"/>
    <w:rsid w:val="00D04EF5"/>
    <w:rPr>
      <w:rFonts w:ascii="Times" w:eastAsia="Times New Roman" w:hAnsi="Times" w:cs="Arial"/>
      <w:b/>
      <w:bCs/>
      <w:sz w:val="24"/>
      <w:szCs w:val="24"/>
    </w:rPr>
  </w:style>
  <w:style w:type="paragraph" w:customStyle="1" w:styleId="CZKSIGAoznaczenieiprzedmiotczcilubksigi">
    <w:name w:val="CZĘŚĆ(KSIĘGA) – oznaczenie i przedmiot części lub księgi"/>
    <w:next w:val="ARTartustawynprozporzdzenia"/>
    <w:link w:val="CZKSIGAoznaczenieiprzedmiotczcilubksigiZnak"/>
    <w:rsid w:val="00D04EF5"/>
    <w:pPr>
      <w:keepNext/>
      <w:suppressAutoHyphens/>
      <w:spacing w:before="120" w:after="0" w:line="360" w:lineRule="auto"/>
      <w:jc w:val="center"/>
    </w:pPr>
    <w:rPr>
      <w:rFonts w:ascii="Times" w:eastAsia="Times New Roman" w:hAnsi="Times" w:cs="Times New Roman"/>
      <w:b/>
      <w:bCs/>
      <w:caps/>
      <w:kern w:val="24"/>
      <w:sz w:val="24"/>
      <w:szCs w:val="24"/>
    </w:rPr>
  </w:style>
  <w:style w:type="character" w:customStyle="1" w:styleId="CZKSIGAoznaczenieiprzedmiotczcilubksigiZnak">
    <w:name w:val="CZĘŚĆ(KSIĘGA) – oznaczenie i przedmiot części lub księgi Znak"/>
    <w:link w:val="CZKSIGAoznaczenieiprzedmiotczcilubksigi"/>
    <w:rsid w:val="00D04EF5"/>
    <w:rPr>
      <w:rFonts w:ascii="Times" w:eastAsia="Times New Roman" w:hAnsi="Times" w:cs="Times New Roman"/>
      <w:b/>
      <w:bCs/>
      <w:caps/>
      <w:kern w:val="24"/>
      <w:sz w:val="24"/>
      <w:szCs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rsid w:val="00D04EF5"/>
    <w:rPr>
      <w:bCs/>
    </w:rPr>
  </w:style>
  <w:style w:type="character" w:customStyle="1" w:styleId="NIEARTTEKSTtekstnieartykuowanynppreambuaZnak">
    <w:name w:val="NIEART_TEKST – tekst nieartykułowany (np. preambuła) Znak"/>
    <w:link w:val="NIEARTTEKSTtekstnieartykuowanynppreambua"/>
    <w:rsid w:val="00D04EF5"/>
    <w:rPr>
      <w:rFonts w:ascii="Times" w:eastAsia="Times New Roman" w:hAnsi="Times" w:cs="Arial"/>
      <w:bCs/>
      <w:sz w:val="24"/>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rsid w:val="00D04EF5"/>
    <w:pPr>
      <w:keepNext/>
      <w:suppressAutoHyphens/>
      <w:spacing w:after="120" w:line="360" w:lineRule="auto"/>
      <w:jc w:val="center"/>
    </w:pPr>
    <w:rPr>
      <w:rFonts w:ascii="Times" w:eastAsia="Times New Roman" w:hAnsi="Times" w:cs="Times New Roman"/>
      <w:b/>
      <w:bCs/>
      <w:caps/>
      <w:spacing w:val="54"/>
      <w:kern w:val="24"/>
      <w:sz w:val="24"/>
      <w:szCs w:val="24"/>
    </w:rPr>
  </w:style>
  <w:style w:type="character" w:customStyle="1" w:styleId="OZNRODZAKTUtznustawalubrozporzdzenieiorganwydajcyZnak">
    <w:name w:val="OZN_RODZ_AKTU – tzn. ustawa lub rozporządzenie i organ wydający Znak"/>
    <w:link w:val="OZNRODZAKTUtznustawalubrozporzdzenieiorganwydajcy"/>
    <w:rsid w:val="00D04EF5"/>
    <w:rPr>
      <w:rFonts w:ascii="Times" w:eastAsia="Times New Roman" w:hAnsi="Times" w:cs="Times New Roman"/>
      <w:b/>
      <w:bCs/>
      <w:caps/>
      <w:spacing w:val="54"/>
      <w:kern w:val="24"/>
      <w:sz w:val="24"/>
      <w:szCs w:val="24"/>
    </w:rPr>
  </w:style>
  <w:style w:type="paragraph" w:customStyle="1" w:styleId="USTustnpkodeksu">
    <w:name w:val="UST(§) – ust. (§ np. kodeksu)"/>
    <w:basedOn w:val="ARTartustawynprozporzdzenia"/>
    <w:link w:val="USTustnpkodeksuZnak"/>
    <w:rsid w:val="00D04EF5"/>
    <w:pPr>
      <w:spacing w:before="0"/>
    </w:pPr>
    <w:rPr>
      <w:bCs/>
    </w:rPr>
  </w:style>
  <w:style w:type="character" w:customStyle="1" w:styleId="USTustnpkodeksuZnak">
    <w:name w:val="UST(§) – ust. (§ np. kodeksu) Znak"/>
    <w:link w:val="USTustnpkodeksu"/>
    <w:rsid w:val="00D04EF5"/>
    <w:rPr>
      <w:rFonts w:ascii="Times" w:eastAsia="Times New Roman" w:hAnsi="Times" w:cs="Arial"/>
      <w:bCs/>
      <w:sz w:val="24"/>
      <w:szCs w:val="20"/>
    </w:rPr>
  </w:style>
  <w:style w:type="paragraph" w:customStyle="1" w:styleId="PKTpunkt">
    <w:name w:val="PKT – punkt"/>
    <w:basedOn w:val="USTustnpkodeksu"/>
    <w:link w:val="PKTpunktZnak"/>
    <w:rsid w:val="00D04EF5"/>
    <w:pPr>
      <w:ind w:left="510" w:hanging="510"/>
    </w:pPr>
  </w:style>
  <w:style w:type="character" w:customStyle="1" w:styleId="PKTpunktZnak">
    <w:name w:val="PKT – punkt Znak"/>
    <w:link w:val="PKTpunkt"/>
    <w:locked/>
    <w:rsid w:val="00D04EF5"/>
    <w:rPr>
      <w:rFonts w:ascii="Times" w:eastAsia="Times New Roman" w:hAnsi="Times" w:cs="Arial"/>
      <w:bCs/>
      <w:sz w:val="24"/>
      <w:szCs w:val="20"/>
    </w:rPr>
  </w:style>
  <w:style w:type="paragraph" w:customStyle="1" w:styleId="CZWSPPKTczwsplnapunktw">
    <w:name w:val="CZ_WSP_PKT – część wspólna punktów"/>
    <w:basedOn w:val="PKTpunkt"/>
    <w:next w:val="USTustnpkodeksu"/>
    <w:link w:val="CZWSPPKTczwsplnapunktwZnak"/>
    <w:rsid w:val="00D04EF5"/>
    <w:pPr>
      <w:ind w:left="0" w:firstLine="0"/>
    </w:pPr>
  </w:style>
  <w:style w:type="character" w:customStyle="1" w:styleId="CZWSPPKTczwsplnapunktwZnak">
    <w:name w:val="CZ_WSP_PKT – część wspólna punktów Znak"/>
    <w:link w:val="CZWSPPKTczwsplnapunktw"/>
    <w:rsid w:val="00D04EF5"/>
    <w:rPr>
      <w:rFonts w:ascii="Times" w:eastAsia="Times New Roman" w:hAnsi="Times" w:cs="Arial"/>
      <w:bCs/>
      <w:sz w:val="24"/>
      <w:szCs w:val="20"/>
    </w:rPr>
  </w:style>
  <w:style w:type="paragraph" w:customStyle="1" w:styleId="LITlitera">
    <w:name w:val="LIT – litera"/>
    <w:basedOn w:val="PKTpunkt"/>
    <w:link w:val="LITliteraZnak"/>
    <w:rsid w:val="00D04EF5"/>
    <w:pPr>
      <w:ind w:left="986" w:hanging="476"/>
    </w:pPr>
  </w:style>
  <w:style w:type="character" w:customStyle="1" w:styleId="LITliteraZnak">
    <w:name w:val="LIT – litera Znak"/>
    <w:link w:val="LITlitera"/>
    <w:rsid w:val="00D04EF5"/>
    <w:rPr>
      <w:rFonts w:ascii="Times" w:eastAsia="Times New Roman" w:hAnsi="Times" w:cs="Arial"/>
      <w:bCs/>
      <w:sz w:val="24"/>
      <w:szCs w:val="20"/>
    </w:rPr>
  </w:style>
  <w:style w:type="paragraph" w:customStyle="1" w:styleId="CZWSPLITczwsplnaliter">
    <w:name w:val="CZ_WSP_LIT – część wspólna liter"/>
    <w:basedOn w:val="LITlitera"/>
    <w:next w:val="USTustnpkodeksu"/>
    <w:link w:val="CZWSPLITczwsplnaliterZnak"/>
    <w:rsid w:val="00D04EF5"/>
    <w:pPr>
      <w:ind w:left="510" w:firstLine="0"/>
    </w:pPr>
    <w:rPr>
      <w:szCs w:val="24"/>
    </w:rPr>
  </w:style>
  <w:style w:type="character" w:customStyle="1" w:styleId="CZWSPLITczwsplnaliterZnak">
    <w:name w:val="CZ_WSP_LIT – część wspólna liter Znak"/>
    <w:link w:val="CZWSPLITczwsplnaliter"/>
    <w:rsid w:val="00D04EF5"/>
    <w:rPr>
      <w:rFonts w:ascii="Times" w:eastAsia="Times New Roman" w:hAnsi="Times" w:cs="Arial"/>
      <w:bCs/>
      <w:sz w:val="24"/>
      <w:szCs w:val="24"/>
    </w:rPr>
  </w:style>
  <w:style w:type="paragraph" w:customStyle="1" w:styleId="TIRtiret">
    <w:name w:val="TIR – tiret"/>
    <w:basedOn w:val="LITlitera"/>
    <w:link w:val="TIRtiretZnak"/>
    <w:rsid w:val="00D04EF5"/>
    <w:pPr>
      <w:ind w:left="1384" w:hanging="397"/>
    </w:pPr>
  </w:style>
  <w:style w:type="character" w:customStyle="1" w:styleId="TIRtiretZnak">
    <w:name w:val="TIR – tiret Znak"/>
    <w:link w:val="TIRtiret"/>
    <w:rsid w:val="00D04EF5"/>
    <w:rPr>
      <w:rFonts w:ascii="Times" w:eastAsia="Times New Roman" w:hAnsi="Times" w:cs="Arial"/>
      <w:bCs/>
      <w:sz w:val="24"/>
      <w:szCs w:val="20"/>
    </w:rPr>
  </w:style>
  <w:style w:type="paragraph" w:customStyle="1" w:styleId="CZWSPTIRczwsplnatiret">
    <w:name w:val="CZ_WSP_TIR – część wspólna tiret"/>
    <w:basedOn w:val="TIRtiret"/>
    <w:next w:val="USTustnpkodeksu"/>
    <w:link w:val="CZWSPTIRczwsplnatiretZnak"/>
    <w:rsid w:val="00D04EF5"/>
    <w:pPr>
      <w:ind w:left="987" w:firstLine="0"/>
    </w:pPr>
  </w:style>
  <w:style w:type="character" w:customStyle="1" w:styleId="CZWSPTIRczwsplnatiretZnak">
    <w:name w:val="CZ_WSP_TIR – część wspólna tiret Znak"/>
    <w:link w:val="CZWSPTIRczwsplnatiret"/>
    <w:rsid w:val="00D04EF5"/>
    <w:rPr>
      <w:rFonts w:ascii="Times" w:eastAsia="Times New Roman" w:hAnsi="Times" w:cs="Arial"/>
      <w:bCs/>
      <w:sz w:val="24"/>
      <w:szCs w:val="20"/>
    </w:rPr>
  </w:style>
  <w:style w:type="paragraph" w:customStyle="1" w:styleId="CYTcytatnpprzysigi">
    <w:name w:val="CYT – cytat np. przysięgi"/>
    <w:basedOn w:val="USTustnpkodeksu"/>
    <w:next w:val="USTustnpkodeksu"/>
    <w:link w:val="CYTcytatnpprzysigiZnak"/>
    <w:rsid w:val="00D04EF5"/>
    <w:pPr>
      <w:ind w:left="510" w:right="510" w:firstLine="0"/>
    </w:pPr>
  </w:style>
  <w:style w:type="character" w:customStyle="1" w:styleId="CYTcytatnpprzysigiZnak">
    <w:name w:val="CYT – cytat np. przysięgi Znak"/>
    <w:link w:val="CYTcytatnpprzysigi"/>
    <w:locked/>
    <w:rsid w:val="00D04EF5"/>
    <w:rPr>
      <w:rFonts w:ascii="Times" w:eastAsia="Times New Roman" w:hAnsi="Times" w:cs="Arial"/>
      <w:bCs/>
      <w:sz w:val="24"/>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rsid w:val="00D04EF5"/>
    <w:pPr>
      <w:keepNext/>
      <w:suppressAutoHyphens/>
      <w:spacing w:before="120" w:after="0" w:line="360" w:lineRule="auto"/>
      <w:jc w:val="center"/>
    </w:pPr>
    <w:rPr>
      <w:rFonts w:ascii="Times" w:eastAsia="Times New Roman" w:hAnsi="Times" w:cs="Times New Roman"/>
      <w:b/>
      <w:bCs/>
      <w:sz w:val="24"/>
      <w:szCs w:val="24"/>
    </w:rPr>
  </w:style>
  <w:style w:type="character" w:customStyle="1" w:styleId="ROZDZODDZPRZEDMprzedmiotregulacjirozdziauluboddziauZnak">
    <w:name w:val="ROZDZ(ODDZ)_PRZEDM – przedmiot regulacji rozdziału lub oddziału Znak"/>
    <w:link w:val="ROZDZODDZPRZEDMprzedmiotregulacjirozdziauluboddziau"/>
    <w:rsid w:val="00D04EF5"/>
    <w:rPr>
      <w:rFonts w:ascii="Times" w:eastAsia="Times New Roman" w:hAnsi="Times" w:cs="Times New Roman"/>
      <w:b/>
      <w:bCs/>
      <w:sz w:val="24"/>
      <w:szCs w:val="24"/>
    </w:rPr>
  </w:style>
  <w:style w:type="paragraph" w:customStyle="1" w:styleId="ZLITzmlitartykuempunktem">
    <w:name w:val="Z/LIT – zm. lit. artykułem (punktem)"/>
    <w:basedOn w:val="LITlitera"/>
    <w:rsid w:val="00D04EF5"/>
  </w:style>
  <w:style w:type="paragraph" w:customStyle="1" w:styleId="ZLITCZWSPTIRwLITzmczciwsptirwlitliter">
    <w:name w:val="Z_LIT/CZ_WSP_TIR_w_LIT – zm. części wsp. tir. w lit. literą"/>
    <w:basedOn w:val="CZWSPTIRczwsplnatiret"/>
    <w:next w:val="LITlitera"/>
    <w:rsid w:val="00D04EF5"/>
    <w:pPr>
      <w:ind w:left="1463"/>
    </w:pPr>
  </w:style>
  <w:style w:type="paragraph" w:customStyle="1" w:styleId="ZLITTIRwLITzmtirwlitliter">
    <w:name w:val="Z_LIT/TIR_w_LIT – zm. tir. w lit. literą"/>
    <w:basedOn w:val="TIRtiret"/>
    <w:rsid w:val="00D04EF5"/>
    <w:pPr>
      <w:ind w:left="1860"/>
    </w:pPr>
  </w:style>
  <w:style w:type="paragraph" w:customStyle="1" w:styleId="TYTDZOZNoznaczenietytuulubdziau">
    <w:name w:val="TYT(DZ)_OZN – oznaczenie tytułu lub działu"/>
    <w:next w:val="Normalny"/>
    <w:link w:val="TYTDZOZNoznaczenietytuulubdziauZnak"/>
    <w:rsid w:val="00D04EF5"/>
    <w:pPr>
      <w:keepNext/>
      <w:spacing w:before="120" w:after="0" w:line="360" w:lineRule="auto"/>
      <w:jc w:val="center"/>
    </w:pPr>
    <w:rPr>
      <w:rFonts w:ascii="Times" w:eastAsia="Times New Roman" w:hAnsi="Times" w:cs="Arial"/>
      <w:bCs/>
      <w:caps/>
      <w:kern w:val="24"/>
      <w:sz w:val="24"/>
      <w:szCs w:val="24"/>
    </w:rPr>
  </w:style>
  <w:style w:type="paragraph" w:customStyle="1" w:styleId="WMATFIZCHEMwzorymatfizlubchemiichlegendy">
    <w:name w:val="W_MAT(FIZ|CHEM) – wzory mat. (fiz. lub chem.) i ich legendy"/>
    <w:link w:val="WMATFIZCHEMwzorymatfizlubchemiichlegendyZnak"/>
    <w:rsid w:val="00D04EF5"/>
    <w:pPr>
      <w:spacing w:after="0" w:line="360" w:lineRule="auto"/>
      <w:ind w:left="986" w:hanging="476"/>
      <w:jc w:val="both"/>
    </w:pPr>
    <w:rPr>
      <w:rFonts w:ascii="Times New Roman" w:eastAsia="Times New Roman" w:hAnsi="Times New Roman" w:cs="Arial"/>
      <w:sz w:val="24"/>
      <w:szCs w:val="20"/>
    </w:rPr>
  </w:style>
  <w:style w:type="character" w:customStyle="1" w:styleId="TYTDZOZNoznaczenietytuulubdziauZnak">
    <w:name w:val="TYT(DZ)_OZN – oznaczenie tytułu lub działu Znak"/>
    <w:link w:val="TYTDZOZNoznaczenietytuulubdziau"/>
    <w:rsid w:val="00D04EF5"/>
    <w:rPr>
      <w:rFonts w:ascii="Times" w:eastAsia="Times New Roman" w:hAnsi="Times" w:cs="Arial"/>
      <w:bCs/>
      <w:caps/>
      <w:kern w:val="24"/>
      <w:sz w:val="24"/>
      <w:szCs w:val="24"/>
    </w:rPr>
  </w:style>
  <w:style w:type="character" w:customStyle="1" w:styleId="WMATFIZCHEMwzorymatfizlubchemiichlegendyZnak">
    <w:name w:val="W_MAT(FIZ|CHEM) – wzory mat. (fiz. lub chem.) i ich legendy Znak"/>
    <w:link w:val="WMATFIZCHEMwzorymatfizlubchemiichlegendy"/>
    <w:rsid w:val="00D04EF5"/>
    <w:rPr>
      <w:rFonts w:ascii="Times New Roman" w:eastAsia="Times New Roman" w:hAnsi="Times New Roman" w:cs="Arial"/>
      <w:sz w:val="24"/>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rsid w:val="00D04EF5"/>
    <w:pPr>
      <w:spacing w:before="0"/>
      <w:ind w:left="510"/>
    </w:pPr>
  </w:style>
  <w:style w:type="character" w:customStyle="1" w:styleId="ZTYTDZOZNzmozntytuudziauartykuempunktemZnak">
    <w:name w:val="Z/TYT(DZ)_OZN – zm. ozn. tytułu (działu) artykułem (punktem) Znak"/>
    <w:link w:val="ZTYTDZOZNzmozntytuudziauartykuempunktem"/>
    <w:rsid w:val="00D04EF5"/>
    <w:rPr>
      <w:rFonts w:ascii="Times" w:eastAsia="Times New Roman" w:hAnsi="Times" w:cs="Arial"/>
      <w:bCs/>
      <w:caps/>
      <w:kern w:val="24"/>
      <w:sz w:val="24"/>
      <w:szCs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rsid w:val="00D04EF5"/>
    <w:pPr>
      <w:keepNext/>
      <w:suppressAutoHyphens/>
      <w:spacing w:after="0" w:line="360" w:lineRule="auto"/>
      <w:ind w:left="510"/>
      <w:jc w:val="center"/>
    </w:pPr>
    <w:rPr>
      <w:rFonts w:ascii="Times" w:eastAsia="Times New Roman" w:hAnsi="Times" w:cs="Times New Roman"/>
      <w:sz w:val="24"/>
      <w:szCs w:val="26"/>
    </w:rPr>
  </w:style>
  <w:style w:type="character" w:customStyle="1" w:styleId="ZTYTDZPRZEDMzmprzedmtytuulubdziauartykuempunktemZnak">
    <w:name w:val="Z/TYT(DZ)_PRZEDM – zm. przedm. tytułu lub działu artykułem (punktem) Znak"/>
    <w:link w:val="ZTYTDZPRZEDMzmprzedmtytuulubdziauartykuempunktem"/>
    <w:rsid w:val="00D04EF5"/>
    <w:rPr>
      <w:rFonts w:ascii="Times" w:eastAsia="Times New Roman" w:hAnsi="Times" w:cs="Times New Roman"/>
      <w:sz w:val="24"/>
      <w:szCs w:val="26"/>
    </w:rPr>
  </w:style>
  <w:style w:type="paragraph" w:customStyle="1" w:styleId="ZTIRzmtirartykuempunktem">
    <w:name w:val="Z/TIR – zm. tir. artykułem (punktem)"/>
    <w:basedOn w:val="TIRtiret"/>
    <w:next w:val="PKTpunkt"/>
    <w:rsid w:val="00D04EF5"/>
    <w:pPr>
      <w:ind w:left="907"/>
    </w:pPr>
  </w:style>
  <w:style w:type="paragraph" w:customStyle="1" w:styleId="ZCZWSPPKTzmczciwsppktartykuempunktem">
    <w:name w:val="Z/CZ_WSP_PKT – zm. części wsp. pkt artykułem (punktem)"/>
    <w:basedOn w:val="CZWSPPKTczwsplnapunktw"/>
    <w:next w:val="ZARTzmartartykuempunktem"/>
    <w:rsid w:val="00D04EF5"/>
    <w:pPr>
      <w:ind w:left="510"/>
    </w:pPr>
  </w:style>
  <w:style w:type="paragraph" w:customStyle="1" w:styleId="ZZLITzmianazmlit">
    <w:name w:val="ZZ/LIT – zmiana zm. lit."/>
    <w:basedOn w:val="ZZPKTzmianazmpkt"/>
    <w:rsid w:val="00D04EF5"/>
    <w:pPr>
      <w:ind w:left="2370" w:hanging="476"/>
    </w:pPr>
  </w:style>
  <w:style w:type="paragraph" w:customStyle="1" w:styleId="ZZTIRzmianazmtir">
    <w:name w:val="ZZ/TIR – zmiana zm. tir."/>
    <w:basedOn w:val="ZZLITzmianazmlit"/>
    <w:rsid w:val="00D04EF5"/>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rsid w:val="00D04EF5"/>
    <w:pPr>
      <w:keepNext/>
      <w:suppressAutoHyphens/>
      <w:spacing w:after="0" w:line="360" w:lineRule="auto"/>
      <w:ind w:left="510"/>
      <w:jc w:val="center"/>
    </w:pPr>
    <w:rPr>
      <w:rFonts w:ascii="Times" w:eastAsia="Times New Roman" w:hAnsi="Times" w:cs="Arial"/>
      <w:bCs/>
      <w:kern w:val="24"/>
      <w:sz w:val="24"/>
      <w:szCs w:val="24"/>
    </w:rPr>
  </w:style>
  <w:style w:type="character" w:customStyle="1" w:styleId="ZROZDZODDZOZNzmoznrozdzoddzartykuempunktemZnak">
    <w:name w:val="Z/ROZDZ(ODDZ)_OZN – zm. ozn. rozdz. (oddz.) artykułem (punktem) Znak"/>
    <w:link w:val="ZROZDZODDZOZNzmoznrozdzoddzartykuempunktem"/>
    <w:rsid w:val="00D04EF5"/>
    <w:rPr>
      <w:rFonts w:ascii="Times" w:eastAsia="Times New Roman" w:hAnsi="Times" w:cs="Arial"/>
      <w:bCs/>
      <w:kern w:val="24"/>
      <w:sz w:val="24"/>
      <w:szCs w:val="24"/>
    </w:rPr>
  </w:style>
  <w:style w:type="character" w:customStyle="1" w:styleId="ZPKTzmpktartykuempunktemZnak">
    <w:name w:val="Z/PKT – zm. pkt artykułem (punktem) Znak"/>
    <w:link w:val="ZPKTzmpktartykuempunktem"/>
    <w:rsid w:val="00D04EF5"/>
    <w:rPr>
      <w:rFonts w:ascii="Times" w:eastAsia="Times New Roman" w:hAnsi="Times" w:cs="Arial"/>
      <w:bCs/>
      <w:sz w:val="24"/>
      <w:szCs w:val="20"/>
    </w:rPr>
  </w:style>
  <w:style w:type="paragraph" w:customStyle="1" w:styleId="ZLITUSTzmustliter">
    <w:name w:val="Z_LIT/UST(§) – zm. ust. (§) literą"/>
    <w:basedOn w:val="USTustnpkodeksu"/>
    <w:rsid w:val="00D04EF5"/>
    <w:pPr>
      <w:ind w:left="987"/>
    </w:pPr>
  </w:style>
  <w:style w:type="paragraph" w:customStyle="1" w:styleId="ZLITPKTzmpktliter">
    <w:name w:val="Z_LIT/PKT – zm. pkt literą"/>
    <w:basedOn w:val="PKTpunkt"/>
    <w:rsid w:val="00D04EF5"/>
    <w:pPr>
      <w:ind w:left="1497"/>
    </w:pPr>
  </w:style>
  <w:style w:type="paragraph" w:customStyle="1" w:styleId="ZZCZWSPPKTzmianazmczciwsppkt">
    <w:name w:val="ZZ/CZ_WSP_PKT – zmiana. zm. części wsp. pkt"/>
    <w:basedOn w:val="ZZARTzmianazmart"/>
    <w:next w:val="ZPKTzmpktartykuempunktem"/>
    <w:rsid w:val="00D04EF5"/>
    <w:pPr>
      <w:ind w:firstLine="0"/>
    </w:pPr>
  </w:style>
  <w:style w:type="paragraph" w:customStyle="1" w:styleId="ZLITLITzmlitliter">
    <w:name w:val="Z_LIT/LIT – zm. lit. literą"/>
    <w:basedOn w:val="LITlitera"/>
    <w:rsid w:val="00D04EF5"/>
    <w:pPr>
      <w:ind w:left="1463"/>
    </w:pPr>
  </w:style>
  <w:style w:type="paragraph" w:customStyle="1" w:styleId="ZLITCZWSPPKTzmczciwsppktliter">
    <w:name w:val="Z_LIT/CZ_WSP_PKT – zm. części wsp. pkt literą"/>
    <w:basedOn w:val="CZWSPLITczwsplnaliter"/>
    <w:next w:val="LITlitera"/>
    <w:rsid w:val="00D04EF5"/>
    <w:pPr>
      <w:ind w:left="987"/>
    </w:pPr>
  </w:style>
  <w:style w:type="paragraph" w:customStyle="1" w:styleId="ZLITTIRzmtirliter">
    <w:name w:val="Z_LIT/TIR – zm. tir. literą"/>
    <w:basedOn w:val="TIRtiret"/>
    <w:rsid w:val="00D04EF5"/>
  </w:style>
  <w:style w:type="paragraph" w:customStyle="1" w:styleId="ZZCZWSPLITwPKTzmianazmczciwsplitwpkt">
    <w:name w:val="ZZ/CZ_WSP_LIT_w_PKT – zmiana zm. części wsp. lit. w pkt"/>
    <w:basedOn w:val="ZZLITwPKTzmianazmlitwpkt"/>
    <w:rsid w:val="00D04EF5"/>
    <w:pPr>
      <w:ind w:left="2404" w:firstLine="0"/>
    </w:pPr>
  </w:style>
  <w:style w:type="paragraph" w:customStyle="1" w:styleId="ZLITLITwPKTzmlitwpktliter">
    <w:name w:val="Z_LIT/LIT_w_PKT – zm. lit. w pkt literą"/>
    <w:basedOn w:val="LITlitera"/>
    <w:rsid w:val="00D04EF5"/>
    <w:pPr>
      <w:ind w:left="1973"/>
    </w:pPr>
  </w:style>
  <w:style w:type="paragraph" w:customStyle="1" w:styleId="ZLITCZWSPLITwPKTzmczciwsplitwpktliter">
    <w:name w:val="Z_LIT/CZ_WSP_LIT_w_PKT – zm. części wsp. lit. w pkt literą"/>
    <w:basedOn w:val="CZWSPLITczwsplnaliter"/>
    <w:next w:val="LITlitera"/>
    <w:rsid w:val="00D04EF5"/>
    <w:pPr>
      <w:ind w:left="1497"/>
    </w:pPr>
  </w:style>
  <w:style w:type="paragraph" w:customStyle="1" w:styleId="ZLITTIRwPKTzmtirwpktliter">
    <w:name w:val="Z_LIT/TIR_w_PKT – zm. tir. w pkt literą"/>
    <w:basedOn w:val="TIRtiret"/>
    <w:rsid w:val="00D04EF5"/>
    <w:pPr>
      <w:ind w:left="2370"/>
    </w:pPr>
  </w:style>
  <w:style w:type="paragraph" w:customStyle="1" w:styleId="ZLITCZWSPTIRwPKTzmczciwsptirwpktliter">
    <w:name w:val="Z_LIT/CZ_WSP_TIR_w_PKT – zm. części wsp. tir. w pkt literą"/>
    <w:basedOn w:val="CZWSPTIRczwsplnatiret"/>
    <w:next w:val="LITlitera"/>
    <w:rsid w:val="00D04EF5"/>
    <w:pPr>
      <w:ind w:left="1973"/>
    </w:pPr>
  </w:style>
  <w:style w:type="paragraph" w:styleId="Tekstprzypisudolnego">
    <w:name w:val="footnote text"/>
    <w:aliases w:val="Fodnotetekst Tegn1,Fodnotetekst Tegn Tegn,Fodnotetekst Tegn2 Tegn Tegn,Fodnotetekst Tegn Tegn Tegn Tegn,Fodnotetekst Tegn1 Tegn Tegn Tegn Tegn,Fodnotetekst Tegn Tegn Tegn Tegn Tegn Tegn"/>
    <w:basedOn w:val="Normalny"/>
    <w:link w:val="TekstprzypisudolnegoZnak"/>
    <w:rsid w:val="00D04EF5"/>
    <w:rPr>
      <w:rFonts w:ascii="Times" w:hAnsi="Times" w:cs="Times New Roman"/>
      <w:szCs w:val="24"/>
    </w:rPr>
  </w:style>
  <w:style w:type="character" w:customStyle="1" w:styleId="TekstprzypisudolnegoZnak">
    <w:name w:val="Tekst przypisu dolnego Znak"/>
    <w:aliases w:val="Fodnotetekst Tegn1 Znak,Fodnotetekst Tegn Tegn Znak,Fodnotetekst Tegn2 Tegn Tegn Znak,Fodnotetekst Tegn Tegn Tegn Tegn Znak,Fodnotetekst Tegn1 Tegn Tegn Tegn Tegn Znak,Fodnotetekst Tegn Tegn Tegn Tegn Tegn Tegn Znak"/>
    <w:basedOn w:val="Domylnaczcionkaakapitu"/>
    <w:link w:val="Tekstprzypisudolnego"/>
    <w:rsid w:val="00D04EF5"/>
    <w:rPr>
      <w:rFonts w:ascii="Times" w:eastAsia="Times New Roman" w:hAnsi="Times" w:cs="Times New Roman"/>
      <w:sz w:val="24"/>
      <w:szCs w:val="24"/>
    </w:rPr>
  </w:style>
  <w:style w:type="paragraph" w:customStyle="1" w:styleId="ZTIRLITzmlittiret">
    <w:name w:val="Z_TIR/LIT – zm. lit. tiret"/>
    <w:basedOn w:val="LITlitera"/>
    <w:link w:val="ZTIRLITzmlittiretZnak"/>
    <w:rsid w:val="00D04EF5"/>
    <w:pPr>
      <w:ind w:left="1859"/>
    </w:pPr>
  </w:style>
  <w:style w:type="character" w:customStyle="1" w:styleId="ZTIRLITzmlittiretZnak">
    <w:name w:val="Z_TIR/LIT – zm. lit. tiret Znak"/>
    <w:link w:val="ZTIRLITzmlittiret"/>
    <w:rsid w:val="00D04EF5"/>
    <w:rPr>
      <w:rFonts w:ascii="Times" w:eastAsia="Times New Roman" w:hAnsi="Times" w:cs="Arial"/>
      <w:bCs/>
      <w:sz w:val="24"/>
      <w:szCs w:val="20"/>
    </w:rPr>
  </w:style>
  <w:style w:type="paragraph" w:customStyle="1" w:styleId="ZTIRCZWSPPKTzmczciwsppkttiret">
    <w:name w:val="Z_TIR/CZ_WSP_PKT – zm. części wsp. pkt tiret"/>
    <w:basedOn w:val="CZWSPLITczwsplnaliter"/>
    <w:next w:val="TIRtiret"/>
    <w:link w:val="ZTIRCZWSPPKTzmczciwsppkttiretZnak"/>
    <w:rsid w:val="00D04EF5"/>
    <w:pPr>
      <w:ind w:left="1383"/>
    </w:pPr>
  </w:style>
  <w:style w:type="character" w:customStyle="1" w:styleId="ZTIRCZWSPPKTzmczciwsppkttiretZnak">
    <w:name w:val="Z_TIR/CZ_WSP_PKT – zm. części wsp. pkt tiret Znak"/>
    <w:link w:val="ZTIRCZWSPPKTzmczciwsppkttiret"/>
    <w:rsid w:val="00D04EF5"/>
    <w:rPr>
      <w:rFonts w:ascii="Times" w:eastAsia="Times New Roman" w:hAnsi="Times" w:cs="Arial"/>
      <w:bCs/>
      <w:sz w:val="24"/>
      <w:szCs w:val="24"/>
    </w:rPr>
  </w:style>
  <w:style w:type="paragraph" w:customStyle="1" w:styleId="ZTIRTIRzmtirtiret">
    <w:name w:val="Z_TIR/TIR – zm. tir. tiret"/>
    <w:basedOn w:val="TIRtiret"/>
    <w:link w:val="ZTIRTIRzmtirtiretZnak"/>
    <w:rsid w:val="00D04EF5"/>
    <w:pPr>
      <w:ind w:left="1780"/>
    </w:pPr>
  </w:style>
  <w:style w:type="character" w:customStyle="1" w:styleId="ZTIRTIRzmtirtiretZnak">
    <w:name w:val="Z_TIR/TIR – zm. tir. tiret Znak"/>
    <w:link w:val="ZTIRTIRzmtirtiret"/>
    <w:rsid w:val="00D04EF5"/>
    <w:rPr>
      <w:rFonts w:ascii="Times" w:eastAsia="Times New Roman" w:hAnsi="Times" w:cs="Arial"/>
      <w:bCs/>
      <w:sz w:val="24"/>
      <w:szCs w:val="20"/>
    </w:rPr>
  </w:style>
  <w:style w:type="paragraph" w:customStyle="1" w:styleId="ZZCZWSPTIRwPKTzmianazmczciwsptirwpkt">
    <w:name w:val="ZZ/CZ_WSP_TIR_w_PKT – zmiana zm. części wsp. tir. w pkt"/>
    <w:basedOn w:val="ZZTIRwPKTzmianazmtirwpkt"/>
    <w:rsid w:val="00D04EF5"/>
    <w:pPr>
      <w:ind w:left="2880" w:firstLine="0"/>
    </w:pPr>
  </w:style>
  <w:style w:type="paragraph" w:customStyle="1" w:styleId="ZZTIRwLITzmianazmtirwlit">
    <w:name w:val="ZZ/TIR_w_LIT – zmiana zm. tir. w lit."/>
    <w:basedOn w:val="ZZTIRzmianazmtir"/>
    <w:rsid w:val="00D04EF5"/>
    <w:pPr>
      <w:ind w:left="2767"/>
    </w:pPr>
  </w:style>
  <w:style w:type="paragraph" w:customStyle="1" w:styleId="ZTIRTIRwLITzmtirwlittiret">
    <w:name w:val="Z_TIR/TIR_w_LIT – zm. tir. w lit. tiret"/>
    <w:basedOn w:val="TIRtiret"/>
    <w:link w:val="ZTIRTIRwLITzmtirwlittiretZnak"/>
    <w:rsid w:val="00D04EF5"/>
    <w:pPr>
      <w:ind w:left="2257"/>
    </w:pPr>
  </w:style>
  <w:style w:type="character" w:customStyle="1" w:styleId="ZTIRTIRwLITzmtirwlittiretZnak">
    <w:name w:val="Z_TIR/TIR_w_LIT – zm. tir. w lit. tiret Znak"/>
    <w:link w:val="ZTIRTIRwLITzmtirwlittiret"/>
    <w:rsid w:val="00D04EF5"/>
    <w:rPr>
      <w:rFonts w:ascii="Times" w:eastAsia="Times New Roman" w:hAnsi="Times" w:cs="Arial"/>
      <w:bCs/>
      <w:sz w:val="24"/>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rsid w:val="00D04EF5"/>
    <w:pPr>
      <w:ind w:left="1860"/>
    </w:pPr>
  </w:style>
  <w:style w:type="character" w:customStyle="1" w:styleId="ZTIRCZWSPTIRwLITzmczciwsptirwlittiretZnak">
    <w:name w:val="Z_TIR/CZ_WSP_TIR_w_LIT – zm. części wsp. tir. w lit. tiret Znak"/>
    <w:link w:val="ZTIRCZWSPTIRwLITzmczciwsptirwlittiret"/>
    <w:rsid w:val="00D04EF5"/>
    <w:rPr>
      <w:rFonts w:ascii="Times" w:eastAsia="Times New Roman" w:hAnsi="Times" w:cs="Arial"/>
      <w:bCs/>
      <w:sz w:val="24"/>
      <w:szCs w:val="20"/>
    </w:rPr>
  </w:style>
  <w:style w:type="paragraph" w:customStyle="1" w:styleId="CZWSP2TIRczwsplnapodwjnychtiret">
    <w:name w:val="CZ_WSP_2TIR – część wspólna podwójnych tiret"/>
    <w:basedOn w:val="CZWSPTIRczwsplnatiret"/>
    <w:next w:val="TIRtiret"/>
    <w:link w:val="CZWSP2TIRczwsplnapodwjnychtiretZnak"/>
    <w:rsid w:val="00D04EF5"/>
    <w:pPr>
      <w:ind w:left="1780"/>
    </w:pPr>
  </w:style>
  <w:style w:type="character" w:customStyle="1" w:styleId="CZWSP2TIRczwsplnapodwjnychtiretZnak">
    <w:name w:val="CZ_WSP_2TIR – część wspólna podwójnych tiret Znak"/>
    <w:link w:val="CZWSP2TIRczwsplnapodwjnychtiret"/>
    <w:rsid w:val="00D04EF5"/>
    <w:rPr>
      <w:rFonts w:ascii="Times" w:eastAsia="Times New Roman" w:hAnsi="Times" w:cs="Arial"/>
      <w:bCs/>
      <w:sz w:val="24"/>
      <w:szCs w:val="20"/>
    </w:rPr>
  </w:style>
  <w:style w:type="paragraph" w:customStyle="1" w:styleId="Z2TIRzmpodwtirartykuempunktem">
    <w:name w:val="Z/2TIR – zm. podw. tir. artykułem (punktem)"/>
    <w:basedOn w:val="TIRtiret"/>
    <w:link w:val="Z2TIRzmpodwtirartykuempunktemZnak"/>
    <w:rsid w:val="00D04EF5"/>
    <w:pPr>
      <w:ind w:left="907"/>
    </w:pPr>
  </w:style>
  <w:style w:type="character" w:customStyle="1" w:styleId="Z2TIRzmpodwtirartykuempunktemZnak">
    <w:name w:val="Z/2TIR – zm. podw. tir. artykułem (punktem) Znak"/>
    <w:link w:val="Z2TIRzmpodwtirartykuempunktem"/>
    <w:rsid w:val="00D04EF5"/>
    <w:rPr>
      <w:rFonts w:ascii="Times" w:eastAsia="Times New Roman" w:hAnsi="Times" w:cs="Arial"/>
      <w:bCs/>
      <w:sz w:val="24"/>
      <w:szCs w:val="20"/>
    </w:rPr>
  </w:style>
  <w:style w:type="paragraph" w:customStyle="1" w:styleId="ZZCZWSPTIRwLITzmianazmczciwsptirwlit">
    <w:name w:val="ZZ/CZ_WSP_TIR_w_LIT – zmiana zm. części wsp. tir. w lit."/>
    <w:basedOn w:val="ZZTIRwLITzmianazmtirwlit"/>
    <w:rsid w:val="00D04EF5"/>
    <w:pPr>
      <w:ind w:left="2370" w:firstLine="0"/>
    </w:pPr>
  </w:style>
  <w:style w:type="paragraph" w:customStyle="1" w:styleId="ZLIT2TIRzmpodwtirliter">
    <w:name w:val="Z_LIT/2TIR – zm. podw. tir. literą"/>
    <w:basedOn w:val="TIRtiret"/>
    <w:link w:val="ZLIT2TIRzmpodwtirliterZnak"/>
    <w:rsid w:val="00D04EF5"/>
  </w:style>
  <w:style w:type="character" w:customStyle="1" w:styleId="ZLIT2TIRzmpodwtirliterZnak">
    <w:name w:val="Z_LIT/2TIR – zm. podw. tir. literą Znak"/>
    <w:link w:val="ZLIT2TIRzmpodwtirliter"/>
    <w:rsid w:val="00D04EF5"/>
    <w:rPr>
      <w:rFonts w:ascii="Times" w:eastAsia="Times New Roman" w:hAnsi="Times" w:cs="Arial"/>
      <w:bCs/>
      <w:sz w:val="24"/>
      <w:szCs w:val="20"/>
    </w:rPr>
  </w:style>
  <w:style w:type="paragraph" w:customStyle="1" w:styleId="ZTIR2TIRzmpodwtirtiret">
    <w:name w:val="Z_TIR/2TIR – zm. podw. tir. tiret"/>
    <w:basedOn w:val="TIRtiret"/>
    <w:link w:val="ZTIR2TIRzmpodwtirtiretZnak"/>
    <w:rsid w:val="00D04EF5"/>
    <w:pPr>
      <w:ind w:left="1780"/>
    </w:pPr>
  </w:style>
  <w:style w:type="character" w:customStyle="1" w:styleId="ZTIR2TIRzmpodwtirtiretZnak">
    <w:name w:val="Z_TIR/2TIR – zm. podw. tir. tiret Znak"/>
    <w:link w:val="ZTIR2TIRzmpodwtirtiret"/>
    <w:rsid w:val="00D04EF5"/>
    <w:rPr>
      <w:rFonts w:ascii="Times" w:eastAsia="Times New Roman" w:hAnsi="Times" w:cs="Arial"/>
      <w:bCs/>
      <w:sz w:val="24"/>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rsid w:val="00D04EF5"/>
    <w:pPr>
      <w:ind w:left="1780"/>
    </w:pPr>
  </w:style>
  <w:style w:type="character" w:customStyle="1" w:styleId="Z2TIRCZWSPLITzmczciwsplitpodwjnymtiretZnak">
    <w:name w:val="Z_2TIR/CZ_WSP_LIT – zm. części wsp. lit. podwójnym tiret Znak"/>
    <w:link w:val="Z2TIRCZWSPLITzmczciwsplitpodwjnymtiret"/>
    <w:rsid w:val="00D04EF5"/>
    <w:rPr>
      <w:rFonts w:ascii="Times" w:eastAsia="Times New Roman" w:hAnsi="Times" w:cs="Arial"/>
      <w:bCs/>
      <w:sz w:val="24"/>
      <w:szCs w:val="20"/>
    </w:rPr>
  </w:style>
  <w:style w:type="paragraph" w:customStyle="1" w:styleId="Z2TIRwPKTzmpodwtirwpktartykuempunktem">
    <w:name w:val="Z/2TIR_w_PKT – zm. podw. tir. w pkt artykułem (punktem)"/>
    <w:basedOn w:val="TIRtiret"/>
    <w:next w:val="ZPKTzmpktartykuempunktem"/>
    <w:link w:val="Z2TIRwPKTzmpodwtirwpktartykuempunktemZnak"/>
    <w:rsid w:val="00D04EF5"/>
    <w:pPr>
      <w:ind w:left="2291"/>
    </w:pPr>
  </w:style>
  <w:style w:type="character" w:customStyle="1" w:styleId="Z2TIRwPKTzmpodwtirwpktartykuempunktemZnak">
    <w:name w:val="Z/2TIR_w_PKT – zm. podw. tir. w pkt artykułem (punktem) Znak"/>
    <w:link w:val="Z2TIRwPKTzmpodwtirwpktartykuempunktem"/>
    <w:rsid w:val="00D04EF5"/>
    <w:rPr>
      <w:rFonts w:ascii="Times" w:eastAsia="Times New Roman" w:hAnsi="Times" w:cs="Arial"/>
      <w:bCs/>
      <w:sz w:val="24"/>
      <w:szCs w:val="20"/>
    </w:rPr>
  </w:style>
  <w:style w:type="paragraph" w:customStyle="1" w:styleId="ZTIRPKTzmpkttiret">
    <w:name w:val="Z_TIR/PKT – zm. pkt tiret"/>
    <w:basedOn w:val="PKTpunkt"/>
    <w:link w:val="ZTIRPKTzmpkttiretZnak"/>
    <w:rsid w:val="00D04EF5"/>
    <w:pPr>
      <w:ind w:left="1893"/>
    </w:pPr>
  </w:style>
  <w:style w:type="character" w:customStyle="1" w:styleId="ZTIRPKTzmpkttiretZnak">
    <w:name w:val="Z_TIR/PKT – zm. pkt tiret Znak"/>
    <w:link w:val="ZTIRPKTzmpkttiret"/>
    <w:rsid w:val="00D04EF5"/>
    <w:rPr>
      <w:rFonts w:ascii="Times" w:eastAsia="Times New Roman" w:hAnsi="Times" w:cs="Arial"/>
      <w:bCs/>
      <w:sz w:val="24"/>
      <w:szCs w:val="20"/>
    </w:rPr>
  </w:style>
  <w:style w:type="paragraph" w:customStyle="1" w:styleId="ZTIRLITwPKTzmlitwpkttiret">
    <w:name w:val="Z_TIR/LIT_w_PKT – zm. lit. w pkt tiret"/>
    <w:basedOn w:val="LITlitera"/>
    <w:link w:val="ZTIRLITwPKTzmlitwpkttiretZnak"/>
    <w:rsid w:val="00D04EF5"/>
    <w:pPr>
      <w:ind w:left="2336"/>
    </w:pPr>
  </w:style>
  <w:style w:type="character" w:customStyle="1" w:styleId="ZTIRLITwPKTzmlitwpkttiretZnak">
    <w:name w:val="Z_TIR/LIT_w_PKT – zm. lit. w pkt tiret Znak"/>
    <w:link w:val="ZTIRLITwPKTzmlitwpkttiret"/>
    <w:rsid w:val="00D04EF5"/>
    <w:rPr>
      <w:rFonts w:ascii="Times" w:eastAsia="Times New Roman" w:hAnsi="Times" w:cs="Arial"/>
      <w:bCs/>
      <w:sz w:val="24"/>
      <w:szCs w:val="20"/>
    </w:rPr>
  </w:style>
  <w:style w:type="paragraph" w:customStyle="1" w:styleId="ZTIRCZWSPLITwPKTzmczciwsplitwpkttiret">
    <w:name w:val="Z_TIR/CZ_WSP_LIT_w_PKT – zm. części wsp. lit. w pkt tiret"/>
    <w:basedOn w:val="CZWSPLITczwsplnaliter"/>
    <w:link w:val="ZTIRCZWSPLITwPKTzmczciwsplitwpkttiretZnak"/>
    <w:rsid w:val="00D04EF5"/>
    <w:pPr>
      <w:ind w:left="1860"/>
    </w:pPr>
  </w:style>
  <w:style w:type="character" w:customStyle="1" w:styleId="ZTIRCZWSPLITwPKTzmczciwsplitwpkttiretZnak">
    <w:name w:val="Z_TIR/CZ_WSP_LIT_w_PKT – zm. części wsp. lit. w pkt tiret Znak"/>
    <w:link w:val="ZTIRCZWSPLITwPKTzmczciwsplitwpkttiret"/>
    <w:rsid w:val="00D04EF5"/>
    <w:rPr>
      <w:rFonts w:ascii="Times" w:eastAsia="Times New Roman" w:hAnsi="Times" w:cs="Arial"/>
      <w:bCs/>
      <w:sz w:val="24"/>
      <w:szCs w:val="24"/>
    </w:rPr>
  </w:style>
  <w:style w:type="paragraph" w:customStyle="1" w:styleId="ZTIR2TIRwLITzmpodwtirwlittiret">
    <w:name w:val="Z_TIR/2TIR_w_LIT – zm. podw. tir. w lit. tiret"/>
    <w:basedOn w:val="TIRtiret"/>
    <w:link w:val="ZTIR2TIRwLITzmpodwtirwlittiretZnak"/>
    <w:rsid w:val="00D04EF5"/>
    <w:pPr>
      <w:ind w:left="2654"/>
    </w:pPr>
  </w:style>
  <w:style w:type="character" w:customStyle="1" w:styleId="ZTIR2TIRwLITzmpodwtirwlittiretZnak">
    <w:name w:val="Z_TIR/2TIR_w_LIT – zm. podw. tir. w lit. tiret Znak"/>
    <w:link w:val="ZTIR2TIRwLITzmpodwtirwlittiret"/>
    <w:rsid w:val="00D04EF5"/>
    <w:rPr>
      <w:rFonts w:ascii="Times" w:eastAsia="Times New Roman" w:hAnsi="Times" w:cs="Arial"/>
      <w:bCs/>
      <w:sz w:val="24"/>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rsid w:val="00D04EF5"/>
    <w:pPr>
      <w:ind w:left="2257"/>
    </w:pPr>
  </w:style>
  <w:style w:type="character" w:customStyle="1" w:styleId="ZTIRCZWSP2TIRwLITzmczciwsppodwtirwlittiretZnak">
    <w:name w:val="Z_TIR/CZ_WSP_2TIR_w_LIT – zm. części wsp. podw. tir. w lit. tiret Znak"/>
    <w:link w:val="ZTIRCZWSP2TIRwLITzmczciwsppodwtirwlittiret"/>
    <w:rsid w:val="00D04EF5"/>
    <w:rPr>
      <w:rFonts w:ascii="Times" w:eastAsia="Times New Roman" w:hAnsi="Times" w:cs="Arial"/>
      <w:bCs/>
      <w:sz w:val="24"/>
      <w:szCs w:val="20"/>
    </w:rPr>
  </w:style>
  <w:style w:type="paragraph" w:customStyle="1" w:styleId="ZTIR2TIRwTIRzmpodwtirwtirtiret">
    <w:name w:val="Z_TIR/2TIR_w_TIR – zm. podw. tir. w tir. tiret"/>
    <w:basedOn w:val="TIRtiret"/>
    <w:link w:val="ZTIR2TIRwTIRzmpodwtirwtirtiretZnak"/>
    <w:rsid w:val="00D04EF5"/>
    <w:pPr>
      <w:ind w:left="2177"/>
    </w:pPr>
  </w:style>
  <w:style w:type="character" w:customStyle="1" w:styleId="ZTIR2TIRwTIRzmpodwtirwtirtiretZnak">
    <w:name w:val="Z_TIR/2TIR_w_TIR – zm. podw. tir. w tir. tiret Znak"/>
    <w:link w:val="ZTIR2TIRwTIRzmpodwtirwtirtiret"/>
    <w:rsid w:val="00D04EF5"/>
    <w:rPr>
      <w:rFonts w:ascii="Times" w:eastAsia="Times New Roman" w:hAnsi="Times" w:cs="Arial"/>
      <w:bCs/>
      <w:sz w:val="24"/>
      <w:szCs w:val="20"/>
    </w:rPr>
  </w:style>
  <w:style w:type="paragraph" w:customStyle="1" w:styleId="ZTIRCZWSP2TIRwTIRzmczciwsppodwtirwtirtiret">
    <w:name w:val="Z_TIR/CZ_WSP_2TIR_w_TIR – zm. części wsp. podw. tir. w tir. tiret"/>
    <w:basedOn w:val="CZWSPTIRczwsplnatiret"/>
    <w:link w:val="ZTIRCZWSP2TIRwTIRzmczciwsppodwtirwtirtiretZnak"/>
    <w:rsid w:val="00D04EF5"/>
    <w:pPr>
      <w:ind w:left="1780"/>
    </w:pPr>
  </w:style>
  <w:style w:type="character" w:customStyle="1" w:styleId="ZTIRCZWSP2TIRwTIRzmczciwsppodwtirwtirtiretZnak">
    <w:name w:val="Z_TIR/CZ_WSP_2TIR_w_TIR – zm. części wsp. podw. tir. w tir. tiret Znak"/>
    <w:link w:val="ZTIRCZWSP2TIRwTIRzmczciwsppodwtirwtirtiret"/>
    <w:rsid w:val="00D04EF5"/>
    <w:rPr>
      <w:rFonts w:ascii="Times" w:eastAsia="Times New Roman" w:hAnsi="Times" w:cs="Arial"/>
      <w:bCs/>
      <w:sz w:val="24"/>
      <w:szCs w:val="20"/>
    </w:rPr>
  </w:style>
  <w:style w:type="paragraph" w:customStyle="1" w:styleId="Z2TIRLITzmlitpodwjnymtiret">
    <w:name w:val="Z_2TIR/LIT – zm. lit. podwójnym tiret"/>
    <w:basedOn w:val="LITlitera"/>
    <w:link w:val="Z2TIRLITzmlitpodwjnymtiretZnak"/>
    <w:rsid w:val="00D04EF5"/>
    <w:pPr>
      <w:ind w:left="2256"/>
    </w:pPr>
  </w:style>
  <w:style w:type="character" w:customStyle="1" w:styleId="Z2TIRLITzmlitpodwjnymtiretZnak">
    <w:name w:val="Z_2TIR/LIT – zm. lit. podwójnym tiret Znak"/>
    <w:link w:val="Z2TIRLITzmlitpodwjnymtiret"/>
    <w:rsid w:val="00D04EF5"/>
    <w:rPr>
      <w:rFonts w:ascii="Times" w:eastAsia="Times New Roman" w:hAnsi="Times" w:cs="Arial"/>
      <w:bCs/>
      <w:sz w:val="24"/>
      <w:szCs w:val="20"/>
    </w:rPr>
  </w:style>
  <w:style w:type="paragraph" w:customStyle="1" w:styleId="ZZ2TIRwTIRzmianazmpodwtirwtir">
    <w:name w:val="ZZ/2TIR_w_TIR – zmiana zm. podw. tir. w tir."/>
    <w:basedOn w:val="ZZCZWSP2TIRzmianazmczciwsppodwtir"/>
    <w:rsid w:val="00D04EF5"/>
    <w:pPr>
      <w:ind w:left="2688" w:hanging="397"/>
    </w:pPr>
  </w:style>
  <w:style w:type="paragraph" w:customStyle="1" w:styleId="ZZ2TIRwLITzmianazmpodwtirwlit">
    <w:name w:val="ZZ/2TIR_w_LIT – zmiana zm. podw. tir. w lit."/>
    <w:basedOn w:val="ZZ2TIRwTIRzmianazmpodwtirwtir"/>
    <w:rsid w:val="00D04EF5"/>
    <w:pPr>
      <w:ind w:left="3164"/>
    </w:pPr>
  </w:style>
  <w:style w:type="paragraph" w:customStyle="1" w:styleId="Z2TIRTIRwLITzmtirwlitpodwjnymtiret">
    <w:name w:val="Z_2TIR/TIR_w_LIT – zm. tir. w lit. podwójnym tiret"/>
    <w:basedOn w:val="TIRtiret"/>
    <w:link w:val="Z2TIRTIRwLITzmtirwlitpodwjnymtiretZnak"/>
    <w:rsid w:val="00D04EF5"/>
    <w:pPr>
      <w:ind w:left="2654"/>
    </w:pPr>
  </w:style>
  <w:style w:type="character" w:customStyle="1" w:styleId="Z2TIRTIRwLITzmtirwlitpodwjnymtiretZnak">
    <w:name w:val="Z_2TIR/TIR_w_LIT – zm. tir. w lit. podwójnym tiret Znak"/>
    <w:link w:val="Z2TIRTIRwLITzmtirwlitpodwjnymtiret"/>
    <w:rsid w:val="00D04EF5"/>
    <w:rPr>
      <w:rFonts w:ascii="Times" w:eastAsia="Times New Roman" w:hAnsi="Times" w:cs="Arial"/>
      <w:bCs/>
      <w:sz w:val="24"/>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rsid w:val="00D04EF5"/>
    <w:pPr>
      <w:ind w:left="2257"/>
    </w:pPr>
  </w:style>
  <w:style w:type="character" w:customStyle="1" w:styleId="Z2TIRCZWSPTIRwLITzmczciwsptirwlitpodwjnymtiretZnak">
    <w:name w:val="Z_2TIR/CZ_WSP_TIR_w_LIT – zm. części wsp. tir. w lit. podwójnym tiret Znak"/>
    <w:link w:val="Z2TIRCZWSPTIRwLITzmczciwsptirwlitpodwjnymtiret"/>
    <w:rsid w:val="00D04EF5"/>
    <w:rPr>
      <w:rFonts w:ascii="Times" w:eastAsia="Times New Roman" w:hAnsi="Times" w:cs="Arial"/>
      <w:bCs/>
      <w:sz w:val="24"/>
      <w:szCs w:val="20"/>
    </w:rPr>
  </w:style>
  <w:style w:type="paragraph" w:customStyle="1" w:styleId="ZZ2TIRwPKTzmianazmpodwtirwpkt">
    <w:name w:val="ZZ/2TIR_w_PKT – zmiana zm. podw. tir. w pkt"/>
    <w:basedOn w:val="ZZ2TIRwLITzmianazmpodwtirwlit"/>
    <w:rsid w:val="00D04EF5"/>
    <w:pPr>
      <w:ind w:left="3674"/>
    </w:pPr>
  </w:style>
  <w:style w:type="paragraph" w:customStyle="1" w:styleId="ZZCZWSP2TIRwTIRzmianazmczciwsppodwtirwtir">
    <w:name w:val="ZZ/CZ_WSP_2TIR_w_TIR – zmiana zm. części wsp. podw. tir. w tir."/>
    <w:basedOn w:val="ZZ2TIRwLITzmianazmpodwtirwlit"/>
    <w:rsid w:val="00D04EF5"/>
    <w:pPr>
      <w:ind w:left="2291" w:firstLine="0"/>
    </w:pPr>
  </w:style>
  <w:style w:type="paragraph" w:customStyle="1" w:styleId="Z2TIR2TIRwTIRzmpodwtirwtirpodwjnymtiret">
    <w:name w:val="Z_2TIR/2TIR_w_TIR – zm. podw. tir. w tir. podwójnym tiret"/>
    <w:basedOn w:val="TIRtiret"/>
    <w:link w:val="Z2TIR2TIRwTIRzmpodwtirwtirpodwjnymtiretZnak"/>
    <w:rsid w:val="00D04EF5"/>
    <w:pPr>
      <w:ind w:left="2574"/>
    </w:pPr>
  </w:style>
  <w:style w:type="character" w:customStyle="1" w:styleId="Z2TIR2TIRwTIRzmpodwtirwtirpodwjnymtiretZnak">
    <w:name w:val="Z_2TIR/2TIR_w_TIR – zm. podw. tir. w tir. podwójnym tiret Znak"/>
    <w:link w:val="Z2TIR2TIRwTIRzmpodwtirwtirpodwjnymtiret"/>
    <w:rsid w:val="00D04EF5"/>
    <w:rPr>
      <w:rFonts w:ascii="Times" w:eastAsia="Times New Roman" w:hAnsi="Times" w:cs="Arial"/>
      <w:bCs/>
      <w:sz w:val="24"/>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rsid w:val="00D04EF5"/>
    <w:pPr>
      <w:ind w:left="2177"/>
    </w:pPr>
  </w:style>
  <w:style w:type="character" w:customStyle="1" w:styleId="Z2TIRCZWSP2TIRwTIRzmczciwsppodwtirwtiretpodwjnymtiretZnak">
    <w:name w:val="Z_2TIR/CZ_WSP_2TIR_w_TIR – zm. części wsp. podw. tir. w tiret podwójnym tiret Znak"/>
    <w:link w:val="Z2TIRCZWSP2TIRwTIRzmczciwsppodwtirwtiretpodwjnymtiret"/>
    <w:rsid w:val="00D04EF5"/>
    <w:rPr>
      <w:rFonts w:ascii="Times" w:eastAsia="Times New Roman" w:hAnsi="Times" w:cs="Arial"/>
      <w:bCs/>
      <w:sz w:val="24"/>
      <w:szCs w:val="20"/>
    </w:rPr>
  </w:style>
  <w:style w:type="paragraph" w:customStyle="1" w:styleId="Z2TIR2TIRwLITzmpodwtirwlitpodwjnymtiret">
    <w:name w:val="Z_2TIR/2TIR_w_LIT – zm. podw. tir. w lit. podwójnym tiret"/>
    <w:basedOn w:val="TIRtiret"/>
    <w:link w:val="Z2TIR2TIRwLITzmpodwtirwlitpodwjnymtiretZnak"/>
    <w:rsid w:val="00D04EF5"/>
    <w:pPr>
      <w:ind w:left="3051"/>
    </w:pPr>
  </w:style>
  <w:style w:type="character" w:customStyle="1" w:styleId="Z2TIR2TIRwLITzmpodwtirwlitpodwjnymtiretZnak">
    <w:name w:val="Z_2TIR/2TIR_w_LIT – zm. podw. tir. w lit. podwójnym tiret Znak"/>
    <w:link w:val="Z2TIR2TIRwLITzmpodwtirwlitpodwjnymtiret"/>
    <w:rsid w:val="00D04EF5"/>
    <w:rPr>
      <w:rFonts w:ascii="Times" w:eastAsia="Times New Roman" w:hAnsi="Times" w:cs="Arial"/>
      <w:bCs/>
      <w:sz w:val="24"/>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rsid w:val="00D04EF5"/>
    <w:pPr>
      <w:ind w:left="2654"/>
    </w:pPr>
  </w:style>
  <w:style w:type="character" w:customStyle="1" w:styleId="Z2TIRCZWSP2TIRwLITzmczciwsppodwtirwlitpodwjnymtiretZnak">
    <w:name w:val="Z_2TIR/CZ_WSP_2TIR_w_LIT – zm. części wsp. podw. tir. w lit. podwójnym tiret Znak"/>
    <w:link w:val="Z2TIRCZWSP2TIRwLITzmczciwsppodwtirwlitpodwjnymtiret"/>
    <w:rsid w:val="00D04EF5"/>
    <w:rPr>
      <w:rFonts w:ascii="Times" w:eastAsia="Times New Roman" w:hAnsi="Times" w:cs="Arial"/>
      <w:bCs/>
      <w:sz w:val="24"/>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rsid w:val="00D04EF5"/>
    <w:pPr>
      <w:ind w:left="510"/>
    </w:pPr>
    <w:rPr>
      <w:b w:val="0"/>
    </w:rPr>
  </w:style>
  <w:style w:type="character" w:customStyle="1" w:styleId="ZCZCIKSIGIzmozniprzedmczciksigiartykuempunktemZnak">
    <w:name w:val="Z/CZĘŚCI(KSIĘGI) – zm. ozn. i przedm. części (księgi) artykułem (punktem) Znak"/>
    <w:link w:val="ZCZCIKSIGIzmozniprzedmczciksigiartykuempunktem"/>
    <w:rsid w:val="00D04EF5"/>
    <w:rPr>
      <w:rFonts w:ascii="Times" w:eastAsia="Times New Roman" w:hAnsi="Times" w:cs="Times New Roman"/>
      <w:bCs/>
      <w:caps/>
      <w:kern w:val="24"/>
      <w:sz w:val="24"/>
      <w:szCs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rsid w:val="00D04EF5"/>
    <w:pPr>
      <w:ind w:left="510"/>
    </w:pPr>
    <w:rPr>
      <w:b w:val="0"/>
    </w:rPr>
  </w:style>
  <w:style w:type="character" w:customStyle="1" w:styleId="ZROZDZODDZPRZEDMzmprzedmrozdzoddzartykuempunktemZnak">
    <w:name w:val="Z/ROZDZ(ODDZ)_PRZEDM – zm. przedm. rozdz. (oddz.) artykułem (punktem) Znak"/>
    <w:link w:val="ZROZDZODDZPRZEDMzmprzedmrozdzoddzartykuempunktem"/>
    <w:rsid w:val="00D04EF5"/>
    <w:rPr>
      <w:rFonts w:ascii="Times" w:eastAsia="Times New Roman" w:hAnsi="Times" w:cs="Times New Roman"/>
      <w:bCs/>
      <w:sz w:val="24"/>
      <w:szCs w:val="24"/>
    </w:rPr>
  </w:style>
  <w:style w:type="character" w:styleId="Odwoaniedokomentarza">
    <w:name w:val="annotation reference"/>
    <w:rsid w:val="00D04EF5"/>
    <w:rPr>
      <w:sz w:val="16"/>
      <w:szCs w:val="16"/>
    </w:rPr>
  </w:style>
  <w:style w:type="paragraph" w:styleId="Tekstkomentarza">
    <w:name w:val="annotation text"/>
    <w:basedOn w:val="Normalny"/>
    <w:link w:val="TekstkomentarzaZnak"/>
    <w:rsid w:val="00D04EF5"/>
    <w:rPr>
      <w:rFonts w:ascii="Times" w:hAnsi="Times" w:cs="Times New Roman"/>
      <w:szCs w:val="24"/>
    </w:rPr>
  </w:style>
  <w:style w:type="character" w:customStyle="1" w:styleId="TekstkomentarzaZnak">
    <w:name w:val="Tekst komentarza Znak"/>
    <w:basedOn w:val="Domylnaczcionkaakapitu"/>
    <w:link w:val="Tekstkomentarza"/>
    <w:rsid w:val="00D04EF5"/>
    <w:rPr>
      <w:rFonts w:ascii="Times" w:eastAsia="Times New Roman" w:hAnsi="Times" w:cs="Times New Roman"/>
      <w:sz w:val="24"/>
      <w:szCs w:val="24"/>
    </w:rPr>
  </w:style>
  <w:style w:type="paragraph" w:styleId="Tematkomentarza">
    <w:name w:val="annotation subject"/>
    <w:basedOn w:val="Tekstkomentarza"/>
    <w:next w:val="Tekstkomentarza"/>
    <w:link w:val="TematkomentarzaZnak"/>
    <w:rsid w:val="00D04EF5"/>
    <w:rPr>
      <w:b/>
      <w:bCs/>
    </w:rPr>
  </w:style>
  <w:style w:type="character" w:customStyle="1" w:styleId="TematkomentarzaZnak">
    <w:name w:val="Temat komentarza Znak"/>
    <w:basedOn w:val="TekstkomentarzaZnak"/>
    <w:link w:val="Tematkomentarza"/>
    <w:rsid w:val="00D04EF5"/>
    <w:rPr>
      <w:rFonts w:ascii="Times" w:eastAsia="Times New Roman" w:hAnsi="Times" w:cs="Times New Roman"/>
      <w:b/>
      <w:bCs/>
      <w:sz w:val="24"/>
      <w:szCs w:val="24"/>
    </w:rPr>
  </w:style>
  <w:style w:type="paragraph" w:customStyle="1" w:styleId="ZZARTzmianazmart">
    <w:name w:val="ZZ/ART(§) – zmiana zm. art. (§)"/>
    <w:basedOn w:val="ZARTzmartartykuempunktem"/>
    <w:rsid w:val="00D04EF5"/>
    <w:pPr>
      <w:ind w:left="1894"/>
    </w:pPr>
  </w:style>
  <w:style w:type="paragraph" w:customStyle="1" w:styleId="ZZPKTzmianazmpkt">
    <w:name w:val="ZZ/PKT – zmiana zm. pkt"/>
    <w:basedOn w:val="ZPKTzmpktartykuempunktem"/>
    <w:rsid w:val="00D04EF5"/>
    <w:pPr>
      <w:ind w:left="2404"/>
    </w:pPr>
  </w:style>
  <w:style w:type="paragraph" w:customStyle="1" w:styleId="ZZLITwPKTzmianazmlitwpkt">
    <w:name w:val="ZZ/LIT_w_PKT – zmiana zm. lit. w pkt"/>
    <w:basedOn w:val="ZLITwPKTzmlitwpktartykuempunktem"/>
    <w:rsid w:val="00D04EF5"/>
    <w:pPr>
      <w:ind w:left="2880"/>
    </w:pPr>
  </w:style>
  <w:style w:type="paragraph" w:customStyle="1" w:styleId="ZZTIRwPKTzmianazmtirwpkt">
    <w:name w:val="ZZ/TIR_w_PKT – zmiana zm. tir. w pkt"/>
    <w:basedOn w:val="ZTIRwPKTzmtirwpktartykuempunktem"/>
    <w:rsid w:val="00D04EF5"/>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rsid w:val="00D04EF5"/>
    <w:pPr>
      <w:ind w:left="1497"/>
    </w:pPr>
  </w:style>
  <w:style w:type="paragraph" w:customStyle="1" w:styleId="ODNONIKtreodnonika">
    <w:name w:val="ODNOŚNIK – treść odnośnika"/>
    <w:rsid w:val="00D04EF5"/>
    <w:pPr>
      <w:spacing w:after="0" w:line="240" w:lineRule="auto"/>
      <w:ind w:left="284" w:hanging="284"/>
      <w:jc w:val="both"/>
    </w:pPr>
    <w:rPr>
      <w:rFonts w:ascii="Times New Roman" w:eastAsia="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rsid w:val="00D04EF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rsid w:val="00D04EF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rsid w:val="00D04EF5"/>
    <w:rPr>
      <w:rFonts w:ascii="Times New Roman" w:hAnsi="Times New Roman"/>
    </w:rPr>
  </w:style>
  <w:style w:type="paragraph" w:customStyle="1" w:styleId="ZTIRTIRwPKTzmtirwpkttiret">
    <w:name w:val="Z_TIR/TIR_w_PKT – zm. tir. w pkt tiret"/>
    <w:basedOn w:val="ZTIRTIRwLITzmtirwlittiret"/>
    <w:rsid w:val="00D04EF5"/>
    <w:pPr>
      <w:ind w:left="2733"/>
    </w:pPr>
  </w:style>
  <w:style w:type="paragraph" w:customStyle="1" w:styleId="ZTIRCZWSPTIRwPKTzmczciwsptirtiret">
    <w:name w:val="Z_TIR/CZ_WSP_TIR_w_PKT – zm. części wsp. tir. tiret"/>
    <w:basedOn w:val="ZTIRTIRwPKTzmtirwpkttiret"/>
    <w:next w:val="TIRtiret"/>
    <w:rsid w:val="00D04EF5"/>
    <w:pPr>
      <w:ind w:left="2336" w:firstLine="0"/>
    </w:pPr>
  </w:style>
  <w:style w:type="paragraph" w:customStyle="1" w:styleId="SKARNsankcjakarnawszczeglnociwKodeksiekarnym">
    <w:name w:val="S_KARN – sankcja karna w szczególności w Kodeksie karnym"/>
    <w:basedOn w:val="USTustnpkodeksu"/>
    <w:next w:val="ARTartustawynprozporzdzenia"/>
    <w:rsid w:val="00D04EF5"/>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rsid w:val="00D04EF5"/>
    <w:pPr>
      <w:keepNext/>
      <w:suppressAutoHyphens/>
      <w:spacing w:before="120" w:after="0" w:line="360" w:lineRule="auto"/>
      <w:jc w:val="center"/>
    </w:pPr>
    <w:rPr>
      <w:rFonts w:ascii="Times" w:eastAsia="Times New Roman" w:hAnsi="Times" w:cs="Arial"/>
      <w:bCs/>
      <w:kern w:val="24"/>
      <w:sz w:val="24"/>
      <w:szCs w:val="24"/>
    </w:rPr>
  </w:style>
  <w:style w:type="character" w:customStyle="1" w:styleId="ROZDZODDZOZNoznaczenierozdziauluboddziauZnak">
    <w:name w:val="ROZDZ(ODDZ)_OZN – oznaczenie rozdziału lub oddziału Znak"/>
    <w:link w:val="ROZDZODDZOZNoznaczenierozdziauluboddziau"/>
    <w:rsid w:val="00D04EF5"/>
    <w:rPr>
      <w:rFonts w:ascii="Times" w:eastAsia="Times New Roman" w:hAnsi="Times" w:cs="Arial"/>
      <w:bCs/>
      <w:kern w:val="24"/>
      <w:sz w:val="24"/>
      <w:szCs w:val="24"/>
    </w:rPr>
  </w:style>
  <w:style w:type="paragraph" w:customStyle="1" w:styleId="Z2TIR2TIRzmpodwtirpodwjnymtiret">
    <w:name w:val="Z_2TIR/2TIR – zm. podw. tir. podwójnym tiret"/>
    <w:basedOn w:val="TIRtiret"/>
    <w:link w:val="Z2TIR2TIRzmpodwtirpodwjnymtiretZnak"/>
    <w:rsid w:val="00D04EF5"/>
    <w:pPr>
      <w:ind w:left="2177"/>
    </w:pPr>
  </w:style>
  <w:style w:type="character" w:customStyle="1" w:styleId="Z2TIR2TIRzmpodwtirpodwjnymtiretZnak">
    <w:name w:val="Z_2TIR/2TIR – zm. podw. tir. podwójnym tiret Znak"/>
    <w:link w:val="Z2TIR2TIRzmpodwtirpodwjnymtiret"/>
    <w:rsid w:val="00D04EF5"/>
    <w:rPr>
      <w:rFonts w:ascii="Times" w:eastAsia="Times New Roman" w:hAnsi="Times" w:cs="Arial"/>
      <w:bCs/>
      <w:sz w:val="24"/>
      <w:szCs w:val="20"/>
    </w:rPr>
  </w:style>
  <w:style w:type="paragraph" w:customStyle="1" w:styleId="Z2TIRTIRzmtirpodwjnymtiret">
    <w:name w:val="Z_2TIR/TIR – zm. tir. podwójnym tiret"/>
    <w:basedOn w:val="TIRtiret"/>
    <w:link w:val="Z2TIRTIRzmtirpodwjnymtiretZnak"/>
    <w:rsid w:val="00D04EF5"/>
    <w:pPr>
      <w:ind w:left="2177"/>
    </w:pPr>
  </w:style>
  <w:style w:type="character" w:customStyle="1" w:styleId="Z2TIRTIRzmtirpodwjnymtiretZnak">
    <w:name w:val="Z_2TIR/TIR – zm. tir. podwójnym tiret Znak"/>
    <w:link w:val="Z2TIRTIRzmtirpodwjnymtiret"/>
    <w:rsid w:val="00D04EF5"/>
    <w:rPr>
      <w:rFonts w:ascii="Times" w:eastAsia="Times New Roman" w:hAnsi="Times" w:cs="Arial"/>
      <w:bCs/>
      <w:sz w:val="24"/>
      <w:szCs w:val="20"/>
    </w:rPr>
  </w:style>
  <w:style w:type="paragraph" w:customStyle="1" w:styleId="ZSKARNzmsankcjikarnejwszczeglnociwKodeksiekarnym">
    <w:name w:val="Z/S_KARN – zm. sankcji karnej w szczególności w Kodeksie karnym"/>
    <w:basedOn w:val="SKARNsankcjakarnawszczeglnociwKodeksiekarnym"/>
    <w:next w:val="PKTpunkt"/>
    <w:rsid w:val="00D04EF5"/>
    <w:pPr>
      <w:ind w:left="1021"/>
    </w:pPr>
  </w:style>
  <w:style w:type="paragraph" w:customStyle="1" w:styleId="ZLITSKARNzmsankcjikarnejliter">
    <w:name w:val="Z_LIT/S_KARN – zm. sankcji karnej literą"/>
    <w:basedOn w:val="ZSKARNzmsankcjikarnejwszczeglnociwKodeksiekarnym"/>
    <w:rsid w:val="00D04EF5"/>
    <w:pPr>
      <w:ind w:left="1497"/>
    </w:pPr>
  </w:style>
  <w:style w:type="paragraph" w:customStyle="1" w:styleId="ZCYTwARTUSTzmcytatuwrazzartlubust">
    <w:name w:val="Z/CYT_w_ART(§|UST) – zm. cytatu wraz z art. (§ lub ust.)"/>
    <w:basedOn w:val="CYTcytatnpprzysigi"/>
    <w:rsid w:val="00D04EF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rsid w:val="00D04EF5"/>
    <w:pPr>
      <w:ind w:left="1894" w:firstLine="0"/>
    </w:pPr>
  </w:style>
  <w:style w:type="paragraph" w:customStyle="1" w:styleId="Z2TIRwLITzmpodwtirwlitartykuempunktem">
    <w:name w:val="Z/2TIR_w_LIT – zm. podw. tir. w lit. artykułem (punktem)"/>
    <w:basedOn w:val="Z2TIRwPKTzmpodwtirwpktartykuempunktem"/>
    <w:rsid w:val="00D04EF5"/>
    <w:pPr>
      <w:ind w:left="1780"/>
    </w:pPr>
  </w:style>
  <w:style w:type="paragraph" w:customStyle="1" w:styleId="Z2TIRwTIRzmpodwtirwtirartykuempunktem">
    <w:name w:val="Z/2TIR_w_TIR – zm. podw. tir. w tir. artykułem (punktem)"/>
    <w:basedOn w:val="Z2TIRwLITzmpodwtirwlitartykuempunktem"/>
    <w:rsid w:val="00D04EF5"/>
    <w:pPr>
      <w:ind w:left="1304"/>
    </w:pPr>
  </w:style>
  <w:style w:type="paragraph" w:customStyle="1" w:styleId="ZCZWSP2TIRwTIRzmczciwsppodwtirwtirartykuempunktem">
    <w:name w:val="Z/CZ_WSP_2TIR_w_TIR – zm. części wsp. podw. tir. w tir. artykułem (punktem)"/>
    <w:basedOn w:val="Z2TIRwTIRzmpodwtirwtirartykuempunktem"/>
    <w:next w:val="PKTpunkt"/>
    <w:rsid w:val="00D04EF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rsid w:val="00D04EF5"/>
    <w:pPr>
      <w:ind w:left="1383" w:firstLine="0"/>
    </w:pPr>
  </w:style>
  <w:style w:type="paragraph" w:customStyle="1" w:styleId="ZLITCYTwUSTzmcytatunpprzysigiwustlubliter">
    <w:name w:val="Z_LIT/CYT_w_UST(§) – zm. cytatu np. przysięgi w ust. lub § literą"/>
    <w:basedOn w:val="ZCYTwARTUSTzmcytatuwrazzartlubust"/>
    <w:rsid w:val="00D04EF5"/>
    <w:pPr>
      <w:ind w:left="1497"/>
    </w:pPr>
  </w:style>
  <w:style w:type="paragraph" w:customStyle="1" w:styleId="ZZCZWSP2TIRzmianazmczciwsppodwtir">
    <w:name w:val="ZZ/CZ_WSP_2TIR – zmiana zm. części wsp. podw. tir."/>
    <w:basedOn w:val="ZZTIRzmianazmtir"/>
    <w:next w:val="ZZUSTzmianazmust"/>
    <w:rsid w:val="00D04EF5"/>
    <w:pPr>
      <w:ind w:left="1894" w:firstLine="0"/>
    </w:pPr>
  </w:style>
  <w:style w:type="paragraph" w:customStyle="1" w:styleId="PKTODNONIKApunktodnonika">
    <w:name w:val="PKT_ODNOŚNIKA – punkt odnośnika"/>
    <w:basedOn w:val="ODNONIKtreodnonika"/>
    <w:rsid w:val="00D04EF5"/>
    <w:pPr>
      <w:ind w:left="568"/>
    </w:pPr>
  </w:style>
  <w:style w:type="paragraph" w:customStyle="1" w:styleId="ZODNONIKAzmtekstuodnonikaartykuempunktem">
    <w:name w:val="Z/ODNOŚNIKA – zm. tekstu odnośnika artykułem (punktem)"/>
    <w:basedOn w:val="ODNONIKtreodnonika"/>
    <w:rsid w:val="00D04EF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rsid w:val="00D04EF5"/>
    <w:pPr>
      <w:ind w:left="1304"/>
    </w:pPr>
  </w:style>
  <w:style w:type="paragraph" w:customStyle="1" w:styleId="ZPKTODNONIKAzmpktodnonikaartykuempunktem">
    <w:name w:val="Z/PKT_ODNOŚNIKA – zm. pkt odnośnika artykułem (punktem)"/>
    <w:basedOn w:val="ZODNONIKAzmtekstuodnonikaartykuempunktem"/>
    <w:rsid w:val="00D04EF5"/>
  </w:style>
  <w:style w:type="paragraph" w:customStyle="1" w:styleId="ZLIT2TIRwTIRzmpodwtirwtirliter">
    <w:name w:val="Z_LIT/2TIR_w_TIR – zm. podw. tir. w tir. literą"/>
    <w:basedOn w:val="ZLIT2TIRzmpodwtirliter"/>
    <w:rsid w:val="00D04EF5"/>
    <w:pPr>
      <w:ind w:left="1780"/>
    </w:pPr>
  </w:style>
  <w:style w:type="paragraph" w:customStyle="1" w:styleId="ZLIT2TIRwLITzmpodwtirwlitliter">
    <w:name w:val="Z_LIT/2TIR_w_LIT – zm. podw. tir. w lit. literą"/>
    <w:basedOn w:val="ZLIT2TIRwTIRzmpodwtirwtirliter"/>
    <w:rsid w:val="00D04EF5"/>
    <w:pPr>
      <w:ind w:left="2257"/>
    </w:pPr>
  </w:style>
  <w:style w:type="paragraph" w:customStyle="1" w:styleId="ZLIT2TIRwPKTzmpodwtirwpktliter">
    <w:name w:val="Z_LIT/2TIR_w_PKT – zm. podw. tir. w pkt literą"/>
    <w:basedOn w:val="ZLIT2TIRwLITzmpodwtirwlitliter"/>
    <w:rsid w:val="00D04EF5"/>
    <w:pPr>
      <w:ind w:left="2767"/>
    </w:pPr>
  </w:style>
  <w:style w:type="paragraph" w:customStyle="1" w:styleId="ZLITCZWSP2TIRwTIRzmczciwsppodwtirwtirliter">
    <w:name w:val="Z_LIT/CZ_WSP_2TIR_w_TIR – zm. części wsp. podw. tir. w tir. literą"/>
    <w:basedOn w:val="ZLIT2TIRwTIRzmpodwtirwtirliter"/>
    <w:next w:val="LITlitera"/>
    <w:rsid w:val="00D04EF5"/>
    <w:pPr>
      <w:ind w:left="1383" w:firstLine="0"/>
    </w:pPr>
  </w:style>
  <w:style w:type="paragraph" w:customStyle="1" w:styleId="ZLITCZWSP2TIRwLITzmczciwsppodwtirwlitliter">
    <w:name w:val="Z_LIT/CZ_WSP_2TIR_w_LIT – zm. części wsp. podw. tir. w lit. literą"/>
    <w:basedOn w:val="ZLIT2TIRwLITzmpodwtirwlitliter"/>
    <w:next w:val="LITlitera"/>
    <w:rsid w:val="00D04EF5"/>
    <w:pPr>
      <w:ind w:left="1860" w:firstLine="0"/>
    </w:pPr>
  </w:style>
  <w:style w:type="paragraph" w:customStyle="1" w:styleId="ZLITCZWSP2TIRwPKTzmczciwsppodwtirwpktliter">
    <w:name w:val="Z_LIT/CZ_WSP_2TIR_w_PKT – zm. części wsp. podw. tir. w pkt literą"/>
    <w:basedOn w:val="ZLIT2TIRwPKTzmpodwtirwpktliter"/>
    <w:next w:val="LITlitera"/>
    <w:rsid w:val="00D04EF5"/>
    <w:pPr>
      <w:ind w:left="2370" w:firstLine="0"/>
    </w:pPr>
  </w:style>
  <w:style w:type="paragraph" w:customStyle="1" w:styleId="ZTIR2TIRwPKTzmpodwtirwpkttiret">
    <w:name w:val="Z_TIR/2TIR_w_PKT – zm. podw. tir. w pkt tiret"/>
    <w:basedOn w:val="ZTIR2TIRwLITzmpodwtirwlittiret"/>
    <w:rsid w:val="00D04EF5"/>
    <w:pPr>
      <w:ind w:left="3164"/>
    </w:pPr>
  </w:style>
  <w:style w:type="paragraph" w:customStyle="1" w:styleId="ZTIRCZWSP2TIRwPKTzmczciwsppodwtirwpkttiret">
    <w:name w:val="Z_TIR/CZ_WSP_2TIR_w_PKT – zm. części wsp. podw. tir. w pkt tiret"/>
    <w:basedOn w:val="ZTIR2TIRwPKTzmpodwtirwpkttiret"/>
    <w:next w:val="TIRtiret"/>
    <w:rsid w:val="00D04EF5"/>
    <w:pPr>
      <w:ind w:left="2767" w:firstLine="0"/>
    </w:pPr>
  </w:style>
  <w:style w:type="paragraph" w:customStyle="1" w:styleId="ZZCZWSP2TIRwLITzmianazmczciwsppodwtirwlit">
    <w:name w:val="ZZ/CZ_WSP_2TIR_w_LIT – zmiana zm. części wsp. podw. tir. w lit."/>
    <w:basedOn w:val="ZZ2TIRwLITzmianazmpodwtirwlit"/>
    <w:rsid w:val="00D04EF5"/>
    <w:pPr>
      <w:ind w:left="2767"/>
    </w:pPr>
  </w:style>
  <w:style w:type="paragraph" w:customStyle="1" w:styleId="ZZCZWSP2TIRwPKTzmianazmczciwsppodwtirwpkt">
    <w:name w:val="ZZ/CZ_WSP_2TIR_w_PKT – zmiana zm. części wsp. podw. tir. w pkt"/>
    <w:basedOn w:val="ZZ2TIRwLITzmianazmpodwtirwlit"/>
    <w:rsid w:val="00D04EF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rsid w:val="00D04EF5"/>
  </w:style>
  <w:style w:type="paragraph" w:customStyle="1" w:styleId="ZLITCZWSP2TIRzmczciwsppodwtirliter">
    <w:name w:val="Z_LIT/CZ_WSP_2TIR – zm. części wsp. podw. tir. literą"/>
    <w:basedOn w:val="ZLITCZWSPPKTzmczciwsppktliter"/>
    <w:next w:val="LITlitera"/>
    <w:rsid w:val="00D04EF5"/>
  </w:style>
  <w:style w:type="paragraph" w:customStyle="1" w:styleId="ZTIRCZWSP2TIRzmczciwsppodwtirtiret">
    <w:name w:val="Z_TIR/CZ_WSP_2TIR – zm. części wsp. podw. tir. tiret"/>
    <w:basedOn w:val="ZLITCZWSP2TIRzmczciwsppodwtirliter"/>
    <w:next w:val="TIRtiret"/>
    <w:rsid w:val="00D04EF5"/>
  </w:style>
  <w:style w:type="paragraph" w:customStyle="1" w:styleId="ZZ2TIRzmianazmpodwtir">
    <w:name w:val="ZZ/2TIR – zmiana zm. podw. tir."/>
    <w:basedOn w:val="ZZCZWSP2TIRzmianazmczciwsppodwtir"/>
    <w:rsid w:val="00D04EF5"/>
    <w:pPr>
      <w:ind w:left="2291" w:hanging="397"/>
    </w:pPr>
  </w:style>
  <w:style w:type="paragraph" w:customStyle="1" w:styleId="ZCZWSPLITzmczciwsplitartykuempunktem">
    <w:name w:val="Z/CZ_WSP_LIT – zm. części wsp. lit. artykułem (punktem)"/>
    <w:basedOn w:val="ZCZWSPPKTzmczciwsppktartykuempunktem"/>
    <w:next w:val="PKTpunkt"/>
    <w:rsid w:val="00D04EF5"/>
  </w:style>
  <w:style w:type="paragraph" w:customStyle="1" w:styleId="ZCZWSPTIRzmczciwsptirartykuempunktem">
    <w:name w:val="Z/CZ_WSP_TIR – zm. części wsp. tir. artykułem (punktem)"/>
    <w:basedOn w:val="ZCZWSPPKTzmczciwsppktartykuempunktem"/>
    <w:next w:val="PKTpunkt"/>
    <w:rsid w:val="00D04EF5"/>
  </w:style>
  <w:style w:type="paragraph" w:customStyle="1" w:styleId="ZLITCZWSPLITzmczciwsplitliter">
    <w:name w:val="Z_LIT/CZ_WSP_LIT – zm. części wsp. lit. literą"/>
    <w:basedOn w:val="ZLITCZWSPPKTzmczciwsppktliter"/>
    <w:next w:val="LITlitera"/>
    <w:rsid w:val="00D04EF5"/>
  </w:style>
  <w:style w:type="paragraph" w:customStyle="1" w:styleId="ZLITCZWSPTIRzmczciwsptirliter">
    <w:name w:val="Z_LIT/CZ_WSP_TIR – zm. części wsp. tir. literą"/>
    <w:basedOn w:val="ZLITCZWSPPKTzmczciwsppktliter"/>
    <w:next w:val="LITlitera"/>
    <w:rsid w:val="00D04EF5"/>
  </w:style>
  <w:style w:type="paragraph" w:customStyle="1" w:styleId="ZTIRCZWSPLITzmczciwsplittiret">
    <w:name w:val="Z_TIR/CZ_WSP_LIT – zm. części wsp. lit. tiret"/>
    <w:basedOn w:val="ZTIRCZWSPPKTzmczciwsppkttiret"/>
    <w:next w:val="TIRtiret"/>
    <w:rsid w:val="00D04EF5"/>
  </w:style>
  <w:style w:type="paragraph" w:customStyle="1" w:styleId="ZTIRCZWSPTIRzmczciwsptirtiret">
    <w:name w:val="Z_TIR/CZ_WSP_TIR – zm. części wsp. tir. tiret"/>
    <w:basedOn w:val="ZTIRCZWSPPKTzmczciwsppkttiret"/>
    <w:next w:val="TIRtiret"/>
    <w:rsid w:val="00D04EF5"/>
  </w:style>
  <w:style w:type="paragraph" w:customStyle="1" w:styleId="ZZCZWSPLITzmianazmczciwsplit">
    <w:name w:val="ZZ/CZ_WSP_LIT – zmiana. zm. części wsp. lit."/>
    <w:basedOn w:val="ZZCZWSPPKTzmianazmczciwsppkt"/>
    <w:rsid w:val="00D04EF5"/>
  </w:style>
  <w:style w:type="paragraph" w:customStyle="1" w:styleId="ZZCZWSPTIRzmianazmczciwsptir">
    <w:name w:val="ZZ/CZ_WSP_TIR – zmiana. zm. części wsp. tir."/>
    <w:basedOn w:val="ZZCZWSPPKTzmianazmczciwsppkt"/>
    <w:rsid w:val="00D04EF5"/>
  </w:style>
  <w:style w:type="paragraph" w:customStyle="1" w:styleId="Z2TIRCZWSPTIRzmczciwsptirpodwjnymtiret">
    <w:name w:val="Z_2TIR/CZ_WSP_TIR – zm. części wsp. tir. podwójnym tiret"/>
    <w:basedOn w:val="Z2TIRCZWSPLITzmczciwsplitpodwjnymtiret"/>
    <w:next w:val="2TIRpodwjnytiret"/>
    <w:rsid w:val="00D04EF5"/>
  </w:style>
  <w:style w:type="paragraph" w:customStyle="1" w:styleId="Z2TIRCZWSP2TIRzmczciwsppodwtirpodwjnymtiret">
    <w:name w:val="Z_2TIR/CZ_WSP_2TIR – zm. części wsp. podw. tir. podwójnym tiret"/>
    <w:basedOn w:val="Z2TIRCZWSPLITzmczciwsplitpodwjnymtiret"/>
    <w:next w:val="2TIRpodwjnytiret"/>
    <w:rsid w:val="00D04EF5"/>
  </w:style>
  <w:style w:type="paragraph" w:customStyle="1" w:styleId="ZUSTzmustartykuempunktem">
    <w:name w:val="Z/UST(§) – zm. ust. (§) artykułem (punktem)"/>
    <w:basedOn w:val="ZARTzmartartykuempunktem"/>
    <w:rsid w:val="00D04EF5"/>
  </w:style>
  <w:style w:type="paragraph" w:customStyle="1" w:styleId="ZZUSTzmianazmust">
    <w:name w:val="ZZ/UST(§) – zmiana zm. ust. (§)"/>
    <w:basedOn w:val="ZZARTzmianazmart"/>
    <w:rsid w:val="00D04EF5"/>
  </w:style>
  <w:style w:type="paragraph" w:customStyle="1" w:styleId="TYTDZPRZEDMprzedmiotregulacjitytuulubdziau">
    <w:name w:val="TYT(DZ)_PRZEDM – przedmiot regulacji tytułu lub działu"/>
    <w:next w:val="ARTartustawynprozporzdzenia"/>
    <w:link w:val="TYTDZPRZEDMprzedmiotregulacjitytuulubdziauZnak"/>
    <w:rsid w:val="00D04EF5"/>
    <w:pPr>
      <w:keepNext/>
      <w:suppressAutoHyphens/>
      <w:spacing w:before="120" w:after="0" w:line="360" w:lineRule="auto"/>
      <w:jc w:val="center"/>
    </w:pPr>
    <w:rPr>
      <w:rFonts w:ascii="Times" w:eastAsia="Times New Roman" w:hAnsi="Times" w:cs="Times New Roman"/>
      <w:b/>
      <w:sz w:val="24"/>
      <w:szCs w:val="26"/>
    </w:rPr>
  </w:style>
  <w:style w:type="character" w:customStyle="1" w:styleId="TYTDZPRZEDMprzedmiotregulacjitytuulubdziauZnak">
    <w:name w:val="TYT(DZ)_PRZEDM – przedmiot regulacji tytułu lub działu Znak"/>
    <w:link w:val="TYTDZPRZEDMprzedmiotregulacjitytuulubdziau"/>
    <w:rsid w:val="00D04EF5"/>
    <w:rPr>
      <w:rFonts w:ascii="Times" w:eastAsia="Times New Roman" w:hAnsi="Times" w:cs="Times New Roman"/>
      <w:b/>
      <w:sz w:val="24"/>
      <w:szCs w:val="26"/>
    </w:rPr>
  </w:style>
  <w:style w:type="paragraph" w:customStyle="1" w:styleId="ZNIEARTTEKSTzmtekstunieartykuowanego">
    <w:name w:val="Z/NIEART_TEKST – zm. tekstu nieartykułowanego"/>
    <w:basedOn w:val="NIEARTTEKSTtekstnieartykuowanynppreambua"/>
    <w:rsid w:val="00D04EF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rsid w:val="00D04EF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rsid w:val="00D04EF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rsid w:val="00D04EF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rsid w:val="00D04EF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rsid w:val="00D04EF5"/>
    <w:pPr>
      <w:ind w:left="1894"/>
    </w:pPr>
  </w:style>
  <w:style w:type="paragraph" w:customStyle="1" w:styleId="TEKSTWTABELItekstzwcitympierwwierszem">
    <w:name w:val="TEKST_W_TABELI – tekst z wciętym pierw. wierszem"/>
    <w:basedOn w:val="USTustnpkodeksu"/>
    <w:rsid w:val="00D04EF5"/>
    <w:rPr>
      <w:kern w:val="24"/>
    </w:rPr>
  </w:style>
  <w:style w:type="paragraph" w:customStyle="1" w:styleId="P1wTABELIpoziom1numeracjiwtabeli">
    <w:name w:val="P1_w_TABELI – poziom 1 numeracji w tabeli"/>
    <w:basedOn w:val="PKTpunkt"/>
    <w:rsid w:val="00D04EF5"/>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rsid w:val="00D04EF5"/>
    <w:pPr>
      <w:ind w:left="0" w:firstLine="0"/>
    </w:pPr>
  </w:style>
  <w:style w:type="paragraph" w:customStyle="1" w:styleId="P2wTABELIpoziom2numeracjiwtabeli">
    <w:name w:val="P2_w_TABELI – poziom 2 numeracji w tabeli"/>
    <w:basedOn w:val="P1wTABELIpoziom1numeracjiwtabeli"/>
    <w:rsid w:val="00D04EF5"/>
    <w:pPr>
      <w:ind w:left="794"/>
    </w:pPr>
  </w:style>
  <w:style w:type="paragraph" w:customStyle="1" w:styleId="P3wTABELIpoziom3numeracjiwtabeli">
    <w:name w:val="P3_w_TABELI – poziom 3 numeracji w tabeli"/>
    <w:basedOn w:val="P2wTABELIpoziom2numeracjiwtabeli"/>
    <w:rsid w:val="00D04EF5"/>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rsid w:val="00D04EF5"/>
    <w:pPr>
      <w:ind w:left="397"/>
    </w:pPr>
  </w:style>
  <w:style w:type="paragraph" w:customStyle="1" w:styleId="CZWSPP3wTABELIczwsppoziomu3numeracjiwtabeli">
    <w:name w:val="CZ_WSP_P3_w_TABELI – część wsp. poziomu 3 numeracji w tabeli"/>
    <w:basedOn w:val="CZWSPP2wTABELIczwsppoziomu2numeracjiwtabeli"/>
    <w:rsid w:val="00D04EF5"/>
    <w:pPr>
      <w:ind w:left="794"/>
    </w:pPr>
  </w:style>
  <w:style w:type="paragraph" w:customStyle="1" w:styleId="CZWSPP4wTABELIczwsppoziomu4numeracjiwtabeli">
    <w:name w:val="CZ_WSP_P4_w_TABELI – część wsp. poziomu 4 numeracji w tabeli"/>
    <w:basedOn w:val="CZWSPP3wTABELIczwsppoziomu3numeracjiwtabeli"/>
    <w:rsid w:val="00D04EF5"/>
    <w:pPr>
      <w:ind w:left="1191"/>
    </w:pPr>
  </w:style>
  <w:style w:type="paragraph" w:customStyle="1" w:styleId="P4wTABELIpoziom4numeracjiwtabeli">
    <w:name w:val="P4_w_TABELI – poziom 4 numeracji w tabeli"/>
    <w:basedOn w:val="P3wTABELIpoziom3numeracjiwtabeli"/>
    <w:rsid w:val="00D04EF5"/>
    <w:pPr>
      <w:ind w:left="1588"/>
    </w:pPr>
  </w:style>
  <w:style w:type="paragraph" w:customStyle="1" w:styleId="TYTTABELItytutabeli">
    <w:name w:val="TYT_TABELI – tytuł tabeli"/>
    <w:basedOn w:val="TYTDZOZNoznaczenietytuulubdziau"/>
    <w:rsid w:val="00D04EF5"/>
    <w:rPr>
      <w:b/>
    </w:rPr>
  </w:style>
  <w:style w:type="paragraph" w:customStyle="1" w:styleId="OZNPROJEKTUwskazaniedatylubwersjiprojektu">
    <w:name w:val="OZN_PROJEKTU – wskazanie daty lub wersji projektu"/>
    <w:next w:val="OZNRODZAKTUtznustawalubrozporzdzenieiorganwydajcy"/>
    <w:rsid w:val="00D04EF5"/>
    <w:pPr>
      <w:spacing w:after="0" w:line="360" w:lineRule="auto"/>
      <w:jc w:val="right"/>
    </w:pPr>
    <w:rPr>
      <w:rFonts w:ascii="Times New Roman" w:eastAsia="Times New Roman" w:hAnsi="Times New Roman" w:cs="Arial"/>
      <w:sz w:val="24"/>
      <w:szCs w:val="20"/>
      <w:u w:val="single"/>
    </w:rPr>
  </w:style>
  <w:style w:type="paragraph" w:customStyle="1" w:styleId="NAZORGWYDnazwaorganuwydajcegoprojektowanyakt">
    <w:name w:val="NAZ_ORG_WYD – nazwa organu wydającego projektowany akt"/>
    <w:basedOn w:val="OZNRODZAKTUtznustawalubrozporzdzenieiorganwydajcy"/>
    <w:rsid w:val="00D04EF5"/>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rsid w:val="00D04EF5"/>
    <w:pPr>
      <w:jc w:val="left"/>
    </w:pPr>
  </w:style>
  <w:style w:type="paragraph" w:customStyle="1" w:styleId="TEKSTwporozumieniu">
    <w:name w:val="TEKST_&quot;w_porozumieniu:&quot;"/>
    <w:next w:val="NAZORGWPOROZUMIENIUnazwaorganuwporozumieniuzktrymaktjestwydawany"/>
    <w:rsid w:val="00D04EF5"/>
    <w:pPr>
      <w:spacing w:after="0" w:line="360" w:lineRule="auto"/>
    </w:pPr>
    <w:rPr>
      <w:rFonts w:ascii="Times New Roman" w:eastAsia="Times New Roman" w:hAnsi="Times New Roman" w:cs="Arial"/>
      <w:b/>
      <w:sz w:val="24"/>
      <w:szCs w:val="20"/>
    </w:rPr>
  </w:style>
  <w:style w:type="paragraph" w:customStyle="1" w:styleId="CZWSPPKTODNONIKAczwsppunkwodnonika">
    <w:name w:val="CZ_WSP_PKT_ODNOŚNIKA – część wsp. punków odnośnika"/>
    <w:basedOn w:val="PKTODNONIKApunktodnonika"/>
    <w:rsid w:val="00D04EF5"/>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rsid w:val="00D04EF5"/>
    <w:pPr>
      <w:ind w:left="510" w:firstLine="0"/>
    </w:pPr>
  </w:style>
  <w:style w:type="character" w:styleId="Pogrubienie">
    <w:name w:val="Strong"/>
    <w:qFormat/>
    <w:rsid w:val="00D04EF5"/>
    <w:rPr>
      <w:b/>
      <w:bCs/>
    </w:rPr>
  </w:style>
  <w:style w:type="character" w:styleId="Uwydatnienie">
    <w:name w:val="Emphasis"/>
    <w:qFormat/>
    <w:rsid w:val="00D04EF5"/>
    <w:rPr>
      <w:i/>
      <w:iCs/>
    </w:rPr>
  </w:style>
  <w:style w:type="paragraph" w:styleId="Tekstpodstawowy2">
    <w:name w:val="Body Text 2"/>
    <w:basedOn w:val="Normalny"/>
    <w:link w:val="Tekstpodstawowy2Znak"/>
    <w:rsid w:val="00D04EF5"/>
    <w:pPr>
      <w:widowControl/>
      <w:autoSpaceDE/>
      <w:autoSpaceDN/>
      <w:adjustRightInd/>
      <w:spacing w:after="240" w:line="240" w:lineRule="auto"/>
    </w:pPr>
    <w:rPr>
      <w:rFonts w:cs="Times New Roman"/>
    </w:rPr>
  </w:style>
  <w:style w:type="character" w:customStyle="1" w:styleId="Tekstpodstawowy2Znak">
    <w:name w:val="Tekst podstawowy 2 Znak"/>
    <w:basedOn w:val="Domylnaczcionkaakapitu"/>
    <w:link w:val="Tekstpodstawowy2"/>
    <w:rsid w:val="00D04EF5"/>
    <w:rPr>
      <w:rFonts w:ascii="Times New Roman" w:eastAsia="Times New Roman" w:hAnsi="Times New Roman" w:cs="Times New Roman"/>
      <w:sz w:val="24"/>
      <w:szCs w:val="20"/>
    </w:rPr>
  </w:style>
  <w:style w:type="paragraph" w:styleId="Tekstprzypisukocowego">
    <w:name w:val="endnote text"/>
    <w:basedOn w:val="Normalny"/>
    <w:link w:val="TekstprzypisukocowegoZnak"/>
    <w:rsid w:val="00D04EF5"/>
    <w:rPr>
      <w:sz w:val="20"/>
    </w:rPr>
  </w:style>
  <w:style w:type="character" w:customStyle="1" w:styleId="TekstprzypisukocowegoZnak">
    <w:name w:val="Tekst przypisu końcowego Znak"/>
    <w:basedOn w:val="Domylnaczcionkaakapitu"/>
    <w:link w:val="Tekstprzypisukocowego"/>
    <w:rsid w:val="00D04EF5"/>
    <w:rPr>
      <w:rFonts w:ascii="Times New Roman" w:eastAsia="Times New Roman" w:hAnsi="Times New Roman" w:cs="Arial"/>
      <w:sz w:val="20"/>
      <w:szCs w:val="20"/>
    </w:rPr>
  </w:style>
  <w:style w:type="character" w:styleId="Odwoanieprzypisukocowego">
    <w:name w:val="endnote reference"/>
    <w:rsid w:val="00D04EF5"/>
    <w:rPr>
      <w:vertAlign w:val="superscript"/>
    </w:rPr>
  </w:style>
  <w:style w:type="paragraph" w:styleId="Tekstpodstawowywcity">
    <w:name w:val="Body Text Indent"/>
    <w:basedOn w:val="Normalny"/>
    <w:link w:val="TekstpodstawowywcityZnak"/>
    <w:rsid w:val="00D04EF5"/>
    <w:pPr>
      <w:widowControl/>
      <w:autoSpaceDE/>
      <w:autoSpaceDN/>
      <w:adjustRightInd/>
      <w:spacing w:after="120" w:line="240" w:lineRule="auto"/>
      <w:ind w:left="283"/>
    </w:pPr>
    <w:rPr>
      <w:rFonts w:ascii="Arial" w:hAnsi="Arial" w:cs="Times New Roman"/>
      <w:spacing w:val="-5"/>
      <w:sz w:val="20"/>
      <w:lang w:eastAsia="en-US"/>
    </w:rPr>
  </w:style>
  <w:style w:type="character" w:customStyle="1" w:styleId="TekstpodstawowywcityZnak">
    <w:name w:val="Tekst podstawowy wcięty Znak"/>
    <w:basedOn w:val="Domylnaczcionkaakapitu"/>
    <w:link w:val="Tekstpodstawowywcity"/>
    <w:rsid w:val="00D04EF5"/>
    <w:rPr>
      <w:rFonts w:ascii="Arial" w:eastAsia="Times New Roman" w:hAnsi="Arial" w:cs="Times New Roman"/>
      <w:spacing w:val="-5"/>
      <w:sz w:val="20"/>
      <w:szCs w:val="20"/>
      <w:lang w:eastAsia="en-US"/>
    </w:rPr>
  </w:style>
  <w:style w:type="paragraph" w:styleId="NormalnyWeb">
    <w:name w:val="Normal (Web)"/>
    <w:basedOn w:val="Normalny"/>
    <w:uiPriority w:val="99"/>
    <w:rsid w:val="00D04EF5"/>
    <w:pPr>
      <w:widowControl/>
      <w:autoSpaceDE/>
      <w:autoSpaceDN/>
      <w:adjustRightInd/>
      <w:spacing w:before="100" w:beforeAutospacing="1" w:after="100" w:afterAutospacing="1" w:line="240" w:lineRule="auto"/>
      <w:jc w:val="left"/>
    </w:pPr>
    <w:rPr>
      <w:rFonts w:cs="Times New Roman"/>
      <w:szCs w:val="24"/>
    </w:rPr>
  </w:style>
  <w:style w:type="character" w:styleId="HTML-cytat">
    <w:name w:val="HTML Cite"/>
    <w:rsid w:val="00D04EF5"/>
    <w:rPr>
      <w:i/>
      <w:iCs/>
    </w:rPr>
  </w:style>
  <w:style w:type="paragraph" w:styleId="Tekstpodstawowy">
    <w:name w:val="Body Text"/>
    <w:basedOn w:val="Normalny"/>
    <w:link w:val="TekstpodstawowyZnak"/>
    <w:rsid w:val="00D04EF5"/>
    <w:pPr>
      <w:spacing w:after="120"/>
    </w:pPr>
  </w:style>
  <w:style w:type="character" w:customStyle="1" w:styleId="TekstpodstawowyZnak">
    <w:name w:val="Tekst podstawowy Znak"/>
    <w:basedOn w:val="Domylnaczcionkaakapitu"/>
    <w:link w:val="Tekstpodstawowy"/>
    <w:rsid w:val="00D04EF5"/>
    <w:rPr>
      <w:rFonts w:ascii="Times New Roman" w:eastAsia="Times New Roman" w:hAnsi="Times New Roman" w:cs="Arial"/>
      <w:sz w:val="24"/>
      <w:szCs w:val="20"/>
    </w:rPr>
  </w:style>
  <w:style w:type="paragraph" w:styleId="Data">
    <w:name w:val="Date"/>
    <w:basedOn w:val="Normalny"/>
    <w:next w:val="Normalny"/>
    <w:link w:val="DataZnak"/>
    <w:rsid w:val="00D04EF5"/>
  </w:style>
  <w:style w:type="character" w:customStyle="1" w:styleId="DataZnak">
    <w:name w:val="Data Znak"/>
    <w:basedOn w:val="Domylnaczcionkaakapitu"/>
    <w:link w:val="Data"/>
    <w:rsid w:val="00D04EF5"/>
    <w:rPr>
      <w:rFonts w:ascii="Times New Roman" w:eastAsia="Times New Roman" w:hAnsi="Times New Roman" w:cs="Arial"/>
      <w:sz w:val="24"/>
      <w:szCs w:val="20"/>
    </w:rPr>
  </w:style>
  <w:style w:type="character" w:styleId="Hipercze">
    <w:name w:val="Hyperlink"/>
    <w:rsid w:val="00D04EF5"/>
    <w:rPr>
      <w:color w:val="0000FF"/>
      <w:u w:val="single"/>
    </w:rPr>
  </w:style>
  <w:style w:type="character" w:customStyle="1" w:styleId="Bodytext">
    <w:name w:val="Body text_"/>
    <w:link w:val="Bodytext1"/>
    <w:rsid w:val="00D04EF5"/>
    <w:rPr>
      <w:rFonts w:ascii="Times New Roman" w:hAnsi="Times New Roman"/>
      <w:sz w:val="21"/>
      <w:szCs w:val="21"/>
      <w:shd w:val="clear" w:color="auto" w:fill="FFFFFF"/>
    </w:rPr>
  </w:style>
  <w:style w:type="character" w:customStyle="1" w:styleId="Bodytext8">
    <w:name w:val="Body text (8)_"/>
    <w:link w:val="Bodytext81"/>
    <w:rsid w:val="00D04EF5"/>
    <w:rPr>
      <w:rFonts w:ascii="Times New Roman" w:hAnsi="Times New Roman"/>
      <w:sz w:val="21"/>
      <w:szCs w:val="21"/>
      <w:shd w:val="clear" w:color="auto" w:fill="FFFFFF"/>
    </w:rPr>
  </w:style>
  <w:style w:type="character" w:customStyle="1" w:styleId="Bodytext9">
    <w:name w:val="Body text (9)_"/>
    <w:link w:val="Bodytext91"/>
    <w:rsid w:val="00D04EF5"/>
    <w:rPr>
      <w:rFonts w:ascii="Times New Roman" w:hAnsi="Times New Roman"/>
      <w:sz w:val="21"/>
      <w:szCs w:val="21"/>
      <w:shd w:val="clear" w:color="auto" w:fill="FFFFFF"/>
    </w:rPr>
  </w:style>
  <w:style w:type="character" w:customStyle="1" w:styleId="Bodytext9Batang">
    <w:name w:val="Body text (9) + Batang"/>
    <w:aliases w:val="10 pt3,Bold3"/>
    <w:rsid w:val="00D04EF5"/>
    <w:rPr>
      <w:rFonts w:ascii="Batang" w:eastAsia="Batang" w:hAnsi="Times New Roman" w:cs="Batang"/>
      <w:b/>
      <w:bCs/>
      <w:spacing w:val="0"/>
      <w:sz w:val="20"/>
      <w:szCs w:val="20"/>
    </w:rPr>
  </w:style>
  <w:style w:type="character" w:customStyle="1" w:styleId="Heading2">
    <w:name w:val="Heading #2_"/>
    <w:link w:val="Heading20"/>
    <w:rsid w:val="00D04EF5"/>
    <w:rPr>
      <w:rFonts w:ascii="Times New Roman" w:hAnsi="Times New Roman"/>
      <w:sz w:val="21"/>
      <w:szCs w:val="21"/>
      <w:shd w:val="clear" w:color="auto" w:fill="FFFFFF"/>
    </w:rPr>
  </w:style>
  <w:style w:type="paragraph" w:customStyle="1" w:styleId="Bodytext1">
    <w:name w:val="Body text1"/>
    <w:basedOn w:val="Normalny"/>
    <w:link w:val="Bodytext"/>
    <w:rsid w:val="00D04EF5"/>
    <w:pPr>
      <w:widowControl/>
      <w:shd w:val="clear" w:color="auto" w:fill="FFFFFF"/>
      <w:autoSpaceDE/>
      <w:autoSpaceDN/>
      <w:adjustRightInd/>
      <w:spacing w:line="379" w:lineRule="exact"/>
      <w:ind w:hanging="540"/>
    </w:pPr>
    <w:rPr>
      <w:rFonts w:eastAsiaTheme="minorHAnsi" w:cstheme="minorBidi"/>
      <w:sz w:val="21"/>
      <w:szCs w:val="21"/>
    </w:rPr>
  </w:style>
  <w:style w:type="paragraph" w:customStyle="1" w:styleId="Bodytext81">
    <w:name w:val="Body text (8)1"/>
    <w:basedOn w:val="Normalny"/>
    <w:link w:val="Bodytext8"/>
    <w:rsid w:val="00D04EF5"/>
    <w:pPr>
      <w:widowControl/>
      <w:shd w:val="clear" w:color="auto" w:fill="FFFFFF"/>
      <w:autoSpaceDE/>
      <w:autoSpaceDN/>
      <w:adjustRightInd/>
      <w:spacing w:line="494" w:lineRule="exact"/>
      <w:ind w:hanging="360"/>
      <w:jc w:val="left"/>
    </w:pPr>
    <w:rPr>
      <w:rFonts w:eastAsiaTheme="minorHAnsi" w:cstheme="minorBidi"/>
      <w:sz w:val="21"/>
      <w:szCs w:val="21"/>
    </w:rPr>
  </w:style>
  <w:style w:type="paragraph" w:customStyle="1" w:styleId="Bodytext91">
    <w:name w:val="Body text (9)1"/>
    <w:basedOn w:val="Normalny"/>
    <w:link w:val="Bodytext9"/>
    <w:rsid w:val="00D04EF5"/>
    <w:pPr>
      <w:widowControl/>
      <w:shd w:val="clear" w:color="auto" w:fill="FFFFFF"/>
      <w:autoSpaceDE/>
      <w:autoSpaceDN/>
      <w:adjustRightInd/>
      <w:spacing w:before="480" w:after="120" w:line="302" w:lineRule="exact"/>
      <w:ind w:hanging="360"/>
      <w:jc w:val="left"/>
    </w:pPr>
    <w:rPr>
      <w:rFonts w:eastAsiaTheme="minorHAnsi" w:cstheme="minorBidi"/>
      <w:sz w:val="21"/>
      <w:szCs w:val="21"/>
    </w:rPr>
  </w:style>
  <w:style w:type="paragraph" w:customStyle="1" w:styleId="Heading20">
    <w:name w:val="Heading #2"/>
    <w:basedOn w:val="Normalny"/>
    <w:link w:val="Heading2"/>
    <w:rsid w:val="00D04EF5"/>
    <w:pPr>
      <w:widowControl/>
      <w:shd w:val="clear" w:color="auto" w:fill="FFFFFF"/>
      <w:autoSpaceDE/>
      <w:autoSpaceDN/>
      <w:adjustRightInd/>
      <w:spacing w:before="180" w:line="298" w:lineRule="exact"/>
      <w:outlineLvl w:val="1"/>
    </w:pPr>
    <w:rPr>
      <w:rFonts w:eastAsiaTheme="minorHAnsi" w:cstheme="minorBidi"/>
      <w:sz w:val="21"/>
      <w:szCs w:val="21"/>
    </w:rPr>
  </w:style>
  <w:style w:type="paragraph" w:styleId="Akapitzlist">
    <w:name w:val="List Paragraph"/>
    <w:basedOn w:val="Normalny"/>
    <w:qFormat/>
    <w:rsid w:val="00D04EF5"/>
    <w:pPr>
      <w:widowControl/>
      <w:autoSpaceDE/>
      <w:autoSpaceDN/>
      <w:adjustRightInd/>
      <w:spacing w:after="200" w:line="276" w:lineRule="auto"/>
      <w:ind w:left="720"/>
      <w:contextualSpacing/>
      <w:jc w:val="left"/>
    </w:pPr>
    <w:rPr>
      <w:rFonts w:ascii="Calibri" w:eastAsia="Calibri" w:hAnsi="Calibri" w:cs="Times New Roman"/>
      <w:sz w:val="22"/>
      <w:szCs w:val="22"/>
      <w:lang w:eastAsia="en-US"/>
    </w:rPr>
  </w:style>
  <w:style w:type="paragraph" w:customStyle="1" w:styleId="tytakt">
    <w:name w:val="tytakt"/>
    <w:basedOn w:val="Normalny"/>
    <w:rsid w:val="00D04EF5"/>
    <w:pPr>
      <w:widowControl/>
      <w:autoSpaceDE/>
      <w:autoSpaceDN/>
      <w:adjustRightInd/>
      <w:spacing w:before="150" w:after="150" w:line="240" w:lineRule="auto"/>
      <w:jc w:val="center"/>
    </w:pPr>
    <w:rPr>
      <w:rFonts w:cs="Times New Roman"/>
      <w:b/>
      <w:bCs/>
      <w:color w:val="150A59"/>
      <w:sz w:val="29"/>
      <w:szCs w:val="29"/>
    </w:rPr>
  </w:style>
  <w:style w:type="paragraph" w:customStyle="1" w:styleId="pub">
    <w:name w:val="pub"/>
    <w:basedOn w:val="Normalny"/>
    <w:rsid w:val="00D04EF5"/>
    <w:pPr>
      <w:widowControl/>
      <w:autoSpaceDE/>
      <w:autoSpaceDN/>
      <w:adjustRightInd/>
      <w:spacing w:before="150" w:after="150" w:line="240" w:lineRule="auto"/>
      <w:jc w:val="center"/>
    </w:pPr>
    <w:rPr>
      <w:rFonts w:cs="Times New Roman"/>
      <w:b/>
      <w:bCs/>
      <w:szCs w:val="24"/>
    </w:rPr>
  </w:style>
  <w:style w:type="character" w:customStyle="1" w:styleId="Normalny1">
    <w:name w:val="Normalny1"/>
    <w:rsid w:val="00D04EF5"/>
    <w:rPr>
      <w:b w:val="0"/>
      <w:bCs w:val="0"/>
      <w:i w:val="0"/>
      <w:iCs w:val="0"/>
    </w:rPr>
  </w:style>
  <w:style w:type="paragraph" w:customStyle="1" w:styleId="p">
    <w:name w:val="p"/>
    <w:rsid w:val="00C303F3"/>
    <w:pPr>
      <w:widowControl w:val="0"/>
      <w:autoSpaceDE w:val="0"/>
      <w:autoSpaceDN w:val="0"/>
      <w:adjustRightInd w:val="0"/>
      <w:spacing w:before="20" w:after="40" w:line="40" w:lineRule="atLeast"/>
      <w:jc w:val="both"/>
    </w:pPr>
    <w:rPr>
      <w:rFonts w:ascii="Arial" w:eastAsia="Times New Roman" w:hAnsi="Arial" w:cs="Arial"/>
      <w:color w:val="000000"/>
      <w:sz w:val="18"/>
      <w:szCs w:val="18"/>
    </w:rPr>
  </w:style>
  <w:style w:type="paragraph" w:customStyle="1" w:styleId="Tekstpodstawowy1">
    <w:name w:val="Tekst podstawowy1"/>
    <w:basedOn w:val="Normalny"/>
    <w:rsid w:val="004B0D50"/>
    <w:pPr>
      <w:widowControl/>
      <w:shd w:val="clear" w:color="auto" w:fill="FFFFFF"/>
      <w:autoSpaceDE/>
      <w:autoSpaceDN/>
      <w:adjustRightInd/>
      <w:spacing w:before="300" w:line="274" w:lineRule="exact"/>
      <w:jc w:val="left"/>
    </w:pPr>
    <w:rPr>
      <w:rFonts w:cs="Times New Roman"/>
      <w:color w:val="000000"/>
      <w:szCs w:val="24"/>
      <w:lang w:va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176903">
      <w:bodyDiv w:val="1"/>
      <w:marLeft w:val="0"/>
      <w:marRight w:val="0"/>
      <w:marTop w:val="0"/>
      <w:marBottom w:val="0"/>
      <w:divBdr>
        <w:top w:val="none" w:sz="0" w:space="0" w:color="auto"/>
        <w:left w:val="none" w:sz="0" w:space="0" w:color="auto"/>
        <w:bottom w:val="none" w:sz="0" w:space="0" w:color="auto"/>
        <w:right w:val="none" w:sz="0" w:space="0" w:color="auto"/>
      </w:divBdr>
    </w:div>
    <w:div w:id="701126215">
      <w:bodyDiv w:val="1"/>
      <w:marLeft w:val="0"/>
      <w:marRight w:val="0"/>
      <w:marTop w:val="0"/>
      <w:marBottom w:val="0"/>
      <w:divBdr>
        <w:top w:val="none" w:sz="0" w:space="0" w:color="auto"/>
        <w:left w:val="none" w:sz="0" w:space="0" w:color="auto"/>
        <w:bottom w:val="none" w:sz="0" w:space="0" w:color="auto"/>
        <w:right w:val="none" w:sz="0" w:space="0" w:color="auto"/>
      </w:divBdr>
    </w:div>
    <w:div w:id="793450050">
      <w:bodyDiv w:val="1"/>
      <w:marLeft w:val="300"/>
      <w:marRight w:val="300"/>
      <w:marTop w:val="300"/>
      <w:marBottom w:val="300"/>
      <w:divBdr>
        <w:top w:val="none" w:sz="0" w:space="0" w:color="auto"/>
        <w:left w:val="none" w:sz="0" w:space="0" w:color="auto"/>
        <w:bottom w:val="none" w:sz="0" w:space="0" w:color="auto"/>
        <w:right w:val="none" w:sz="0" w:space="0" w:color="auto"/>
      </w:divBdr>
    </w:div>
    <w:div w:id="798956835">
      <w:bodyDiv w:val="1"/>
      <w:marLeft w:val="0"/>
      <w:marRight w:val="0"/>
      <w:marTop w:val="0"/>
      <w:marBottom w:val="0"/>
      <w:divBdr>
        <w:top w:val="none" w:sz="0" w:space="0" w:color="auto"/>
        <w:left w:val="none" w:sz="0" w:space="0" w:color="auto"/>
        <w:bottom w:val="none" w:sz="0" w:space="0" w:color="auto"/>
        <w:right w:val="none" w:sz="0" w:space="0" w:color="auto"/>
      </w:divBdr>
    </w:div>
    <w:div w:id="1355618116">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099405244">
          <w:marLeft w:val="600"/>
          <w:marRight w:val="0"/>
          <w:marTop w:val="0"/>
          <w:marBottom w:val="0"/>
          <w:divBdr>
            <w:top w:val="none" w:sz="0" w:space="0" w:color="auto"/>
            <w:left w:val="none" w:sz="0" w:space="0" w:color="auto"/>
            <w:bottom w:val="none" w:sz="0" w:space="0" w:color="auto"/>
            <w:right w:val="none" w:sz="0" w:space="0" w:color="auto"/>
          </w:divBdr>
        </w:div>
        <w:div w:id="70346988">
          <w:marLeft w:val="600"/>
          <w:marRight w:val="0"/>
          <w:marTop w:val="0"/>
          <w:marBottom w:val="0"/>
          <w:divBdr>
            <w:top w:val="none" w:sz="0" w:space="0" w:color="auto"/>
            <w:left w:val="none" w:sz="0" w:space="0" w:color="auto"/>
            <w:bottom w:val="none" w:sz="0" w:space="0" w:color="auto"/>
            <w:right w:val="none" w:sz="0" w:space="0" w:color="auto"/>
          </w:divBdr>
        </w:div>
      </w:divsChild>
    </w:div>
    <w:div w:id="141415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AKT%5b%5dBASIC.25560516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about:blankAKT%5b%5dLOCK.125360065"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AKT%5b%5dBASIC.255618934"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about:blankAKT%5b%5dLOCK.115354982"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about:blankAKT%5b%5d70217768" TargetMode="External"/><Relationship Id="rId14" Type="http://schemas.openxmlformats.org/officeDocument/2006/relationships/hyperlink" Target="about:blankAKT%5b%5dLOCK.2205525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B0EF-A269-4740-8518-0904BCB2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6463</Words>
  <Characters>38780</Characters>
  <Application>Microsoft Office Word</Application>
  <DocSecurity>0</DocSecurity>
  <Lines>323</Lines>
  <Paragraphs>90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Gregorczyk Andrzej</dc:creator>
  <cp:lastModifiedBy>Ewa A. Genert</cp:lastModifiedBy>
  <cp:revision>2</cp:revision>
  <cp:lastPrinted>2016-11-03T11:02:00Z</cp:lastPrinted>
  <dcterms:created xsi:type="dcterms:W3CDTF">2016-11-08T14:37:00Z</dcterms:created>
  <dcterms:modified xsi:type="dcterms:W3CDTF">2016-11-08T14:37:00Z</dcterms:modified>
</cp:coreProperties>
</file>