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312" w:rsidRPr="00BB392E" w:rsidRDefault="00E9628F" w:rsidP="00BB392E">
      <w:pPr>
        <w:pStyle w:val="ARTartustawynprozporzdzenia"/>
        <w:spacing w:before="0"/>
        <w:ind w:left="2832" w:firstLine="708"/>
        <w:rPr>
          <w:rFonts w:ascii="Times New Roman" w:hAnsi="Times New Roman" w:cs="Times New Roman"/>
          <w:szCs w:val="24"/>
        </w:rPr>
      </w:pPr>
      <w:bookmarkStart w:id="0" w:name="_GoBack"/>
      <w:bookmarkEnd w:id="0"/>
      <w:r w:rsidRPr="00BB392E">
        <w:rPr>
          <w:rFonts w:ascii="Times New Roman" w:hAnsi="Times New Roman" w:cs="Times New Roman"/>
          <w:color w:val="000000"/>
          <w:szCs w:val="24"/>
        </w:rPr>
        <w:t>UZASADNIENIE</w:t>
      </w:r>
    </w:p>
    <w:p w:rsidR="00415312" w:rsidRDefault="00415312" w:rsidP="00BB392E">
      <w:pPr>
        <w:pStyle w:val="ARTartustawynprozporzdzenia"/>
        <w:spacing w:before="0"/>
        <w:ind w:left="2832" w:firstLine="708"/>
        <w:rPr>
          <w:rFonts w:ascii="Times New Roman" w:hAnsi="Times New Roman" w:cs="Times New Roman"/>
          <w:szCs w:val="24"/>
        </w:rPr>
      </w:pPr>
    </w:p>
    <w:p w:rsidR="00415312" w:rsidRPr="002B54EC" w:rsidRDefault="00FF07E0" w:rsidP="00BB392E">
      <w:pPr>
        <w:pStyle w:val="ARTartustawynprozporzdzenia"/>
        <w:spacing w:before="0"/>
        <w:rPr>
          <w:rFonts w:ascii="Times New Roman" w:hAnsi="Times New Roman" w:cs="Times New Roman"/>
          <w:szCs w:val="24"/>
        </w:rPr>
      </w:pPr>
      <w:r>
        <w:rPr>
          <w:rFonts w:ascii="Times New Roman" w:hAnsi="Times New Roman" w:cs="Times New Roman"/>
          <w:szCs w:val="24"/>
        </w:rPr>
        <w:t>Z</w:t>
      </w:r>
      <w:r w:rsidR="00415312">
        <w:rPr>
          <w:rFonts w:ascii="Times New Roman" w:hAnsi="Times New Roman" w:cs="Times New Roman"/>
          <w:szCs w:val="24"/>
        </w:rPr>
        <w:t xml:space="preserve">miana w art. </w:t>
      </w:r>
      <w:r w:rsidR="00484BEF">
        <w:rPr>
          <w:rFonts w:ascii="Times New Roman" w:hAnsi="Times New Roman" w:cs="Times New Roman"/>
          <w:szCs w:val="24"/>
        </w:rPr>
        <w:t>1</w:t>
      </w:r>
      <w:r w:rsidR="00415312">
        <w:rPr>
          <w:rFonts w:ascii="Times New Roman" w:hAnsi="Times New Roman" w:cs="Times New Roman"/>
          <w:szCs w:val="24"/>
        </w:rPr>
        <w:t xml:space="preserve"> niniejszego projektu wprowadza zmianę do ustawy </w:t>
      </w:r>
      <w:r w:rsidR="00484BEF">
        <w:rPr>
          <w:rFonts w:ascii="Times New Roman" w:hAnsi="Times New Roman" w:cs="Times New Roman"/>
          <w:szCs w:val="24"/>
        </w:rPr>
        <w:t xml:space="preserve">z dnia 7 września 2007 r. </w:t>
      </w:r>
      <w:r w:rsidR="00415312">
        <w:rPr>
          <w:rFonts w:ascii="Times New Roman" w:hAnsi="Times New Roman" w:cs="Times New Roman"/>
          <w:szCs w:val="24"/>
        </w:rPr>
        <w:t>o funkcjonowaniu górnictwa węgla kamiennego</w:t>
      </w:r>
      <w:r w:rsidR="00484BEF">
        <w:rPr>
          <w:rFonts w:ascii="Times New Roman" w:hAnsi="Times New Roman" w:cs="Times New Roman"/>
          <w:szCs w:val="24"/>
        </w:rPr>
        <w:t xml:space="preserve"> (Dz. U. z 2016 r. poz. 704 i 1592)</w:t>
      </w:r>
      <w:r w:rsidR="00415312">
        <w:rPr>
          <w:rFonts w:ascii="Times New Roman" w:hAnsi="Times New Roman" w:cs="Times New Roman"/>
          <w:szCs w:val="24"/>
        </w:rPr>
        <w:t xml:space="preserve">. </w:t>
      </w:r>
      <w:r w:rsidR="00415312" w:rsidRPr="002B54EC">
        <w:rPr>
          <w:rFonts w:ascii="Times New Roman" w:hAnsi="Times New Roman" w:cs="Times New Roman"/>
          <w:szCs w:val="24"/>
        </w:rPr>
        <w:t>Prowadzone aktualnie działania restrukturyzacyjne u większości przedsiębiorców górniczych zmierzają do nieodpłatnego zbywania zakładów górniczych bądź ich oznaczonych części do Spółki Restrukturyzacji Kopalń S.A. W większości przypadków wiąże się to z koniecznością wygaszenia posiadanych koncesji, które z reguły dotyczą wydobywania węgla kamiennego i metanu jako kopaliny towarzyszącej, które pierwotnie były udzielone innym podmiotom gospodarczym. Kopalnie, w których wydobywanie węgla kamiennego wiąże się również z pozyskiwaniem metanu jako kopaliny towarzyszącej</w:t>
      </w:r>
      <w:r w:rsidR="002F7C3E">
        <w:rPr>
          <w:rFonts w:ascii="Times New Roman" w:hAnsi="Times New Roman" w:cs="Times New Roman"/>
          <w:szCs w:val="24"/>
        </w:rPr>
        <w:t>,</w:t>
      </w:r>
      <w:r w:rsidR="00415312" w:rsidRPr="002B54EC">
        <w:rPr>
          <w:rFonts w:ascii="Times New Roman" w:hAnsi="Times New Roman" w:cs="Times New Roman"/>
          <w:szCs w:val="24"/>
        </w:rPr>
        <w:t xml:space="preserve"> posiadają niejednokrotnie daleko zaawansowany system pozyskiwania i gospodarczego wykorzystania metanu dla produkcji energii. W momencie wygaśnięcia koncesji na wydobywanie węgla kamiennego równocze</w:t>
      </w:r>
      <w:r w:rsidR="002F7C3E">
        <w:rPr>
          <w:rFonts w:ascii="Times New Roman" w:hAnsi="Times New Roman" w:cs="Times New Roman"/>
          <w:szCs w:val="24"/>
        </w:rPr>
        <w:t>śnie tracą możliwość wydobywania</w:t>
      </w:r>
      <w:r w:rsidR="00415312" w:rsidRPr="002B54EC">
        <w:rPr>
          <w:rFonts w:ascii="Times New Roman" w:hAnsi="Times New Roman" w:cs="Times New Roman"/>
          <w:szCs w:val="24"/>
        </w:rPr>
        <w:t xml:space="preserve"> metanu z pokładów węgla jako kopaliny towarzyszącej.</w:t>
      </w:r>
    </w:p>
    <w:p w:rsidR="00415312" w:rsidRPr="002B54EC" w:rsidRDefault="00415312" w:rsidP="00BB392E">
      <w:pPr>
        <w:pStyle w:val="ARTartustawynprozporzdzenia"/>
        <w:spacing w:before="0"/>
        <w:rPr>
          <w:rFonts w:ascii="Times New Roman" w:hAnsi="Times New Roman" w:cs="Times New Roman"/>
          <w:szCs w:val="24"/>
        </w:rPr>
      </w:pPr>
      <w:r w:rsidRPr="002B54EC">
        <w:rPr>
          <w:rFonts w:ascii="Times New Roman" w:hAnsi="Times New Roman" w:cs="Times New Roman"/>
          <w:szCs w:val="24"/>
        </w:rPr>
        <w:t>Brak możliwości zagospodarowania pozyskiwanego metanu ze złoża węgla kamiennego w ramach likwidacji zakładu górniczego lub jego części,  może prowadzić do występowania poważnych zagrożeń. Zarówno przepisy ustawy z dnia 7 września 2007 r. o funkcjonowaniu górnictwa węgla kamiennego, jak i ustawy z dnia 9 czerwca 2011 r. – Prawo geologiczne i górnicze nie dają możliwości wykorzystania metanu, bez uzyskania oddzielnej koncesji tzw. węglowodorowej, z likwidowanych zakładów górniczych. W praktyce z powodu braku regulacji prawnych, instalacje do odmetanowania są zamykane lub metan jest uwalniany wprost do atmosfery. Zamykanie stacji odmetanowania w znaczący sposób zwiększa ryzyko zagrożenia wybuchem, prowadząc tym samym do szkód w środowisku, szkód górniczych czy odpowiedzialności materialnoprawnej. Odmetanowanie górotworu winno być zatem jednym z podstawowych środków zapobiegania zagrożeniu metanowemu. Ponadto, należy zauważyć, że sytuacja taka może pojawić się w większości likwidowanych kopalń</w:t>
      </w:r>
      <w:r w:rsidR="002F7C3E">
        <w:rPr>
          <w:rFonts w:ascii="Times New Roman" w:hAnsi="Times New Roman" w:cs="Times New Roman"/>
          <w:szCs w:val="24"/>
        </w:rPr>
        <w:t>,</w:t>
      </w:r>
      <w:r w:rsidRPr="002B54EC">
        <w:rPr>
          <w:rFonts w:ascii="Times New Roman" w:hAnsi="Times New Roman" w:cs="Times New Roman"/>
          <w:szCs w:val="24"/>
        </w:rPr>
        <w:t xml:space="preserve"> w których prowadzona jest likwidacja zakładu górniczego. </w:t>
      </w:r>
    </w:p>
    <w:p w:rsidR="00415312" w:rsidRPr="002B54EC" w:rsidRDefault="00CA0260" w:rsidP="00BB392E">
      <w:pPr>
        <w:pStyle w:val="ARTartustawynprozporzdzenia"/>
        <w:spacing w:before="0"/>
        <w:rPr>
          <w:rFonts w:ascii="Times New Roman" w:hAnsi="Times New Roman" w:cs="Times New Roman"/>
          <w:szCs w:val="24"/>
        </w:rPr>
      </w:pPr>
      <w:r>
        <w:rPr>
          <w:rFonts w:ascii="Times New Roman" w:hAnsi="Times New Roman" w:cs="Times New Roman"/>
          <w:szCs w:val="24"/>
        </w:rPr>
        <w:t xml:space="preserve">Uwalnianie </w:t>
      </w:r>
      <w:r w:rsidR="00415312" w:rsidRPr="002B54EC">
        <w:rPr>
          <w:rFonts w:ascii="Times New Roman" w:hAnsi="Times New Roman" w:cs="Times New Roman"/>
          <w:szCs w:val="24"/>
        </w:rPr>
        <w:t xml:space="preserve">metanu do atmosfery w znaczący sposób negatywnie oddziałuje na ochronę środowiska. Metan jest gazem cieplarnianym, którego potencjał cieplarniany jest </w:t>
      </w:r>
      <w:r>
        <w:rPr>
          <w:rFonts w:ascii="Times New Roman" w:hAnsi="Times New Roman" w:cs="Times New Roman"/>
          <w:szCs w:val="24"/>
        </w:rPr>
        <w:t>31</w:t>
      </w:r>
      <w:r w:rsidR="00415312" w:rsidRPr="002B54EC">
        <w:rPr>
          <w:rFonts w:ascii="Times New Roman" w:hAnsi="Times New Roman" w:cs="Times New Roman"/>
          <w:szCs w:val="24"/>
        </w:rPr>
        <w:t xml:space="preserve"> krotnie większy niż dwutlenku węgla. Obecnie średnia zawartość w atmosferze wynosi </w:t>
      </w:r>
      <w:r>
        <w:rPr>
          <w:rFonts w:ascii="Times New Roman" w:hAnsi="Times New Roman" w:cs="Times New Roman"/>
          <w:szCs w:val="24"/>
        </w:rPr>
        <w:t xml:space="preserve">ok. </w:t>
      </w:r>
      <w:r w:rsidR="00415312" w:rsidRPr="002B54EC">
        <w:rPr>
          <w:rFonts w:ascii="Times New Roman" w:hAnsi="Times New Roman" w:cs="Times New Roman"/>
          <w:szCs w:val="24"/>
        </w:rPr>
        <w:t xml:space="preserve">1,7. </w:t>
      </w:r>
    </w:p>
    <w:p w:rsidR="00415312" w:rsidRDefault="00415312" w:rsidP="00BB392E">
      <w:pPr>
        <w:pStyle w:val="ARTartustawynprozporzdzenia"/>
        <w:spacing w:before="0"/>
        <w:rPr>
          <w:rFonts w:ascii="Times New Roman" w:hAnsi="Times New Roman" w:cs="Times New Roman"/>
          <w:szCs w:val="24"/>
        </w:rPr>
      </w:pPr>
      <w:r w:rsidRPr="002B54EC">
        <w:rPr>
          <w:rFonts w:ascii="Times New Roman" w:hAnsi="Times New Roman" w:cs="Times New Roman"/>
          <w:szCs w:val="24"/>
        </w:rPr>
        <w:t>Metanowość złóż węgla kamiennego w przypadku polskich kopalń jest znaczna. W ostatnim czasie z uwagi na ceny surowca, koszty eksploatacji coraz więcej zakładów górniczych zostaje przeznaczonych do likwidacji. Tym samym</w:t>
      </w:r>
      <w:r w:rsidR="002F7C3E">
        <w:rPr>
          <w:rFonts w:ascii="Times New Roman" w:hAnsi="Times New Roman" w:cs="Times New Roman"/>
          <w:szCs w:val="24"/>
        </w:rPr>
        <w:t xml:space="preserve"> należy liczyć się </w:t>
      </w:r>
      <w:r w:rsidR="002F7C3E">
        <w:rPr>
          <w:rFonts w:ascii="Times New Roman" w:hAnsi="Times New Roman" w:cs="Times New Roman"/>
          <w:szCs w:val="24"/>
        </w:rPr>
        <w:lastRenderedPageBreak/>
        <w:t>z utrzymującą</w:t>
      </w:r>
      <w:r w:rsidRPr="002B54EC">
        <w:rPr>
          <w:rFonts w:ascii="Times New Roman" w:hAnsi="Times New Roman" w:cs="Times New Roman"/>
          <w:szCs w:val="24"/>
        </w:rPr>
        <w:t xml:space="preserve"> się tendencją ograniczania eksploatacji w nierentownych jednostkach. Tym samym do SRK S.A. będą trafiały kopalnie wymagające likwidacji i zabezpieczenia przed ryzykiem wybuchu</w:t>
      </w:r>
      <w:r w:rsidR="00CA0260">
        <w:rPr>
          <w:rFonts w:ascii="Times New Roman" w:hAnsi="Times New Roman" w:cs="Times New Roman"/>
          <w:szCs w:val="24"/>
        </w:rPr>
        <w:t xml:space="preserve"> lub wyrzutów</w:t>
      </w:r>
      <w:r w:rsidRPr="002B54EC">
        <w:rPr>
          <w:rFonts w:ascii="Times New Roman" w:hAnsi="Times New Roman" w:cs="Times New Roman"/>
          <w:szCs w:val="24"/>
        </w:rPr>
        <w:t>. Wg raportu Wyższego Urzędu Górniczego w sprawie zagrożeń metanowych w górnictwie w 2014 r. na 30 kopalń prowadzących eksploatację węgla kamiennego w 21 kopalniach stwierdzono wydzielanie metanu, przy czym w 15 z nich w pokładach o najwyższym IV kategorii zagrożenia metanowego</w:t>
      </w:r>
      <w:r w:rsidR="002F7C3E">
        <w:rPr>
          <w:rFonts w:ascii="Times New Roman" w:hAnsi="Times New Roman" w:cs="Times New Roman"/>
          <w:szCs w:val="24"/>
        </w:rPr>
        <w:t>,</w:t>
      </w:r>
      <w:r w:rsidRPr="002B54EC">
        <w:rPr>
          <w:rFonts w:ascii="Times New Roman" w:hAnsi="Times New Roman" w:cs="Times New Roman"/>
          <w:szCs w:val="24"/>
        </w:rPr>
        <w:t xml:space="preserve"> tj. w takich</w:t>
      </w:r>
      <w:r w:rsidR="002F7C3E">
        <w:rPr>
          <w:rFonts w:ascii="Times New Roman" w:hAnsi="Times New Roman" w:cs="Times New Roman"/>
          <w:szCs w:val="24"/>
        </w:rPr>
        <w:t>,</w:t>
      </w:r>
      <w:r w:rsidRPr="002B54EC">
        <w:rPr>
          <w:rFonts w:ascii="Times New Roman" w:hAnsi="Times New Roman" w:cs="Times New Roman"/>
          <w:szCs w:val="24"/>
        </w:rPr>
        <w:t xml:space="preserve"> w których stwierdzono występowanie metanu w ilości powyżej 8 m3/Mgcsw</w:t>
      </w:r>
      <w:r w:rsidR="002F7C3E">
        <w:rPr>
          <w:rFonts w:ascii="Times New Roman" w:hAnsi="Times New Roman" w:cs="Times New Roman"/>
          <w:szCs w:val="24"/>
        </w:rPr>
        <w:t>.</w:t>
      </w:r>
      <w:r w:rsidRPr="002B54EC">
        <w:rPr>
          <w:rFonts w:ascii="Times New Roman" w:hAnsi="Times New Roman" w:cs="Times New Roman"/>
          <w:szCs w:val="24"/>
        </w:rPr>
        <w:t xml:space="preserve"> W 2014 r. liczba ścian z najwyższą IV kategorią zagrożenia metanowego, w których była prowadzona eksploatacja stanowiły 42,5%.</w:t>
      </w:r>
      <w:r>
        <w:rPr>
          <w:rFonts w:ascii="Times New Roman" w:hAnsi="Times New Roman" w:cs="Times New Roman"/>
          <w:szCs w:val="24"/>
        </w:rPr>
        <w:t xml:space="preserve"> </w:t>
      </w:r>
    </w:p>
    <w:p w:rsidR="00415312" w:rsidRDefault="00415312" w:rsidP="00BB392E">
      <w:pPr>
        <w:pStyle w:val="ARTartustawynprozporzdzenia"/>
        <w:spacing w:before="0"/>
        <w:rPr>
          <w:rFonts w:ascii="Times New Roman" w:hAnsi="Times New Roman" w:cs="Times New Roman"/>
          <w:szCs w:val="24"/>
        </w:rPr>
      </w:pPr>
      <w:r>
        <w:rPr>
          <w:rFonts w:ascii="Times New Roman" w:hAnsi="Times New Roman" w:cs="Times New Roman"/>
          <w:szCs w:val="24"/>
        </w:rPr>
        <w:t>P</w:t>
      </w:r>
      <w:r w:rsidRPr="002B54EC">
        <w:rPr>
          <w:rFonts w:ascii="Times New Roman" w:hAnsi="Times New Roman" w:cs="Times New Roman"/>
          <w:szCs w:val="24"/>
        </w:rPr>
        <w:t xml:space="preserve">rzedmiotowa nowelizacja umożliwi wykorzystanie metanu w likwidowanych zakładach górniczych lub ich oznaczonych częściach bez konieczności uzyskania koncesji węglowodorowej. Uzyskanie koncesji węglowodorowej jest czasochłonne, a ze względu na dynamiczne procesy likwidacyjne wstrzymanie </w:t>
      </w:r>
      <w:r w:rsidR="00CA0260">
        <w:rPr>
          <w:rFonts w:ascii="Times New Roman" w:hAnsi="Times New Roman" w:cs="Times New Roman"/>
          <w:szCs w:val="24"/>
        </w:rPr>
        <w:t>usuwania</w:t>
      </w:r>
      <w:r w:rsidRPr="002B54EC">
        <w:rPr>
          <w:rFonts w:ascii="Times New Roman" w:hAnsi="Times New Roman" w:cs="Times New Roman"/>
          <w:szCs w:val="24"/>
        </w:rPr>
        <w:t xml:space="preserve"> </w:t>
      </w:r>
      <w:r w:rsidR="00CA0260">
        <w:rPr>
          <w:rFonts w:ascii="Times New Roman" w:hAnsi="Times New Roman" w:cs="Times New Roman"/>
          <w:szCs w:val="24"/>
        </w:rPr>
        <w:t>metanu likwidowanych zakładów</w:t>
      </w:r>
      <w:r w:rsidR="002F7C3E">
        <w:rPr>
          <w:rFonts w:ascii="Times New Roman" w:hAnsi="Times New Roman" w:cs="Times New Roman"/>
          <w:szCs w:val="24"/>
        </w:rPr>
        <w:t xml:space="preserve"> górniczych</w:t>
      </w:r>
      <w:r w:rsidRPr="002B54EC">
        <w:rPr>
          <w:rFonts w:ascii="Times New Roman" w:hAnsi="Times New Roman" w:cs="Times New Roman"/>
          <w:szCs w:val="24"/>
        </w:rPr>
        <w:t xml:space="preserve"> w istotny sposób pogorszy bezpieczeństwo pracy, bezpieczeństwo powszechne oraz niekorzystnie wpłynie na ochronę środowiska, w związku z emisją metanu do atmosfery.</w:t>
      </w:r>
    </w:p>
    <w:p w:rsidR="00705396" w:rsidRDefault="002F7C3E" w:rsidP="00BB392E">
      <w:pPr>
        <w:pStyle w:val="ARTartustawynprozporzdzenia"/>
        <w:spacing w:before="0"/>
        <w:rPr>
          <w:rFonts w:ascii="Times New Roman" w:hAnsi="Times New Roman" w:cs="Times New Roman"/>
          <w:szCs w:val="24"/>
        </w:rPr>
      </w:pPr>
      <w:r>
        <w:rPr>
          <w:rFonts w:ascii="Times New Roman" w:hAnsi="Times New Roman" w:cs="Times New Roman"/>
          <w:szCs w:val="24"/>
        </w:rPr>
        <w:t xml:space="preserve">Zgodnie z art. 8 ust. 1 ustawy </w:t>
      </w:r>
      <w:r w:rsidR="003E3F22" w:rsidRPr="003E3F22">
        <w:rPr>
          <w:rFonts w:ascii="Times New Roman" w:hAnsi="Times New Roman" w:cs="Times New Roman"/>
          <w:szCs w:val="24"/>
        </w:rPr>
        <w:t>z</w:t>
      </w:r>
      <w:r>
        <w:rPr>
          <w:rFonts w:ascii="Times New Roman" w:hAnsi="Times New Roman" w:cs="Times New Roman"/>
          <w:szCs w:val="24"/>
        </w:rPr>
        <w:t xml:space="preserve"> dnia 7 września 2007 r. </w:t>
      </w:r>
      <w:r w:rsidR="003E3F22" w:rsidRPr="003E3F22">
        <w:rPr>
          <w:rFonts w:ascii="Times New Roman" w:hAnsi="Times New Roman" w:cs="Times New Roman"/>
          <w:i/>
          <w:szCs w:val="24"/>
        </w:rPr>
        <w:t>o funkcjonowaniu górnictwa węgla kamiennego</w:t>
      </w:r>
      <w:r>
        <w:rPr>
          <w:rFonts w:ascii="Times New Roman" w:hAnsi="Times New Roman" w:cs="Times New Roman"/>
          <w:szCs w:val="24"/>
        </w:rPr>
        <w:t xml:space="preserve"> </w:t>
      </w:r>
      <w:r w:rsidR="003E3F22" w:rsidRPr="003E3F22">
        <w:rPr>
          <w:rFonts w:ascii="Times New Roman" w:hAnsi="Times New Roman" w:cs="Times New Roman"/>
          <w:szCs w:val="24"/>
        </w:rPr>
        <w:t>likwidację zakładu górniczego lub jego oznaczonej części prowadzi przedsiębiorstwo górnicze, którego podstawowym przedmiotem działalności jest prowadzenie likwidacji kopalni, zabezpieczenie kopalń sąsiednich przed zagrożeniem wodnym, gazowym oraz pożarowym, w trakcie i po zakończeniu likwidacji kopalni, zagospodarowywanie majątku likwidowanej kopalni, zbędnego majątku przedsiębiorstwa górniczego, tworzenie nowych miejsc pracy, w szczególności dla pracowników likwidowanej kopalni. Przedsiębiorstwo to prowadzi działania likwidacyjne finansowane przez Skarb Państwa. Ponadto w myśl art. 2 ustawy właścicielem lub współwłaścicielem tego przedsiębiorstwa musi być Skarb Państwa. Obecnie warunki te spełnia tylko jedno przedsiębiorstwo.</w:t>
      </w:r>
    </w:p>
    <w:p w:rsidR="00EB6C8F" w:rsidRDefault="006A0A49" w:rsidP="00BB392E">
      <w:pPr>
        <w:pStyle w:val="ARTartustawynprozporzdzenia"/>
        <w:spacing w:before="0"/>
        <w:rPr>
          <w:rFonts w:ascii="Times New Roman" w:hAnsi="Times New Roman" w:cs="Times New Roman"/>
          <w:szCs w:val="24"/>
        </w:rPr>
      </w:pPr>
      <w:r>
        <w:rPr>
          <w:rFonts w:ascii="Times New Roman" w:hAnsi="Times New Roman" w:cs="Times New Roman"/>
          <w:szCs w:val="24"/>
        </w:rPr>
        <w:t>Tym samym uprawnienie spółki</w:t>
      </w:r>
      <w:r w:rsidR="002F7C3E">
        <w:rPr>
          <w:rFonts w:ascii="Times New Roman" w:hAnsi="Times New Roman" w:cs="Times New Roman"/>
          <w:szCs w:val="24"/>
        </w:rPr>
        <w:t>,</w:t>
      </w:r>
      <w:r>
        <w:rPr>
          <w:rFonts w:ascii="Times New Roman" w:hAnsi="Times New Roman" w:cs="Times New Roman"/>
          <w:szCs w:val="24"/>
        </w:rPr>
        <w:t xml:space="preserve"> o której mowa </w:t>
      </w:r>
      <w:r w:rsidR="002F7C3E">
        <w:rPr>
          <w:rFonts w:ascii="Times New Roman" w:hAnsi="Times New Roman" w:cs="Times New Roman"/>
          <w:szCs w:val="24"/>
        </w:rPr>
        <w:t xml:space="preserve">w </w:t>
      </w:r>
      <w:r>
        <w:rPr>
          <w:rFonts w:ascii="Times New Roman" w:hAnsi="Times New Roman" w:cs="Times New Roman"/>
          <w:szCs w:val="24"/>
        </w:rPr>
        <w:t xml:space="preserve">art. 8 ust. </w:t>
      </w:r>
      <w:r w:rsidRPr="002F7C3E">
        <w:rPr>
          <w:rFonts w:ascii="Times New Roman" w:hAnsi="Times New Roman" w:cs="Times New Roman"/>
          <w:szCs w:val="24"/>
        </w:rPr>
        <w:t>1</w:t>
      </w:r>
      <w:r>
        <w:rPr>
          <w:rFonts w:ascii="Times New Roman" w:hAnsi="Times New Roman" w:cs="Times New Roman"/>
          <w:szCs w:val="24"/>
        </w:rPr>
        <w:t xml:space="preserve"> ustawy </w:t>
      </w:r>
      <w:r w:rsidRPr="006A0A49">
        <w:rPr>
          <w:rFonts w:ascii="Times New Roman" w:hAnsi="Times New Roman" w:cs="Times New Roman"/>
          <w:i/>
          <w:szCs w:val="24"/>
        </w:rPr>
        <w:t>o funkcjonowaniu górnictwa węgla kamiennego</w:t>
      </w:r>
      <w:r w:rsidR="002F7C3E">
        <w:rPr>
          <w:rFonts w:ascii="Times New Roman" w:hAnsi="Times New Roman" w:cs="Times New Roman"/>
          <w:i/>
          <w:szCs w:val="24"/>
        </w:rPr>
        <w:t>,</w:t>
      </w:r>
      <w:r>
        <w:rPr>
          <w:rFonts w:ascii="Times New Roman" w:hAnsi="Times New Roman" w:cs="Times New Roman"/>
          <w:szCs w:val="24"/>
        </w:rPr>
        <w:t xml:space="preserve"> do wykorzystania metanu bez obowiązku pozyskania koncesji zapewni bezpieczeństwo sąsiednich zakładów górniczych oraz bezpieczeństwo powszechne, jak również korzystnie wpłynie na ochronę środowiska, ponieważ ilość metanu emitowanego do atmosfery będzie ograniczona</w:t>
      </w:r>
      <w:r w:rsidR="002F7C3E">
        <w:rPr>
          <w:rFonts w:ascii="Times New Roman" w:hAnsi="Times New Roman" w:cs="Times New Roman"/>
          <w:szCs w:val="24"/>
        </w:rPr>
        <w:t xml:space="preserve">. Celem powyższego uprawnienia </w:t>
      </w:r>
      <w:r>
        <w:rPr>
          <w:rFonts w:ascii="Times New Roman" w:hAnsi="Times New Roman" w:cs="Times New Roman"/>
          <w:szCs w:val="24"/>
        </w:rPr>
        <w:t xml:space="preserve">jest więc zapewnienie maksymalnego bezpieczeństwa podczas likwidacji zakładu górniczego oraz zagwarantowanie najlepszego wykorzystania kopaliny jaką jest metan. </w:t>
      </w:r>
    </w:p>
    <w:p w:rsidR="00415312" w:rsidRPr="00027BCE" w:rsidRDefault="00EB6C8F" w:rsidP="00BB392E">
      <w:pPr>
        <w:pStyle w:val="ARTartustawynprozporzdzenia"/>
        <w:spacing w:before="0"/>
        <w:rPr>
          <w:rFonts w:ascii="Times New Roman" w:hAnsi="Times New Roman" w:cs="Times New Roman"/>
          <w:szCs w:val="24"/>
        </w:rPr>
      </w:pPr>
      <w:r>
        <w:rPr>
          <w:rFonts w:ascii="Times New Roman" w:hAnsi="Times New Roman" w:cs="Times New Roman"/>
          <w:szCs w:val="24"/>
        </w:rPr>
        <w:t xml:space="preserve">Proces uzyskania koncesji węglowodorowej jest czasochłonny. </w:t>
      </w:r>
      <w:r w:rsidR="00A90839">
        <w:rPr>
          <w:rFonts w:ascii="Times New Roman" w:hAnsi="Times New Roman" w:cs="Times New Roman"/>
          <w:szCs w:val="24"/>
        </w:rPr>
        <w:t xml:space="preserve">Obecnie prowadzony jest proces </w:t>
      </w:r>
      <w:r>
        <w:rPr>
          <w:rFonts w:ascii="Times New Roman" w:hAnsi="Times New Roman" w:cs="Times New Roman"/>
          <w:szCs w:val="24"/>
        </w:rPr>
        <w:t xml:space="preserve">głębokiej restrukturyzacji górnictwa węgla kamiennego, który ma charakter </w:t>
      </w:r>
      <w:r>
        <w:rPr>
          <w:rFonts w:ascii="Times New Roman" w:hAnsi="Times New Roman" w:cs="Times New Roman"/>
          <w:szCs w:val="24"/>
        </w:rPr>
        <w:lastRenderedPageBreak/>
        <w:t xml:space="preserve">dynamiczny i wielowątkowy. Przyjęcie zaproponowanego rozwiązania legislacyjnego </w:t>
      </w:r>
      <w:r w:rsidR="005967FC">
        <w:rPr>
          <w:rFonts w:ascii="Times New Roman" w:hAnsi="Times New Roman" w:cs="Times New Roman"/>
          <w:szCs w:val="24"/>
        </w:rPr>
        <w:t xml:space="preserve">istotnie przyśpieszy </w:t>
      </w:r>
      <w:r>
        <w:rPr>
          <w:rFonts w:ascii="Times New Roman" w:hAnsi="Times New Roman" w:cs="Times New Roman"/>
          <w:szCs w:val="24"/>
        </w:rPr>
        <w:t>wykorzystanie metanu w kopalniach lub w ich częściach przekazywanych do likwidacji.</w:t>
      </w:r>
    </w:p>
    <w:p w:rsidR="00E9628F" w:rsidRPr="002B54EC" w:rsidRDefault="00E9628F" w:rsidP="00BB392E">
      <w:pPr>
        <w:spacing w:after="0" w:line="360" w:lineRule="auto"/>
        <w:ind w:firstLine="708"/>
        <w:jc w:val="both"/>
        <w:rPr>
          <w:rFonts w:ascii="Times New Roman" w:hAnsi="Times New Roman" w:cs="Times New Roman"/>
          <w:color w:val="000000"/>
          <w:sz w:val="24"/>
          <w:szCs w:val="24"/>
        </w:rPr>
      </w:pPr>
      <w:r w:rsidRPr="002B54EC">
        <w:rPr>
          <w:rFonts w:ascii="Times New Roman" w:hAnsi="Times New Roman" w:cs="Times New Roman"/>
          <w:color w:val="000000"/>
          <w:sz w:val="24"/>
          <w:szCs w:val="24"/>
        </w:rPr>
        <w:t xml:space="preserve">Przedłożona ustawa dokonuje </w:t>
      </w:r>
      <w:r w:rsidR="0071406E">
        <w:rPr>
          <w:rFonts w:ascii="Times New Roman" w:hAnsi="Times New Roman" w:cs="Times New Roman"/>
          <w:color w:val="000000"/>
          <w:sz w:val="24"/>
          <w:szCs w:val="24"/>
        </w:rPr>
        <w:t xml:space="preserve">także </w:t>
      </w:r>
      <w:r w:rsidRPr="002B54EC">
        <w:rPr>
          <w:rFonts w:ascii="Times New Roman" w:hAnsi="Times New Roman" w:cs="Times New Roman"/>
          <w:color w:val="000000"/>
          <w:sz w:val="24"/>
          <w:szCs w:val="24"/>
        </w:rPr>
        <w:t>nowelizacji przepisów ustawy z dnia 11 lipca 2014</w:t>
      </w:r>
      <w:r w:rsidR="00627DAC">
        <w:rPr>
          <w:rFonts w:ascii="Times New Roman" w:hAnsi="Times New Roman" w:cs="Times New Roman"/>
          <w:color w:val="000000"/>
          <w:sz w:val="24"/>
          <w:szCs w:val="24"/>
        </w:rPr>
        <w:t> </w:t>
      </w:r>
      <w:r w:rsidR="002F7C3E">
        <w:rPr>
          <w:rFonts w:ascii="Times New Roman" w:hAnsi="Times New Roman" w:cs="Times New Roman"/>
          <w:color w:val="000000"/>
          <w:sz w:val="24"/>
          <w:szCs w:val="24"/>
        </w:rPr>
        <w:t>r. o zmianie ustawy –</w:t>
      </w:r>
      <w:r w:rsidRPr="002B54EC">
        <w:rPr>
          <w:rFonts w:ascii="Times New Roman" w:hAnsi="Times New Roman" w:cs="Times New Roman"/>
          <w:color w:val="000000"/>
          <w:sz w:val="24"/>
          <w:szCs w:val="24"/>
        </w:rPr>
        <w:t xml:space="preserve"> Prawo geologiczne i górnicze oraz niektóryc</w:t>
      </w:r>
      <w:r w:rsidR="000336BB">
        <w:rPr>
          <w:rFonts w:ascii="Times New Roman" w:hAnsi="Times New Roman" w:cs="Times New Roman"/>
          <w:color w:val="000000"/>
          <w:sz w:val="24"/>
          <w:szCs w:val="24"/>
        </w:rPr>
        <w:t>h innych ustaw (Dz.</w:t>
      </w:r>
      <w:r w:rsidR="006924AE">
        <w:rPr>
          <w:rFonts w:ascii="Times New Roman" w:hAnsi="Times New Roman" w:cs="Times New Roman"/>
          <w:color w:val="000000"/>
          <w:sz w:val="24"/>
          <w:szCs w:val="24"/>
        </w:rPr>
        <w:t> </w:t>
      </w:r>
      <w:r w:rsidR="000336BB">
        <w:rPr>
          <w:rFonts w:ascii="Times New Roman" w:hAnsi="Times New Roman" w:cs="Times New Roman"/>
          <w:color w:val="000000"/>
          <w:sz w:val="24"/>
          <w:szCs w:val="24"/>
        </w:rPr>
        <w:t xml:space="preserve">U. </w:t>
      </w:r>
      <w:r w:rsidRPr="002B54EC">
        <w:rPr>
          <w:rFonts w:ascii="Times New Roman" w:hAnsi="Times New Roman" w:cs="Times New Roman"/>
          <w:color w:val="000000"/>
          <w:sz w:val="24"/>
          <w:szCs w:val="24"/>
        </w:rPr>
        <w:t>poz. 1133, z późn. zm., dalej jako: „nowela węglowodorowa”)</w:t>
      </w:r>
      <w:r w:rsidR="002B54EC" w:rsidRPr="002B54EC">
        <w:rPr>
          <w:rFonts w:ascii="Times New Roman" w:hAnsi="Times New Roman" w:cs="Times New Roman"/>
          <w:color w:val="000000"/>
          <w:sz w:val="24"/>
          <w:szCs w:val="24"/>
        </w:rPr>
        <w:t>.</w:t>
      </w:r>
    </w:p>
    <w:p w:rsidR="00415312" w:rsidRPr="00027BCE" w:rsidRDefault="00E9628F" w:rsidP="00BB392E">
      <w:pPr>
        <w:spacing w:after="0" w:line="360" w:lineRule="auto"/>
        <w:ind w:firstLine="708"/>
        <w:jc w:val="both"/>
        <w:rPr>
          <w:rFonts w:ascii="Times New Roman" w:hAnsi="Times New Roman" w:cs="Times New Roman"/>
          <w:sz w:val="24"/>
          <w:szCs w:val="24"/>
        </w:rPr>
      </w:pPr>
      <w:r w:rsidRPr="002B54EC">
        <w:rPr>
          <w:rFonts w:ascii="Times New Roman" w:hAnsi="Times New Roman" w:cs="Times New Roman"/>
          <w:sz w:val="24"/>
          <w:szCs w:val="24"/>
        </w:rPr>
        <w:t>W trakcie ponad rocznego stosowania zno</w:t>
      </w:r>
      <w:r w:rsidR="00E8271A">
        <w:rPr>
          <w:rFonts w:ascii="Times New Roman" w:hAnsi="Times New Roman" w:cs="Times New Roman"/>
          <w:sz w:val="24"/>
          <w:szCs w:val="24"/>
        </w:rPr>
        <w:t>welizowanej w 2014 roku ustawy –</w:t>
      </w:r>
      <w:r w:rsidRPr="002B54EC">
        <w:rPr>
          <w:rFonts w:ascii="Times New Roman" w:hAnsi="Times New Roman" w:cs="Times New Roman"/>
          <w:sz w:val="24"/>
          <w:szCs w:val="24"/>
        </w:rPr>
        <w:t xml:space="preserve"> Prawo geologiczne i górnicze (mocą noweli węglowodorowej), pojawiły się problemy z jej prawidłowym stosowaniem do robót prowadzonych we wszystkich wyrobiskach zlikwidowanych podziemnych zakładów górniczych w celach innych niż określone ustawą, w szczególnoś</w:t>
      </w:r>
      <w:r w:rsidR="00E8271A">
        <w:rPr>
          <w:rFonts w:ascii="Times New Roman" w:hAnsi="Times New Roman" w:cs="Times New Roman"/>
          <w:sz w:val="24"/>
          <w:szCs w:val="24"/>
        </w:rPr>
        <w:t xml:space="preserve">ci turystycznych, leczniczych i </w:t>
      </w:r>
      <w:r w:rsidRPr="002B54EC">
        <w:rPr>
          <w:rFonts w:ascii="Times New Roman" w:hAnsi="Times New Roman" w:cs="Times New Roman"/>
          <w:sz w:val="24"/>
          <w:szCs w:val="24"/>
        </w:rPr>
        <w:t>rekreacyjnych. Konieczne jest dokonanie korekt mających na celu wyeliminowanie wątpliwości przy interpretowaniu nieostrych pojęć „robót” oraz „zlikwidowanych podziemnych zakładów górniczych”. Dotychczas nie było wiadomo, czy pod pojęciem robót należało rozumieć każdą aktywność, każdą robotę czy tylko roboty geologiczne i górnicze. Ponadto w zakresie pojęcia „podziemnych zakładów górniczych” nie skonkretyzowano, czy chodzi o każdy podziemny zakład górniczy, w którym kiedykolwiek prowadzono eksploatację (także np. w czasach przedindustrialnych), czy tylko o zakład górniczy w rozumieniu obecnych przepisów ustawy. W rezultacie ustawa znalazła zastosowanie w stosunku do podmiotów udostępniających podziemne zakłady górnicze wyłącznie na cele turystyczne, nieprowadzących żadnych robót geologicznych czy górniczych. W zakładach tych, często udostępniających krótkie, kilkudziesięciometrowe trasy turystyczne, nie występują żadne zagrożenia, a zatem nie ma konieczności stosowania przepisów o ruchu zakładu górniczego, co jest kosztochłonne. W odpowiedzi na postulaty wszystkich adresatów now</w:t>
      </w:r>
      <w:r w:rsidR="002F7C3E">
        <w:rPr>
          <w:rFonts w:ascii="Times New Roman" w:hAnsi="Times New Roman" w:cs="Times New Roman"/>
          <w:sz w:val="24"/>
          <w:szCs w:val="24"/>
        </w:rPr>
        <w:t>elizowanych przepisów konieczne</w:t>
      </w:r>
      <w:r w:rsidRPr="002B54EC">
        <w:rPr>
          <w:rFonts w:ascii="Times New Roman" w:hAnsi="Times New Roman" w:cs="Times New Roman"/>
          <w:sz w:val="24"/>
          <w:szCs w:val="24"/>
        </w:rPr>
        <w:t xml:space="preserve"> stało się wydłużenie okresu, w którym podmioty prowadzące roboty w wyrobiskach zlikwidowanych podziemnych zakładów górniczych dostosują się do wymogów określonych w ustawie – Prawo geologiczne i górnicze. Dodatkowy czas pozwoli również na ujednolicenie praktyki stosowania przepisów do wspomnianych rodzajów działalności, pozwalając na zbliżen</w:t>
      </w:r>
      <w:r w:rsidR="009233B6">
        <w:rPr>
          <w:rFonts w:ascii="Times New Roman" w:hAnsi="Times New Roman" w:cs="Times New Roman"/>
          <w:sz w:val="24"/>
          <w:szCs w:val="24"/>
        </w:rPr>
        <w:t>ie wyników wykładni tychże norm lub dokonanie systemowych rozwiązań prawnych precyzyjnie regulujących t</w:t>
      </w:r>
      <w:r w:rsidR="00E8271A">
        <w:rPr>
          <w:rFonts w:ascii="Times New Roman" w:hAnsi="Times New Roman" w:cs="Times New Roman"/>
          <w:sz w:val="24"/>
          <w:szCs w:val="24"/>
        </w:rPr>
        <w:t>ę</w:t>
      </w:r>
      <w:r w:rsidR="009233B6">
        <w:rPr>
          <w:rFonts w:ascii="Times New Roman" w:hAnsi="Times New Roman" w:cs="Times New Roman"/>
          <w:sz w:val="24"/>
          <w:szCs w:val="24"/>
        </w:rPr>
        <w:t xml:space="preserve"> problematykę.</w:t>
      </w:r>
    </w:p>
    <w:p w:rsidR="002B54EC" w:rsidRPr="002B54EC" w:rsidRDefault="00E9628F" w:rsidP="00BB392E">
      <w:pPr>
        <w:spacing w:after="0" w:line="360" w:lineRule="auto"/>
        <w:ind w:firstLine="708"/>
        <w:jc w:val="both"/>
        <w:rPr>
          <w:rFonts w:ascii="Times New Roman" w:hAnsi="Times New Roman" w:cs="Times New Roman"/>
          <w:color w:val="000000"/>
          <w:sz w:val="24"/>
          <w:szCs w:val="24"/>
        </w:rPr>
      </w:pPr>
      <w:r w:rsidRPr="002B54EC">
        <w:rPr>
          <w:rFonts w:ascii="Times New Roman" w:hAnsi="Times New Roman" w:cs="Times New Roman"/>
          <w:color w:val="000000"/>
          <w:sz w:val="24"/>
          <w:szCs w:val="24"/>
        </w:rPr>
        <w:t>Ustawa wydłuża również czas obowiązywania przepisów wykonawczych wydanych na podstawie art. 110 ustawy z dnia 9 czerwca 2011 r. – Prawo geologiczne i górnicze (Dz.</w:t>
      </w:r>
      <w:r w:rsidR="002F7C3E">
        <w:rPr>
          <w:rFonts w:ascii="Times New Roman" w:hAnsi="Times New Roman" w:cs="Times New Roman"/>
          <w:color w:val="000000"/>
          <w:sz w:val="24"/>
          <w:szCs w:val="24"/>
        </w:rPr>
        <w:t> U. z 2016 r. poz. 1131, z późn. zm.). Według</w:t>
      </w:r>
      <w:r w:rsidRPr="002B54EC">
        <w:rPr>
          <w:rFonts w:ascii="Times New Roman" w:hAnsi="Times New Roman" w:cs="Times New Roman"/>
          <w:color w:val="000000"/>
          <w:sz w:val="24"/>
          <w:szCs w:val="24"/>
        </w:rPr>
        <w:t xml:space="preserve"> obecnie obowiązujących unormowań, pozostają one w mocy do czasu wydania nowych przepisów, jednakże nie dłużej niż 24 miesiące od </w:t>
      </w:r>
      <w:r w:rsidRPr="002B54EC">
        <w:rPr>
          <w:rFonts w:ascii="Times New Roman" w:hAnsi="Times New Roman" w:cs="Times New Roman"/>
          <w:color w:val="000000"/>
          <w:sz w:val="24"/>
          <w:szCs w:val="24"/>
        </w:rPr>
        <w:lastRenderedPageBreak/>
        <w:t>daty wejścia w życie przepisów noweli węglowodorowej. Oznacza to, iż obecnie obowiązujące rozporządzenie Ministra Środowiska z dnia 16 lutego 2012 r. w sprawie planów ruchu zakładów górniczych (Dz.</w:t>
      </w:r>
      <w:r w:rsidR="002F7C3E">
        <w:rPr>
          <w:rFonts w:ascii="Times New Roman" w:hAnsi="Times New Roman" w:cs="Times New Roman"/>
          <w:color w:val="000000"/>
          <w:sz w:val="24"/>
          <w:szCs w:val="24"/>
        </w:rPr>
        <w:t xml:space="preserve"> U. </w:t>
      </w:r>
      <w:r w:rsidRPr="002B54EC">
        <w:rPr>
          <w:rFonts w:ascii="Times New Roman" w:hAnsi="Times New Roman" w:cs="Times New Roman"/>
          <w:color w:val="000000"/>
          <w:sz w:val="24"/>
          <w:szCs w:val="24"/>
        </w:rPr>
        <w:t>poz. 372) strac</w:t>
      </w:r>
      <w:r w:rsidR="002B54EC">
        <w:rPr>
          <w:rFonts w:ascii="Times New Roman" w:hAnsi="Times New Roman" w:cs="Times New Roman"/>
          <w:color w:val="000000"/>
          <w:sz w:val="24"/>
          <w:szCs w:val="24"/>
        </w:rPr>
        <w:t xml:space="preserve">i moc z dniem 1 stycznia 2017 r. Ponadto w </w:t>
      </w:r>
      <w:r w:rsidRPr="002B54EC">
        <w:rPr>
          <w:rFonts w:ascii="Times New Roman" w:hAnsi="Times New Roman" w:cs="Times New Roman"/>
          <w:color w:val="000000"/>
          <w:sz w:val="24"/>
          <w:szCs w:val="24"/>
        </w:rPr>
        <w:t>związku z prowadzonymi pracami nad implementacją do polskiego systemu prawa dyrektywy Parlamentu Europejskiego i Rady 2013/30/UE z dnia 12 czerwca 2013 r. w sprawie bezpieczeństwa działalności związanej ze złożami ropy naftowej i gazu ziemnego na obszarach morskich oraz zmiany dyrektywy 2004/35/WE, w wyniku kt</w:t>
      </w:r>
      <w:r w:rsidR="002F7C3E">
        <w:rPr>
          <w:rFonts w:ascii="Times New Roman" w:hAnsi="Times New Roman" w:cs="Times New Roman"/>
          <w:color w:val="000000"/>
          <w:sz w:val="24"/>
          <w:szCs w:val="24"/>
        </w:rPr>
        <w:t>órej to implementacji konieczne</w:t>
      </w:r>
      <w:r w:rsidRPr="002B54EC">
        <w:rPr>
          <w:rFonts w:ascii="Times New Roman" w:hAnsi="Times New Roman" w:cs="Times New Roman"/>
          <w:color w:val="000000"/>
          <w:sz w:val="24"/>
          <w:szCs w:val="24"/>
        </w:rPr>
        <w:t xml:space="preserve"> będzie dostosowanie przepisów o planach ruchów</w:t>
      </w:r>
      <w:r w:rsidR="002F7C3E">
        <w:rPr>
          <w:rFonts w:ascii="Times New Roman" w:hAnsi="Times New Roman" w:cs="Times New Roman"/>
          <w:color w:val="000000"/>
          <w:sz w:val="24"/>
          <w:szCs w:val="24"/>
        </w:rPr>
        <w:t xml:space="preserve"> zakładów górniczych, konieczne</w:t>
      </w:r>
      <w:r w:rsidRPr="002B54EC">
        <w:rPr>
          <w:rFonts w:ascii="Times New Roman" w:hAnsi="Times New Roman" w:cs="Times New Roman"/>
          <w:color w:val="000000"/>
          <w:sz w:val="24"/>
          <w:szCs w:val="24"/>
        </w:rPr>
        <w:t xml:space="preserve"> stało się wydłużenie okresu obowiązywania obecnego rozporządzenia Ministra Środowiska z dnia 16 lutego 2012 r. w sprawie planów ruchu zakładów górniczych.</w:t>
      </w:r>
      <w:r w:rsidR="009233B6">
        <w:rPr>
          <w:rFonts w:ascii="Times New Roman" w:hAnsi="Times New Roman" w:cs="Times New Roman"/>
          <w:color w:val="000000"/>
          <w:sz w:val="24"/>
          <w:szCs w:val="24"/>
        </w:rPr>
        <w:t xml:space="preserve"> </w:t>
      </w:r>
      <w:r w:rsidRPr="002B54EC">
        <w:rPr>
          <w:rFonts w:ascii="Times New Roman" w:hAnsi="Times New Roman" w:cs="Times New Roman"/>
          <w:color w:val="000000"/>
          <w:sz w:val="24"/>
          <w:szCs w:val="24"/>
        </w:rPr>
        <w:t>Przedmiotowa zmiana nie stoi w sprzeczności z prawem Unii Europejskiej, a w szczególności z dyrektywą Parlamentu Europejskiego i Rady 2011/92/UE z dnia 13 grudnia 2011 r. w sprawie oceny skutków wywieranych przez niektóre przedsięwzięcia publiczne i prywatne na środowisko.</w:t>
      </w:r>
    </w:p>
    <w:p w:rsidR="00BB1F09" w:rsidRPr="009E6094" w:rsidRDefault="00BB1F09" w:rsidP="00BB392E">
      <w:pPr>
        <w:pStyle w:val="ARTartustawynprozporzdzenia"/>
        <w:spacing w:before="0"/>
        <w:rPr>
          <w:rFonts w:ascii="Times New Roman" w:hAnsi="Times New Roman" w:cs="Times New Roman"/>
          <w:szCs w:val="24"/>
        </w:rPr>
      </w:pPr>
      <w:r w:rsidRPr="009E6094">
        <w:rPr>
          <w:rFonts w:ascii="Times New Roman" w:hAnsi="Times New Roman" w:cs="Times New Roman"/>
          <w:szCs w:val="24"/>
        </w:rPr>
        <w:t>Projekt jest zgodny z prawem Unii Europejskiej i nie podlega przedstawieniu właściwym instytucjom i organom Unii Europejskiej, w tym Europejskiemu Bankowi Centralnemu, w celu uzyskania opinii, dokonania powiadomienia, konsultacji albo uzgodnienia.</w:t>
      </w:r>
    </w:p>
    <w:p w:rsidR="00BB1F09" w:rsidRPr="009E6094" w:rsidRDefault="00BB1F09" w:rsidP="00BB392E">
      <w:pPr>
        <w:pStyle w:val="ARTartustawynprozporzdzenia"/>
        <w:spacing w:before="0"/>
        <w:rPr>
          <w:rFonts w:ascii="Times New Roman" w:hAnsi="Times New Roman" w:cs="Times New Roman"/>
          <w:szCs w:val="24"/>
        </w:rPr>
      </w:pPr>
      <w:r w:rsidRPr="009E6094">
        <w:rPr>
          <w:rFonts w:ascii="Times New Roman" w:hAnsi="Times New Roman" w:cs="Times New Roman"/>
          <w:szCs w:val="24"/>
        </w:rPr>
        <w:t xml:space="preserve">Projekt ustawy nie zawiera przepisów technicznych w rozumieniu przepisów rozporządzenia Rady Ministrów z dnia 23 grudnia 2002 r. w sprawie </w:t>
      </w:r>
      <w:r w:rsidR="007457DB">
        <w:rPr>
          <w:rFonts w:ascii="Times New Roman" w:hAnsi="Times New Roman" w:cs="Times New Roman"/>
          <w:szCs w:val="24"/>
        </w:rPr>
        <w:t xml:space="preserve">sposobu </w:t>
      </w:r>
      <w:r w:rsidRPr="009E6094">
        <w:rPr>
          <w:rFonts w:ascii="Times New Roman" w:hAnsi="Times New Roman" w:cs="Times New Roman"/>
          <w:szCs w:val="24"/>
        </w:rPr>
        <w:t>funkcjonowania krajowego systemu notyfikacji norm i aktów prawnych (Dz. U. poz. 2039, z późn. zm.) i w związku z tym nie podlega w tym zakresie notyfikacji Komisji Europejskiej.</w:t>
      </w:r>
    </w:p>
    <w:p w:rsidR="005F4DEB" w:rsidRPr="009E6094" w:rsidRDefault="00BB1F09" w:rsidP="00BB392E">
      <w:pPr>
        <w:pStyle w:val="ARTartustawynprozporzdzenia"/>
        <w:spacing w:before="0"/>
        <w:rPr>
          <w:rFonts w:ascii="Times New Roman" w:hAnsi="Times New Roman" w:cs="Times New Roman"/>
          <w:szCs w:val="24"/>
        </w:rPr>
      </w:pPr>
      <w:r w:rsidRPr="009E6094">
        <w:rPr>
          <w:rFonts w:ascii="Times New Roman" w:hAnsi="Times New Roman" w:cs="Times New Roman"/>
          <w:szCs w:val="24"/>
        </w:rPr>
        <w:t xml:space="preserve">Zgodnie z art. 5 ustawy z dnia 7 lipca 2005 r. o działalności lobbingowej w procesie stanowienia prawa (Dz. U. </w:t>
      </w:r>
      <w:r w:rsidR="002F7C3E">
        <w:rPr>
          <w:rFonts w:ascii="Times New Roman" w:hAnsi="Times New Roman" w:cs="Times New Roman"/>
          <w:szCs w:val="24"/>
        </w:rPr>
        <w:t>poz. 1414, z późn. zm.)</w:t>
      </w:r>
      <w:r w:rsidRPr="009E6094">
        <w:rPr>
          <w:rFonts w:ascii="Times New Roman" w:hAnsi="Times New Roman" w:cs="Times New Roman"/>
          <w:szCs w:val="24"/>
        </w:rPr>
        <w:t xml:space="preserve"> projekt został umieszczony w Biuletynie Informacji Publicznej Rządowego Centrum Legislacji w zakładce Rządowy Proces Legislacyjny.</w:t>
      </w:r>
    </w:p>
    <w:sectPr w:rsidR="005F4DEB" w:rsidRPr="009E6094" w:rsidSect="0080537C">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CBE" w:rsidRDefault="00B64CBE" w:rsidP="00A94462">
      <w:pPr>
        <w:spacing w:after="0" w:line="240" w:lineRule="auto"/>
      </w:pPr>
      <w:r>
        <w:separator/>
      </w:r>
    </w:p>
  </w:endnote>
  <w:endnote w:type="continuationSeparator" w:id="0">
    <w:p w:rsidR="00B64CBE" w:rsidRDefault="00B64CBE" w:rsidP="00A94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6211899"/>
      <w:docPartObj>
        <w:docPartGallery w:val="Page Numbers (Bottom of Page)"/>
        <w:docPartUnique/>
      </w:docPartObj>
    </w:sdtPr>
    <w:sdtEndPr>
      <w:rPr>
        <w:rFonts w:ascii="Times New Roman" w:hAnsi="Times New Roman" w:cs="Times New Roman"/>
      </w:rPr>
    </w:sdtEndPr>
    <w:sdtContent>
      <w:p w:rsidR="0080537C" w:rsidRPr="0080537C" w:rsidRDefault="0080537C">
        <w:pPr>
          <w:pStyle w:val="Stopka"/>
          <w:jc w:val="center"/>
          <w:rPr>
            <w:rFonts w:ascii="Times New Roman" w:hAnsi="Times New Roman" w:cs="Times New Roman"/>
          </w:rPr>
        </w:pPr>
        <w:r w:rsidRPr="0080537C">
          <w:rPr>
            <w:rFonts w:ascii="Times New Roman" w:hAnsi="Times New Roman" w:cs="Times New Roman"/>
          </w:rPr>
          <w:fldChar w:fldCharType="begin"/>
        </w:r>
        <w:r w:rsidRPr="0080537C">
          <w:rPr>
            <w:rFonts w:ascii="Times New Roman" w:hAnsi="Times New Roman" w:cs="Times New Roman"/>
          </w:rPr>
          <w:instrText>PAGE   \* MERGEFORMAT</w:instrText>
        </w:r>
        <w:r w:rsidRPr="0080537C">
          <w:rPr>
            <w:rFonts w:ascii="Times New Roman" w:hAnsi="Times New Roman" w:cs="Times New Roman"/>
          </w:rPr>
          <w:fldChar w:fldCharType="separate"/>
        </w:r>
        <w:r w:rsidR="006D3ECC">
          <w:rPr>
            <w:rFonts w:ascii="Times New Roman" w:hAnsi="Times New Roman" w:cs="Times New Roman"/>
            <w:noProof/>
          </w:rPr>
          <w:t>4</w:t>
        </w:r>
        <w:r w:rsidRPr="0080537C">
          <w:rPr>
            <w:rFonts w:ascii="Times New Roman" w:hAnsi="Times New Roman" w:cs="Times New Roman"/>
          </w:rPr>
          <w:fldChar w:fldCharType="end"/>
        </w:r>
      </w:p>
    </w:sdtContent>
  </w:sdt>
  <w:p w:rsidR="0080537C" w:rsidRDefault="0080537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CBE" w:rsidRDefault="00B64CBE" w:rsidP="00A94462">
      <w:pPr>
        <w:spacing w:after="0" w:line="240" w:lineRule="auto"/>
      </w:pPr>
      <w:r>
        <w:separator/>
      </w:r>
    </w:p>
  </w:footnote>
  <w:footnote w:type="continuationSeparator" w:id="0">
    <w:p w:rsidR="00B64CBE" w:rsidRDefault="00B64CBE" w:rsidP="00A944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E11D7"/>
    <w:multiLevelType w:val="hybridMultilevel"/>
    <w:tmpl w:val="179E45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408C69B5"/>
    <w:multiLevelType w:val="hybridMultilevel"/>
    <w:tmpl w:val="CB8C3C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687B775E"/>
    <w:multiLevelType w:val="hybridMultilevel"/>
    <w:tmpl w:val="A8520184"/>
    <w:lvl w:ilvl="0" w:tplc="B8E011D6">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BFF"/>
    <w:rsid w:val="00027BCE"/>
    <w:rsid w:val="000336BB"/>
    <w:rsid w:val="00061D8E"/>
    <w:rsid w:val="00073BFF"/>
    <w:rsid w:val="00133F32"/>
    <w:rsid w:val="001517D4"/>
    <w:rsid w:val="001E0ACB"/>
    <w:rsid w:val="00266568"/>
    <w:rsid w:val="002931A4"/>
    <w:rsid w:val="00293E61"/>
    <w:rsid w:val="002B54EC"/>
    <w:rsid w:val="002F20A5"/>
    <w:rsid w:val="002F7C3E"/>
    <w:rsid w:val="00330AC9"/>
    <w:rsid w:val="003707B6"/>
    <w:rsid w:val="003D552B"/>
    <w:rsid w:val="003E3F22"/>
    <w:rsid w:val="00410EAF"/>
    <w:rsid w:val="00415312"/>
    <w:rsid w:val="00425837"/>
    <w:rsid w:val="00484BEF"/>
    <w:rsid w:val="004A1F05"/>
    <w:rsid w:val="00513A17"/>
    <w:rsid w:val="00541A83"/>
    <w:rsid w:val="005642D5"/>
    <w:rsid w:val="005967FC"/>
    <w:rsid w:val="005F4DEB"/>
    <w:rsid w:val="00627DAC"/>
    <w:rsid w:val="00636522"/>
    <w:rsid w:val="00642AD2"/>
    <w:rsid w:val="006924AE"/>
    <w:rsid w:val="006A0A49"/>
    <w:rsid w:val="006D3ECC"/>
    <w:rsid w:val="00705396"/>
    <w:rsid w:val="0071406E"/>
    <w:rsid w:val="007457DB"/>
    <w:rsid w:val="007B7679"/>
    <w:rsid w:val="0080537C"/>
    <w:rsid w:val="008141EB"/>
    <w:rsid w:val="008B0722"/>
    <w:rsid w:val="009233B6"/>
    <w:rsid w:val="009E6094"/>
    <w:rsid w:val="00A310CD"/>
    <w:rsid w:val="00A323D9"/>
    <w:rsid w:val="00A64C5F"/>
    <w:rsid w:val="00A90839"/>
    <w:rsid w:val="00A94462"/>
    <w:rsid w:val="00B21890"/>
    <w:rsid w:val="00B21D23"/>
    <w:rsid w:val="00B239C4"/>
    <w:rsid w:val="00B25976"/>
    <w:rsid w:val="00B64CBE"/>
    <w:rsid w:val="00BB1F09"/>
    <w:rsid w:val="00BB1FF0"/>
    <w:rsid w:val="00BB392E"/>
    <w:rsid w:val="00BC6DCD"/>
    <w:rsid w:val="00CA0260"/>
    <w:rsid w:val="00CA7477"/>
    <w:rsid w:val="00CC40E7"/>
    <w:rsid w:val="00DB43EB"/>
    <w:rsid w:val="00E3666B"/>
    <w:rsid w:val="00E8271A"/>
    <w:rsid w:val="00E9628F"/>
    <w:rsid w:val="00EB5A20"/>
    <w:rsid w:val="00EB6C8F"/>
    <w:rsid w:val="00F26719"/>
    <w:rsid w:val="00F94C44"/>
    <w:rsid w:val="00FF07E0"/>
    <w:rsid w:val="00FF42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36522"/>
    <w:pPr>
      <w:ind w:left="720"/>
      <w:contextualSpacing/>
    </w:pPr>
  </w:style>
  <w:style w:type="paragraph" w:customStyle="1" w:styleId="ARTartustawynprozporzdzenia">
    <w:name w:val="ART(§) – art. ustawy (§ np. rozporządzenia)"/>
    <w:uiPriority w:val="11"/>
    <w:qFormat/>
    <w:rsid w:val="002B54E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dymka">
    <w:name w:val="Balloon Text"/>
    <w:basedOn w:val="Normalny"/>
    <w:link w:val="TekstdymkaZnak"/>
    <w:uiPriority w:val="99"/>
    <w:semiHidden/>
    <w:unhideWhenUsed/>
    <w:rsid w:val="00A323D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323D9"/>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A9446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94462"/>
    <w:rPr>
      <w:sz w:val="20"/>
      <w:szCs w:val="20"/>
    </w:rPr>
  </w:style>
  <w:style w:type="character" w:styleId="Odwoanieprzypisukocowego">
    <w:name w:val="endnote reference"/>
    <w:basedOn w:val="Domylnaczcionkaakapitu"/>
    <w:uiPriority w:val="99"/>
    <w:semiHidden/>
    <w:unhideWhenUsed/>
    <w:rsid w:val="00A94462"/>
    <w:rPr>
      <w:vertAlign w:val="superscript"/>
    </w:rPr>
  </w:style>
  <w:style w:type="paragraph" w:styleId="Nagwek">
    <w:name w:val="header"/>
    <w:basedOn w:val="Normalny"/>
    <w:link w:val="NagwekZnak"/>
    <w:uiPriority w:val="99"/>
    <w:unhideWhenUsed/>
    <w:rsid w:val="008053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0537C"/>
  </w:style>
  <w:style w:type="paragraph" w:styleId="Stopka">
    <w:name w:val="footer"/>
    <w:basedOn w:val="Normalny"/>
    <w:link w:val="StopkaZnak"/>
    <w:uiPriority w:val="99"/>
    <w:unhideWhenUsed/>
    <w:rsid w:val="008053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053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36522"/>
    <w:pPr>
      <w:ind w:left="720"/>
      <w:contextualSpacing/>
    </w:pPr>
  </w:style>
  <w:style w:type="paragraph" w:customStyle="1" w:styleId="ARTartustawynprozporzdzenia">
    <w:name w:val="ART(§) – art. ustawy (§ np. rozporządzenia)"/>
    <w:uiPriority w:val="11"/>
    <w:qFormat/>
    <w:rsid w:val="002B54E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dymka">
    <w:name w:val="Balloon Text"/>
    <w:basedOn w:val="Normalny"/>
    <w:link w:val="TekstdymkaZnak"/>
    <w:uiPriority w:val="99"/>
    <w:semiHidden/>
    <w:unhideWhenUsed/>
    <w:rsid w:val="00A323D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323D9"/>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A9446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94462"/>
    <w:rPr>
      <w:sz w:val="20"/>
      <w:szCs w:val="20"/>
    </w:rPr>
  </w:style>
  <w:style w:type="character" w:styleId="Odwoanieprzypisukocowego">
    <w:name w:val="endnote reference"/>
    <w:basedOn w:val="Domylnaczcionkaakapitu"/>
    <w:uiPriority w:val="99"/>
    <w:semiHidden/>
    <w:unhideWhenUsed/>
    <w:rsid w:val="00A94462"/>
    <w:rPr>
      <w:vertAlign w:val="superscript"/>
    </w:rPr>
  </w:style>
  <w:style w:type="paragraph" w:styleId="Nagwek">
    <w:name w:val="header"/>
    <w:basedOn w:val="Normalny"/>
    <w:link w:val="NagwekZnak"/>
    <w:uiPriority w:val="99"/>
    <w:unhideWhenUsed/>
    <w:rsid w:val="008053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0537C"/>
  </w:style>
  <w:style w:type="paragraph" w:styleId="Stopka">
    <w:name w:val="footer"/>
    <w:basedOn w:val="Normalny"/>
    <w:link w:val="StopkaZnak"/>
    <w:uiPriority w:val="99"/>
    <w:unhideWhenUsed/>
    <w:rsid w:val="008053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05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5B456-82E8-48B3-8378-76DEA2E0A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1431</Words>
  <Characters>8586</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 Zawadzki</dc:creator>
  <cp:lastModifiedBy>Ewa A. Genert</cp:lastModifiedBy>
  <cp:revision>2</cp:revision>
  <cp:lastPrinted>2016-11-04T11:46:00Z</cp:lastPrinted>
  <dcterms:created xsi:type="dcterms:W3CDTF">2016-11-10T12:39:00Z</dcterms:created>
  <dcterms:modified xsi:type="dcterms:W3CDTF">2016-11-10T12:39:00Z</dcterms:modified>
</cp:coreProperties>
</file>