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D22" w:rsidRPr="00F30D22" w:rsidRDefault="00F30D22" w:rsidP="00CF358A">
      <w:pPr>
        <w:spacing w:after="0" w:line="360" w:lineRule="auto"/>
        <w:jc w:val="center"/>
        <w:rPr>
          <w:rFonts w:ascii="Times New Roman" w:eastAsia="Times New Roman" w:hAnsi="Times New Roman" w:cs="Arial"/>
          <w:sz w:val="24"/>
          <w:szCs w:val="20"/>
          <w:lang w:eastAsia="pl-PL"/>
        </w:rPr>
      </w:pPr>
      <w:bookmarkStart w:id="0" w:name="_GoBack"/>
      <w:bookmarkEnd w:id="0"/>
      <w:r w:rsidRPr="00F30D22">
        <w:rPr>
          <w:rFonts w:ascii="Times New Roman" w:eastAsia="Times New Roman" w:hAnsi="Times New Roman" w:cs="Arial"/>
          <w:sz w:val="24"/>
          <w:szCs w:val="20"/>
          <w:lang w:eastAsia="pl-PL"/>
        </w:rPr>
        <w:t>UZASADNIENIE</w:t>
      </w:r>
    </w:p>
    <w:p w:rsidR="00F30D22" w:rsidRPr="00F30D22" w:rsidRDefault="00F30D22" w:rsidP="00CF358A">
      <w:pPr>
        <w:widowControl w:val="0"/>
        <w:autoSpaceDE w:val="0"/>
        <w:autoSpaceDN w:val="0"/>
        <w:adjustRightInd w:val="0"/>
        <w:spacing w:after="0" w:line="360" w:lineRule="auto"/>
        <w:ind w:firstLine="14"/>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I.</w:t>
      </w:r>
      <w:r w:rsidRPr="00F30D22">
        <w:rPr>
          <w:rFonts w:ascii="Times New Roman" w:eastAsia="Times New Roman" w:hAnsi="Times New Roman" w:cs="Arial"/>
          <w:sz w:val="24"/>
          <w:szCs w:val="20"/>
          <w:lang w:eastAsia="pl-PL"/>
        </w:rPr>
        <w:t xml:space="preserve"> Ustawa z dnia 10 kwietnia 1997 r. – Prawo energetyczne</w:t>
      </w:r>
      <w:r w:rsidRPr="00F30D22">
        <w:rPr>
          <w:rFonts w:ascii="Times New Roman" w:eastAsia="Times New Roman" w:hAnsi="Times New Roman" w:cs="Times New Roman"/>
          <w:sz w:val="24"/>
          <w:szCs w:val="20"/>
          <w:vertAlign w:val="superscript"/>
          <w:lang w:eastAsia="pl-PL"/>
        </w:rPr>
        <w:footnoteReference w:id="1"/>
      </w:r>
      <w:r w:rsidRPr="00F30D22">
        <w:rPr>
          <w:rFonts w:ascii="Times New Roman" w:eastAsia="Times New Roman" w:hAnsi="Times New Roman" w:cs="Arial"/>
          <w:sz w:val="24"/>
          <w:szCs w:val="20"/>
          <w:vertAlign w:val="superscript"/>
          <w:lang w:eastAsia="pl-PL"/>
        </w:rPr>
        <w:t>)</w:t>
      </w:r>
      <w:r w:rsidRPr="00F30D22">
        <w:rPr>
          <w:rFonts w:ascii="Times New Roman" w:eastAsia="Times New Roman" w:hAnsi="Times New Roman" w:cs="Arial"/>
          <w:sz w:val="24"/>
          <w:szCs w:val="20"/>
          <w:lang w:eastAsia="pl-PL"/>
        </w:rPr>
        <w:t xml:space="preserve"> nakłada na przedsiębiorstwa energetyczne obowiązek przedkładania Prezesowi Urzędu Regulacji Energetyki, zwanemu</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 xml:space="preserve">dalej „Prezesem URE”, do zatwierdzenia taryf dla paliw gazowych. Jednocześnie przepis art. 49 ustawy – Prawo energetyczne przewiduje możliwość zwolnienia przez Prezesa URE przedsiębiorstwa z tego obowiązku, ale wyłącznie po spełnieniu określonych warunków, tj. stwierdzenia, że przedsiębiorstwo to działa na rynku konkurencyjnym. </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Powyższy obowiązek zatwierdzania taryf w odniesieniu do przedsiębiorstw energetycznych prowadzących działalność gospodarczą w zakresie obrotu gazem ziemnym Komisja Europejska uznała za niezgodny z prawem UE. W opinii Komisji Europejskiej polski system zatwierdzania cen gazu ziemnego stanowi środek nieproporcjonalny (nie jest</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ograniczony w czasie oraz nie uwzględnia rozróżnienia pod względem odbiorców), jak również obejmuje wszystkie podmioty na rynku (bez względu na wielkość ich udziału w</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rynku) i nie jest ograniczony do przedsiębiorstwa zasiedziałego (PGNiG S.A.), mimo że celem systemu zatwierdzania taryf jest ograniczenie jego pozycji dominującej.</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Co więcej zatwierdzanie cen gazu przez organ regulacji jest postrzegane przez Komisję Europejską jako przeszkoda dla wprowadzenia konkurencyjnego rynku gazu ziemnego, czego wymaga dyrektywa 2003/55/WE Parlamentu</w:t>
      </w:r>
      <w:r w:rsidR="00D02E43">
        <w:rPr>
          <w:rFonts w:ascii="Times New Roman" w:eastAsia="Times New Roman" w:hAnsi="Times New Roman" w:cs="Arial"/>
          <w:sz w:val="24"/>
          <w:szCs w:val="20"/>
          <w:lang w:eastAsia="pl-PL"/>
        </w:rPr>
        <w:t xml:space="preserve"> Europejskiego i Rady z dnia 26 </w:t>
      </w:r>
      <w:r w:rsidRPr="00F30D22">
        <w:rPr>
          <w:rFonts w:ascii="Times New Roman" w:eastAsia="Times New Roman" w:hAnsi="Times New Roman" w:cs="Arial"/>
          <w:sz w:val="24"/>
          <w:szCs w:val="20"/>
          <w:lang w:eastAsia="pl-PL"/>
        </w:rPr>
        <w:t>czerwca 2003 r. dotycząca wspólnych zasad rynku wewnętrznego gazu ziemnego i</w:t>
      </w:r>
      <w:r w:rsidR="001031FA">
        <w:rPr>
          <w:rFonts w:ascii="Times New Roman" w:eastAsia="Times New Roman" w:hAnsi="Times New Roman" w:cs="Arial"/>
          <w:sz w:val="24"/>
          <w:szCs w:val="20"/>
          <w:lang w:eastAsia="pl-PL"/>
        </w:rPr>
        <w:t> </w:t>
      </w:r>
      <w:r w:rsidRPr="00F30D22">
        <w:rPr>
          <w:rFonts w:ascii="Times New Roman" w:eastAsia="Times New Roman" w:hAnsi="Times New Roman" w:cs="Arial"/>
          <w:sz w:val="24"/>
          <w:szCs w:val="20"/>
          <w:lang w:eastAsia="pl-PL"/>
        </w:rPr>
        <w:t>uchylająca dyrektywę 98/30/WE</w:t>
      </w:r>
      <w:r w:rsidRPr="00F30D22">
        <w:rPr>
          <w:rFonts w:ascii="Times New Roman" w:eastAsia="Times New Roman" w:hAnsi="Times New Roman" w:cs="Times New Roman"/>
          <w:sz w:val="24"/>
          <w:szCs w:val="20"/>
          <w:vertAlign w:val="superscript"/>
          <w:lang w:eastAsia="pl-PL"/>
        </w:rPr>
        <w:footnoteReference w:id="2"/>
      </w:r>
      <w:r w:rsidRPr="00F30D22">
        <w:rPr>
          <w:rFonts w:ascii="Times New Roman" w:eastAsia="Times New Roman" w:hAnsi="Times New Roman" w:cs="Arial"/>
          <w:sz w:val="24"/>
          <w:szCs w:val="20"/>
          <w:vertAlign w:val="superscript"/>
          <w:lang w:eastAsia="pl-PL"/>
        </w:rPr>
        <w:t>)</w:t>
      </w:r>
      <w:r w:rsidRPr="00F30D22">
        <w:rPr>
          <w:rFonts w:ascii="Times New Roman" w:eastAsia="Times New Roman" w:hAnsi="Times New Roman" w:cs="Arial"/>
          <w:sz w:val="24"/>
          <w:szCs w:val="20"/>
          <w:lang w:eastAsia="pl-PL"/>
        </w:rPr>
        <w:t xml:space="preserve"> oraz dyrektywa Parlamentu Europejskiego i Rady 2009/73/WE z dnia 13 lipca 2009 r. dotycząca wspólnych zasad rynku wewnętrznego gazu ziemnego i uchylająca dyrektywę 2003/55/WE</w:t>
      </w:r>
      <w:r w:rsidRPr="00F30D22">
        <w:rPr>
          <w:rFonts w:ascii="Times New Roman" w:eastAsia="Times New Roman" w:hAnsi="Times New Roman" w:cs="Times New Roman"/>
          <w:sz w:val="24"/>
          <w:szCs w:val="20"/>
          <w:vertAlign w:val="superscript"/>
          <w:lang w:eastAsia="pl-PL"/>
        </w:rPr>
        <w:footnoteReference w:id="3"/>
      </w:r>
      <w:r w:rsidRPr="00F30D22">
        <w:rPr>
          <w:rFonts w:ascii="Times New Roman" w:eastAsia="Times New Roman" w:hAnsi="Times New Roman" w:cs="Arial"/>
          <w:sz w:val="24"/>
          <w:szCs w:val="20"/>
          <w:vertAlign w:val="superscript"/>
          <w:lang w:eastAsia="pl-PL"/>
        </w:rPr>
        <w:t>)</w:t>
      </w:r>
      <w:r w:rsidRPr="00F30D22">
        <w:rPr>
          <w:rFonts w:ascii="Times New Roman" w:eastAsia="Times New Roman" w:hAnsi="Times New Roman" w:cs="Arial"/>
          <w:sz w:val="24"/>
          <w:szCs w:val="20"/>
          <w:lang w:eastAsia="pl-PL"/>
        </w:rPr>
        <w:t xml:space="preserve">, dalej „dyrektywa 2009/73/WE”. </w:t>
      </w:r>
    </w:p>
    <w:p w:rsidR="00F30D22" w:rsidRPr="00A91693"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Postępowanie przeciwko Rzecz</w:t>
      </w:r>
      <w:r w:rsidR="00A91693">
        <w:rPr>
          <w:rFonts w:ascii="Times New Roman" w:eastAsia="Times New Roman" w:hAnsi="Times New Roman" w:cs="Arial"/>
          <w:sz w:val="24"/>
          <w:szCs w:val="20"/>
          <w:lang w:eastAsia="pl-PL"/>
        </w:rPr>
        <w:t>y</w:t>
      </w:r>
      <w:r w:rsidRPr="00F30D22">
        <w:rPr>
          <w:rFonts w:ascii="Times New Roman" w:eastAsia="Times New Roman" w:hAnsi="Times New Roman" w:cs="Arial"/>
          <w:sz w:val="24"/>
          <w:szCs w:val="20"/>
          <w:lang w:eastAsia="pl-PL"/>
        </w:rPr>
        <w:t>pospolitej Polskiej w</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sprawie regulowanych cen gazu ziemnego (naruszenie przepisów dyrektywy 2009/73/WE dotyczącej wspólnych zasad rynku wewnętrznego gazu ziemnego i</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uchylającej dyrektywę 2003/55/WE) prowadzone było przez Komisję Europejską w latach 2009</w:t>
      </w:r>
      <w:r w:rsidR="005F187F">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lang w:eastAsia="pl-PL"/>
        </w:rPr>
        <w:t>2013. W styczniu 2014 r. KE skierowała sprawę do Trybunału Sprawiedliwości Unii Europejskiej (dalej „TSUE</w:t>
      </w:r>
      <w:r w:rsidR="00A91693">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lang w:eastAsia="pl-PL"/>
        </w:rPr>
        <w:t>). W dniu 10</w:t>
      </w:r>
      <w:r w:rsidR="00D02E43">
        <w:rPr>
          <w:rFonts w:ascii="Times New Roman" w:eastAsia="Times New Roman" w:hAnsi="Times New Roman" w:cs="Arial"/>
          <w:sz w:val="24"/>
          <w:szCs w:val="20"/>
          <w:lang w:eastAsia="pl-PL"/>
        </w:rPr>
        <w:t> </w:t>
      </w:r>
      <w:r w:rsidRPr="00F30D22">
        <w:rPr>
          <w:rFonts w:ascii="Times New Roman" w:eastAsia="Times New Roman" w:hAnsi="Times New Roman" w:cs="Arial"/>
          <w:sz w:val="24"/>
          <w:szCs w:val="20"/>
          <w:lang w:eastAsia="pl-PL"/>
        </w:rPr>
        <w:t xml:space="preserve">września 2015 r., przychylając się do opinii KE, TSUE orzekł, że poprzez </w:t>
      </w:r>
      <w:r w:rsidRPr="00F30D22">
        <w:rPr>
          <w:rFonts w:ascii="Times New Roman" w:eastAsia="Times New Roman" w:hAnsi="Times New Roman" w:cs="Arial"/>
          <w:sz w:val="24"/>
          <w:szCs w:val="20"/>
          <w:lang w:eastAsia="pl-PL"/>
        </w:rPr>
        <w:lastRenderedPageBreak/>
        <w:t>utrzymywanie nieograniczonego</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w czasie ustawowego obowiązku zatwierdzania taryf dla obrotu gazem ziemnym dla wszystkich odbiorców Rzeczpospolita Polska narusza prawo UE</w:t>
      </w:r>
      <w:r w:rsidRPr="00A91693">
        <w:rPr>
          <w:rFonts w:ascii="Times New Roman" w:eastAsia="Times New Roman" w:hAnsi="Times New Roman" w:cs="Arial"/>
          <w:sz w:val="24"/>
          <w:szCs w:val="20"/>
          <w:lang w:eastAsia="pl-PL"/>
        </w:rPr>
        <w:t>.</w:t>
      </w:r>
    </w:p>
    <w:p w:rsidR="00F30D22" w:rsidRPr="00F30D22" w:rsidRDefault="00F30D22" w:rsidP="00D02E43">
      <w:pPr>
        <w:widowControl w:val="0"/>
        <w:autoSpaceDE w:val="0"/>
        <w:autoSpaceDN w:val="0"/>
        <w:adjustRightInd w:val="0"/>
        <w:spacing w:before="240" w:after="0" w:line="360" w:lineRule="auto"/>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II.</w:t>
      </w:r>
      <w:r w:rsidRPr="00F30D22">
        <w:rPr>
          <w:rFonts w:ascii="Times New Roman" w:eastAsia="Times New Roman" w:hAnsi="Times New Roman" w:cs="Arial"/>
          <w:sz w:val="24"/>
          <w:szCs w:val="20"/>
          <w:lang w:eastAsia="pl-PL"/>
        </w:rPr>
        <w:t xml:space="preserve"> W związku z koniecznością wdrożenia dyrektywy </w:t>
      </w:r>
      <w:r w:rsidR="00D02E43">
        <w:rPr>
          <w:rFonts w:ascii="Times New Roman" w:eastAsia="Times New Roman" w:hAnsi="Times New Roman" w:cs="Arial"/>
          <w:sz w:val="24"/>
          <w:szCs w:val="20"/>
          <w:lang w:eastAsia="pl-PL"/>
        </w:rPr>
        <w:t>2009/73/WE, a w szczególności z </w:t>
      </w:r>
      <w:r w:rsidRPr="00F30D22">
        <w:rPr>
          <w:rFonts w:ascii="Times New Roman" w:eastAsia="Times New Roman" w:hAnsi="Times New Roman" w:cs="Arial"/>
          <w:sz w:val="24"/>
          <w:szCs w:val="20"/>
          <w:lang w:eastAsia="pl-PL"/>
        </w:rPr>
        <w:t>wynikającym z niej obowiązkiem budowy jednolitego konkurencyjnego rynku gazu ziemnego oraz postępowaniem przeciwko Rzecz</w:t>
      </w:r>
      <w:r w:rsidR="00A91693">
        <w:rPr>
          <w:rFonts w:ascii="Times New Roman" w:eastAsia="Times New Roman" w:hAnsi="Times New Roman" w:cs="Arial"/>
          <w:sz w:val="24"/>
          <w:szCs w:val="20"/>
          <w:lang w:eastAsia="pl-PL"/>
        </w:rPr>
        <w:t>y</w:t>
      </w:r>
      <w:r w:rsidRPr="00F30D22">
        <w:rPr>
          <w:rFonts w:ascii="Times New Roman" w:eastAsia="Times New Roman" w:hAnsi="Times New Roman" w:cs="Arial"/>
          <w:sz w:val="24"/>
          <w:szCs w:val="20"/>
          <w:lang w:eastAsia="pl-PL"/>
        </w:rPr>
        <w:t>pospolitej Polskiej i faktem, iż poziom rozwoju polskiego rynku gazu nie pozwalał na uwolnienie cen gazu ziemnego, został podjęt</w:t>
      </w:r>
      <w:r w:rsidR="00A91693">
        <w:rPr>
          <w:rFonts w:ascii="Times New Roman" w:eastAsia="Times New Roman" w:hAnsi="Times New Roman" w:cs="Arial"/>
          <w:sz w:val="24"/>
          <w:szCs w:val="20"/>
          <w:lang w:eastAsia="pl-PL"/>
        </w:rPr>
        <w:t>y</w:t>
      </w:r>
      <w:r w:rsidRPr="00F30D22">
        <w:rPr>
          <w:rFonts w:ascii="Times New Roman" w:eastAsia="Times New Roman" w:hAnsi="Times New Roman" w:cs="Arial"/>
          <w:sz w:val="24"/>
          <w:szCs w:val="20"/>
          <w:lang w:eastAsia="pl-PL"/>
        </w:rPr>
        <w:t xml:space="preserve"> szereg działań, któr</w:t>
      </w:r>
      <w:r w:rsidR="00A91693">
        <w:rPr>
          <w:rFonts w:ascii="Times New Roman" w:eastAsia="Times New Roman" w:hAnsi="Times New Roman" w:cs="Arial"/>
          <w:sz w:val="24"/>
          <w:szCs w:val="20"/>
          <w:lang w:eastAsia="pl-PL"/>
        </w:rPr>
        <w:t>y</w:t>
      </w:r>
      <w:r w:rsidRPr="00F30D22">
        <w:rPr>
          <w:rFonts w:ascii="Times New Roman" w:eastAsia="Times New Roman" w:hAnsi="Times New Roman" w:cs="Arial"/>
          <w:sz w:val="24"/>
          <w:szCs w:val="20"/>
          <w:lang w:eastAsia="pl-PL"/>
        </w:rPr>
        <w:t xml:space="preserve"> umożliwiłby rozwój konkurencji na polskim rynku. </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Na mocy zarządzenia Przewodniczącego Międzyresortowego Zespołu do spraw „Realizacji Polityki Energetycznej Polski do 2030 r.” w dniu 6 grudnia 2010 r., przy Ministrze Gospodarki powołany został Zespół Doradczy do spraw związanych z liberalizacją rynku gazu ziemnego w Polsce, w ramach prac którego opracowana została „Mapa Drogowa uwolnienia cen gazu ziemnego”, opublikowana przez Prezesa URE w dniu 5 lutego 2013 r.</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 xml:space="preserve">W wyniku wejścia w życie we wrześniu 2013 r. ustawy z dnia 26 lipca 2013 r. o zmianie ustawy </w:t>
      </w:r>
      <w:r w:rsidR="005F187F">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lang w:eastAsia="pl-PL"/>
        </w:rPr>
        <w:t xml:space="preserve"> Prawo energetyczne oraz niektórych innych ustaw</w:t>
      </w:r>
      <w:r w:rsidRPr="00F30D22">
        <w:rPr>
          <w:rFonts w:ascii="Times New Roman" w:eastAsia="Times New Roman" w:hAnsi="Times New Roman" w:cs="Times New Roman"/>
          <w:sz w:val="24"/>
          <w:szCs w:val="20"/>
          <w:vertAlign w:val="superscript"/>
          <w:lang w:eastAsia="pl-PL"/>
        </w:rPr>
        <w:footnoteReference w:id="4"/>
      </w:r>
      <w:r w:rsidRPr="00F30D22">
        <w:rPr>
          <w:rFonts w:ascii="Times New Roman" w:eastAsia="Times New Roman" w:hAnsi="Times New Roman" w:cs="Arial"/>
          <w:sz w:val="24"/>
          <w:szCs w:val="20"/>
          <w:vertAlign w:val="superscript"/>
          <w:lang w:eastAsia="pl-PL"/>
        </w:rPr>
        <w:t>)</w:t>
      </w:r>
      <w:r w:rsidRPr="00F30D22">
        <w:rPr>
          <w:rFonts w:ascii="Times New Roman" w:eastAsia="Times New Roman" w:hAnsi="Times New Roman" w:cs="Arial"/>
          <w:sz w:val="24"/>
          <w:szCs w:val="20"/>
          <w:lang w:eastAsia="pl-PL"/>
        </w:rPr>
        <w:t xml:space="preserve"> do polskiego porządku prawnego wprowadzony został obowiązek sprzedaży na giełdach towarowych określonej ilości gazu ziemnego wysokometanowego, wprowadzanego w danym roku do sieci przesyłowej. Celem obliga giełdowego było umożliwienie utworzenia płynnego, hurtowego rynku gazu ziemnego w Polsce oraz urealnienie prawa odbiorcy do zmiany sprzedawcy, zagwarantowanego przepisami ustawy – Prawo energetyczne. </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 xml:space="preserve">Prezes URE przewidywał, iż wprowadzenie obliga giełdowego oraz stopniowe zwiększanie jego poziomu, zgodnie z przewidzianym harmonogramem, będzie stanowiło dla niego podstawę do wydawania </w:t>
      </w:r>
      <w:r w:rsidR="00D02E43">
        <w:rPr>
          <w:rFonts w:ascii="Times New Roman" w:eastAsia="Times New Roman" w:hAnsi="Times New Roman" w:cs="Arial"/>
          <w:sz w:val="24"/>
          <w:szCs w:val="20"/>
          <w:lang w:eastAsia="pl-PL"/>
        </w:rPr>
        <w:t>decyzji w zakresie zwolnienia z </w:t>
      </w:r>
      <w:r w:rsidRPr="00F30D22">
        <w:rPr>
          <w:rFonts w:ascii="Times New Roman" w:eastAsia="Times New Roman" w:hAnsi="Times New Roman" w:cs="Arial"/>
          <w:sz w:val="24"/>
          <w:szCs w:val="20"/>
          <w:lang w:eastAsia="pl-PL"/>
        </w:rPr>
        <w:t xml:space="preserve">obowiązku przedkładania taryf do zatwierdzenia w odniesieniu do kolejnych kategorii sprzedawców. </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Zgodnie z</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zapowiedzią Prezesa URE wyrażoną w komunikacie nr 21/2013 z dnia 22 lipca 2013 r.</w:t>
      </w:r>
      <w:r w:rsidRPr="00F30D22">
        <w:rPr>
          <w:rFonts w:ascii="Times New Roman" w:eastAsia="Times New Roman" w:hAnsi="Times New Roman" w:cs="Times New Roman"/>
          <w:sz w:val="24"/>
          <w:szCs w:val="20"/>
          <w:vertAlign w:val="superscript"/>
          <w:lang w:eastAsia="pl-PL"/>
        </w:rPr>
        <w:footnoteReference w:id="5"/>
      </w:r>
      <w:r w:rsidRPr="00F30D22">
        <w:rPr>
          <w:rFonts w:ascii="Times New Roman" w:eastAsia="Times New Roman" w:hAnsi="Times New Roman" w:cs="Arial"/>
          <w:sz w:val="24"/>
          <w:szCs w:val="20"/>
          <w:vertAlign w:val="superscript"/>
          <w:lang w:eastAsia="pl-PL"/>
        </w:rPr>
        <w:t>)</w:t>
      </w:r>
      <w:r w:rsidRPr="00F30D22">
        <w:rPr>
          <w:rFonts w:ascii="Times New Roman" w:eastAsia="Times New Roman" w:hAnsi="Times New Roman" w:cs="Arial"/>
          <w:sz w:val="24"/>
          <w:szCs w:val="20"/>
          <w:lang w:eastAsia="pl-PL"/>
        </w:rPr>
        <w:t>, wraz z wejściem w</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 xml:space="preserve">życie przepisów gwarantujących objęcie obowiązkiem publicznej sprzedaży co najmniej 30% gazu ziemnego </w:t>
      </w:r>
      <w:r w:rsidRPr="00F30D22">
        <w:rPr>
          <w:rFonts w:ascii="Times New Roman" w:eastAsia="Times New Roman" w:hAnsi="Times New Roman" w:cs="Arial"/>
          <w:sz w:val="24"/>
          <w:szCs w:val="20"/>
          <w:lang w:eastAsia="pl-PL"/>
        </w:rPr>
        <w:lastRenderedPageBreak/>
        <w:t>wysokometanowego wprowadzanego do sieci przesyłowej</w:t>
      </w:r>
      <w:r w:rsidRPr="00F30D22">
        <w:rPr>
          <w:rFonts w:ascii="Times New Roman" w:eastAsia="Times New Roman" w:hAnsi="Times New Roman" w:cs="Times New Roman"/>
          <w:sz w:val="24"/>
          <w:szCs w:val="20"/>
          <w:vertAlign w:val="superscript"/>
          <w:lang w:eastAsia="pl-PL"/>
        </w:rPr>
        <w:footnoteReference w:id="6"/>
      </w:r>
      <w:r w:rsidRPr="00F30D22">
        <w:rPr>
          <w:rFonts w:ascii="Times New Roman" w:eastAsia="Times New Roman" w:hAnsi="Times New Roman" w:cs="Arial"/>
          <w:sz w:val="24"/>
          <w:szCs w:val="20"/>
          <w:vertAlign w:val="superscript"/>
          <w:lang w:eastAsia="pl-PL"/>
        </w:rPr>
        <w:t>)</w:t>
      </w:r>
      <w:r w:rsidRPr="00F30D22">
        <w:rPr>
          <w:rFonts w:ascii="Times New Roman" w:eastAsia="Times New Roman" w:hAnsi="Times New Roman" w:cs="Arial"/>
          <w:sz w:val="24"/>
          <w:szCs w:val="20"/>
          <w:lang w:eastAsia="pl-PL"/>
        </w:rPr>
        <w:t>, zaistnieć miały</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warunki dla zwolnienia przedsiębiorstw energetycznych posiadających koncesje na obrót paliwami gazowymi lub obrót gazem ziemnym z zagranicą</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z obowiązku przedkładania do zatwierdzenia taryf dla paliw gazowych w zakresie sprzedaży gazu ziemnego wysokometanowego:</w:t>
      </w:r>
    </w:p>
    <w:p w:rsidR="00F30D22" w:rsidRPr="00F30D22" w:rsidRDefault="00F30D22" w:rsidP="00CF358A">
      <w:pPr>
        <w:widowControl w:val="0"/>
        <w:autoSpaceDE w:val="0"/>
        <w:autoSpaceDN w:val="0"/>
        <w:adjustRightInd w:val="0"/>
        <w:spacing w:after="0" w:line="360" w:lineRule="auto"/>
        <w:ind w:left="350" w:hanging="336"/>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ab/>
        <w:t>do odbiorców końcowych, przyłączonych do sieci przesyłowej lub sieci dystrybucyjnej gazu wysokometanowego, którzy zużyli co najmniej 25 mln m³ gazu wysokometanowego w</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poprzednim roku kalendarzowym oraz</w:t>
      </w:r>
      <w:r w:rsidR="005F187F">
        <w:rPr>
          <w:rFonts w:ascii="Times New Roman" w:eastAsia="Times New Roman" w:hAnsi="Times New Roman" w:cs="Arial"/>
          <w:sz w:val="24"/>
          <w:szCs w:val="20"/>
          <w:lang w:eastAsia="pl-PL"/>
        </w:rPr>
        <w:t xml:space="preserve"> </w:t>
      </w:r>
    </w:p>
    <w:p w:rsidR="00F30D22" w:rsidRPr="00F30D22" w:rsidRDefault="00F30D22" w:rsidP="00CF358A">
      <w:pPr>
        <w:widowControl w:val="0"/>
        <w:autoSpaceDE w:val="0"/>
        <w:autoSpaceDN w:val="0"/>
        <w:adjustRightInd w:val="0"/>
        <w:spacing w:after="0" w:line="360" w:lineRule="auto"/>
        <w:ind w:left="350" w:hanging="336"/>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ab/>
        <w:t>do przedsiębiorstw energetycznych nabywających gaz ziemny wysokometanowy na potrzeby wykonywania działalności w zakresie przesyłania, dystrybucji, magazynowania, skraplania lub regazyfikacji gazu ziemnego.</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 xml:space="preserve">Co więcej Prezes URE wskazał w komunikacie, że zwiększenie obowiązku publicznej sprzedaży gazu wysokometanowego do poziomu 40%, a następnie 55% gazu wprowadzonego do sieci przesyłowej dawać </w:t>
      </w:r>
      <w:r w:rsidR="00D02E43">
        <w:rPr>
          <w:rFonts w:ascii="Times New Roman" w:eastAsia="Times New Roman" w:hAnsi="Times New Roman" w:cs="Arial"/>
          <w:sz w:val="24"/>
          <w:szCs w:val="20"/>
          <w:lang w:eastAsia="pl-PL"/>
        </w:rPr>
        <w:t>będzie podstawy do zwolnienia z </w:t>
      </w:r>
      <w:r w:rsidRPr="00F30D22">
        <w:rPr>
          <w:rFonts w:ascii="Times New Roman" w:eastAsia="Times New Roman" w:hAnsi="Times New Roman" w:cs="Arial"/>
          <w:sz w:val="24"/>
          <w:szCs w:val="20"/>
          <w:lang w:eastAsia="pl-PL"/>
        </w:rPr>
        <w:t>obowiązku zatwierdzania taryf dla pozostałych grup komercyjnych odbiorców gazu wysokometanowego. Po zwiększeniu obowiązku sprzedaży na giełdzie do poziomu 40% gazu wysokometanowego wprowadzonego do sieci przesyłowej zwolnienie mogło objąć dużych odbiorców gazu wysokometanowego (tj. odbiorców zużywających powyżej 2,5 mln m</w:t>
      </w:r>
      <w:r w:rsidRPr="00D02E43">
        <w:rPr>
          <w:rFonts w:ascii="Times New Roman" w:eastAsia="Times New Roman" w:hAnsi="Times New Roman" w:cs="Arial"/>
          <w:sz w:val="24"/>
          <w:szCs w:val="20"/>
          <w:vertAlign w:val="superscript"/>
          <w:lang w:eastAsia="pl-PL"/>
        </w:rPr>
        <w:t>3</w:t>
      </w:r>
      <w:r w:rsidRPr="00F30D22">
        <w:rPr>
          <w:rFonts w:ascii="Times New Roman" w:eastAsia="Times New Roman" w:hAnsi="Times New Roman" w:cs="Arial"/>
          <w:sz w:val="24"/>
          <w:szCs w:val="20"/>
          <w:lang w:eastAsia="pl-PL"/>
        </w:rPr>
        <w:t xml:space="preserve"> gazu rocznie), natomiast po wprowadzeniu obowiązku na poziomie 55% oraz przy jednoczesnym rozwoju pozagiełdowego hurtowego rynku gazu (OTC) – pozostałych odbiorców przyłączonych do sieci gazu wysokometanowego, niebędących gospodarstwami domowymi. </w:t>
      </w:r>
    </w:p>
    <w:p w:rsidR="00F30D22" w:rsidRPr="00F30D22" w:rsidRDefault="00F30D22" w:rsidP="00CF358A">
      <w:pPr>
        <w:widowControl w:val="0"/>
        <w:autoSpaceDE w:val="0"/>
        <w:autoSpaceDN w:val="0"/>
        <w:adjustRightInd w:val="0"/>
        <w:spacing w:before="240" w:after="0" w:line="360" w:lineRule="auto"/>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III.</w:t>
      </w:r>
      <w:r w:rsidRPr="00F30D22">
        <w:rPr>
          <w:rFonts w:ascii="Times New Roman" w:eastAsia="Times New Roman" w:hAnsi="Times New Roman" w:cs="Arial"/>
          <w:sz w:val="24"/>
          <w:szCs w:val="20"/>
          <w:lang w:eastAsia="pl-PL"/>
        </w:rPr>
        <w:t xml:space="preserve"> Prezes URE dokonał zwolnienia z</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obowiązku przedkładania taryf do zatwierdzenia podmiotów, które złożyły odpowiednie wnioski w zakresie obrotu gazem ziemnym: na giełdzie towarowej, na hurtowym rynku gazu i w postaci skroplonej LNG i</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 xml:space="preserve">CNG oraz sprzedaży gazu ziemnego do operatorów systemów gazowych w celu realizacji ich zadań określonych w ustawie </w:t>
      </w:r>
      <w:r w:rsidR="005F187F">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lang w:eastAsia="pl-PL"/>
        </w:rPr>
        <w:t xml:space="preserve"> Prawo energetyczne (na potrzeby wykonywania ich działalności w zakresie przesyłania, dystrybucji, magazynowania, skraplania gazu ziemnego lub regazyfikacji skroplonego gazu ziemnego).</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Mimo powyższych działań Komisja Europejska nie zdecydowała się na zawieszenie postępowania przeciwko Rzecz</w:t>
      </w:r>
      <w:r w:rsidR="00A91693">
        <w:rPr>
          <w:rFonts w:ascii="Times New Roman" w:eastAsia="Times New Roman" w:hAnsi="Times New Roman" w:cs="Arial"/>
          <w:sz w:val="24"/>
          <w:szCs w:val="20"/>
          <w:lang w:eastAsia="pl-PL"/>
        </w:rPr>
        <w:t>y</w:t>
      </w:r>
      <w:r w:rsidRPr="00F30D22">
        <w:rPr>
          <w:rFonts w:ascii="Times New Roman" w:eastAsia="Times New Roman" w:hAnsi="Times New Roman" w:cs="Arial"/>
          <w:sz w:val="24"/>
          <w:szCs w:val="20"/>
          <w:lang w:eastAsia="pl-PL"/>
        </w:rPr>
        <w:t>pospolitej Polskiej</w:t>
      </w:r>
      <w:r w:rsidR="001A333D">
        <w:rPr>
          <w:rFonts w:ascii="Times New Roman" w:eastAsia="Times New Roman" w:hAnsi="Times New Roman" w:cs="Arial"/>
          <w:sz w:val="24"/>
          <w:szCs w:val="20"/>
          <w:lang w:eastAsia="pl-PL"/>
        </w:rPr>
        <w:t xml:space="preserve"> i </w:t>
      </w:r>
      <w:r w:rsidRPr="00F30D22">
        <w:rPr>
          <w:rFonts w:ascii="Times New Roman" w:eastAsia="Times New Roman" w:hAnsi="Times New Roman" w:cs="Arial"/>
          <w:sz w:val="24"/>
          <w:szCs w:val="20"/>
          <w:lang w:eastAsia="pl-PL"/>
        </w:rPr>
        <w:t xml:space="preserve">kontynuowała sprawę, kierując ją </w:t>
      </w:r>
      <w:r w:rsidRPr="00F30D22">
        <w:rPr>
          <w:rFonts w:ascii="Times New Roman" w:eastAsia="Times New Roman" w:hAnsi="Times New Roman" w:cs="Arial"/>
          <w:sz w:val="24"/>
          <w:szCs w:val="20"/>
          <w:lang w:eastAsia="pl-PL"/>
        </w:rPr>
        <w:lastRenderedPageBreak/>
        <w:t xml:space="preserve">do TSUE. </w:t>
      </w:r>
    </w:p>
    <w:p w:rsidR="00F30D22" w:rsidRPr="00F30D22" w:rsidRDefault="00F30D22" w:rsidP="00CF358A">
      <w:pPr>
        <w:widowControl w:val="0"/>
        <w:autoSpaceDE w:val="0"/>
        <w:autoSpaceDN w:val="0"/>
        <w:adjustRightInd w:val="0"/>
        <w:spacing w:before="240" w:after="0" w:line="360" w:lineRule="auto"/>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IV.</w:t>
      </w:r>
      <w:r w:rsidRPr="00F30D22">
        <w:rPr>
          <w:rFonts w:ascii="Times New Roman" w:eastAsia="Times New Roman" w:hAnsi="Times New Roman" w:cs="Arial"/>
          <w:sz w:val="24"/>
          <w:szCs w:val="20"/>
          <w:lang w:eastAsia="pl-PL"/>
        </w:rPr>
        <w:t xml:space="preserve"> Projektowane przepisy przewidują całkowitą rezygnację z regulowania cen gazu ziemnego poprzez wprowadzenie do ustawy – Prawo energetyczne przepisu przewidującego zwolnienie przedsiębiorstw energetycznych posiadających koncesję na obrót paliwami gazowymi lub koncesję na obrót gazem ziemnym z</w:t>
      </w:r>
      <w:r w:rsidR="005F187F">
        <w:rPr>
          <w:rFonts w:ascii="Times New Roman" w:eastAsia="Times New Roman" w:hAnsi="Times New Roman" w:cs="Arial"/>
          <w:sz w:val="24"/>
          <w:szCs w:val="20"/>
          <w:lang w:eastAsia="pl-PL"/>
        </w:rPr>
        <w:t xml:space="preserve"> </w:t>
      </w:r>
      <w:r w:rsidR="00D02E43">
        <w:rPr>
          <w:rFonts w:ascii="Times New Roman" w:eastAsia="Times New Roman" w:hAnsi="Times New Roman" w:cs="Arial"/>
          <w:sz w:val="24"/>
          <w:szCs w:val="20"/>
          <w:lang w:eastAsia="pl-PL"/>
        </w:rPr>
        <w:t>zagranicą i </w:t>
      </w:r>
      <w:r w:rsidRPr="00F30D22">
        <w:rPr>
          <w:rFonts w:ascii="Times New Roman" w:eastAsia="Times New Roman" w:hAnsi="Times New Roman" w:cs="Arial"/>
          <w:sz w:val="24"/>
          <w:szCs w:val="20"/>
          <w:lang w:eastAsia="pl-PL"/>
        </w:rPr>
        <w:t>prowadzących działalność gospodarczą w</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zakresie sprzedaży paliw gazowych z obowiązku przedkładania taryfy do zatwierdzenia przez Prezesa URE.</w:t>
      </w:r>
    </w:p>
    <w:p w:rsidR="00D02E43" w:rsidRDefault="00F30D22" w:rsidP="00D02E43">
      <w:pPr>
        <w:widowControl w:val="0"/>
        <w:autoSpaceDE w:val="0"/>
        <w:autoSpaceDN w:val="0"/>
        <w:adjustRightInd w:val="0"/>
        <w:spacing w:before="120" w:after="60" w:line="360" w:lineRule="auto"/>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Harmonogram rezygnacji z zatwierdzania i stosowania taryf dla obrotu gazem ziemnym</w:t>
      </w:r>
    </w:p>
    <w:p w:rsidR="00F30D22" w:rsidRPr="00F30D22" w:rsidRDefault="00F30D22" w:rsidP="00D02E43">
      <w:pPr>
        <w:widowControl w:val="0"/>
        <w:autoSpaceDE w:val="0"/>
        <w:autoSpaceDN w:val="0"/>
        <w:adjustRightInd w:val="0"/>
        <w:spacing w:before="60" w:after="12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Z obowiązku ustalania i przedkładania do zatwierdzenia przez Prezesa URE oraz stosowania taryf:</w:t>
      </w:r>
    </w:p>
    <w:p w:rsidR="00F30D22" w:rsidRPr="00F30D22" w:rsidRDefault="00F30D22" w:rsidP="00CF358A">
      <w:pPr>
        <w:widowControl w:val="0"/>
        <w:autoSpaceDE w:val="0"/>
        <w:autoSpaceDN w:val="0"/>
        <w:adjustRightInd w:val="0"/>
        <w:spacing w:after="0" w:line="360" w:lineRule="auto"/>
        <w:ind w:left="284" w:hanging="284"/>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1)</w:t>
      </w:r>
      <w:r w:rsidRPr="00D02E43">
        <w:rPr>
          <w:rFonts w:ascii="Times New Roman" w:eastAsia="Times New Roman" w:hAnsi="Times New Roman" w:cs="Arial"/>
          <w:sz w:val="24"/>
          <w:szCs w:val="20"/>
          <w:lang w:eastAsia="pl-PL"/>
        </w:rPr>
        <w:tab/>
      </w:r>
      <w:r w:rsidRPr="00F30D22">
        <w:rPr>
          <w:rFonts w:ascii="Times New Roman" w:eastAsia="Times New Roman" w:hAnsi="Times New Roman" w:cs="Arial"/>
          <w:sz w:val="24"/>
          <w:szCs w:val="20"/>
          <w:lang w:eastAsia="pl-PL"/>
        </w:rPr>
        <w:t xml:space="preserve">w dniu wejścia w życie projektowanej ustawy zostaną zwolnione przedsiębiorstwa obrotu w zakresie sprzedaży: </w:t>
      </w:r>
    </w:p>
    <w:p w:rsidR="00F30D22" w:rsidRPr="00F30D22" w:rsidRDefault="00F30D22" w:rsidP="00CF358A">
      <w:pPr>
        <w:widowControl w:val="0"/>
        <w:autoSpaceDE w:val="0"/>
        <w:autoSpaceDN w:val="0"/>
        <w:adjustRightInd w:val="0"/>
        <w:spacing w:after="0" w:line="360" w:lineRule="auto"/>
        <w:ind w:left="709" w:hanging="425"/>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vertAlign w:val="superscript"/>
          <w:lang w:eastAsia="pl-PL"/>
        </w:rPr>
        <w:tab/>
      </w:r>
      <w:r w:rsidRPr="00F30D22">
        <w:rPr>
          <w:rFonts w:ascii="Times New Roman" w:eastAsia="Times New Roman" w:hAnsi="Times New Roman" w:cs="Arial"/>
          <w:sz w:val="24"/>
          <w:szCs w:val="20"/>
          <w:lang w:eastAsia="pl-PL"/>
        </w:rPr>
        <w:t>na rynku hurtowym;</w:t>
      </w:r>
    </w:p>
    <w:p w:rsidR="00F30D22" w:rsidRPr="00F30D22" w:rsidRDefault="00F30D22" w:rsidP="00CF358A">
      <w:pPr>
        <w:widowControl w:val="0"/>
        <w:autoSpaceDE w:val="0"/>
        <w:autoSpaceDN w:val="0"/>
        <w:adjustRightInd w:val="0"/>
        <w:spacing w:after="0" w:line="360" w:lineRule="auto"/>
        <w:ind w:left="709" w:hanging="425"/>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vertAlign w:val="superscript"/>
          <w:lang w:eastAsia="pl-PL"/>
        </w:rPr>
        <w:tab/>
      </w:r>
      <w:r w:rsidRPr="00F30D22">
        <w:rPr>
          <w:rFonts w:ascii="Times New Roman" w:eastAsia="Times New Roman" w:hAnsi="Times New Roman" w:cs="Arial"/>
          <w:sz w:val="24"/>
          <w:szCs w:val="20"/>
          <w:lang w:eastAsia="pl-PL"/>
        </w:rPr>
        <w:t>w punkcie wirtualnym (w tym na giełdzie towarowej);</w:t>
      </w:r>
    </w:p>
    <w:p w:rsidR="00F30D22" w:rsidRPr="00F30D22" w:rsidRDefault="00F30D22" w:rsidP="00CF358A">
      <w:pPr>
        <w:widowControl w:val="0"/>
        <w:autoSpaceDE w:val="0"/>
        <w:autoSpaceDN w:val="0"/>
        <w:adjustRightInd w:val="0"/>
        <w:spacing w:after="0" w:line="360" w:lineRule="auto"/>
        <w:ind w:left="709" w:hanging="425"/>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vertAlign w:val="superscript"/>
          <w:lang w:eastAsia="pl-PL"/>
        </w:rPr>
        <w:tab/>
      </w:r>
      <w:r w:rsidRPr="00F30D22">
        <w:rPr>
          <w:rFonts w:ascii="Times New Roman" w:eastAsia="Times New Roman" w:hAnsi="Times New Roman" w:cs="Arial"/>
          <w:sz w:val="24"/>
          <w:szCs w:val="20"/>
          <w:lang w:eastAsia="pl-PL"/>
        </w:rPr>
        <w:t>sprężonym gazem ziemnym CNG;</w:t>
      </w:r>
    </w:p>
    <w:p w:rsidR="00F30D22" w:rsidRPr="00F30D22" w:rsidRDefault="00F30D22" w:rsidP="00CF358A">
      <w:pPr>
        <w:widowControl w:val="0"/>
        <w:autoSpaceDE w:val="0"/>
        <w:autoSpaceDN w:val="0"/>
        <w:adjustRightInd w:val="0"/>
        <w:spacing w:after="0" w:line="360" w:lineRule="auto"/>
        <w:ind w:left="709" w:hanging="425"/>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vertAlign w:val="superscript"/>
          <w:lang w:eastAsia="pl-PL"/>
        </w:rPr>
        <w:tab/>
      </w:r>
      <w:r w:rsidRPr="00F30D22">
        <w:rPr>
          <w:rFonts w:ascii="Times New Roman" w:eastAsia="Times New Roman" w:hAnsi="Times New Roman" w:cs="Arial"/>
          <w:sz w:val="24"/>
          <w:szCs w:val="20"/>
          <w:lang w:eastAsia="pl-PL"/>
        </w:rPr>
        <w:t>skroplonym gazem ziemnym LNG;</w:t>
      </w:r>
    </w:p>
    <w:p w:rsidR="00F30D22" w:rsidRPr="00F30D22" w:rsidRDefault="00F30D22" w:rsidP="00CF358A">
      <w:pPr>
        <w:widowControl w:val="0"/>
        <w:autoSpaceDE w:val="0"/>
        <w:autoSpaceDN w:val="0"/>
        <w:adjustRightInd w:val="0"/>
        <w:spacing w:after="0" w:line="360" w:lineRule="auto"/>
        <w:ind w:left="709" w:hanging="425"/>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vertAlign w:val="superscript"/>
          <w:lang w:eastAsia="pl-PL"/>
        </w:rPr>
        <w:tab/>
      </w:r>
      <w:r w:rsidRPr="00F30D22">
        <w:rPr>
          <w:rFonts w:ascii="Times New Roman" w:eastAsia="Times New Roman" w:hAnsi="Times New Roman" w:cs="Arial"/>
          <w:sz w:val="24"/>
          <w:szCs w:val="20"/>
          <w:lang w:eastAsia="pl-PL"/>
        </w:rPr>
        <w:t>w trybie przetargów, aukcji i zamówień publicznych w rozumieniu przepisów o zamówieniach publicznych</w:t>
      </w:r>
      <w:r w:rsidR="00A91693">
        <w:rPr>
          <w:rFonts w:ascii="Times New Roman" w:eastAsia="Times New Roman" w:hAnsi="Times New Roman" w:cs="Arial"/>
          <w:sz w:val="24"/>
          <w:szCs w:val="20"/>
          <w:lang w:eastAsia="pl-PL"/>
        </w:rPr>
        <w:t>;</w:t>
      </w:r>
    </w:p>
    <w:p w:rsidR="00F30D22" w:rsidRPr="00F30D22" w:rsidRDefault="00F30D22" w:rsidP="00CF358A">
      <w:pPr>
        <w:widowControl w:val="0"/>
        <w:autoSpaceDE w:val="0"/>
        <w:autoSpaceDN w:val="0"/>
        <w:adjustRightInd w:val="0"/>
        <w:spacing w:after="0" w:line="360" w:lineRule="auto"/>
        <w:ind w:left="284" w:hanging="284"/>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2)</w:t>
      </w:r>
      <w:r w:rsidRPr="00F30D22">
        <w:rPr>
          <w:rFonts w:ascii="Times New Roman" w:eastAsia="Times New Roman" w:hAnsi="Times New Roman" w:cs="Arial"/>
          <w:sz w:val="24"/>
          <w:szCs w:val="20"/>
          <w:lang w:eastAsia="pl-PL"/>
        </w:rPr>
        <w:tab/>
        <w:t>z dniem 1 października 2017 r. zostaną zwolnione przedsiębiorstwa obrotu dostarczające gaz do wszystkich odbiorców końcowych,</w:t>
      </w:r>
      <w:r w:rsidRPr="00F30D22" w:rsidDel="00E64CC2">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z</w:t>
      </w:r>
      <w:r w:rsidR="005F187F">
        <w:rPr>
          <w:rFonts w:ascii="Times New Roman" w:eastAsia="Times New Roman" w:hAnsi="Times New Roman" w:cs="Arial"/>
          <w:sz w:val="24"/>
          <w:szCs w:val="20"/>
          <w:lang w:eastAsia="pl-PL"/>
        </w:rPr>
        <w:t xml:space="preserve"> </w:t>
      </w:r>
      <w:r w:rsidR="00D02E43">
        <w:rPr>
          <w:rFonts w:ascii="Times New Roman" w:eastAsia="Times New Roman" w:hAnsi="Times New Roman" w:cs="Arial"/>
          <w:sz w:val="24"/>
          <w:szCs w:val="20"/>
          <w:lang w:eastAsia="pl-PL"/>
        </w:rPr>
        <w:t>wyjątkiem odbiorców w </w:t>
      </w:r>
      <w:r w:rsidRPr="00F30D22">
        <w:rPr>
          <w:rFonts w:ascii="Times New Roman" w:eastAsia="Times New Roman" w:hAnsi="Times New Roman" w:cs="Arial"/>
          <w:sz w:val="24"/>
          <w:szCs w:val="20"/>
          <w:lang w:eastAsia="pl-PL"/>
        </w:rPr>
        <w:t>gospodarstwach domowych</w:t>
      </w:r>
      <w:r w:rsidR="00A91693">
        <w:rPr>
          <w:rFonts w:ascii="Times New Roman" w:eastAsia="Times New Roman" w:hAnsi="Times New Roman" w:cs="Arial"/>
          <w:sz w:val="24"/>
          <w:szCs w:val="20"/>
          <w:lang w:eastAsia="pl-PL"/>
        </w:rPr>
        <w:t>;</w:t>
      </w:r>
    </w:p>
    <w:p w:rsidR="00F30D22" w:rsidRPr="00F30D22" w:rsidRDefault="00F30D22" w:rsidP="00CF358A">
      <w:pPr>
        <w:widowControl w:val="0"/>
        <w:autoSpaceDE w:val="0"/>
        <w:autoSpaceDN w:val="0"/>
        <w:adjustRightInd w:val="0"/>
        <w:spacing w:after="0" w:line="360" w:lineRule="auto"/>
        <w:ind w:left="284" w:hanging="284"/>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3)</w:t>
      </w:r>
      <w:r w:rsidRPr="00F30D22">
        <w:rPr>
          <w:rFonts w:ascii="Times New Roman" w:eastAsia="Times New Roman" w:hAnsi="Times New Roman" w:cs="Arial"/>
          <w:sz w:val="24"/>
          <w:szCs w:val="20"/>
          <w:lang w:eastAsia="pl-PL"/>
        </w:rPr>
        <w:tab/>
        <w:t xml:space="preserve">z dniem 1 stycznia 2024 r. zostaną zwolnione przedsiębiorstwa dostarczające gaz ziemny do odbiorców w gospodarstwach domowych. </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Należy zwrócić uwagę, że po dniu 30 września 2017 r. w odniesieniu do sprzedaży paliw gazowych do odbiorców przemysłowych or</w:t>
      </w:r>
      <w:r w:rsidR="00D02E43">
        <w:rPr>
          <w:rFonts w:ascii="Times New Roman" w:eastAsia="Times New Roman" w:hAnsi="Times New Roman" w:cs="Arial"/>
          <w:sz w:val="24"/>
          <w:szCs w:val="20"/>
          <w:lang w:eastAsia="pl-PL"/>
        </w:rPr>
        <w:t>az po dniu 31 grudnia 2023 r. w </w:t>
      </w:r>
      <w:r w:rsidRPr="00F30D22">
        <w:rPr>
          <w:rFonts w:ascii="Times New Roman" w:eastAsia="Times New Roman" w:hAnsi="Times New Roman" w:cs="Arial"/>
          <w:sz w:val="24"/>
          <w:szCs w:val="20"/>
          <w:lang w:eastAsia="pl-PL"/>
        </w:rPr>
        <w:t xml:space="preserve">odniesieniu do sprzedaży paliw gazowych do odbiorców w gospodarstwach domowych Prezes URE nie będzie uprawniony, zarówno do zatwierdzania taryfy, jak również do wymagania od przedsiębiorstwa obrotu stosowania cen paliw gazowych wynikających z taryfy. </w:t>
      </w:r>
    </w:p>
    <w:p w:rsidR="00F30D22" w:rsidRPr="00F30D22" w:rsidRDefault="00D02E43" w:rsidP="00D02E43">
      <w:pPr>
        <w:widowControl w:val="0"/>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Ad</w:t>
      </w:r>
      <w:r w:rsidR="00A91693">
        <w:rPr>
          <w:rFonts w:ascii="Times New Roman" w:eastAsia="Times New Roman" w:hAnsi="Times New Roman" w:cs="Arial"/>
          <w:sz w:val="24"/>
          <w:szCs w:val="20"/>
          <w:lang w:eastAsia="pl-PL"/>
        </w:rPr>
        <w:t xml:space="preserve"> </w:t>
      </w:r>
      <w:r w:rsidR="00F30D22" w:rsidRPr="00D02E43">
        <w:rPr>
          <w:rFonts w:ascii="Times New Roman" w:eastAsia="Times New Roman" w:hAnsi="Times New Roman" w:cs="Arial"/>
          <w:sz w:val="24"/>
          <w:szCs w:val="20"/>
          <w:lang w:eastAsia="pl-PL"/>
        </w:rPr>
        <w:t>1</w:t>
      </w:r>
      <w:r w:rsidR="00A91693">
        <w:rPr>
          <w:rFonts w:ascii="Times New Roman" w:eastAsia="Times New Roman" w:hAnsi="Times New Roman" w:cs="Arial"/>
          <w:sz w:val="24"/>
          <w:szCs w:val="20"/>
          <w:lang w:eastAsia="pl-PL"/>
        </w:rPr>
        <w:t xml:space="preserve">. </w:t>
      </w:r>
      <w:r w:rsidR="00F30D22" w:rsidRPr="00F30D22">
        <w:rPr>
          <w:rFonts w:ascii="Times New Roman" w:eastAsia="Times New Roman" w:hAnsi="Times New Roman" w:cs="Arial"/>
          <w:sz w:val="24"/>
          <w:szCs w:val="20"/>
          <w:lang w:eastAsia="pl-PL"/>
        </w:rPr>
        <w:t xml:space="preserve">Z chwilą wejścia w życie ustawa usunie obowiązek przedkładania przez przedsiębiorstwa energetyczne do zatwierdzenia oraz stosowania taryf w zakresie obrotu gazem ziemnym prowadzonym na rynku hurtowym oraz w punkcie wirtualnym </w:t>
      </w:r>
      <w:r w:rsidR="00F30D22" w:rsidRPr="00F30D22">
        <w:rPr>
          <w:rFonts w:ascii="Times New Roman" w:eastAsia="Times New Roman" w:hAnsi="Times New Roman" w:cs="Arial"/>
          <w:sz w:val="24"/>
          <w:szCs w:val="20"/>
          <w:lang w:eastAsia="pl-PL"/>
        </w:rPr>
        <w:lastRenderedPageBreak/>
        <w:t xml:space="preserve">(w tym transakcji zawieranych na giełdzie towarowej), jak również skroplonym gazem ziemnym (LNG) i sprężonym gazem ziemnym (CNG). </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Powyższe rozwiązanie ma na celu m.in. usankcjonowanie obecnej sytuacji faktycznej, tj. zwolnienia przedsiębiorstw energetycznych w ww. zakresie z obowiązku przedkładania taryf do zatwierdzenia w drodze indywidualnych decyzji administracyjnych Prezesa URE, wydawanych w ślad za komunikatami dotyczącymi możliwości składania przez takie przedsięb</w:t>
      </w:r>
      <w:r w:rsidR="00D02E43">
        <w:rPr>
          <w:rFonts w:ascii="Times New Roman" w:eastAsia="Times New Roman" w:hAnsi="Times New Roman" w:cs="Arial"/>
          <w:sz w:val="24"/>
          <w:szCs w:val="20"/>
          <w:lang w:eastAsia="pl-PL"/>
        </w:rPr>
        <w:t>iorstwa energetyczne wniosków o </w:t>
      </w:r>
      <w:r w:rsidRPr="00F30D22">
        <w:rPr>
          <w:rFonts w:ascii="Times New Roman" w:eastAsia="Times New Roman" w:hAnsi="Times New Roman" w:cs="Arial"/>
          <w:sz w:val="24"/>
          <w:szCs w:val="20"/>
          <w:lang w:eastAsia="pl-PL"/>
        </w:rPr>
        <w:t>zwolnienie z obowiązku przedkładania taryf w zakresie obrotu gazem ziemnym:</w:t>
      </w:r>
    </w:p>
    <w:p w:rsidR="00F30D22" w:rsidRPr="00F30D22" w:rsidRDefault="00F30D22" w:rsidP="00CF358A">
      <w:pPr>
        <w:widowControl w:val="0"/>
        <w:autoSpaceDE w:val="0"/>
        <w:autoSpaceDN w:val="0"/>
        <w:adjustRightInd w:val="0"/>
        <w:spacing w:after="0" w:line="360" w:lineRule="auto"/>
        <w:ind w:left="308" w:hanging="322"/>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ab/>
        <w:t>w postaci CNG (od marca 2008 r.),</w:t>
      </w:r>
    </w:p>
    <w:p w:rsidR="00F30D22" w:rsidRPr="00F30D22" w:rsidRDefault="00F30D22" w:rsidP="00CF358A">
      <w:pPr>
        <w:widowControl w:val="0"/>
        <w:autoSpaceDE w:val="0"/>
        <w:autoSpaceDN w:val="0"/>
        <w:adjustRightInd w:val="0"/>
        <w:spacing w:after="0" w:line="360" w:lineRule="auto"/>
        <w:ind w:left="308" w:hanging="322"/>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lang w:eastAsia="pl-PL"/>
        </w:rPr>
        <w:tab/>
        <w:t xml:space="preserve">na giełdzie towarowej (od grudnia 2012 r.), </w:t>
      </w:r>
    </w:p>
    <w:p w:rsidR="00F30D22" w:rsidRPr="00F30D22" w:rsidRDefault="00F30D22" w:rsidP="00CF358A">
      <w:pPr>
        <w:widowControl w:val="0"/>
        <w:autoSpaceDE w:val="0"/>
        <w:autoSpaceDN w:val="0"/>
        <w:adjustRightInd w:val="0"/>
        <w:spacing w:after="0" w:line="360" w:lineRule="auto"/>
        <w:ind w:left="308" w:hanging="322"/>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lang w:eastAsia="pl-PL"/>
        </w:rPr>
        <w:tab/>
        <w:t xml:space="preserve">na hurtowym rynku gazu (od lutego 2013 r.), </w:t>
      </w:r>
    </w:p>
    <w:p w:rsidR="00F30D22" w:rsidRPr="00F30D22" w:rsidRDefault="00F30D22" w:rsidP="00CF358A">
      <w:pPr>
        <w:widowControl w:val="0"/>
        <w:autoSpaceDE w:val="0"/>
        <w:autoSpaceDN w:val="0"/>
        <w:adjustRightInd w:val="0"/>
        <w:spacing w:after="0" w:line="360" w:lineRule="auto"/>
        <w:ind w:left="308" w:hanging="322"/>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ab/>
        <w:t>w postaci skroplonej LNG (od czerwca 2013 r.)</w:t>
      </w:r>
    </w:p>
    <w:p w:rsidR="00F30D22" w:rsidRPr="00F30D22" w:rsidRDefault="00F30D22" w:rsidP="00CF358A">
      <w:pPr>
        <w:widowControl w:val="0"/>
        <w:autoSpaceDE w:val="0"/>
        <w:autoSpaceDN w:val="0"/>
        <w:adjustRightInd w:val="0"/>
        <w:spacing w:after="0" w:line="360" w:lineRule="auto"/>
        <w:ind w:left="308" w:hanging="322"/>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lang w:eastAsia="pl-PL"/>
        </w:rPr>
        <w:tab/>
      </w:r>
      <w:r w:rsidRPr="00F30D22">
        <w:rPr>
          <w:rFonts w:ascii="Times New Roman" w:eastAsia="Times New Roman" w:hAnsi="Times New Roman" w:cs="Arial"/>
          <w:bCs/>
          <w:color w:val="000000"/>
          <w:sz w:val="24"/>
          <w:szCs w:val="24"/>
          <w:lang w:eastAsia="pl-PL"/>
        </w:rPr>
        <w:t>do operatorów systemów gazowych w celu realizacji ich zadań określonych w ustawie – Prawo energetyczne (na potrzeby wykonywania ich działalności w zakresie przesyłania, dystrybucji, magazynowania, skraplania lub regazyfikacji</w:t>
      </w:r>
      <w:r w:rsidR="00A91693">
        <w:rPr>
          <w:rFonts w:ascii="Times New Roman" w:eastAsia="Times New Roman" w:hAnsi="Times New Roman" w:cs="Arial"/>
          <w:bCs/>
          <w:color w:val="000000"/>
          <w:sz w:val="24"/>
          <w:szCs w:val="24"/>
          <w:lang w:eastAsia="pl-PL"/>
        </w:rPr>
        <w:t>)</w:t>
      </w:r>
      <w:r w:rsidRPr="00F30D22">
        <w:rPr>
          <w:rFonts w:ascii="Times New Roman" w:eastAsia="Times New Roman" w:hAnsi="Times New Roman" w:cs="Arial"/>
          <w:bCs/>
          <w:color w:val="000000"/>
          <w:sz w:val="24"/>
          <w:szCs w:val="24"/>
          <w:lang w:eastAsia="pl-PL"/>
        </w:rPr>
        <w:t xml:space="preserve">. </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W tym zakresie niemalże wszystkie podmioty, które wystąpiły o zwolnienie, otrzymały pozytywną decyzję. W tym zakresie sytuacja nie ulegnie zmianie – projekt nie przewiduje wzruszenia decyzji indywidualny</w:t>
      </w:r>
      <w:r w:rsidR="00D02E43">
        <w:rPr>
          <w:rFonts w:ascii="Times New Roman" w:eastAsia="Times New Roman" w:hAnsi="Times New Roman" w:cs="Arial"/>
          <w:sz w:val="24"/>
          <w:szCs w:val="20"/>
          <w:lang w:eastAsia="pl-PL"/>
        </w:rPr>
        <w:t>ch wydanych przez Prezesa URE w </w:t>
      </w:r>
      <w:r w:rsidRPr="00F30D22">
        <w:rPr>
          <w:rFonts w:ascii="Times New Roman" w:eastAsia="Times New Roman" w:hAnsi="Times New Roman" w:cs="Arial"/>
          <w:sz w:val="24"/>
          <w:szCs w:val="20"/>
          <w:lang w:eastAsia="pl-PL"/>
        </w:rPr>
        <w:t>przedmiocie zwolnienia z obowiązku przedkładania taryf do zatwierdzenia.</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Z dniem wejścia w życie ustawy z obowiązku przedkładania do zatwierdzenia oraz stosowania taryf zostaną również zwolnione przedsiębiorst</w:t>
      </w:r>
      <w:r w:rsidR="00D02E43">
        <w:rPr>
          <w:rFonts w:ascii="Times New Roman" w:eastAsia="Times New Roman" w:hAnsi="Times New Roman" w:cs="Arial"/>
          <w:sz w:val="24"/>
          <w:szCs w:val="20"/>
          <w:lang w:eastAsia="pl-PL"/>
        </w:rPr>
        <w:t>wa dokonujące obrotu w </w:t>
      </w:r>
      <w:r w:rsidRPr="00F30D22">
        <w:rPr>
          <w:rFonts w:ascii="Times New Roman" w:eastAsia="Times New Roman" w:hAnsi="Times New Roman" w:cs="Arial"/>
          <w:sz w:val="24"/>
          <w:szCs w:val="20"/>
          <w:lang w:eastAsia="pl-PL"/>
        </w:rPr>
        <w:t>trybie przetargów, aukcji lub zamówień publi</w:t>
      </w:r>
      <w:r w:rsidR="00D02E43">
        <w:rPr>
          <w:rFonts w:ascii="Times New Roman" w:eastAsia="Times New Roman" w:hAnsi="Times New Roman" w:cs="Arial"/>
          <w:sz w:val="24"/>
          <w:szCs w:val="20"/>
          <w:lang w:eastAsia="pl-PL"/>
        </w:rPr>
        <w:t>cznych w rozumieniu przepisów o </w:t>
      </w:r>
      <w:r w:rsidRPr="00F30D22">
        <w:rPr>
          <w:rFonts w:ascii="Times New Roman" w:eastAsia="Times New Roman" w:hAnsi="Times New Roman" w:cs="Arial"/>
          <w:sz w:val="24"/>
          <w:szCs w:val="20"/>
          <w:lang w:eastAsia="pl-PL"/>
        </w:rPr>
        <w:t>zamówieniach publicznych. Wynika to z samej istoty powyższych postępowań, które zakładają ukształtowanie się ceny w oparciu o</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poziom składanych ofert. Cena zostanie uregulowana przez samych uczestników rynku biorących udział w tych postępowaniach, w związku z czym zbędne jest podtrzymywanie obowiązku taryfowego w tym zakresie.</w:t>
      </w:r>
    </w:p>
    <w:p w:rsidR="00F30D22" w:rsidRPr="00F30D22" w:rsidRDefault="00F30D22" w:rsidP="00D02E43">
      <w:pPr>
        <w:spacing w:before="120" w:after="0" w:line="360" w:lineRule="auto"/>
        <w:jc w:val="both"/>
        <w:rPr>
          <w:rFonts w:ascii="Times" w:eastAsia="Times New Roman" w:hAnsi="Times" w:cs="Arial"/>
          <w:bCs/>
          <w:sz w:val="24"/>
          <w:szCs w:val="20"/>
          <w:vertAlign w:val="superscript"/>
          <w:lang w:eastAsia="pl-PL"/>
        </w:rPr>
      </w:pPr>
      <w:r w:rsidRPr="00D02E43">
        <w:rPr>
          <w:rFonts w:ascii="Times" w:eastAsia="Times New Roman" w:hAnsi="Times" w:cs="Arial"/>
          <w:bCs/>
          <w:sz w:val="24"/>
          <w:szCs w:val="20"/>
          <w:lang w:eastAsia="pl-PL"/>
        </w:rPr>
        <w:t>Ad 2</w:t>
      </w:r>
      <w:r w:rsidR="00A91693">
        <w:rPr>
          <w:rFonts w:ascii="Times" w:eastAsia="Times New Roman" w:hAnsi="Times" w:cs="Arial"/>
          <w:bCs/>
          <w:sz w:val="24"/>
          <w:szCs w:val="20"/>
          <w:lang w:eastAsia="pl-PL"/>
        </w:rPr>
        <w:t xml:space="preserve">. </w:t>
      </w:r>
      <w:r w:rsidRPr="00F30D22">
        <w:rPr>
          <w:rFonts w:ascii="Times" w:eastAsia="Times New Roman" w:hAnsi="Times" w:cs="Arial"/>
          <w:bCs/>
          <w:sz w:val="24"/>
          <w:szCs w:val="20"/>
          <w:lang w:eastAsia="pl-PL"/>
        </w:rPr>
        <w:t>Projektowane przepisy przewidują czasowe utrzymanie (do dnia 1 października 2017 r.) obowiązku przedkładania do zatwierdzenia oraz stosowania taryf dla odbiorców końcowych, z</w:t>
      </w:r>
      <w:r w:rsidR="005F187F">
        <w:rPr>
          <w:rFonts w:ascii="Times" w:eastAsia="Times New Roman" w:hAnsi="Times" w:cs="Arial"/>
          <w:bCs/>
          <w:sz w:val="24"/>
          <w:szCs w:val="20"/>
          <w:lang w:eastAsia="pl-PL"/>
        </w:rPr>
        <w:t xml:space="preserve"> </w:t>
      </w:r>
      <w:r w:rsidRPr="00F30D22">
        <w:rPr>
          <w:rFonts w:ascii="Times" w:eastAsia="Times New Roman" w:hAnsi="Times" w:cs="Arial"/>
          <w:bCs/>
          <w:sz w:val="24"/>
          <w:szCs w:val="20"/>
          <w:lang w:eastAsia="pl-PL"/>
        </w:rPr>
        <w:t>wyjątkiem odbiorc</w:t>
      </w:r>
      <w:r w:rsidR="00D02E43">
        <w:rPr>
          <w:rFonts w:ascii="Times" w:eastAsia="Times New Roman" w:hAnsi="Times" w:cs="Arial"/>
          <w:bCs/>
          <w:sz w:val="24"/>
          <w:szCs w:val="20"/>
          <w:lang w:eastAsia="pl-PL"/>
        </w:rPr>
        <w:t>ów w gospodarstwach domowych. W </w:t>
      </w:r>
      <w:r w:rsidRPr="00F30D22">
        <w:rPr>
          <w:rFonts w:ascii="Times" w:eastAsia="Times New Roman" w:hAnsi="Times" w:cs="Arial"/>
          <w:bCs/>
          <w:sz w:val="24"/>
          <w:szCs w:val="20"/>
          <w:lang w:eastAsia="pl-PL"/>
        </w:rPr>
        <w:t xml:space="preserve">okresie od dnia wejścia w życie ustawy do dnia 30 września 2017 r. przedsiębiorstwa obrotu będą miały obowiązek podjąć starania o dostosowanie przez nie obowiązujących </w:t>
      </w:r>
      <w:r w:rsidRPr="00F30D22">
        <w:rPr>
          <w:rFonts w:ascii="Times" w:eastAsia="Times New Roman" w:hAnsi="Times" w:cs="Arial"/>
          <w:bCs/>
          <w:sz w:val="24"/>
          <w:szCs w:val="20"/>
          <w:lang w:eastAsia="pl-PL"/>
        </w:rPr>
        <w:lastRenderedPageBreak/>
        <w:t>umów sprzedaży i</w:t>
      </w:r>
      <w:r w:rsidR="005F187F">
        <w:rPr>
          <w:rFonts w:ascii="Times" w:eastAsia="Times New Roman" w:hAnsi="Times" w:cs="Arial"/>
          <w:bCs/>
          <w:sz w:val="24"/>
          <w:szCs w:val="20"/>
          <w:lang w:eastAsia="pl-PL"/>
        </w:rPr>
        <w:t xml:space="preserve"> </w:t>
      </w:r>
      <w:r w:rsidRPr="00F30D22">
        <w:rPr>
          <w:rFonts w:ascii="Times" w:eastAsia="Times New Roman" w:hAnsi="Times" w:cs="Arial"/>
          <w:bCs/>
          <w:sz w:val="24"/>
          <w:szCs w:val="20"/>
          <w:lang w:eastAsia="pl-PL"/>
        </w:rPr>
        <w:t>umów kompleksowych w zakresie ceny paliw gazowych dla wszystkich tych odbiorców.</w:t>
      </w:r>
      <w:r w:rsidRPr="00F30D22">
        <w:rPr>
          <w:rFonts w:ascii="Times" w:eastAsia="Times New Roman" w:hAnsi="Times" w:cs="Arial"/>
          <w:bCs/>
          <w:sz w:val="24"/>
          <w:szCs w:val="20"/>
          <w:vertAlign w:val="superscript"/>
          <w:lang w:eastAsia="pl-PL"/>
        </w:rPr>
        <w:t xml:space="preserve"> </w:t>
      </w:r>
    </w:p>
    <w:p w:rsidR="00F30D22" w:rsidRPr="00F30D22" w:rsidRDefault="00D02E43" w:rsidP="00D02E43">
      <w:pPr>
        <w:widowControl w:val="0"/>
        <w:autoSpaceDE w:val="0"/>
        <w:autoSpaceDN w:val="0"/>
        <w:adjustRightInd w:val="0"/>
        <w:spacing w:before="120" w:after="0" w:line="360" w:lineRule="auto"/>
        <w:jc w:val="both"/>
        <w:rPr>
          <w:rFonts w:ascii="Times New Roman" w:eastAsia="Times New Roman" w:hAnsi="Times New Roman" w:cs="Arial"/>
          <w:sz w:val="24"/>
          <w:szCs w:val="20"/>
          <w:lang w:eastAsia="pl-PL"/>
        </w:rPr>
      </w:pPr>
      <w:r>
        <w:rPr>
          <w:rFonts w:ascii="Times New Roman" w:eastAsia="Times New Roman" w:hAnsi="Times New Roman" w:cs="Arial"/>
          <w:sz w:val="24"/>
          <w:szCs w:val="20"/>
          <w:lang w:eastAsia="pl-PL"/>
        </w:rPr>
        <w:t>Ad</w:t>
      </w:r>
      <w:r w:rsidR="00483E06">
        <w:rPr>
          <w:rFonts w:ascii="Times New Roman" w:eastAsia="Times New Roman" w:hAnsi="Times New Roman" w:cs="Arial"/>
          <w:sz w:val="24"/>
          <w:szCs w:val="20"/>
          <w:lang w:eastAsia="pl-PL"/>
        </w:rPr>
        <w:t xml:space="preserve"> </w:t>
      </w:r>
      <w:r w:rsidR="00F30D22" w:rsidRPr="00D02E43">
        <w:rPr>
          <w:rFonts w:ascii="Times New Roman" w:eastAsia="Times New Roman" w:hAnsi="Times New Roman" w:cs="Arial"/>
          <w:sz w:val="24"/>
          <w:szCs w:val="20"/>
          <w:lang w:eastAsia="pl-PL"/>
        </w:rPr>
        <w:t>3</w:t>
      </w:r>
      <w:r w:rsidR="00483E06">
        <w:rPr>
          <w:rFonts w:ascii="Times New Roman" w:eastAsia="Times New Roman" w:hAnsi="Times New Roman" w:cs="Arial"/>
          <w:sz w:val="24"/>
          <w:szCs w:val="20"/>
          <w:lang w:eastAsia="pl-PL"/>
        </w:rPr>
        <w:t xml:space="preserve">. </w:t>
      </w:r>
      <w:r w:rsidR="00F30D22" w:rsidRPr="00F30D22">
        <w:rPr>
          <w:rFonts w:ascii="Times New Roman" w:eastAsia="Times New Roman" w:hAnsi="Times New Roman" w:cs="Arial"/>
          <w:sz w:val="24"/>
          <w:szCs w:val="20"/>
          <w:lang w:eastAsia="pl-PL"/>
        </w:rPr>
        <w:t>Z uwagi na wciąż stosunkowo małą aktywność odbiorców w gospodarstwach domowych w zakresie zmiany dostawcy oraz dalszą potrzebę zwiększania ich świadomości przysługujących praw, niezbędne jest zapewnienie im zdecydowanie dłuższego okresu przejściowego, w czasie którego będą mogli nabywać gaz ziemny po cenach taryfowych, co umożliwi im stopniowe przygotowanie się do zmienionej struktury rynku i zwiększenie na nim aktywności. Z tego względu intencją projektodawcy jest utrzymanie wobec przedsiębiorstw energetycznych dostarczających gaz ziemny do tej kategorii odbiorców obowiązku przedkładania do zatwierdzenia przez Prezesa URE oraz stosowania taryf do dnia 31 grudnia 2023</w:t>
      </w:r>
      <w:r w:rsidR="005F187F">
        <w:rPr>
          <w:rFonts w:ascii="Times New Roman" w:eastAsia="Times New Roman" w:hAnsi="Times New Roman" w:cs="Arial"/>
          <w:sz w:val="24"/>
          <w:szCs w:val="20"/>
          <w:lang w:eastAsia="pl-PL"/>
        </w:rPr>
        <w:t xml:space="preserve"> </w:t>
      </w:r>
      <w:r w:rsidR="00F30D22" w:rsidRPr="00F30D22">
        <w:rPr>
          <w:rFonts w:ascii="Times New Roman" w:eastAsia="Times New Roman" w:hAnsi="Times New Roman" w:cs="Arial"/>
          <w:sz w:val="24"/>
          <w:szCs w:val="20"/>
          <w:lang w:eastAsia="pl-PL"/>
        </w:rPr>
        <w:t xml:space="preserve">r. </w:t>
      </w:r>
    </w:p>
    <w:p w:rsidR="00F30D22" w:rsidRPr="00F30D22" w:rsidRDefault="00F30D22" w:rsidP="00CF358A">
      <w:pPr>
        <w:widowControl w:val="0"/>
        <w:autoSpaceDE w:val="0"/>
        <w:autoSpaceDN w:val="0"/>
        <w:adjustRightInd w:val="0"/>
        <w:spacing w:before="240"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 xml:space="preserve">Z uwagi na obawy związane z nagłym uwolnieniem cen gazu dla wszystkich odbiorców w jednym terminie, w projekcie przedłożonym do konsultacji publicznych i uzgodnień międzyresortowych przewidywano dokonanie podziału odbiorców na większą liczbę grup ze względu na wielkość ich zużycia, w stosunku do których stopniowo znoszone będzie taryfowanie. Kwalifikacja odbiorców podlegających zwolnieniu miała następować </w:t>
      </w:r>
      <w:r w:rsidRPr="00483E06">
        <w:rPr>
          <w:rFonts w:ascii="Times New Roman" w:eastAsia="Times New Roman" w:hAnsi="Times New Roman" w:cs="Arial"/>
          <w:i/>
          <w:sz w:val="24"/>
          <w:szCs w:val="20"/>
          <w:lang w:eastAsia="pl-PL"/>
        </w:rPr>
        <w:t>per punkt</w:t>
      </w:r>
      <w:r w:rsidRPr="00F30D22">
        <w:rPr>
          <w:rFonts w:ascii="Times New Roman" w:eastAsia="Times New Roman" w:hAnsi="Times New Roman" w:cs="Arial"/>
          <w:sz w:val="24"/>
          <w:szCs w:val="20"/>
          <w:lang w:eastAsia="pl-PL"/>
        </w:rPr>
        <w:t xml:space="preserve">, tj. </w:t>
      </w:r>
      <w:r w:rsidR="00483E06" w:rsidRPr="00F30D22">
        <w:rPr>
          <w:rFonts w:ascii="Times New Roman" w:eastAsia="Times New Roman" w:hAnsi="Times New Roman" w:cs="Arial"/>
          <w:sz w:val="24"/>
          <w:szCs w:val="20"/>
          <w:lang w:eastAsia="pl-PL"/>
        </w:rPr>
        <w:t xml:space="preserve">miał być </w:t>
      </w:r>
      <w:r w:rsidRPr="00F30D22">
        <w:rPr>
          <w:rFonts w:ascii="Times New Roman" w:eastAsia="Times New Roman" w:hAnsi="Times New Roman" w:cs="Arial"/>
          <w:sz w:val="24"/>
          <w:szCs w:val="20"/>
          <w:lang w:eastAsia="pl-PL"/>
        </w:rPr>
        <w:t>brany pod uwagę pojedynczy punkt w sieci zarządzanej przez danego operatora, w</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którym odbiorca końcowy odebrał największą ilość paliwa gazowego w 2015 r.</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Jednak z uwagi na otrzymane w ramach konsultacji publicznych postulaty zrezygnowano z pierwotnego założenia stopniowego uwalniania cen dla kolejnych grup odbiorców przemysłowych.</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W opinii większości podmiotów, które zgłosiły zainteresowanie pracami nad projektem w konsultacjach publicznych, nie ma uzasadnienia dla różnicowania terminów zwolnienia przedsiębiorstw obrotu z obowiązku przedkładania do zatwierdzenia taryf ustalanych dla poszczególnych grup odb</w:t>
      </w:r>
      <w:r w:rsidR="00D02E43">
        <w:rPr>
          <w:rFonts w:ascii="Times New Roman" w:eastAsia="Times New Roman" w:hAnsi="Times New Roman" w:cs="Arial"/>
          <w:sz w:val="24"/>
          <w:szCs w:val="20"/>
          <w:lang w:eastAsia="pl-PL"/>
        </w:rPr>
        <w:t>iorców niebędących odbiorcami w </w:t>
      </w:r>
      <w:r w:rsidRPr="00F30D22">
        <w:rPr>
          <w:rFonts w:ascii="Times New Roman" w:eastAsia="Times New Roman" w:hAnsi="Times New Roman" w:cs="Arial"/>
          <w:sz w:val="24"/>
          <w:szCs w:val="20"/>
          <w:lang w:eastAsia="pl-PL"/>
        </w:rPr>
        <w:t>gospodarstwach domowych. Takie różnicowanie odbiorców gazu może prowadzić do czasowego zakłócenia konkurencji w ramach rynków właściwych dla tych podmiotów, w szczególności dla firm</w:t>
      </w:r>
      <w:r w:rsidR="00483E06">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lang w:eastAsia="pl-PL"/>
        </w:rPr>
        <w:t xml:space="preserve"> dla których koszt pozyskania gazu jest istotnym elementem kosztów bieżącej działalności.</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Dodatkowo ze względu na charakter dostaw paliw gazowych realizowany za pomocą sieci dystrybucyjnej i</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 xml:space="preserve">wolumenów kontraktowanego paliwa gazowego możliwość </w:t>
      </w:r>
      <w:r w:rsidRPr="00F30D22">
        <w:rPr>
          <w:rFonts w:ascii="Times New Roman" w:eastAsia="Times New Roman" w:hAnsi="Times New Roman" w:cs="Arial"/>
          <w:sz w:val="24"/>
          <w:szCs w:val="20"/>
          <w:lang w:eastAsia="pl-PL"/>
        </w:rPr>
        <w:lastRenderedPageBreak/>
        <w:t>pełnej zastępowalności oferty dotychczasowych dostawców gazu alternatywnymi ofertami innych podmiotów sprzedających gaz ziemn</w:t>
      </w:r>
      <w:r w:rsidR="00D02E43">
        <w:rPr>
          <w:rFonts w:ascii="Times New Roman" w:eastAsia="Times New Roman" w:hAnsi="Times New Roman" w:cs="Arial"/>
          <w:sz w:val="24"/>
          <w:szCs w:val="20"/>
          <w:lang w:eastAsia="pl-PL"/>
        </w:rPr>
        <w:t>y istnieje w segmencie małych i </w:t>
      </w:r>
      <w:r w:rsidRPr="00F30D22">
        <w:rPr>
          <w:rFonts w:ascii="Times New Roman" w:eastAsia="Times New Roman" w:hAnsi="Times New Roman" w:cs="Arial"/>
          <w:sz w:val="24"/>
          <w:szCs w:val="20"/>
          <w:lang w:eastAsia="pl-PL"/>
        </w:rPr>
        <w:t xml:space="preserve">średnich odbiorców biznesowych. </w:t>
      </w:r>
    </w:p>
    <w:p w:rsidR="00F30D22" w:rsidRPr="00D02E43" w:rsidRDefault="00F30D22" w:rsidP="00CF358A">
      <w:pPr>
        <w:spacing w:before="240" w:after="0" w:line="360" w:lineRule="auto"/>
        <w:ind w:left="510" w:hanging="510"/>
        <w:jc w:val="both"/>
        <w:rPr>
          <w:rFonts w:ascii="Times" w:eastAsia="Times New Roman" w:hAnsi="Times" w:cs="Arial"/>
          <w:bCs/>
          <w:sz w:val="24"/>
          <w:szCs w:val="20"/>
          <w:lang w:eastAsia="pl-PL"/>
        </w:rPr>
      </w:pPr>
      <w:r w:rsidRPr="00D02E43">
        <w:rPr>
          <w:rFonts w:ascii="Times" w:eastAsia="Times New Roman" w:hAnsi="Times" w:cs="Arial"/>
          <w:bCs/>
          <w:sz w:val="24"/>
          <w:szCs w:val="20"/>
          <w:lang w:eastAsia="pl-PL"/>
        </w:rPr>
        <w:t>Dostosowanie umów sprzedaży gazu ziemnego i umów kompleksowych</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 xml:space="preserve">Projekt nakłada na przedsiębiorstwa obrotu obowiązek podjęcia starań w zakresie dostosowania wiążących je z odbiorcami umów sprzedaży i umów kompleksowych. Projektowany przepis art. 1 pkt </w:t>
      </w:r>
      <w:r w:rsidR="001A333D">
        <w:rPr>
          <w:rFonts w:ascii="Times New Roman" w:eastAsia="Times New Roman" w:hAnsi="Times New Roman" w:cs="Arial"/>
          <w:sz w:val="24"/>
          <w:szCs w:val="20"/>
          <w:lang w:eastAsia="pl-PL"/>
        </w:rPr>
        <w:t>12</w:t>
      </w:r>
      <w:r w:rsidRPr="00F30D22">
        <w:rPr>
          <w:rFonts w:ascii="Times New Roman" w:eastAsia="Times New Roman" w:hAnsi="Times New Roman" w:cs="Arial"/>
          <w:sz w:val="24"/>
          <w:szCs w:val="20"/>
          <w:lang w:eastAsia="pl-PL"/>
        </w:rPr>
        <w:t xml:space="preserve"> (dodawany do ustawy – Prawo energetyczne art. 62b ust. 2) wprowadza obowiązek przesłania odbiorcy projektu zmiany umowy w</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zakresie proponowanych cen paliw gazowych lub sposobu ich ustalania, który nie jest uzależniony od taryfy, w terminie umożliwiającym dostosowanie tej umowy przed ustaniem obowiązku przedkładania taryf do z</w:t>
      </w:r>
      <w:r w:rsidR="00D02E43">
        <w:rPr>
          <w:rFonts w:ascii="Times New Roman" w:eastAsia="Times New Roman" w:hAnsi="Times New Roman" w:cs="Arial"/>
          <w:sz w:val="24"/>
          <w:szCs w:val="20"/>
          <w:lang w:eastAsia="pl-PL"/>
        </w:rPr>
        <w:t>atwierdzenia, tj. przed dniem 1 </w:t>
      </w:r>
      <w:r w:rsidRPr="00F30D22">
        <w:rPr>
          <w:rFonts w:ascii="Times New Roman" w:eastAsia="Times New Roman" w:hAnsi="Times New Roman" w:cs="Arial"/>
          <w:sz w:val="24"/>
          <w:szCs w:val="20"/>
          <w:lang w:eastAsia="pl-PL"/>
        </w:rPr>
        <w:t xml:space="preserve">października 2017 r. dla odbiorców przemysłowych </w:t>
      </w:r>
      <w:r w:rsidR="00D02E43">
        <w:rPr>
          <w:rFonts w:ascii="Times New Roman" w:eastAsia="Times New Roman" w:hAnsi="Times New Roman" w:cs="Arial"/>
          <w:sz w:val="24"/>
          <w:szCs w:val="20"/>
          <w:lang w:eastAsia="pl-PL"/>
        </w:rPr>
        <w:t>lub przed dniem 1 stycznia 2024 </w:t>
      </w:r>
      <w:r w:rsidRPr="00F30D22">
        <w:rPr>
          <w:rFonts w:ascii="Times New Roman" w:eastAsia="Times New Roman" w:hAnsi="Times New Roman" w:cs="Arial"/>
          <w:sz w:val="24"/>
          <w:szCs w:val="20"/>
          <w:lang w:eastAsia="pl-PL"/>
        </w:rPr>
        <w:t>r. dla odbiorców w gospodarstwach domowych. Aby zapewnić odbiorcy paliw gazowych wystarczający czas na podjęcie decyzji w zakresie skorzystania z prawa do wypowiedzenia umowy sprzedaży lub umowy kompleksowej, przekazanie przez przedsiębiorstwo obrotu projektu zmiany umowy powinn</w:t>
      </w:r>
      <w:r w:rsidR="00D02E43">
        <w:rPr>
          <w:rFonts w:ascii="Times New Roman" w:eastAsia="Times New Roman" w:hAnsi="Times New Roman" w:cs="Arial"/>
          <w:sz w:val="24"/>
          <w:szCs w:val="20"/>
          <w:lang w:eastAsia="pl-PL"/>
        </w:rPr>
        <w:t>o nastąpić nie później niż na 2 </w:t>
      </w:r>
      <w:r w:rsidRPr="00F30D22">
        <w:rPr>
          <w:rFonts w:ascii="Times New Roman" w:eastAsia="Times New Roman" w:hAnsi="Times New Roman" w:cs="Arial"/>
          <w:sz w:val="24"/>
          <w:szCs w:val="20"/>
          <w:lang w:eastAsia="pl-PL"/>
        </w:rPr>
        <w:t>miesiące przed upływem powyższych terminów uwolnienia cen, tj. do dnia 1 sierpnia 2017 r. dla odbiorcy przemysłowego i do dnia 1 listopada 2023 r. dla odbiorcy w gospodarstwie domowym. Dodatkowo, w celu właściwego poinformowania odbiorcy o przysługujących mu prawach, na przedsiębiorcy spoczywa obowiązek przekazania, wraz z projektem zmiany umowy, również pisemnej informacji o prawie do wypowiedzenia umowy.</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Dodawany do ustawy – Prawo energetyczne art. 62b ust. 3 gwarantuje wszystkim odbiorcom prawo do wypowiedzenia umowy sprzedaży paliw gazowych lub umowy kompleksowej bez ponoszenia przez nich dodatkowych kosztów. Aby wypowiedzieć umowę, odbiorca składa pisemne wypowiedzenie do przedsiębiorstwa energetycznego. Umowa ulega rozwiązaniu z upływem ostatniego dnia miesiąca następującego po miesiącu, w którym to oświadczenie odbiorcy wpłynęło do przedsiębiorstwa energetycznego. Dodatkowo odbiorca ma możliwość wskazania momentu rozwiązania umowy, który przypada po tym terminie.</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Obowiązek dostosowania umów sprzedaży i umów kompleksowych ma zastosowanie tylko i wyłącznie w przypadku, jeżeli umowa sprzedaży paliw gazowych lub umowa kompleksowa nie określa już ceny paliw gazowych lub sposobu jej ustalania</w:t>
      </w:r>
      <w:r w:rsidR="00427EDA">
        <w:rPr>
          <w:rFonts w:ascii="Times New Roman" w:eastAsia="Times New Roman" w:hAnsi="Times New Roman" w:cs="Arial"/>
          <w:sz w:val="24"/>
          <w:szCs w:val="20"/>
          <w:lang w:eastAsia="pl-PL"/>
        </w:rPr>
        <w:t>,</w:t>
      </w:r>
      <w:r w:rsidRPr="00F30D22">
        <w:rPr>
          <w:rFonts w:ascii="Times New Roman" w:eastAsia="Times New Roman" w:hAnsi="Times New Roman" w:cs="Arial"/>
          <w:sz w:val="24"/>
          <w:szCs w:val="20"/>
          <w:lang w:eastAsia="pl-PL"/>
        </w:rPr>
        <w:t xml:space="preserve"> lub </w:t>
      </w:r>
      <w:r w:rsidRPr="00F30D22">
        <w:rPr>
          <w:rFonts w:ascii="Times New Roman" w:eastAsia="Times New Roman" w:hAnsi="Times New Roman" w:cs="Arial"/>
          <w:sz w:val="24"/>
          <w:szCs w:val="20"/>
          <w:lang w:eastAsia="pl-PL"/>
        </w:rPr>
        <w:lastRenderedPageBreak/>
        <w:t xml:space="preserve">sposób ustalania ceny odnosi się wyłącznie do ceny wynikającej z zatwierdzonej taryfy dla paliw gazowych. </w:t>
      </w:r>
      <w:r w:rsidRPr="00F30D22">
        <w:rPr>
          <w:rFonts w:ascii="Times New Roman" w:eastAsia="Times New Roman" w:hAnsi="Times New Roman" w:cs="Arial"/>
          <w:i/>
          <w:sz w:val="24"/>
          <w:szCs w:val="20"/>
          <w:lang w:eastAsia="pl-PL"/>
        </w:rPr>
        <w:t>A contrario</w:t>
      </w:r>
      <w:r w:rsidRPr="00F30D22">
        <w:rPr>
          <w:rFonts w:ascii="Times New Roman" w:eastAsia="Times New Roman" w:hAnsi="Times New Roman" w:cs="Arial"/>
          <w:sz w:val="24"/>
          <w:szCs w:val="20"/>
          <w:lang w:eastAsia="pl-PL"/>
        </w:rPr>
        <w:t xml:space="preserve">, jeżeli umowy zawierają już takie postanowienia, przedsiębiorstwo nie jest zobowiązane do składania odbiorcy propozycji zmiany takiej umowy. </w:t>
      </w:r>
    </w:p>
    <w:p w:rsidR="00F30D22" w:rsidRPr="00D02E43" w:rsidRDefault="00F30D22" w:rsidP="00CF358A">
      <w:pPr>
        <w:spacing w:before="240" w:after="120" w:line="360" w:lineRule="auto"/>
        <w:ind w:left="510" w:hanging="510"/>
        <w:jc w:val="both"/>
        <w:rPr>
          <w:rFonts w:ascii="Times" w:eastAsia="Times New Roman" w:hAnsi="Times" w:cs="Arial"/>
          <w:bCs/>
          <w:sz w:val="24"/>
          <w:szCs w:val="20"/>
          <w:lang w:eastAsia="pl-PL"/>
        </w:rPr>
      </w:pPr>
      <w:r w:rsidRPr="00D02E43">
        <w:rPr>
          <w:rFonts w:ascii="Times" w:eastAsia="Times New Roman" w:hAnsi="Times" w:cs="Arial"/>
          <w:bCs/>
          <w:sz w:val="24"/>
          <w:szCs w:val="20"/>
          <w:lang w:eastAsia="pl-PL"/>
        </w:rPr>
        <w:t>Kontrola nadużywania pozycji dominującej</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Należy również podkreślić, że w przypadku podjęcia przez przedsiębiorstwo dominujące działań zmierzających do nadmiernego wzrostu cen gazu ziemnego noszących znamiona wykorzystywania pozycji dominującej Prezes Urzędu Ochrony Konkurencji i</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Konsumentów dysponuje narzędziami służącymi zmianie działań przez to przedsiębiorstwo. Prezes UOKiK został powołany do ochrony w interesie publicznym zarówno zbiorowych interesów konsumentów, jak i konkurencji na rynku jako zjawiska instytucjonalnego m.in. poprzez przeciwdziałanie praktykom antykonkurencyjnym. Interwencja Prezesa UOKiK w</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postaci decyzji stwierdzającej stosowanie praktyki ograniczającej konkurencję, będącej następstwem postępowania</w:t>
      </w:r>
      <w:r w:rsidR="005F187F">
        <w:rPr>
          <w:rFonts w:ascii="Times New Roman" w:eastAsia="Times New Roman" w:hAnsi="Times New Roman" w:cs="Arial"/>
          <w:sz w:val="24"/>
          <w:szCs w:val="20"/>
          <w:lang w:eastAsia="pl-PL"/>
        </w:rPr>
        <w:t xml:space="preserve"> </w:t>
      </w:r>
      <w:r w:rsidR="001031FA">
        <w:rPr>
          <w:rFonts w:ascii="Times New Roman" w:eastAsia="Times New Roman" w:hAnsi="Times New Roman" w:cs="Arial"/>
          <w:sz w:val="24"/>
          <w:szCs w:val="20"/>
          <w:lang w:eastAsia="pl-PL"/>
        </w:rPr>
        <w:t>antymonopolowego w </w:t>
      </w:r>
      <w:r w:rsidRPr="00F30D22">
        <w:rPr>
          <w:rFonts w:ascii="Times New Roman" w:eastAsia="Times New Roman" w:hAnsi="Times New Roman" w:cs="Arial"/>
          <w:sz w:val="24"/>
          <w:szCs w:val="20"/>
          <w:lang w:eastAsia="pl-PL"/>
        </w:rPr>
        <w:t xml:space="preserve">sprawie stanowi przykład tzw. kontroli </w:t>
      </w:r>
      <w:r w:rsidRPr="002F2F87">
        <w:rPr>
          <w:rFonts w:ascii="Times New Roman" w:eastAsia="Times New Roman" w:hAnsi="Times New Roman" w:cs="Arial"/>
          <w:i/>
          <w:sz w:val="24"/>
          <w:szCs w:val="20"/>
          <w:lang w:eastAsia="pl-PL"/>
        </w:rPr>
        <w:t>a</w:t>
      </w:r>
      <w:r w:rsidR="005F187F" w:rsidRPr="002F2F87">
        <w:rPr>
          <w:rFonts w:ascii="Times New Roman" w:eastAsia="Times New Roman" w:hAnsi="Times New Roman" w:cs="Arial"/>
          <w:i/>
          <w:sz w:val="24"/>
          <w:szCs w:val="20"/>
          <w:lang w:eastAsia="pl-PL"/>
        </w:rPr>
        <w:t xml:space="preserve"> </w:t>
      </w:r>
      <w:r w:rsidRPr="002F2F87">
        <w:rPr>
          <w:rFonts w:ascii="Times New Roman" w:eastAsia="Times New Roman" w:hAnsi="Times New Roman" w:cs="Arial"/>
          <w:i/>
          <w:sz w:val="24"/>
          <w:szCs w:val="20"/>
          <w:lang w:eastAsia="pl-PL"/>
        </w:rPr>
        <w:t>posteriori</w:t>
      </w:r>
      <w:r w:rsidRPr="00F30D22">
        <w:rPr>
          <w:rFonts w:ascii="Times New Roman" w:eastAsia="Times New Roman" w:hAnsi="Times New Roman" w:cs="Arial"/>
          <w:sz w:val="24"/>
          <w:szCs w:val="20"/>
          <w:lang w:eastAsia="pl-PL"/>
        </w:rPr>
        <w:t>.</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Wart podkreślenia jest fakt, iż po upływie terminów określonych w projekcie dla czasowego utrzymania zatwierdzania taryf dla paliw gazowych, tj. ostatecznie po dniu 1 stycznia 2024 r., zatwierdzaniu przez Prezesa</w:t>
      </w:r>
      <w:r w:rsidR="00D02E43">
        <w:rPr>
          <w:rFonts w:ascii="Times New Roman" w:eastAsia="Times New Roman" w:hAnsi="Times New Roman" w:cs="Arial"/>
          <w:sz w:val="24"/>
          <w:szCs w:val="20"/>
          <w:lang w:eastAsia="pl-PL"/>
        </w:rPr>
        <w:t xml:space="preserve"> URE nie będą podlegać taryfy w </w:t>
      </w:r>
      <w:r w:rsidRPr="00F30D22">
        <w:rPr>
          <w:rFonts w:ascii="Times New Roman" w:eastAsia="Times New Roman" w:hAnsi="Times New Roman" w:cs="Arial"/>
          <w:sz w:val="24"/>
          <w:szCs w:val="20"/>
          <w:lang w:eastAsia="pl-PL"/>
        </w:rPr>
        <w:t>zakresie obrotu paliwami gazowymi. Po tej dacie Prezes URE nadal będzie zatwierdzał taryfy dla paliw gazowych w zakresie działalności sieciowej realizowanej przez wszystkich operatorów systemów gazowych w celu zapewnienia ochrony odbiorców paliw gazowych przed nadmiernym wzrostem stawek opłat za świadczenie tych usług.</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 xml:space="preserve">Ocenia się, że projektowane przepisy przyczynią się do zwiększenia liczby podmiotów działających na rynku gazu ziemnego w Polsce dzięki usunięciu obowiązku przedkładania taryf do zatwierdzenia przez Prezesa </w:t>
      </w:r>
      <w:r w:rsidR="00D02E43">
        <w:rPr>
          <w:rFonts w:ascii="Times New Roman" w:eastAsia="Times New Roman" w:hAnsi="Times New Roman" w:cs="Arial"/>
          <w:sz w:val="24"/>
          <w:szCs w:val="20"/>
          <w:lang w:eastAsia="pl-PL"/>
        </w:rPr>
        <w:t>URE postrzeganego jako jedn</w:t>
      </w:r>
      <w:r w:rsidR="002F2F87">
        <w:rPr>
          <w:rFonts w:ascii="Times New Roman" w:eastAsia="Times New Roman" w:hAnsi="Times New Roman" w:cs="Arial"/>
          <w:sz w:val="24"/>
          <w:szCs w:val="20"/>
          <w:lang w:eastAsia="pl-PL"/>
        </w:rPr>
        <w:t>a</w:t>
      </w:r>
      <w:r w:rsidR="00D02E43">
        <w:rPr>
          <w:rFonts w:ascii="Times New Roman" w:eastAsia="Times New Roman" w:hAnsi="Times New Roman" w:cs="Arial"/>
          <w:sz w:val="24"/>
          <w:szCs w:val="20"/>
          <w:lang w:eastAsia="pl-PL"/>
        </w:rPr>
        <w:t xml:space="preserve"> z </w:t>
      </w:r>
      <w:r w:rsidRPr="00F30D22">
        <w:rPr>
          <w:rFonts w:ascii="Times New Roman" w:eastAsia="Times New Roman" w:hAnsi="Times New Roman" w:cs="Arial"/>
          <w:sz w:val="24"/>
          <w:szCs w:val="20"/>
          <w:lang w:eastAsia="pl-PL"/>
        </w:rPr>
        <w:t>podstawowych barier wejścia na rynek polski.</w:t>
      </w:r>
    </w:p>
    <w:p w:rsidR="00F30D22" w:rsidRPr="00D02E43" w:rsidRDefault="00F30D22" w:rsidP="00CF358A">
      <w:pPr>
        <w:spacing w:before="240" w:after="120" w:line="360" w:lineRule="auto"/>
        <w:ind w:left="510" w:hanging="510"/>
        <w:jc w:val="both"/>
        <w:rPr>
          <w:rFonts w:ascii="Times" w:eastAsia="Times New Roman" w:hAnsi="Times" w:cs="Arial"/>
          <w:bCs/>
          <w:sz w:val="24"/>
          <w:szCs w:val="20"/>
          <w:lang w:eastAsia="pl-PL"/>
        </w:rPr>
      </w:pPr>
      <w:r w:rsidRPr="00D02E43">
        <w:rPr>
          <w:rFonts w:ascii="Times" w:eastAsia="Times New Roman" w:hAnsi="Times" w:cs="Arial"/>
          <w:bCs/>
          <w:sz w:val="24"/>
          <w:szCs w:val="20"/>
          <w:lang w:eastAsia="pl-PL"/>
        </w:rPr>
        <w:t>Przepisy przejściowe</w:t>
      </w:r>
    </w:p>
    <w:p w:rsidR="00F30D22" w:rsidRPr="00F30D22" w:rsidRDefault="00F30D22" w:rsidP="00CF358A">
      <w:pPr>
        <w:widowControl w:val="0"/>
        <w:autoSpaceDE w:val="0"/>
        <w:autoSpaceDN w:val="0"/>
        <w:adjustRightInd w:val="0"/>
        <w:spacing w:after="0" w:line="360" w:lineRule="auto"/>
        <w:jc w:val="both"/>
        <w:rPr>
          <w:rFonts w:ascii="Times New Roman" w:eastAsia="Times New Roman" w:hAnsi="Times New Roman" w:cs="Arial"/>
          <w:bCs/>
          <w:sz w:val="24"/>
          <w:szCs w:val="20"/>
          <w:lang w:eastAsia="pl-PL"/>
        </w:rPr>
      </w:pPr>
      <w:r w:rsidRPr="00F30D22">
        <w:rPr>
          <w:rFonts w:ascii="Times New Roman" w:eastAsia="Times New Roman" w:hAnsi="Times New Roman" w:cs="Arial"/>
          <w:sz w:val="24"/>
          <w:szCs w:val="20"/>
          <w:lang w:eastAsia="pl-PL"/>
        </w:rPr>
        <w:t xml:space="preserve">Ustawa przewiduje również przepis przejściowy, zgodnie z którym prowadzone w dniu wejścia w życie ustawy postępowania w sprawie zatwierdzenia taryf dla paliw gazowych ustalanych dla odbiorców, wobec których w tym dniu ustaje obowiązek przedkładania do zatwierdzenia i stosowania taryf, podlegają umorzeniu. Umorzeniu </w:t>
      </w:r>
      <w:r w:rsidRPr="00F30D22">
        <w:rPr>
          <w:rFonts w:ascii="Times New Roman" w:eastAsia="Times New Roman" w:hAnsi="Times New Roman" w:cs="Arial"/>
          <w:sz w:val="24"/>
          <w:szCs w:val="20"/>
          <w:lang w:eastAsia="pl-PL"/>
        </w:rPr>
        <w:lastRenderedPageBreak/>
        <w:t xml:space="preserve">ulegną więc postępowania w przedmiocie zatwierdzenia taryfy dla odbiorców, którzy dokonują zakupu paliw gazowych </w:t>
      </w:r>
      <w:r w:rsidRPr="00F30D22">
        <w:rPr>
          <w:rFonts w:ascii="Times New Roman" w:eastAsia="Times New Roman" w:hAnsi="Times New Roman" w:cs="Arial"/>
          <w:bCs/>
          <w:sz w:val="24"/>
          <w:szCs w:val="20"/>
          <w:lang w:eastAsia="pl-PL"/>
        </w:rPr>
        <w:t>w punkcie wirtualnym, w</w:t>
      </w:r>
      <w:r w:rsidR="005F187F">
        <w:rPr>
          <w:rFonts w:ascii="Times New Roman" w:eastAsia="Times New Roman" w:hAnsi="Times New Roman" w:cs="Arial"/>
          <w:bCs/>
          <w:sz w:val="24"/>
          <w:szCs w:val="20"/>
          <w:lang w:eastAsia="pl-PL"/>
        </w:rPr>
        <w:t xml:space="preserve"> </w:t>
      </w:r>
      <w:r w:rsidRPr="00F30D22">
        <w:rPr>
          <w:rFonts w:ascii="Times New Roman" w:eastAsia="Times New Roman" w:hAnsi="Times New Roman" w:cs="Arial"/>
          <w:bCs/>
          <w:sz w:val="24"/>
          <w:szCs w:val="20"/>
          <w:lang w:eastAsia="pl-PL"/>
        </w:rPr>
        <w:t>postaci skroplonego gazu ziemnego (LNG) lub sprężonego gazu ziemnego (CNG) oraz w trybie przetargów, aukcji lub zamówień publicznych w rozumieniu przepisów o</w:t>
      </w:r>
      <w:r w:rsidR="005F187F">
        <w:rPr>
          <w:rFonts w:ascii="Times New Roman" w:eastAsia="Times New Roman" w:hAnsi="Times New Roman" w:cs="Arial"/>
          <w:bCs/>
          <w:sz w:val="24"/>
          <w:szCs w:val="20"/>
          <w:lang w:eastAsia="pl-PL"/>
        </w:rPr>
        <w:t xml:space="preserve"> </w:t>
      </w:r>
      <w:r w:rsidRPr="00F30D22">
        <w:rPr>
          <w:rFonts w:ascii="Times New Roman" w:eastAsia="Times New Roman" w:hAnsi="Times New Roman" w:cs="Arial"/>
          <w:bCs/>
          <w:sz w:val="24"/>
          <w:szCs w:val="20"/>
          <w:lang w:eastAsia="pl-PL"/>
        </w:rPr>
        <w:t>zamówieniach publicznych.</w:t>
      </w:r>
    </w:p>
    <w:p w:rsidR="00F30D22" w:rsidRPr="00F30D22" w:rsidRDefault="00F30D22" w:rsidP="00D02E43">
      <w:pPr>
        <w:widowControl w:val="0"/>
        <w:autoSpaceDE w:val="0"/>
        <w:autoSpaceDN w:val="0"/>
        <w:adjustRightInd w:val="0"/>
        <w:spacing w:before="240" w:after="0" w:line="360" w:lineRule="auto"/>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V.</w:t>
      </w:r>
      <w:r w:rsidRPr="00F30D22">
        <w:rPr>
          <w:rFonts w:ascii="Times New Roman" w:eastAsia="Times New Roman" w:hAnsi="Times New Roman" w:cs="Arial"/>
          <w:sz w:val="24"/>
          <w:szCs w:val="20"/>
          <w:lang w:eastAsia="pl-PL"/>
        </w:rPr>
        <w:t xml:space="preserve"> P</w:t>
      </w:r>
      <w:r w:rsidRPr="00F30D22">
        <w:rPr>
          <w:rFonts w:ascii="Times New Roman" w:eastAsia="Times New Roman" w:hAnsi="Times New Roman" w:cs="Arial"/>
          <w:color w:val="000000"/>
          <w:sz w:val="23"/>
          <w:szCs w:val="23"/>
          <w:shd w:val="clear" w:color="auto" w:fill="FFFFFF"/>
          <w:lang w:eastAsia="pl-PL"/>
        </w:rPr>
        <w:t xml:space="preserve">rojekt został uzupełniony o dodatkowe zmiany o charakterze legislacyjnym, których celem jest usunięcie </w:t>
      </w:r>
      <w:r w:rsidRPr="00F30D22">
        <w:rPr>
          <w:rFonts w:ascii="Times New Roman" w:eastAsia="Times New Roman" w:hAnsi="Times New Roman" w:cs="Arial"/>
          <w:iCs/>
          <w:sz w:val="24"/>
          <w:szCs w:val="20"/>
          <w:lang w:eastAsia="pl-PL"/>
        </w:rPr>
        <w:t>zawartych w</w:t>
      </w:r>
      <w:r w:rsidR="005F187F">
        <w:rPr>
          <w:rFonts w:ascii="Times New Roman" w:eastAsia="Times New Roman" w:hAnsi="Times New Roman" w:cs="Arial"/>
          <w:iCs/>
          <w:sz w:val="24"/>
          <w:szCs w:val="20"/>
          <w:lang w:eastAsia="pl-PL"/>
        </w:rPr>
        <w:t xml:space="preserve"> </w:t>
      </w:r>
      <w:r w:rsidRPr="00F30D22">
        <w:rPr>
          <w:rFonts w:ascii="Times New Roman" w:eastAsia="Times New Roman" w:hAnsi="Times New Roman" w:cs="Arial"/>
          <w:iCs/>
          <w:sz w:val="24"/>
          <w:szCs w:val="20"/>
          <w:lang w:eastAsia="pl-PL"/>
        </w:rPr>
        <w:t>ustawie z</w:t>
      </w:r>
      <w:r w:rsidR="005F187F">
        <w:rPr>
          <w:rFonts w:ascii="Times New Roman" w:eastAsia="Times New Roman" w:hAnsi="Times New Roman" w:cs="Arial"/>
          <w:iCs/>
          <w:sz w:val="24"/>
          <w:szCs w:val="20"/>
          <w:lang w:eastAsia="pl-PL"/>
        </w:rPr>
        <w:t xml:space="preserve"> </w:t>
      </w:r>
      <w:r w:rsidRPr="00F30D22">
        <w:rPr>
          <w:rFonts w:ascii="Times New Roman" w:eastAsia="Times New Roman" w:hAnsi="Times New Roman" w:cs="Arial"/>
          <w:iCs/>
          <w:sz w:val="24"/>
          <w:szCs w:val="20"/>
          <w:lang w:eastAsia="pl-PL"/>
        </w:rPr>
        <w:t xml:space="preserve">dnia 22 lipca 2016 r. </w:t>
      </w:r>
      <w:r w:rsidRPr="00D02E43">
        <w:rPr>
          <w:rFonts w:ascii="Times New Roman" w:eastAsia="Times New Roman" w:hAnsi="Times New Roman" w:cs="Arial"/>
          <w:iCs/>
          <w:sz w:val="24"/>
          <w:szCs w:val="20"/>
          <w:lang w:eastAsia="pl-PL"/>
        </w:rPr>
        <w:t>o zmianie ustawy – Prawo energetyczne oraz niektórych innych ustaw</w:t>
      </w:r>
      <w:r w:rsidRPr="00F30D22">
        <w:rPr>
          <w:rFonts w:ascii="Times New Roman" w:eastAsia="Times New Roman" w:hAnsi="Times New Roman" w:cs="Arial"/>
          <w:i/>
          <w:iCs/>
          <w:sz w:val="24"/>
          <w:szCs w:val="20"/>
          <w:lang w:eastAsia="pl-PL"/>
        </w:rPr>
        <w:t xml:space="preserve"> </w:t>
      </w:r>
      <w:r w:rsidRPr="00F30D22">
        <w:rPr>
          <w:rFonts w:ascii="Times New Roman" w:eastAsia="Times New Roman" w:hAnsi="Times New Roman" w:cs="Arial"/>
          <w:sz w:val="24"/>
          <w:szCs w:val="20"/>
          <w:lang w:eastAsia="pl-PL"/>
        </w:rPr>
        <w:t xml:space="preserve">(Dz. U. poz. 1165) </w:t>
      </w:r>
      <w:r w:rsidRPr="00F30D22">
        <w:rPr>
          <w:rFonts w:ascii="Times New Roman" w:eastAsia="Times New Roman" w:hAnsi="Times New Roman" w:cs="Arial"/>
          <w:iCs/>
          <w:sz w:val="24"/>
          <w:szCs w:val="20"/>
          <w:lang w:eastAsia="pl-PL"/>
        </w:rPr>
        <w:t>błędów o</w:t>
      </w:r>
      <w:r w:rsidR="00D02E43">
        <w:rPr>
          <w:rFonts w:ascii="Times New Roman" w:eastAsia="Times New Roman" w:hAnsi="Times New Roman" w:cs="Arial"/>
          <w:iCs/>
          <w:sz w:val="24"/>
          <w:szCs w:val="20"/>
          <w:lang w:eastAsia="pl-PL"/>
        </w:rPr>
        <w:t> </w:t>
      </w:r>
      <w:r w:rsidRPr="00F30D22">
        <w:rPr>
          <w:rFonts w:ascii="Times New Roman" w:eastAsia="Times New Roman" w:hAnsi="Times New Roman" w:cs="Arial"/>
          <w:iCs/>
          <w:sz w:val="24"/>
          <w:szCs w:val="20"/>
          <w:lang w:eastAsia="pl-PL"/>
        </w:rPr>
        <w:t xml:space="preserve">charakterze legislacyjnym. Dodatkowe zmiany mają na celu usunięcie jedynie najpoważniejszych ułomności ustawy z dnia 22 lipca 2016 r. </w:t>
      </w:r>
      <w:r w:rsidRPr="00D02E43">
        <w:rPr>
          <w:rFonts w:ascii="Times New Roman" w:eastAsia="Times New Roman" w:hAnsi="Times New Roman" w:cs="Arial"/>
          <w:iCs/>
          <w:sz w:val="24"/>
          <w:szCs w:val="20"/>
          <w:lang w:eastAsia="pl-PL"/>
        </w:rPr>
        <w:t>o</w:t>
      </w:r>
      <w:r w:rsidR="005F187F" w:rsidRPr="00D02E43">
        <w:rPr>
          <w:rFonts w:ascii="Times New Roman" w:eastAsia="Times New Roman" w:hAnsi="Times New Roman" w:cs="Arial"/>
          <w:iCs/>
          <w:sz w:val="24"/>
          <w:szCs w:val="20"/>
          <w:lang w:eastAsia="pl-PL"/>
        </w:rPr>
        <w:t xml:space="preserve"> </w:t>
      </w:r>
      <w:r w:rsidRPr="00D02E43">
        <w:rPr>
          <w:rFonts w:ascii="Times New Roman" w:eastAsia="Times New Roman" w:hAnsi="Times New Roman" w:cs="Arial"/>
          <w:iCs/>
          <w:sz w:val="24"/>
          <w:szCs w:val="20"/>
          <w:lang w:eastAsia="pl-PL"/>
        </w:rPr>
        <w:t>zmianie ustawy – Prawo energetyczne oraz niektórych innych ustaw,</w:t>
      </w:r>
      <w:r w:rsidRPr="00F30D22">
        <w:rPr>
          <w:rFonts w:ascii="Times New Roman" w:eastAsia="Times New Roman" w:hAnsi="Times New Roman" w:cs="Arial"/>
          <w:iCs/>
          <w:sz w:val="24"/>
          <w:szCs w:val="20"/>
          <w:lang w:eastAsia="pl-PL"/>
        </w:rPr>
        <w:t xml:space="preserve"> które uniemożliwiają w praktyce </w:t>
      </w:r>
      <w:r w:rsidRPr="00F30D22">
        <w:rPr>
          <w:rFonts w:ascii="Times New Roman" w:eastAsia="Times New Roman" w:hAnsi="Times New Roman" w:cs="Arial"/>
          <w:iCs/>
          <w:spacing w:val="-4"/>
          <w:sz w:val="24"/>
          <w:szCs w:val="20"/>
          <w:lang w:eastAsia="pl-PL"/>
        </w:rPr>
        <w:t>faktyczne funkcjonowanie rozwiązań wprowadzonych</w:t>
      </w:r>
      <w:r w:rsidR="005F187F">
        <w:rPr>
          <w:rFonts w:ascii="Times New Roman" w:eastAsia="Times New Roman" w:hAnsi="Times New Roman" w:cs="Arial"/>
          <w:iCs/>
          <w:spacing w:val="-4"/>
          <w:sz w:val="24"/>
          <w:szCs w:val="20"/>
          <w:lang w:eastAsia="pl-PL"/>
        </w:rPr>
        <w:t xml:space="preserve"> </w:t>
      </w:r>
      <w:r w:rsidRPr="00F30D22">
        <w:rPr>
          <w:rFonts w:ascii="Times New Roman" w:eastAsia="Times New Roman" w:hAnsi="Times New Roman" w:cs="Arial"/>
          <w:iCs/>
          <w:spacing w:val="-4"/>
          <w:sz w:val="24"/>
          <w:szCs w:val="20"/>
          <w:lang w:eastAsia="pl-PL"/>
        </w:rPr>
        <w:t xml:space="preserve">do ustawy – Prawo energetyczne ww. ustawą. Potrzebę wprowadzenia powyższych zmian zgłosił Prezes Urzędu Regulacji Energetyki oraz </w:t>
      </w:r>
      <w:r w:rsidRPr="00F30D22">
        <w:rPr>
          <w:rFonts w:ascii="Times New Roman" w:eastAsia="Times New Roman" w:hAnsi="Times New Roman" w:cs="Arial"/>
          <w:color w:val="000000"/>
          <w:sz w:val="23"/>
          <w:szCs w:val="23"/>
          <w:shd w:val="clear" w:color="auto" w:fill="FFFFFF"/>
          <w:lang w:eastAsia="pl-PL"/>
        </w:rPr>
        <w:t>Pełnomocnik Rządu do spraw Strategicznej Infrastruktury Energetycznej. Ponadto zgodnie z decyzją R</w:t>
      </w:r>
      <w:r w:rsidR="002F2F87">
        <w:rPr>
          <w:rFonts w:ascii="Times New Roman" w:eastAsia="Times New Roman" w:hAnsi="Times New Roman" w:cs="Arial"/>
          <w:color w:val="000000"/>
          <w:sz w:val="23"/>
          <w:szCs w:val="23"/>
          <w:shd w:val="clear" w:color="auto" w:fill="FFFFFF"/>
          <w:lang w:eastAsia="pl-PL"/>
        </w:rPr>
        <w:t xml:space="preserve">ady </w:t>
      </w:r>
      <w:r w:rsidRPr="00F30D22">
        <w:rPr>
          <w:rFonts w:ascii="Times New Roman" w:eastAsia="Times New Roman" w:hAnsi="Times New Roman" w:cs="Arial"/>
          <w:color w:val="000000"/>
          <w:sz w:val="23"/>
          <w:szCs w:val="23"/>
          <w:shd w:val="clear" w:color="auto" w:fill="FFFFFF"/>
          <w:lang w:eastAsia="pl-PL"/>
        </w:rPr>
        <w:t>M</w:t>
      </w:r>
      <w:r w:rsidR="002F2F87">
        <w:rPr>
          <w:rFonts w:ascii="Times New Roman" w:eastAsia="Times New Roman" w:hAnsi="Times New Roman" w:cs="Arial"/>
          <w:color w:val="000000"/>
          <w:sz w:val="23"/>
          <w:szCs w:val="23"/>
          <w:shd w:val="clear" w:color="auto" w:fill="FFFFFF"/>
          <w:lang w:eastAsia="pl-PL"/>
        </w:rPr>
        <w:t>inistrów</w:t>
      </w:r>
      <w:r w:rsidRPr="00F30D22">
        <w:rPr>
          <w:rFonts w:ascii="Times New Roman" w:eastAsia="Times New Roman" w:hAnsi="Times New Roman" w:cs="Arial"/>
          <w:color w:val="000000"/>
          <w:sz w:val="23"/>
          <w:szCs w:val="23"/>
          <w:shd w:val="clear" w:color="auto" w:fill="FFFFFF"/>
          <w:lang w:eastAsia="pl-PL"/>
        </w:rPr>
        <w:t xml:space="preserve"> do projektu włączone został</w:t>
      </w:r>
      <w:r w:rsidR="00D02E43">
        <w:rPr>
          <w:rFonts w:ascii="Times New Roman" w:eastAsia="Times New Roman" w:hAnsi="Times New Roman" w:cs="Arial"/>
          <w:color w:val="000000"/>
          <w:sz w:val="23"/>
          <w:szCs w:val="23"/>
          <w:shd w:val="clear" w:color="auto" w:fill="FFFFFF"/>
          <w:lang w:eastAsia="pl-PL"/>
        </w:rPr>
        <w:t>y przepisy zmieniające ustawę o </w:t>
      </w:r>
      <w:r w:rsidRPr="00F30D22">
        <w:rPr>
          <w:rFonts w:ascii="Times New Roman" w:eastAsia="Times New Roman" w:hAnsi="Times New Roman" w:cs="Arial"/>
          <w:color w:val="000000"/>
          <w:sz w:val="23"/>
          <w:szCs w:val="23"/>
          <w:shd w:val="clear" w:color="auto" w:fill="FFFFFF"/>
          <w:lang w:eastAsia="pl-PL"/>
        </w:rPr>
        <w:t xml:space="preserve">biokomponentach i biopaliwach ciekłych w zakresie regulacji dotyczących Narodowego Celu Wskaźnikowego, a także </w:t>
      </w:r>
      <w:r w:rsidRPr="00F30D22">
        <w:rPr>
          <w:rFonts w:ascii="Times New Roman" w:eastAsia="Times New Roman" w:hAnsi="Times New Roman" w:cs="Times New Roman"/>
          <w:sz w:val="24"/>
          <w:szCs w:val="24"/>
          <w:lang w:eastAsia="pl-PL"/>
        </w:rPr>
        <w:t>rocznego odroczenia, tj. do dnia 1 stycznia 2018 r., obowiązku spełnienia przez biokomponenty zaliczane do realizacji NCW kryterium ograniczenia emisji gazów cieplarnianych na poziomi</w:t>
      </w:r>
      <w:r w:rsidR="00D02E43">
        <w:rPr>
          <w:rFonts w:ascii="Times New Roman" w:eastAsia="Times New Roman" w:hAnsi="Times New Roman" w:cs="Times New Roman"/>
          <w:sz w:val="24"/>
          <w:szCs w:val="24"/>
          <w:lang w:eastAsia="pl-PL"/>
        </w:rPr>
        <w:t>e 50%, pozostawiając poziom ww. </w:t>
      </w:r>
      <w:r w:rsidRPr="00F30D22">
        <w:rPr>
          <w:rFonts w:ascii="Times New Roman" w:eastAsia="Times New Roman" w:hAnsi="Times New Roman" w:cs="Times New Roman"/>
          <w:sz w:val="24"/>
          <w:szCs w:val="24"/>
          <w:lang w:eastAsia="pl-PL"/>
        </w:rPr>
        <w:t>ograniczenia na rok 2017 w dotychczasowej wysokości, które wcześniej zawarte były w odrębnym projekcie ustawy.</w:t>
      </w:r>
      <w:r w:rsidR="005F187F">
        <w:rPr>
          <w:rFonts w:ascii="Times New Roman" w:eastAsia="Times New Roman" w:hAnsi="Times New Roman" w:cs="Times New Roman"/>
          <w:sz w:val="24"/>
          <w:szCs w:val="24"/>
          <w:lang w:eastAsia="pl-PL"/>
        </w:rPr>
        <w:t xml:space="preserve"> </w:t>
      </w:r>
      <w:r w:rsidRPr="00F30D22">
        <w:rPr>
          <w:rFonts w:ascii="Times New Roman" w:eastAsia="Times New Roman" w:hAnsi="Times New Roman" w:cs="Arial"/>
          <w:sz w:val="24"/>
          <w:szCs w:val="20"/>
          <w:lang w:eastAsia="pl-PL"/>
        </w:rPr>
        <w:t>Powyższe zmiany zawarte zostały w art. 1 pkt 1</w:t>
      </w:r>
      <w:r w:rsidR="005F187F">
        <w:rPr>
          <w:rFonts w:ascii="Times New Roman" w:eastAsia="Times New Roman" w:hAnsi="Times New Roman" w:cs="Arial"/>
          <w:sz w:val="24"/>
          <w:szCs w:val="20"/>
          <w:lang w:eastAsia="pl-PL"/>
        </w:rPr>
        <w:t>–</w:t>
      </w:r>
      <w:r w:rsidR="00D02E43">
        <w:rPr>
          <w:rFonts w:ascii="Times New Roman" w:eastAsia="Times New Roman" w:hAnsi="Times New Roman" w:cs="Arial"/>
          <w:sz w:val="24"/>
          <w:szCs w:val="20"/>
          <w:lang w:eastAsia="pl-PL"/>
        </w:rPr>
        <w:t>8 i </w:t>
      </w:r>
      <w:r w:rsidRPr="00F30D22">
        <w:rPr>
          <w:rFonts w:ascii="Times New Roman" w:eastAsia="Times New Roman" w:hAnsi="Times New Roman" w:cs="Arial"/>
          <w:sz w:val="24"/>
          <w:szCs w:val="20"/>
          <w:lang w:eastAsia="pl-PL"/>
        </w:rPr>
        <w:t>pkt 10, art. 2 pkt 1, 2,</w:t>
      </w:r>
      <w:r w:rsidR="009328DE">
        <w:rPr>
          <w:rFonts w:ascii="Times New Roman" w:eastAsia="Times New Roman" w:hAnsi="Times New Roman" w:cs="Arial"/>
          <w:sz w:val="24"/>
          <w:szCs w:val="20"/>
          <w:lang w:eastAsia="pl-PL"/>
        </w:rPr>
        <w:t xml:space="preserve"> 4, 6 i</w:t>
      </w:r>
      <w:r w:rsidRPr="00F30D22">
        <w:rPr>
          <w:rFonts w:ascii="Times New Roman" w:eastAsia="Times New Roman" w:hAnsi="Times New Roman" w:cs="Arial"/>
          <w:sz w:val="24"/>
          <w:szCs w:val="20"/>
          <w:lang w:eastAsia="pl-PL"/>
        </w:rPr>
        <w:t xml:space="preserve"> 7 oraz art. 3 i </w:t>
      </w:r>
      <w:r w:rsidR="002F2F87">
        <w:rPr>
          <w:rFonts w:ascii="Times New Roman" w:eastAsia="Times New Roman" w:hAnsi="Times New Roman" w:cs="Arial"/>
          <w:sz w:val="24"/>
          <w:szCs w:val="20"/>
          <w:lang w:eastAsia="pl-PL"/>
        </w:rPr>
        <w:t xml:space="preserve">art. </w:t>
      </w:r>
      <w:r w:rsidRPr="00F30D22">
        <w:rPr>
          <w:rFonts w:ascii="Times New Roman" w:eastAsia="Times New Roman" w:hAnsi="Times New Roman" w:cs="Arial"/>
          <w:sz w:val="24"/>
          <w:szCs w:val="20"/>
          <w:lang w:eastAsia="pl-PL"/>
        </w:rPr>
        <w:t>4 projektu i</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color w:val="000000"/>
          <w:sz w:val="24"/>
          <w:szCs w:val="20"/>
          <w:shd w:val="clear" w:color="auto" w:fill="FFFFFF"/>
          <w:lang w:eastAsia="pl-PL"/>
        </w:rPr>
        <w:t>obejmują</w:t>
      </w:r>
      <w:r w:rsidRPr="00F30D22">
        <w:rPr>
          <w:rFonts w:ascii="Times New Roman" w:eastAsia="Times New Roman" w:hAnsi="Times New Roman" w:cs="Arial"/>
          <w:sz w:val="24"/>
          <w:szCs w:val="20"/>
          <w:lang w:eastAsia="pl-PL"/>
        </w:rPr>
        <w:t xml:space="preserve"> zmiany redakcyjne, porządkujące i</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uzupełniające do przepisów:</w:t>
      </w:r>
    </w:p>
    <w:p w:rsidR="00F30D22" w:rsidRPr="00D02E43" w:rsidRDefault="00F30D22" w:rsidP="00D02E43">
      <w:pPr>
        <w:widowControl w:val="0"/>
        <w:numPr>
          <w:ilvl w:val="0"/>
          <w:numId w:val="1"/>
        </w:numPr>
        <w:autoSpaceDE w:val="0"/>
        <w:autoSpaceDN w:val="0"/>
        <w:adjustRightInd w:val="0"/>
        <w:spacing w:after="0" w:line="360" w:lineRule="auto"/>
        <w:ind w:left="350" w:hanging="350"/>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 xml:space="preserve">ustawy z dnia 10 kwietnia 1997 r. – Prawo energetyczne, </w:t>
      </w:r>
    </w:p>
    <w:p w:rsidR="00F30D22" w:rsidRPr="00D02E43" w:rsidRDefault="00F30D22" w:rsidP="00CF358A">
      <w:pPr>
        <w:widowControl w:val="0"/>
        <w:numPr>
          <w:ilvl w:val="0"/>
          <w:numId w:val="1"/>
        </w:numPr>
        <w:autoSpaceDE w:val="0"/>
        <w:autoSpaceDN w:val="0"/>
        <w:adjustRightInd w:val="0"/>
        <w:spacing w:before="120" w:after="120" w:line="360" w:lineRule="auto"/>
        <w:ind w:left="350" w:hanging="350"/>
        <w:contextualSpacing/>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ustawy z dnia 25 sierpnia 2006 r. o</w:t>
      </w:r>
      <w:r w:rsidR="005F187F" w:rsidRPr="00D02E43">
        <w:rPr>
          <w:rFonts w:ascii="Times New Roman" w:eastAsia="Times New Roman" w:hAnsi="Times New Roman" w:cs="Arial"/>
          <w:sz w:val="24"/>
          <w:szCs w:val="20"/>
          <w:lang w:eastAsia="pl-PL"/>
        </w:rPr>
        <w:t xml:space="preserve"> </w:t>
      </w:r>
      <w:r w:rsidRPr="00D02E43">
        <w:rPr>
          <w:rFonts w:ascii="Times New Roman" w:eastAsia="Times New Roman" w:hAnsi="Times New Roman" w:cs="Arial"/>
          <w:sz w:val="24"/>
          <w:szCs w:val="20"/>
          <w:lang w:eastAsia="pl-PL"/>
        </w:rPr>
        <w:t xml:space="preserve">biokomponentach i biopaliwach ciekłych, </w:t>
      </w:r>
    </w:p>
    <w:p w:rsidR="00F30D22" w:rsidRPr="00D02E43" w:rsidRDefault="00F30D22" w:rsidP="00CF358A">
      <w:pPr>
        <w:widowControl w:val="0"/>
        <w:numPr>
          <w:ilvl w:val="0"/>
          <w:numId w:val="1"/>
        </w:numPr>
        <w:autoSpaceDE w:val="0"/>
        <w:autoSpaceDN w:val="0"/>
        <w:adjustRightInd w:val="0"/>
        <w:spacing w:before="120" w:after="120" w:line="360" w:lineRule="auto"/>
        <w:ind w:left="350" w:hanging="350"/>
        <w:contextualSpacing/>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 xml:space="preserve">ustawy z dnia 16 lutego 2007 r. o zapasach ropy </w:t>
      </w:r>
      <w:r w:rsidR="00D02E43">
        <w:rPr>
          <w:rFonts w:ascii="Times New Roman" w:eastAsia="Times New Roman" w:hAnsi="Times New Roman" w:cs="Arial"/>
          <w:sz w:val="24"/>
          <w:szCs w:val="20"/>
          <w:lang w:eastAsia="pl-PL"/>
        </w:rPr>
        <w:t>naftowej, produktów naftowych i </w:t>
      </w:r>
      <w:r w:rsidRPr="00D02E43">
        <w:rPr>
          <w:rFonts w:ascii="Times New Roman" w:eastAsia="Times New Roman" w:hAnsi="Times New Roman" w:cs="Arial"/>
          <w:sz w:val="24"/>
          <w:szCs w:val="20"/>
          <w:lang w:eastAsia="pl-PL"/>
        </w:rPr>
        <w:t xml:space="preserve">gazu ziemnego oraz zasadach postępowania w sytuacjach zagrożenia bezpieczeństwa paliwowego państwa i zakłóceń na rynku naftowym oraz </w:t>
      </w:r>
    </w:p>
    <w:p w:rsidR="00F30D22" w:rsidRDefault="00F30D22" w:rsidP="00CF358A">
      <w:pPr>
        <w:widowControl w:val="0"/>
        <w:numPr>
          <w:ilvl w:val="0"/>
          <w:numId w:val="1"/>
        </w:numPr>
        <w:autoSpaceDE w:val="0"/>
        <w:autoSpaceDN w:val="0"/>
        <w:adjustRightInd w:val="0"/>
        <w:spacing w:before="120" w:after="120" w:line="360" w:lineRule="auto"/>
        <w:ind w:left="350" w:hanging="350"/>
        <w:contextualSpacing/>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ustawy z dnia 22 lipca 2016 r. o zmianie ustawy – Prawo energetyczne</w:t>
      </w:r>
      <w:r w:rsidR="001A333D">
        <w:rPr>
          <w:rFonts w:ascii="Times New Roman" w:eastAsia="Times New Roman" w:hAnsi="Times New Roman" w:cs="Arial"/>
          <w:sz w:val="24"/>
          <w:szCs w:val="20"/>
          <w:lang w:eastAsia="pl-PL"/>
        </w:rPr>
        <w:t xml:space="preserve"> oraz niektórych innych ustaw</w:t>
      </w:r>
      <w:r w:rsidRPr="00F30D22">
        <w:rPr>
          <w:rFonts w:ascii="Times New Roman" w:eastAsia="Times New Roman" w:hAnsi="Times New Roman" w:cs="Arial"/>
          <w:sz w:val="24"/>
          <w:szCs w:val="20"/>
          <w:lang w:eastAsia="pl-PL"/>
        </w:rPr>
        <w:t>.</w:t>
      </w:r>
    </w:p>
    <w:p w:rsidR="00CF358A" w:rsidRDefault="00CF358A" w:rsidP="00D02E43">
      <w:pPr>
        <w:widowControl w:val="0"/>
        <w:autoSpaceDE w:val="0"/>
        <w:autoSpaceDN w:val="0"/>
        <w:adjustRightInd w:val="0"/>
        <w:spacing w:before="120" w:after="120" w:line="360" w:lineRule="auto"/>
        <w:ind w:left="350"/>
        <w:contextualSpacing/>
        <w:jc w:val="both"/>
        <w:rPr>
          <w:rFonts w:ascii="Times New Roman" w:eastAsia="Times New Roman" w:hAnsi="Times New Roman" w:cs="Arial"/>
          <w:sz w:val="24"/>
          <w:szCs w:val="20"/>
          <w:lang w:eastAsia="pl-PL"/>
        </w:rPr>
      </w:pPr>
    </w:p>
    <w:p w:rsidR="00022C7F" w:rsidRDefault="00022C7F" w:rsidP="00D02E43">
      <w:pPr>
        <w:widowControl w:val="0"/>
        <w:autoSpaceDE w:val="0"/>
        <w:autoSpaceDN w:val="0"/>
        <w:adjustRightInd w:val="0"/>
        <w:spacing w:before="120" w:after="120" w:line="360" w:lineRule="auto"/>
        <w:ind w:left="350"/>
        <w:contextualSpacing/>
        <w:jc w:val="both"/>
        <w:rPr>
          <w:rFonts w:ascii="Times New Roman" w:eastAsia="Times New Roman" w:hAnsi="Times New Roman" w:cs="Arial"/>
          <w:sz w:val="24"/>
          <w:szCs w:val="20"/>
          <w:lang w:eastAsia="pl-PL"/>
        </w:rPr>
      </w:pPr>
    </w:p>
    <w:p w:rsidR="00022C7F" w:rsidRPr="00F30D22" w:rsidRDefault="00022C7F" w:rsidP="00D02E43">
      <w:pPr>
        <w:widowControl w:val="0"/>
        <w:autoSpaceDE w:val="0"/>
        <w:autoSpaceDN w:val="0"/>
        <w:adjustRightInd w:val="0"/>
        <w:spacing w:before="120" w:after="120" w:line="360" w:lineRule="auto"/>
        <w:ind w:left="350"/>
        <w:contextualSpacing/>
        <w:jc w:val="both"/>
        <w:rPr>
          <w:rFonts w:ascii="Times New Roman" w:eastAsia="Times New Roman" w:hAnsi="Times New Roman" w:cs="Arial"/>
          <w:sz w:val="24"/>
          <w:szCs w:val="20"/>
          <w:lang w:eastAsia="pl-PL"/>
        </w:rPr>
      </w:pPr>
    </w:p>
    <w:p w:rsidR="00F30D22" w:rsidRPr="00D02E43" w:rsidRDefault="00F30D22" w:rsidP="00D02E43">
      <w:pPr>
        <w:spacing w:after="0" w:line="360" w:lineRule="auto"/>
        <w:jc w:val="both"/>
        <w:rPr>
          <w:rFonts w:ascii="Times New Roman" w:eastAsia="Times New Roman" w:hAnsi="Times New Roman" w:cs="Times New Roman"/>
          <w:bCs/>
          <w:sz w:val="24"/>
          <w:szCs w:val="24"/>
          <w:lang w:eastAsia="pl-PL"/>
        </w:rPr>
      </w:pPr>
      <w:r w:rsidRPr="00D02E43">
        <w:rPr>
          <w:rFonts w:ascii="Times New Roman" w:eastAsia="Times New Roman" w:hAnsi="Times New Roman" w:cs="Times New Roman"/>
          <w:bCs/>
          <w:sz w:val="24"/>
          <w:szCs w:val="24"/>
          <w:lang w:eastAsia="pl-PL"/>
        </w:rPr>
        <w:lastRenderedPageBreak/>
        <w:t xml:space="preserve">Ad 1 </w:t>
      </w:r>
      <w:r w:rsidR="002F2F87">
        <w:rPr>
          <w:rFonts w:ascii="Times New Roman" w:eastAsia="Times New Roman" w:hAnsi="Times New Roman" w:cs="Times New Roman"/>
          <w:bCs/>
          <w:sz w:val="24"/>
          <w:szCs w:val="24"/>
          <w:lang w:eastAsia="pl-PL"/>
        </w:rPr>
        <w:t>Z</w:t>
      </w:r>
      <w:r w:rsidRPr="00D02E43">
        <w:rPr>
          <w:rFonts w:ascii="Times New Roman" w:eastAsia="Times New Roman" w:hAnsi="Times New Roman" w:cs="Times New Roman"/>
          <w:bCs/>
          <w:sz w:val="24"/>
          <w:szCs w:val="24"/>
          <w:lang w:eastAsia="pl-PL"/>
        </w:rPr>
        <w:t>miany do wprowadzenia do ustawy – Prawo energetyczne</w:t>
      </w:r>
    </w:p>
    <w:p w:rsidR="00F30D22" w:rsidRPr="00F30D22" w:rsidRDefault="002F2F87" w:rsidP="00D02E43">
      <w:pPr>
        <w:widowControl w:val="0"/>
        <w:numPr>
          <w:ilvl w:val="0"/>
          <w:numId w:val="2"/>
        </w:numPr>
        <w:autoSpaceDE w:val="0"/>
        <w:autoSpaceDN w:val="0"/>
        <w:adjustRightInd w:val="0"/>
        <w:spacing w:after="0" w:line="360" w:lineRule="auto"/>
        <w:ind w:left="546" w:hanging="518"/>
        <w:jc w:val="both"/>
        <w:rPr>
          <w:rFonts w:ascii="Times New Roman" w:eastAsia="Times New Roman" w:hAnsi="Times New Roman" w:cs="Arial"/>
          <w:bCs/>
          <w:sz w:val="24"/>
          <w:szCs w:val="24"/>
          <w:lang w:eastAsia="pl-PL"/>
        </w:rPr>
      </w:pPr>
      <w:r>
        <w:rPr>
          <w:rFonts w:ascii="Times New Roman" w:eastAsia="Times New Roman" w:hAnsi="Times New Roman" w:cs="Times New Roman"/>
          <w:bCs/>
          <w:sz w:val="24"/>
          <w:szCs w:val="24"/>
          <w:lang w:eastAsia="pl-PL"/>
        </w:rPr>
        <w:t>Z</w:t>
      </w:r>
      <w:r w:rsidR="00F30D22" w:rsidRPr="00F30D22">
        <w:rPr>
          <w:rFonts w:ascii="Times New Roman" w:eastAsia="Times New Roman" w:hAnsi="Times New Roman" w:cs="Times New Roman"/>
          <w:bCs/>
          <w:sz w:val="24"/>
          <w:szCs w:val="24"/>
          <w:lang w:eastAsia="pl-PL"/>
        </w:rPr>
        <w:t xml:space="preserve">miana w art. 3 w pkt 10h ma na celu usunięcie wątpliwości interpretacyjnych związanych z zakresem definicji. </w:t>
      </w:r>
      <w:r w:rsidR="00F30D22" w:rsidRPr="00F30D22">
        <w:rPr>
          <w:rFonts w:ascii="Times New Roman" w:eastAsia="Times New Roman" w:hAnsi="Times New Roman" w:cs="Arial"/>
          <w:bCs/>
          <w:sz w:val="24"/>
          <w:szCs w:val="24"/>
          <w:lang w:eastAsia="pl-PL"/>
        </w:rPr>
        <w:t xml:space="preserve">Wprowadzone ustawą z dnia 22 lipca 2016 r. </w:t>
      </w:r>
      <w:r w:rsidR="00427EDA">
        <w:rPr>
          <w:rFonts w:ascii="Times New Roman" w:eastAsia="Times New Roman" w:hAnsi="Times New Roman" w:cs="Arial"/>
          <w:bCs/>
          <w:sz w:val="24"/>
          <w:szCs w:val="24"/>
          <w:lang w:eastAsia="pl-PL"/>
        </w:rPr>
        <w:t xml:space="preserve">o zmianie </w:t>
      </w:r>
      <w:r w:rsidR="00427EDA" w:rsidRPr="00D02E43">
        <w:rPr>
          <w:rFonts w:ascii="Times New Roman" w:eastAsia="Times New Roman" w:hAnsi="Times New Roman" w:cs="Arial"/>
          <w:sz w:val="24"/>
          <w:szCs w:val="20"/>
          <w:lang w:eastAsia="pl-PL"/>
        </w:rPr>
        <w:t>ustawy – Prawo energetyczne</w:t>
      </w:r>
      <w:r w:rsidR="00427EDA">
        <w:rPr>
          <w:rFonts w:ascii="Times New Roman" w:eastAsia="Times New Roman" w:hAnsi="Times New Roman" w:cs="Arial"/>
          <w:sz w:val="24"/>
          <w:szCs w:val="20"/>
          <w:lang w:eastAsia="pl-PL"/>
        </w:rPr>
        <w:t xml:space="preserve"> oraz niektórych innych ustaw</w:t>
      </w:r>
      <w:r w:rsidR="00427EDA" w:rsidRPr="00F30D22">
        <w:rPr>
          <w:rFonts w:ascii="Times New Roman" w:eastAsia="Times New Roman" w:hAnsi="Times New Roman" w:cs="Arial"/>
          <w:bCs/>
          <w:sz w:val="24"/>
          <w:szCs w:val="24"/>
          <w:lang w:eastAsia="pl-PL"/>
        </w:rPr>
        <w:t xml:space="preserve"> </w:t>
      </w:r>
      <w:r w:rsidR="00F30D22" w:rsidRPr="00F30D22">
        <w:rPr>
          <w:rFonts w:ascii="Times New Roman" w:eastAsia="Times New Roman" w:hAnsi="Times New Roman" w:cs="Arial"/>
          <w:bCs/>
          <w:sz w:val="24"/>
          <w:szCs w:val="24"/>
          <w:lang w:eastAsia="pl-PL"/>
        </w:rPr>
        <w:t>ograniczenie definicji stacji paliw ciekłych wyłącznie do przedsiębiorstw energetycznych było niezasadne, gdyż zaopatrywanie w</w:t>
      </w:r>
      <w:r w:rsidR="005F187F">
        <w:rPr>
          <w:rFonts w:ascii="Times New Roman" w:eastAsia="Times New Roman" w:hAnsi="Times New Roman" w:cs="Arial"/>
          <w:bCs/>
          <w:sz w:val="24"/>
          <w:szCs w:val="24"/>
          <w:lang w:eastAsia="pl-PL"/>
        </w:rPr>
        <w:t xml:space="preserve"> </w:t>
      </w:r>
      <w:r w:rsidR="00F30D22" w:rsidRPr="00F30D22">
        <w:rPr>
          <w:rFonts w:ascii="Times New Roman" w:eastAsia="Times New Roman" w:hAnsi="Times New Roman" w:cs="Arial"/>
          <w:bCs/>
          <w:sz w:val="24"/>
          <w:szCs w:val="24"/>
          <w:lang w:eastAsia="pl-PL"/>
        </w:rPr>
        <w:t>paliwa ciekłe może być realizowane także przez podmioty przywożące paliwa, które nie posiadają koncesji i nie posiadają statusu przedsiębiorstw energetyczny</w:t>
      </w:r>
      <w:r>
        <w:rPr>
          <w:rFonts w:ascii="Times New Roman" w:eastAsia="Times New Roman" w:hAnsi="Times New Roman" w:cs="Arial"/>
          <w:bCs/>
          <w:sz w:val="24"/>
          <w:szCs w:val="24"/>
          <w:lang w:eastAsia="pl-PL"/>
        </w:rPr>
        <w:t>ch</w:t>
      </w:r>
      <w:r w:rsidR="00F30D22" w:rsidRPr="00F30D22">
        <w:rPr>
          <w:rFonts w:ascii="Times New Roman" w:eastAsia="Times New Roman" w:hAnsi="Times New Roman" w:cs="Arial"/>
          <w:bCs/>
          <w:sz w:val="24"/>
          <w:szCs w:val="24"/>
          <w:lang w:eastAsia="pl-PL"/>
        </w:rPr>
        <w:t>.</w:t>
      </w:r>
    </w:p>
    <w:p w:rsidR="00F30D22" w:rsidRPr="00F30D22" w:rsidRDefault="002F2F87" w:rsidP="00CF358A">
      <w:pPr>
        <w:widowControl w:val="0"/>
        <w:numPr>
          <w:ilvl w:val="0"/>
          <w:numId w:val="2"/>
        </w:numPr>
        <w:autoSpaceDE w:val="0"/>
        <w:autoSpaceDN w:val="0"/>
        <w:adjustRightInd w:val="0"/>
        <w:spacing w:after="0" w:line="360" w:lineRule="auto"/>
        <w:ind w:left="546" w:hanging="518"/>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w:t>
      </w:r>
      <w:r w:rsidR="00F30D22" w:rsidRPr="00F30D22">
        <w:rPr>
          <w:rFonts w:ascii="Times New Roman" w:eastAsia="Times New Roman" w:hAnsi="Times New Roman" w:cs="Times New Roman"/>
          <w:bCs/>
          <w:sz w:val="24"/>
          <w:szCs w:val="24"/>
          <w:lang w:eastAsia="pl-PL"/>
        </w:rPr>
        <w:t xml:space="preserve">miana w art. 3 pkt 12c, w art. 32a ust. 4 oraz </w:t>
      </w:r>
      <w:r w:rsidR="00F30D22" w:rsidRPr="00F30D22">
        <w:rPr>
          <w:rFonts w:ascii="Times" w:eastAsia="Times New Roman" w:hAnsi="Times" w:cs="Arial"/>
          <w:bCs/>
          <w:sz w:val="24"/>
          <w:szCs w:val="20"/>
          <w:lang w:eastAsia="pl-PL"/>
        </w:rPr>
        <w:t xml:space="preserve">w art. 43d ust. 1 </w:t>
      </w:r>
      <w:r w:rsidR="00F30D22" w:rsidRPr="00F30D22">
        <w:rPr>
          <w:rFonts w:ascii="Times New Roman" w:eastAsia="Times New Roman" w:hAnsi="Times New Roman" w:cs="Times New Roman"/>
          <w:bCs/>
          <w:sz w:val="24"/>
          <w:szCs w:val="24"/>
          <w:lang w:eastAsia="pl-PL"/>
        </w:rPr>
        <w:t>ma na celu doprecyzowanie definicji podmiotu przywożącego, co przyczyni się do zwiększenia przejrzystości i uszczelnienia systemu rejestrowania podmiotów. Wszystkie podmioty przywożące paliwa ciekłe na terytorium RP, poza dwoma wskazanymi wyjątkami (posiadanie koncesji na obrót paliwami ciekłymi z</w:t>
      </w:r>
      <w:r w:rsidR="00AA15F4">
        <w:rPr>
          <w:rFonts w:ascii="Times New Roman" w:eastAsia="Times New Roman" w:hAnsi="Times New Roman" w:cs="Times New Roman"/>
          <w:bCs/>
          <w:sz w:val="24"/>
          <w:szCs w:val="24"/>
          <w:lang w:eastAsia="pl-PL"/>
        </w:rPr>
        <w:t> </w:t>
      </w:r>
      <w:r w:rsidR="00F30D22" w:rsidRPr="00F30D22">
        <w:rPr>
          <w:rFonts w:ascii="Times New Roman" w:eastAsia="Times New Roman" w:hAnsi="Times New Roman" w:cs="Times New Roman"/>
          <w:bCs/>
          <w:sz w:val="24"/>
          <w:szCs w:val="24"/>
          <w:lang w:eastAsia="pl-PL"/>
        </w:rPr>
        <w:t>zagranicą oraz przewozu paliw ciekłych w</w:t>
      </w:r>
      <w:r w:rsidR="005F187F">
        <w:rPr>
          <w:rFonts w:ascii="Times New Roman" w:eastAsia="Times New Roman" w:hAnsi="Times New Roman" w:cs="Times New Roman"/>
          <w:bCs/>
          <w:sz w:val="24"/>
          <w:szCs w:val="24"/>
          <w:lang w:eastAsia="pl-PL"/>
        </w:rPr>
        <w:t xml:space="preserve"> </w:t>
      </w:r>
      <w:r w:rsidR="00D02E43">
        <w:rPr>
          <w:rFonts w:ascii="Times New Roman" w:eastAsia="Times New Roman" w:hAnsi="Times New Roman" w:cs="Times New Roman"/>
          <w:bCs/>
          <w:sz w:val="24"/>
          <w:szCs w:val="24"/>
          <w:lang w:eastAsia="pl-PL"/>
        </w:rPr>
        <w:t>standardowych zbiornikach, o </w:t>
      </w:r>
      <w:r w:rsidR="00F30D22" w:rsidRPr="00F30D22">
        <w:rPr>
          <w:rFonts w:ascii="Times New Roman" w:eastAsia="Times New Roman" w:hAnsi="Times New Roman" w:cs="Times New Roman"/>
          <w:bCs/>
          <w:sz w:val="24"/>
          <w:szCs w:val="24"/>
          <w:lang w:eastAsia="pl-PL"/>
        </w:rPr>
        <w:t>których mowa w art. 33 ust. 1 ustawy z dnia 6 grudnia 2008</w:t>
      </w:r>
      <w:r>
        <w:rPr>
          <w:rFonts w:ascii="Times New Roman" w:eastAsia="Times New Roman" w:hAnsi="Times New Roman" w:cs="Times New Roman"/>
          <w:bCs/>
          <w:sz w:val="24"/>
          <w:szCs w:val="24"/>
          <w:lang w:eastAsia="pl-PL"/>
        </w:rPr>
        <w:t xml:space="preserve"> r.</w:t>
      </w:r>
      <w:r w:rsidR="00F30D22" w:rsidRPr="00F30D22">
        <w:rPr>
          <w:rFonts w:ascii="Times New Roman" w:eastAsia="Times New Roman" w:hAnsi="Times New Roman" w:cs="Times New Roman"/>
          <w:bCs/>
          <w:sz w:val="24"/>
          <w:szCs w:val="24"/>
          <w:lang w:eastAsia="pl-PL"/>
        </w:rPr>
        <w:t xml:space="preserve"> o</w:t>
      </w:r>
      <w:r w:rsidR="005F187F">
        <w:rPr>
          <w:rFonts w:ascii="Times New Roman" w:eastAsia="Times New Roman" w:hAnsi="Times New Roman" w:cs="Times New Roman"/>
          <w:bCs/>
          <w:sz w:val="24"/>
          <w:szCs w:val="24"/>
          <w:lang w:eastAsia="pl-PL"/>
        </w:rPr>
        <w:t xml:space="preserve"> </w:t>
      </w:r>
      <w:r w:rsidR="00F30D22" w:rsidRPr="00F30D22">
        <w:rPr>
          <w:rFonts w:ascii="Times New Roman" w:eastAsia="Times New Roman" w:hAnsi="Times New Roman" w:cs="Times New Roman"/>
          <w:bCs/>
          <w:sz w:val="24"/>
          <w:szCs w:val="24"/>
          <w:lang w:eastAsia="pl-PL"/>
        </w:rPr>
        <w:t>podatku akcyzowym</w:t>
      </w:r>
      <w:r w:rsidR="00F30D22" w:rsidRPr="00F30D22">
        <w:rPr>
          <w:rFonts w:ascii="Times New Roman" w:eastAsia="Times New Roman" w:hAnsi="Times New Roman" w:cs="Times New Roman"/>
          <w:bCs/>
          <w:sz w:val="24"/>
          <w:szCs w:val="24"/>
          <w:vertAlign w:val="superscript"/>
          <w:lang w:eastAsia="pl-PL"/>
        </w:rPr>
        <w:footnoteReference w:id="7"/>
      </w:r>
      <w:r w:rsidR="00CF358A">
        <w:rPr>
          <w:rFonts w:ascii="Times New Roman" w:eastAsia="Times New Roman" w:hAnsi="Times New Roman" w:cs="Times New Roman"/>
          <w:bCs/>
          <w:sz w:val="24"/>
          <w:szCs w:val="24"/>
          <w:vertAlign w:val="superscript"/>
          <w:lang w:eastAsia="pl-PL"/>
        </w:rPr>
        <w:t>)</w:t>
      </w:r>
      <w:r w:rsidR="001A333D">
        <w:rPr>
          <w:rFonts w:ascii="Times New Roman" w:eastAsia="Times New Roman" w:hAnsi="Times New Roman" w:cs="Times New Roman"/>
          <w:bCs/>
          <w:sz w:val="24"/>
          <w:szCs w:val="24"/>
          <w:lang w:eastAsia="pl-PL"/>
        </w:rPr>
        <w:t xml:space="preserve">, </w:t>
      </w:r>
      <w:r w:rsidR="00F30D22" w:rsidRPr="00F30D22">
        <w:rPr>
          <w:rFonts w:ascii="Times New Roman" w:eastAsia="Times New Roman" w:hAnsi="Times New Roman" w:cs="Times New Roman"/>
          <w:bCs/>
          <w:sz w:val="24"/>
          <w:szCs w:val="24"/>
          <w:lang w:eastAsia="pl-PL"/>
        </w:rPr>
        <w:t>przeznaczonych do użycia podczas transportu)</w:t>
      </w:r>
      <w:r>
        <w:rPr>
          <w:rFonts w:ascii="Times New Roman" w:eastAsia="Times New Roman" w:hAnsi="Times New Roman" w:cs="Times New Roman"/>
          <w:bCs/>
          <w:sz w:val="24"/>
          <w:szCs w:val="24"/>
          <w:lang w:eastAsia="pl-PL"/>
        </w:rPr>
        <w:t>,</w:t>
      </w:r>
      <w:r w:rsidR="00F30D22" w:rsidRPr="00F30D22">
        <w:rPr>
          <w:rFonts w:ascii="Times New Roman" w:eastAsia="Times New Roman" w:hAnsi="Times New Roman" w:cs="Times New Roman"/>
          <w:bCs/>
          <w:sz w:val="24"/>
          <w:szCs w:val="24"/>
          <w:lang w:eastAsia="pl-PL"/>
        </w:rPr>
        <w:t xml:space="preserve"> będą zobowiązane do uzyskania wpisu do rejestru podmiotów przywożących.</w:t>
      </w:r>
    </w:p>
    <w:p w:rsidR="00F30D22" w:rsidRPr="00F30D22" w:rsidRDefault="002F2F87" w:rsidP="00CF358A">
      <w:pPr>
        <w:widowControl w:val="0"/>
        <w:numPr>
          <w:ilvl w:val="0"/>
          <w:numId w:val="2"/>
        </w:numPr>
        <w:autoSpaceDE w:val="0"/>
        <w:autoSpaceDN w:val="0"/>
        <w:adjustRightInd w:val="0"/>
        <w:spacing w:after="0" w:line="360" w:lineRule="auto"/>
        <w:ind w:left="546" w:hanging="518"/>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w:t>
      </w:r>
      <w:r w:rsidR="00F30D22" w:rsidRPr="00F30D22">
        <w:rPr>
          <w:rFonts w:ascii="Times New Roman" w:eastAsia="Times New Roman" w:hAnsi="Times New Roman" w:cs="Times New Roman"/>
          <w:bCs/>
          <w:sz w:val="24"/>
          <w:szCs w:val="24"/>
          <w:lang w:eastAsia="pl-PL"/>
        </w:rPr>
        <w:t>miana w art. 32c</w:t>
      </w:r>
      <w:r w:rsidR="00F30D22" w:rsidRPr="00F30D22">
        <w:rPr>
          <w:rFonts w:ascii="Times New Roman" w:eastAsia="Times New Roman" w:hAnsi="Times New Roman" w:cs="Times New Roman"/>
          <w:b/>
          <w:bCs/>
          <w:sz w:val="24"/>
          <w:szCs w:val="24"/>
          <w:lang w:eastAsia="pl-PL"/>
        </w:rPr>
        <w:t xml:space="preserve"> </w:t>
      </w:r>
      <w:r w:rsidR="00F30D22" w:rsidRPr="00F30D22">
        <w:rPr>
          <w:rFonts w:ascii="Times New Roman" w:eastAsia="Times New Roman" w:hAnsi="Times New Roman" w:cs="Times New Roman"/>
          <w:bCs/>
          <w:sz w:val="24"/>
          <w:szCs w:val="24"/>
          <w:lang w:eastAsia="pl-PL"/>
        </w:rPr>
        <w:t>ma na celu ujednolicenie formy i danych składanych przez podmioty zamierzające dokonać przywozu. Przywóz paliw ciekłych dotyczy także podmiotów niewykonujących działalności gospodarcze</w:t>
      </w:r>
      <w:r>
        <w:rPr>
          <w:rFonts w:ascii="Times New Roman" w:eastAsia="Times New Roman" w:hAnsi="Times New Roman" w:cs="Times New Roman"/>
          <w:bCs/>
          <w:sz w:val="24"/>
          <w:szCs w:val="24"/>
          <w:lang w:eastAsia="pl-PL"/>
        </w:rPr>
        <w:t>j</w:t>
      </w:r>
      <w:r w:rsidR="00F30D22" w:rsidRPr="00F30D22">
        <w:rPr>
          <w:rFonts w:ascii="Times New Roman" w:eastAsia="Times New Roman" w:hAnsi="Times New Roman" w:cs="Times New Roman"/>
          <w:bCs/>
          <w:sz w:val="24"/>
          <w:szCs w:val="24"/>
          <w:lang w:eastAsia="pl-PL"/>
        </w:rPr>
        <w:t>, dlatego powinno się dążyć do jak największego ułatwienia procedury składania wniosków. Takie rozwiązanie powinno również pomóc organowi w prowadzeniu postępowań.</w:t>
      </w:r>
    </w:p>
    <w:p w:rsidR="00F30D22" w:rsidRPr="00F30D22" w:rsidRDefault="002F2F87" w:rsidP="00CF358A">
      <w:pPr>
        <w:widowControl w:val="0"/>
        <w:numPr>
          <w:ilvl w:val="0"/>
          <w:numId w:val="2"/>
        </w:numPr>
        <w:autoSpaceDE w:val="0"/>
        <w:autoSpaceDN w:val="0"/>
        <w:adjustRightInd w:val="0"/>
        <w:spacing w:after="0" w:line="360" w:lineRule="auto"/>
        <w:ind w:left="546" w:hanging="518"/>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w:t>
      </w:r>
      <w:r w:rsidR="00F30D22" w:rsidRPr="00F30D22">
        <w:rPr>
          <w:rFonts w:ascii="Times New Roman" w:eastAsia="Times New Roman" w:hAnsi="Times New Roman" w:cs="Times New Roman"/>
          <w:bCs/>
          <w:sz w:val="24"/>
          <w:szCs w:val="24"/>
          <w:lang w:eastAsia="pl-PL"/>
        </w:rPr>
        <w:t>miana w art. 33 ma charakter redakcyjny i ma na celu usunięcie wątpliwości interpretacyjnych związanych z</w:t>
      </w:r>
      <w:r w:rsidR="005F187F">
        <w:rPr>
          <w:rFonts w:ascii="Times New Roman" w:eastAsia="Times New Roman" w:hAnsi="Times New Roman" w:cs="Times New Roman"/>
          <w:bCs/>
          <w:sz w:val="24"/>
          <w:szCs w:val="24"/>
          <w:lang w:eastAsia="pl-PL"/>
        </w:rPr>
        <w:t xml:space="preserve"> </w:t>
      </w:r>
      <w:r w:rsidR="00F30D22" w:rsidRPr="00F30D22">
        <w:rPr>
          <w:rFonts w:ascii="Times New Roman" w:eastAsia="Times New Roman" w:hAnsi="Times New Roman" w:cs="Times New Roman"/>
          <w:bCs/>
          <w:sz w:val="24"/>
          <w:szCs w:val="24"/>
          <w:lang w:eastAsia="pl-PL"/>
        </w:rPr>
        <w:t>wymogiem posiadania określonych dokumentów przy ubieganiu się o uzyskanie koncesji na obrót paliwami gazowymi z zagranicą. Przepis ma jednoznacznie wskazywać, że wymogi wymienione w pkt 1</w:t>
      </w:r>
      <w:r w:rsidR="005F187F">
        <w:rPr>
          <w:rFonts w:ascii="Times New Roman" w:eastAsia="Times New Roman" w:hAnsi="Times New Roman" w:cs="Times New Roman"/>
          <w:bCs/>
          <w:sz w:val="24"/>
          <w:szCs w:val="24"/>
          <w:lang w:eastAsia="pl-PL"/>
        </w:rPr>
        <w:t>–</w:t>
      </w:r>
      <w:r w:rsidR="00F30D22" w:rsidRPr="00F30D22">
        <w:rPr>
          <w:rFonts w:ascii="Times New Roman" w:eastAsia="Times New Roman" w:hAnsi="Times New Roman" w:cs="Times New Roman"/>
          <w:bCs/>
          <w:sz w:val="24"/>
          <w:szCs w:val="24"/>
          <w:lang w:eastAsia="pl-PL"/>
        </w:rPr>
        <w:t>3 należy traktować rozłącznie.</w:t>
      </w:r>
    </w:p>
    <w:p w:rsidR="00F30D22" w:rsidRPr="00F30D22" w:rsidRDefault="002F2F87" w:rsidP="00CF358A">
      <w:pPr>
        <w:widowControl w:val="0"/>
        <w:numPr>
          <w:ilvl w:val="0"/>
          <w:numId w:val="2"/>
        </w:numPr>
        <w:autoSpaceDE w:val="0"/>
        <w:autoSpaceDN w:val="0"/>
        <w:adjustRightInd w:val="0"/>
        <w:spacing w:after="0" w:line="360" w:lineRule="auto"/>
        <w:ind w:left="546" w:hanging="518"/>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w:t>
      </w:r>
      <w:r w:rsidR="00F30D22" w:rsidRPr="00F30D22">
        <w:rPr>
          <w:rFonts w:ascii="Times New Roman" w:eastAsia="Times New Roman" w:hAnsi="Times New Roman" w:cs="Times New Roman"/>
          <w:bCs/>
          <w:sz w:val="24"/>
          <w:szCs w:val="24"/>
          <w:lang w:eastAsia="pl-PL"/>
        </w:rPr>
        <w:t xml:space="preserve">miana w art. 33 ust. 3 i ust. 3a, </w:t>
      </w:r>
      <w:r w:rsidR="00F30D22" w:rsidRPr="00F30D22">
        <w:rPr>
          <w:rFonts w:ascii="Times" w:eastAsia="Times New Roman" w:hAnsi="Times" w:cs="Arial"/>
          <w:bCs/>
          <w:sz w:val="24"/>
          <w:szCs w:val="20"/>
          <w:lang w:eastAsia="pl-PL"/>
        </w:rPr>
        <w:t xml:space="preserve">w art. 41 ust. 2c </w:t>
      </w:r>
      <w:r w:rsidR="00F30D22" w:rsidRPr="00F30D22">
        <w:rPr>
          <w:rFonts w:ascii="Times New Roman" w:eastAsia="Times New Roman" w:hAnsi="Times New Roman" w:cs="Times New Roman"/>
          <w:bCs/>
          <w:sz w:val="24"/>
          <w:szCs w:val="24"/>
          <w:lang w:eastAsia="pl-PL"/>
        </w:rPr>
        <w:t>wprowadzi obowiązek odmowy udzielenia koncesji oraz cofnięcia koncesji w każdym przypadku skazania prawomocnym wyrokiem sądu za przestępstwo skarbowe mające zwią</w:t>
      </w:r>
      <w:r w:rsidR="00D02E43">
        <w:rPr>
          <w:rFonts w:ascii="Times New Roman" w:eastAsia="Times New Roman" w:hAnsi="Times New Roman" w:cs="Times New Roman"/>
          <w:bCs/>
          <w:sz w:val="24"/>
          <w:szCs w:val="24"/>
          <w:lang w:eastAsia="pl-PL"/>
        </w:rPr>
        <w:t>zek z </w:t>
      </w:r>
      <w:r w:rsidR="00F30D22" w:rsidRPr="00F30D22">
        <w:rPr>
          <w:rFonts w:ascii="Times New Roman" w:eastAsia="Times New Roman" w:hAnsi="Times New Roman" w:cs="Times New Roman"/>
          <w:bCs/>
          <w:sz w:val="24"/>
          <w:szCs w:val="24"/>
          <w:lang w:eastAsia="pl-PL"/>
        </w:rPr>
        <w:t>prowadzoną działalnością gospodarczą.</w:t>
      </w:r>
    </w:p>
    <w:p w:rsidR="00F30D22" w:rsidRPr="00F30D22" w:rsidRDefault="002F2F87" w:rsidP="00CF358A">
      <w:pPr>
        <w:widowControl w:val="0"/>
        <w:numPr>
          <w:ilvl w:val="0"/>
          <w:numId w:val="2"/>
        </w:numPr>
        <w:autoSpaceDE w:val="0"/>
        <w:autoSpaceDN w:val="0"/>
        <w:adjustRightInd w:val="0"/>
        <w:spacing w:after="0" w:line="360" w:lineRule="auto"/>
        <w:ind w:left="546" w:hanging="518"/>
        <w:jc w:val="both"/>
        <w:rPr>
          <w:rFonts w:ascii="Times" w:eastAsia="Times New Roman" w:hAnsi="Times" w:cs="Arial"/>
          <w:bCs/>
          <w:sz w:val="24"/>
          <w:szCs w:val="24"/>
          <w:lang w:eastAsia="pl-PL"/>
        </w:rPr>
      </w:pPr>
      <w:r>
        <w:rPr>
          <w:rFonts w:ascii="Times New Roman" w:eastAsia="Times New Roman" w:hAnsi="Times New Roman" w:cs="Times New Roman"/>
          <w:bCs/>
          <w:sz w:val="24"/>
          <w:szCs w:val="24"/>
          <w:lang w:eastAsia="pl-PL"/>
        </w:rPr>
        <w:t>Z</w:t>
      </w:r>
      <w:r w:rsidR="00F30D22" w:rsidRPr="00F30D22">
        <w:rPr>
          <w:rFonts w:ascii="Times New Roman" w:eastAsia="Times New Roman" w:hAnsi="Times New Roman" w:cs="Times New Roman"/>
          <w:bCs/>
          <w:sz w:val="24"/>
          <w:szCs w:val="24"/>
          <w:lang w:eastAsia="pl-PL"/>
        </w:rPr>
        <w:t xml:space="preserve">miana w art. 33 ust. 3 pkt 4 </w:t>
      </w:r>
      <w:r w:rsidR="00F30D22" w:rsidRPr="00F30D22">
        <w:rPr>
          <w:rFonts w:ascii="Times" w:eastAsia="Times New Roman" w:hAnsi="Times" w:cs="Arial"/>
          <w:bCs/>
          <w:sz w:val="24"/>
          <w:szCs w:val="24"/>
          <w:lang w:eastAsia="pl-PL"/>
        </w:rPr>
        <w:t xml:space="preserve">ma na </w:t>
      </w:r>
      <w:r w:rsidR="00D02E43">
        <w:rPr>
          <w:rFonts w:ascii="Times" w:eastAsia="Times New Roman" w:hAnsi="Times" w:cs="Arial"/>
          <w:bCs/>
          <w:sz w:val="24"/>
          <w:szCs w:val="24"/>
          <w:lang w:eastAsia="pl-PL"/>
        </w:rPr>
        <w:t xml:space="preserve">celu wyeliminowanie </w:t>
      </w:r>
      <w:r w:rsidR="001A333D" w:rsidRPr="00F30D22">
        <w:rPr>
          <w:rFonts w:ascii="Times" w:eastAsia="Times New Roman" w:hAnsi="Times" w:cs="Arial"/>
          <w:bCs/>
          <w:sz w:val="24"/>
          <w:szCs w:val="24"/>
          <w:lang w:eastAsia="pl-PL"/>
        </w:rPr>
        <w:t>w praktyce</w:t>
      </w:r>
      <w:r w:rsidR="001A333D">
        <w:rPr>
          <w:rFonts w:ascii="Times" w:eastAsia="Times New Roman" w:hAnsi="Times" w:cs="Arial"/>
          <w:bCs/>
          <w:sz w:val="24"/>
          <w:szCs w:val="24"/>
          <w:lang w:eastAsia="pl-PL"/>
        </w:rPr>
        <w:t xml:space="preserve"> </w:t>
      </w:r>
      <w:r w:rsidR="00D02E43">
        <w:rPr>
          <w:rFonts w:ascii="Times" w:eastAsia="Times New Roman" w:hAnsi="Times" w:cs="Arial"/>
          <w:bCs/>
          <w:sz w:val="24"/>
          <w:szCs w:val="24"/>
          <w:lang w:eastAsia="pl-PL"/>
        </w:rPr>
        <w:t xml:space="preserve">problemów </w:t>
      </w:r>
      <w:r w:rsidR="00D02E43">
        <w:rPr>
          <w:rFonts w:ascii="Times" w:eastAsia="Times New Roman" w:hAnsi="Times" w:cs="Arial"/>
          <w:bCs/>
          <w:sz w:val="24"/>
          <w:szCs w:val="24"/>
          <w:lang w:eastAsia="pl-PL"/>
        </w:rPr>
        <w:lastRenderedPageBreak/>
        <w:t>w </w:t>
      </w:r>
      <w:r w:rsidR="00F30D22" w:rsidRPr="00F30D22">
        <w:rPr>
          <w:rFonts w:ascii="Times" w:eastAsia="Times New Roman" w:hAnsi="Times" w:cs="Arial"/>
          <w:bCs/>
          <w:sz w:val="24"/>
          <w:szCs w:val="24"/>
          <w:lang w:eastAsia="pl-PL"/>
        </w:rPr>
        <w:t xml:space="preserve">stosowaniu przepisu w dotychczasowym brzmieniu, na co zwrócił uwagę Prezes URE. Przepis stanowi jedną z przesłanek negatywnych przy udzielaniu koncesji. Zgodnie z przepisem nie może być wydana koncesja podmiotowi, który po dniu złożenia wniosku został wykreślony z rejestru podatników podatku od towarów i usług. Istotny jest fakt, że dostępne online rejestry podatników podatku VAT czynnych oraz zwolnionych pozwalają jedynie na weryfikację, czy dany podmiot jest lub nie jest podatnikiem podatku VAT. Rejestry te nie wprowadzają rozróżnienia </w:t>
      </w:r>
      <w:r w:rsidR="00D02E43">
        <w:rPr>
          <w:rFonts w:ascii="Times" w:eastAsia="Times New Roman" w:hAnsi="Times" w:cs="Arial"/>
          <w:bCs/>
          <w:sz w:val="24"/>
          <w:szCs w:val="24"/>
          <w:lang w:eastAsia="pl-PL"/>
        </w:rPr>
        <w:t>podmiotów, które nie figurują w </w:t>
      </w:r>
      <w:r w:rsidR="00F30D22" w:rsidRPr="00F30D22">
        <w:rPr>
          <w:rFonts w:ascii="Times" w:eastAsia="Times New Roman" w:hAnsi="Times" w:cs="Arial"/>
          <w:bCs/>
          <w:sz w:val="24"/>
          <w:szCs w:val="24"/>
          <w:lang w:eastAsia="pl-PL"/>
        </w:rPr>
        <w:t>rejestrze VAT</w:t>
      </w:r>
      <w:r w:rsidR="006E6EB0">
        <w:rPr>
          <w:rFonts w:ascii="Times" w:eastAsia="Times New Roman" w:hAnsi="Times" w:cs="Arial"/>
          <w:bCs/>
          <w:sz w:val="24"/>
          <w:szCs w:val="24"/>
          <w:lang w:eastAsia="pl-PL"/>
        </w:rPr>
        <w:t>,</w:t>
      </w:r>
      <w:r w:rsidR="00F30D22" w:rsidRPr="00F30D22">
        <w:rPr>
          <w:rFonts w:ascii="Times" w:eastAsia="Times New Roman" w:hAnsi="Times" w:cs="Arial"/>
          <w:bCs/>
          <w:sz w:val="24"/>
          <w:szCs w:val="24"/>
          <w:lang w:eastAsia="pl-PL"/>
        </w:rPr>
        <w:t xml:space="preserve"> na te wykreślone czy te, które nigdy w nim nie figurowały.</w:t>
      </w:r>
    </w:p>
    <w:p w:rsidR="00F30D22" w:rsidRPr="00F30D22" w:rsidRDefault="002F2F87" w:rsidP="00CF358A">
      <w:pPr>
        <w:widowControl w:val="0"/>
        <w:numPr>
          <w:ilvl w:val="0"/>
          <w:numId w:val="2"/>
        </w:numPr>
        <w:autoSpaceDE w:val="0"/>
        <w:autoSpaceDN w:val="0"/>
        <w:adjustRightInd w:val="0"/>
        <w:spacing w:after="0" w:line="360" w:lineRule="auto"/>
        <w:ind w:left="546" w:hanging="518"/>
        <w:jc w:val="both"/>
        <w:rPr>
          <w:rFonts w:ascii="Times" w:eastAsia="Times New Roman" w:hAnsi="Times" w:cs="Arial"/>
          <w:bCs/>
          <w:sz w:val="24"/>
          <w:szCs w:val="24"/>
          <w:lang w:eastAsia="pl-PL"/>
        </w:rPr>
      </w:pPr>
      <w:r>
        <w:rPr>
          <w:rFonts w:ascii="Times New Roman" w:eastAsia="Times New Roman" w:hAnsi="Times New Roman" w:cs="Times New Roman"/>
          <w:bCs/>
          <w:sz w:val="24"/>
          <w:szCs w:val="24"/>
          <w:lang w:eastAsia="pl-PL"/>
        </w:rPr>
        <w:t>Z</w:t>
      </w:r>
      <w:r w:rsidR="00F30D22" w:rsidRPr="00F30D22">
        <w:rPr>
          <w:rFonts w:ascii="Times New Roman" w:eastAsia="Times New Roman" w:hAnsi="Times New Roman" w:cs="Times New Roman"/>
          <w:bCs/>
          <w:sz w:val="24"/>
          <w:szCs w:val="24"/>
          <w:lang w:eastAsia="pl-PL"/>
        </w:rPr>
        <w:t xml:space="preserve">miana w art. 33 ust. 3 pkt 6 </w:t>
      </w:r>
      <w:r w:rsidR="00F30D22" w:rsidRPr="00F30D22">
        <w:rPr>
          <w:rFonts w:ascii="Times" w:eastAsia="Times New Roman" w:hAnsi="Times" w:cs="Arial"/>
          <w:bCs/>
          <w:sz w:val="24"/>
          <w:szCs w:val="24"/>
          <w:lang w:eastAsia="pl-PL"/>
        </w:rPr>
        <w:t>ma na celu usunięcie trudności w stosowaniu przepisu w praktyce administracyjnej przez Prezesa URE. Art. 33 ust. 3 pkt 6 ustawy – Prawo energetyczne stanowi jedną z przesłanek negatywnych przy udzielaniu koncesji przez Prezesa URE. Wyklucza on możliwość przyznania koncesji podmiotowi, jeżeli inny podmiot posiadający wobec niego znaczący wpływ lub sprawujący nad nim kontrolę albo współkontrolę został w ciągu ostatnich 3 lat prawomocnie skazany za przestępstwo lub przestępstwo skarbowe mające związek z przedmiotem działalności go</w:t>
      </w:r>
      <w:r w:rsidR="00D02E43">
        <w:rPr>
          <w:rFonts w:ascii="Times" w:eastAsia="Times New Roman" w:hAnsi="Times" w:cs="Arial"/>
          <w:bCs/>
          <w:sz w:val="24"/>
          <w:szCs w:val="24"/>
          <w:lang w:eastAsia="pl-PL"/>
        </w:rPr>
        <w:t>spodarczej określonej ustawą, z </w:t>
      </w:r>
      <w:r w:rsidR="00F30D22" w:rsidRPr="00F30D22">
        <w:rPr>
          <w:rFonts w:ascii="Times" w:eastAsia="Times New Roman" w:hAnsi="Times" w:cs="Arial"/>
          <w:bCs/>
          <w:sz w:val="24"/>
          <w:szCs w:val="24"/>
          <w:lang w:eastAsia="pl-PL"/>
        </w:rPr>
        <w:t>uwzględnieniem pkt 5. W celu wskazania podmiotu sprawującego kontrolę przepis ten odwołuje się do art. 3 ust. 1 pkt 34</w:t>
      </w:r>
      <w:r w:rsidR="005F187F">
        <w:rPr>
          <w:rFonts w:ascii="Times" w:eastAsia="Times New Roman" w:hAnsi="Times" w:cs="Arial"/>
          <w:bCs/>
          <w:sz w:val="24"/>
          <w:szCs w:val="24"/>
          <w:lang w:eastAsia="pl-PL"/>
        </w:rPr>
        <w:t>–</w:t>
      </w:r>
      <w:r w:rsidR="00F30D22" w:rsidRPr="00F30D22">
        <w:rPr>
          <w:rFonts w:ascii="Times" w:eastAsia="Times New Roman" w:hAnsi="Times" w:cs="Arial"/>
          <w:bCs/>
          <w:sz w:val="24"/>
          <w:szCs w:val="24"/>
          <w:lang w:eastAsia="pl-PL"/>
        </w:rPr>
        <w:t xml:space="preserve">36 ustawy </w:t>
      </w:r>
      <w:r w:rsidR="000206BA" w:rsidRPr="000206BA">
        <w:rPr>
          <w:rFonts w:ascii="Times New Roman" w:hAnsi="Times New Roman" w:cs="Times New Roman"/>
          <w:sz w:val="24"/>
          <w:szCs w:val="24"/>
        </w:rPr>
        <w:t xml:space="preserve">z </w:t>
      </w:r>
      <w:r w:rsidR="000206BA" w:rsidRPr="006861AA">
        <w:rPr>
          <w:rFonts w:ascii="Times New Roman" w:hAnsi="Times New Roman" w:cs="Times New Roman"/>
          <w:sz w:val="24"/>
          <w:szCs w:val="24"/>
        </w:rPr>
        <w:t>dnia 29 września 1994</w:t>
      </w:r>
      <w:r w:rsidR="000206BA">
        <w:rPr>
          <w:rFonts w:ascii="Times New Roman" w:hAnsi="Times New Roman" w:cs="Times New Roman"/>
          <w:sz w:val="24"/>
          <w:szCs w:val="24"/>
        </w:rPr>
        <w:t> </w:t>
      </w:r>
      <w:r w:rsidR="000206BA" w:rsidRPr="006861AA">
        <w:rPr>
          <w:rFonts w:ascii="Times New Roman" w:hAnsi="Times New Roman" w:cs="Times New Roman"/>
          <w:sz w:val="24"/>
          <w:szCs w:val="24"/>
        </w:rPr>
        <w:t xml:space="preserve">r. </w:t>
      </w:r>
      <w:r w:rsidR="00F30D22" w:rsidRPr="000206BA">
        <w:rPr>
          <w:rFonts w:ascii="Times New Roman" w:eastAsia="Times New Roman" w:hAnsi="Times New Roman" w:cs="Times New Roman"/>
          <w:bCs/>
          <w:sz w:val="24"/>
          <w:szCs w:val="24"/>
          <w:lang w:eastAsia="pl-PL"/>
        </w:rPr>
        <w:t xml:space="preserve">o rachunkowości, które zostały sformułowane na </w:t>
      </w:r>
      <w:r w:rsidR="00F30D22" w:rsidRPr="00F30D22">
        <w:rPr>
          <w:rFonts w:ascii="Times" w:eastAsia="Times New Roman" w:hAnsi="Times" w:cs="Arial"/>
          <w:bCs/>
          <w:sz w:val="24"/>
          <w:szCs w:val="24"/>
          <w:lang w:eastAsia="pl-PL"/>
        </w:rPr>
        <w:t>tyle ogólnie, że ich stosowanie w praktyce jest bardzo problematyczne. Z tego względu proponuje się usu</w:t>
      </w:r>
      <w:r w:rsidR="00D02E43">
        <w:rPr>
          <w:rFonts w:ascii="Times" w:eastAsia="Times New Roman" w:hAnsi="Times" w:cs="Arial"/>
          <w:bCs/>
          <w:sz w:val="24"/>
          <w:szCs w:val="24"/>
          <w:lang w:eastAsia="pl-PL"/>
        </w:rPr>
        <w:t>nięcie odwołania do art. 3 ust. </w:t>
      </w:r>
      <w:r w:rsidR="00F30D22" w:rsidRPr="00F30D22">
        <w:rPr>
          <w:rFonts w:ascii="Times" w:eastAsia="Times New Roman" w:hAnsi="Times" w:cs="Arial"/>
          <w:bCs/>
          <w:sz w:val="24"/>
          <w:szCs w:val="24"/>
          <w:lang w:eastAsia="pl-PL"/>
        </w:rPr>
        <w:t xml:space="preserve">36 lit. c i d. </w:t>
      </w:r>
    </w:p>
    <w:p w:rsidR="00F30D22" w:rsidRPr="00F30D22" w:rsidRDefault="000206BA" w:rsidP="00CF358A">
      <w:pPr>
        <w:widowControl w:val="0"/>
        <w:numPr>
          <w:ilvl w:val="0"/>
          <w:numId w:val="2"/>
        </w:numPr>
        <w:autoSpaceDE w:val="0"/>
        <w:autoSpaceDN w:val="0"/>
        <w:adjustRightInd w:val="0"/>
        <w:spacing w:after="0" w:line="360" w:lineRule="auto"/>
        <w:ind w:left="546" w:hanging="518"/>
        <w:jc w:val="both"/>
        <w:rPr>
          <w:rFonts w:ascii="Times" w:eastAsia="Times New Roman" w:hAnsi="Times" w:cs="Arial"/>
          <w:bCs/>
          <w:sz w:val="24"/>
          <w:szCs w:val="24"/>
          <w:lang w:eastAsia="pl-PL"/>
        </w:rPr>
      </w:pPr>
      <w:r>
        <w:rPr>
          <w:rFonts w:ascii="Times New Roman" w:eastAsia="Times New Roman" w:hAnsi="Times New Roman" w:cs="Times New Roman"/>
          <w:bCs/>
          <w:sz w:val="24"/>
          <w:szCs w:val="24"/>
          <w:lang w:eastAsia="pl-PL"/>
        </w:rPr>
        <w:t>Z</w:t>
      </w:r>
      <w:r w:rsidR="00F30D22" w:rsidRPr="00F30D22">
        <w:rPr>
          <w:rFonts w:ascii="Times New Roman" w:eastAsia="Times New Roman" w:hAnsi="Times New Roman" w:cs="Times New Roman"/>
          <w:bCs/>
          <w:sz w:val="24"/>
          <w:szCs w:val="24"/>
          <w:lang w:eastAsia="pl-PL"/>
        </w:rPr>
        <w:t>miana w art. 33 ust. 3c ma na celu</w:t>
      </w:r>
      <w:r w:rsidR="00F30D22" w:rsidRPr="00F30D22">
        <w:rPr>
          <w:rFonts w:ascii="Times" w:eastAsia="Times New Roman" w:hAnsi="Times" w:cs="Arial"/>
          <w:bCs/>
          <w:sz w:val="24"/>
          <w:szCs w:val="24"/>
          <w:lang w:eastAsia="pl-PL"/>
        </w:rPr>
        <w:t xml:space="preserve"> usunięcie wątpliwości interpretacyjnych związanych z zawieszeniem postępowania w sprawie o udzielenie koncesji poprzez precyzyjne wskazanie, jakie postanowienia stanowią podstawę do zawieszenia tego postępowania, tj. postanowie</w:t>
      </w:r>
      <w:r w:rsidR="00D02E43">
        <w:rPr>
          <w:rFonts w:ascii="Times" w:eastAsia="Times New Roman" w:hAnsi="Times" w:cs="Arial"/>
          <w:bCs/>
          <w:sz w:val="24"/>
          <w:szCs w:val="24"/>
          <w:lang w:eastAsia="pl-PL"/>
        </w:rPr>
        <w:t>nie o przedstawieniu zarzutów w </w:t>
      </w:r>
      <w:r w:rsidR="00F30D22" w:rsidRPr="00F30D22">
        <w:rPr>
          <w:rFonts w:ascii="Times" w:eastAsia="Times New Roman" w:hAnsi="Times" w:cs="Arial"/>
          <w:bCs/>
          <w:sz w:val="24"/>
          <w:szCs w:val="24"/>
          <w:lang w:eastAsia="pl-PL"/>
        </w:rPr>
        <w:t>sprawie popełnienia przestępstwa lub przestępstwa skarbowego mającego związek z prowadzoną działalnością gospodarczą</w:t>
      </w:r>
      <w:r>
        <w:rPr>
          <w:rFonts w:ascii="Times" w:eastAsia="Times New Roman" w:hAnsi="Times" w:cs="Arial"/>
          <w:bCs/>
          <w:sz w:val="24"/>
          <w:szCs w:val="24"/>
          <w:lang w:eastAsia="pl-PL"/>
        </w:rPr>
        <w:t>. P</w:t>
      </w:r>
      <w:r w:rsidR="00F30D22" w:rsidRPr="00F30D22">
        <w:rPr>
          <w:rFonts w:ascii="Times" w:eastAsia="Times New Roman" w:hAnsi="Times" w:cs="Arial"/>
          <w:bCs/>
          <w:sz w:val="24"/>
          <w:szCs w:val="24"/>
          <w:lang w:eastAsia="pl-PL"/>
        </w:rPr>
        <w:t>owyższe jest zasadne z uwagi na fakt, że skazanie prawomocnym wyrokiem za takie przestępstwa</w:t>
      </w:r>
      <w:r w:rsidR="005F187F">
        <w:rPr>
          <w:rFonts w:ascii="Times" w:eastAsia="Times New Roman" w:hAnsi="Times" w:cs="Arial"/>
          <w:bCs/>
          <w:sz w:val="24"/>
          <w:szCs w:val="24"/>
          <w:lang w:eastAsia="pl-PL"/>
        </w:rPr>
        <w:t xml:space="preserve"> </w:t>
      </w:r>
      <w:r w:rsidR="00F30D22" w:rsidRPr="00F30D22">
        <w:rPr>
          <w:rFonts w:ascii="Times" w:eastAsia="Times New Roman" w:hAnsi="Times" w:cs="Arial"/>
          <w:bCs/>
          <w:sz w:val="24"/>
          <w:szCs w:val="24"/>
          <w:lang w:eastAsia="pl-PL"/>
        </w:rPr>
        <w:t xml:space="preserve">i przestępstwa skarbowe stanowi podstawę do odmowy udzielenia koncesji. </w:t>
      </w:r>
    </w:p>
    <w:p w:rsidR="00F30D22" w:rsidRPr="00F30D22" w:rsidRDefault="00F30D22" w:rsidP="00CF358A">
      <w:pPr>
        <w:widowControl w:val="0"/>
        <w:autoSpaceDE w:val="0"/>
        <w:autoSpaceDN w:val="0"/>
        <w:adjustRightInd w:val="0"/>
        <w:spacing w:after="0" w:line="360" w:lineRule="auto"/>
        <w:ind w:left="546" w:firstLine="1"/>
        <w:jc w:val="both"/>
        <w:rPr>
          <w:rFonts w:ascii="Times New Roman" w:eastAsia="Times New Roman" w:hAnsi="Times New Roman" w:cs="Arial"/>
          <w:sz w:val="24"/>
          <w:szCs w:val="24"/>
          <w:lang w:eastAsia="pl-PL"/>
        </w:rPr>
      </w:pPr>
      <w:r w:rsidRPr="00F30D22">
        <w:rPr>
          <w:rFonts w:ascii="Times New Roman" w:eastAsia="Times New Roman" w:hAnsi="Times New Roman" w:cs="Arial"/>
          <w:sz w:val="24"/>
          <w:szCs w:val="24"/>
          <w:lang w:eastAsia="pl-PL"/>
        </w:rPr>
        <w:t>Dodatkowo celem proponowanej zmiany jest doprecyzowanie, że pos</w:t>
      </w:r>
      <w:r w:rsidR="00D02E43">
        <w:rPr>
          <w:rFonts w:ascii="Times New Roman" w:eastAsia="Times New Roman" w:hAnsi="Times New Roman" w:cs="Arial"/>
          <w:sz w:val="24"/>
          <w:szCs w:val="24"/>
          <w:lang w:eastAsia="pl-PL"/>
        </w:rPr>
        <w:t>tępowanie o </w:t>
      </w:r>
      <w:r w:rsidRPr="00F30D22">
        <w:rPr>
          <w:rFonts w:ascii="Times New Roman" w:eastAsia="Times New Roman" w:hAnsi="Times New Roman" w:cs="Arial"/>
          <w:sz w:val="24"/>
          <w:szCs w:val="24"/>
          <w:lang w:eastAsia="pl-PL"/>
        </w:rPr>
        <w:t xml:space="preserve">udzielenie koncesji jest zawieszane na okres trwania nie tylko postępowania przygotowawczego, ale również sądowego, w przypadku wniesienia aktu </w:t>
      </w:r>
      <w:r w:rsidRPr="00F30D22">
        <w:rPr>
          <w:rFonts w:ascii="Times New Roman" w:eastAsia="Times New Roman" w:hAnsi="Times New Roman" w:cs="Arial"/>
          <w:sz w:val="24"/>
          <w:szCs w:val="24"/>
          <w:lang w:eastAsia="pl-PL"/>
        </w:rPr>
        <w:lastRenderedPageBreak/>
        <w:t>oskarżenia.</w:t>
      </w:r>
    </w:p>
    <w:p w:rsidR="00F30D22" w:rsidRPr="00F30D22" w:rsidRDefault="000206BA" w:rsidP="00CF358A">
      <w:pPr>
        <w:widowControl w:val="0"/>
        <w:numPr>
          <w:ilvl w:val="0"/>
          <w:numId w:val="2"/>
        </w:numPr>
        <w:autoSpaceDE w:val="0"/>
        <w:autoSpaceDN w:val="0"/>
        <w:adjustRightInd w:val="0"/>
        <w:spacing w:after="0" w:line="360" w:lineRule="auto"/>
        <w:ind w:left="546" w:hanging="518"/>
        <w:jc w:val="both"/>
        <w:rPr>
          <w:rFonts w:ascii="Times" w:eastAsia="Times New Roman" w:hAnsi="Times" w:cs="Arial"/>
          <w:bCs/>
          <w:sz w:val="24"/>
          <w:szCs w:val="20"/>
          <w:lang w:eastAsia="pl-PL"/>
        </w:rPr>
      </w:pPr>
      <w:r>
        <w:rPr>
          <w:rFonts w:ascii="Times" w:eastAsia="Times New Roman" w:hAnsi="Times" w:cs="Arial"/>
          <w:bCs/>
          <w:sz w:val="24"/>
          <w:szCs w:val="20"/>
          <w:lang w:eastAsia="pl-PL"/>
        </w:rPr>
        <w:t>Z</w:t>
      </w:r>
      <w:r w:rsidR="00F30D22" w:rsidRPr="00F30D22">
        <w:rPr>
          <w:rFonts w:ascii="Times" w:eastAsia="Times New Roman" w:hAnsi="Times" w:cs="Arial"/>
          <w:bCs/>
          <w:sz w:val="24"/>
          <w:szCs w:val="20"/>
          <w:lang w:eastAsia="pl-PL"/>
        </w:rPr>
        <w:t>miana w art. 42a w ust. 1 ma charakter porządkujący. Przedsiębiorstwo energetyczne posiadające koncesję na obrót paliwami ciekłymi nie jest na mocy art. 43d ust. 1 ustawy – Prawo energetyczne zobowiązane do składania sprawozdań, dlatego też nie powinno zostać wymienione w przepisie art. 42a ust.</w:t>
      </w:r>
      <w:r w:rsidR="00CF358A">
        <w:rPr>
          <w:rFonts w:ascii="Times" w:eastAsia="Times New Roman" w:hAnsi="Times" w:cs="Arial"/>
          <w:bCs/>
          <w:sz w:val="24"/>
          <w:szCs w:val="20"/>
          <w:lang w:eastAsia="pl-PL"/>
        </w:rPr>
        <w:t> </w:t>
      </w:r>
      <w:r w:rsidR="00F30D22" w:rsidRPr="00F30D22">
        <w:rPr>
          <w:rFonts w:ascii="Times" w:eastAsia="Times New Roman" w:hAnsi="Times" w:cs="Arial"/>
          <w:bCs/>
          <w:sz w:val="24"/>
          <w:szCs w:val="20"/>
          <w:lang w:eastAsia="pl-PL"/>
        </w:rPr>
        <w:t>1.</w:t>
      </w:r>
    </w:p>
    <w:p w:rsidR="00F30D22" w:rsidRPr="00F30D22" w:rsidRDefault="000206BA" w:rsidP="00CF358A">
      <w:pPr>
        <w:widowControl w:val="0"/>
        <w:numPr>
          <w:ilvl w:val="0"/>
          <w:numId w:val="2"/>
        </w:numPr>
        <w:autoSpaceDE w:val="0"/>
        <w:autoSpaceDN w:val="0"/>
        <w:adjustRightInd w:val="0"/>
        <w:spacing w:after="0" w:line="360" w:lineRule="auto"/>
        <w:ind w:left="546" w:hanging="518"/>
        <w:jc w:val="both"/>
        <w:rPr>
          <w:rFonts w:ascii="Times" w:eastAsia="Times New Roman" w:hAnsi="Times" w:cs="Arial"/>
          <w:bCs/>
          <w:sz w:val="24"/>
          <w:szCs w:val="20"/>
          <w:lang w:eastAsia="pl-PL"/>
        </w:rPr>
      </w:pPr>
      <w:r>
        <w:rPr>
          <w:rFonts w:ascii="Times" w:eastAsia="Times New Roman" w:hAnsi="Times" w:cs="Arial"/>
          <w:bCs/>
          <w:sz w:val="24"/>
          <w:szCs w:val="20"/>
          <w:lang w:eastAsia="pl-PL"/>
        </w:rPr>
        <w:t>Z</w:t>
      </w:r>
      <w:r w:rsidR="00F30D22" w:rsidRPr="00F30D22">
        <w:rPr>
          <w:rFonts w:ascii="Times" w:eastAsia="Times New Roman" w:hAnsi="Times" w:cs="Arial"/>
          <w:bCs/>
          <w:sz w:val="24"/>
          <w:szCs w:val="20"/>
          <w:lang w:eastAsia="pl-PL"/>
        </w:rPr>
        <w:t>miana w art. 43 w ust. 11 ma charakter legislacyjny i ma na celu ujednolicenie terminologii stosowanej w ustawie. Przepis art. 43 ust. 11 ustawy – Prawo energetyczne w brzmieniu obowiązującym przewiduje publikację w BIP URE wykazu „przedsiębiorstw energetycznych, którym udzielona została promesa koncesji”. Sformułowanie to wydaje się wadliwe z uwagi na fakt, że promesa stanowi jedynie przyrzeczenie udzielenia koncesji w przyszłości, sama promesa nie uprawnia do prowadzenia działalności, a podmiot nie posiada przymiotu przedsiębiorstwa energetycznego. Dodatkowo sf</w:t>
      </w:r>
      <w:r w:rsidR="00D02E43">
        <w:rPr>
          <w:rFonts w:ascii="Times" w:eastAsia="Times New Roman" w:hAnsi="Times" w:cs="Arial"/>
          <w:bCs/>
          <w:sz w:val="24"/>
          <w:szCs w:val="20"/>
          <w:lang w:eastAsia="pl-PL"/>
        </w:rPr>
        <w:t>ormułowanie to jest sprzeczne z </w:t>
      </w:r>
      <w:r w:rsidR="00F30D22" w:rsidRPr="00F30D22">
        <w:rPr>
          <w:rFonts w:ascii="Times" w:eastAsia="Times New Roman" w:hAnsi="Times" w:cs="Arial"/>
          <w:bCs/>
          <w:sz w:val="24"/>
          <w:szCs w:val="20"/>
          <w:lang w:eastAsia="pl-PL"/>
        </w:rPr>
        <w:t>art. 23 ust. 2 pkt 21c lit</w:t>
      </w:r>
      <w:r w:rsidR="001A333D">
        <w:rPr>
          <w:rFonts w:ascii="Times" w:eastAsia="Times New Roman" w:hAnsi="Times" w:cs="Arial"/>
          <w:bCs/>
          <w:sz w:val="24"/>
          <w:szCs w:val="20"/>
          <w:lang w:eastAsia="pl-PL"/>
        </w:rPr>
        <w:t>.</w:t>
      </w:r>
      <w:r w:rsidR="00F30D22" w:rsidRPr="00F30D22">
        <w:rPr>
          <w:rFonts w:ascii="Times" w:eastAsia="Times New Roman" w:hAnsi="Times" w:cs="Arial"/>
          <w:bCs/>
          <w:sz w:val="24"/>
          <w:szCs w:val="20"/>
          <w:lang w:eastAsia="pl-PL"/>
        </w:rPr>
        <w:t xml:space="preserve"> d, w którym mowa o wykazie podmiotów posiadających promesę koncesji.</w:t>
      </w:r>
    </w:p>
    <w:p w:rsidR="00F30D22" w:rsidRPr="00F30D22" w:rsidRDefault="000206BA" w:rsidP="00CF358A">
      <w:pPr>
        <w:widowControl w:val="0"/>
        <w:numPr>
          <w:ilvl w:val="0"/>
          <w:numId w:val="2"/>
        </w:numPr>
        <w:autoSpaceDE w:val="0"/>
        <w:autoSpaceDN w:val="0"/>
        <w:adjustRightInd w:val="0"/>
        <w:spacing w:after="0" w:line="360" w:lineRule="auto"/>
        <w:ind w:left="546" w:hanging="518"/>
        <w:jc w:val="both"/>
        <w:rPr>
          <w:rFonts w:ascii="Times" w:eastAsia="Times New Roman" w:hAnsi="Times" w:cs="Arial"/>
          <w:bCs/>
          <w:sz w:val="24"/>
          <w:szCs w:val="24"/>
          <w:lang w:eastAsia="pl-PL"/>
        </w:rPr>
      </w:pPr>
      <w:r>
        <w:rPr>
          <w:rFonts w:ascii="Times" w:eastAsia="Times New Roman" w:hAnsi="Times" w:cs="Arial"/>
          <w:bCs/>
          <w:sz w:val="24"/>
          <w:szCs w:val="20"/>
          <w:lang w:eastAsia="pl-PL"/>
        </w:rPr>
        <w:t>Z</w:t>
      </w:r>
      <w:r w:rsidR="00F30D22" w:rsidRPr="00F30D22">
        <w:rPr>
          <w:rFonts w:ascii="Times" w:eastAsia="Times New Roman" w:hAnsi="Times" w:cs="Arial"/>
          <w:bCs/>
          <w:sz w:val="24"/>
          <w:szCs w:val="20"/>
          <w:lang w:eastAsia="pl-PL"/>
        </w:rPr>
        <w:t xml:space="preserve">miana w art. 43d w ust. 3 </w:t>
      </w:r>
      <w:r w:rsidR="00F30D22" w:rsidRPr="00F30D22">
        <w:rPr>
          <w:rFonts w:ascii="Times" w:eastAsia="Times New Roman" w:hAnsi="Times" w:cs="Arial"/>
          <w:bCs/>
          <w:sz w:val="24"/>
          <w:szCs w:val="24"/>
          <w:lang w:eastAsia="pl-PL"/>
        </w:rPr>
        <w:t xml:space="preserve">ma charakter porządkujący. Zgodnie z art. 43d ust. 1 </w:t>
      </w:r>
      <w:r w:rsidR="00F30D22" w:rsidRPr="00F30D22">
        <w:rPr>
          <w:rFonts w:ascii="Times" w:eastAsia="Times New Roman" w:hAnsi="Times" w:cs="Arial"/>
          <w:bCs/>
          <w:sz w:val="24"/>
          <w:szCs w:val="20"/>
          <w:lang w:eastAsia="pl-PL"/>
        </w:rPr>
        <w:t>przedsiębiorstwa</w:t>
      </w:r>
      <w:r w:rsidR="00F30D22" w:rsidRPr="00F30D22">
        <w:rPr>
          <w:rFonts w:ascii="Times" w:eastAsia="Times New Roman" w:hAnsi="Times" w:cs="Arial"/>
          <w:bCs/>
          <w:sz w:val="24"/>
          <w:szCs w:val="24"/>
          <w:lang w:eastAsia="pl-PL"/>
        </w:rPr>
        <w:t xml:space="preserve"> energetyczne przekazują sprawozdania o rodzajach i ilości paliw ciekłych Prezesowi URE, Prezesowi ARM, Ministrowi Finansów i Ministrowi Energii. Jednocześnie nieprzekazanie w terminie sprawozdania zagrożone jest karą pieniężną. Jednak informacje o tym naruszeniu zobowiązani są przekazywać Prezesowi URE jedynie Minister Finansów i Prezes ARM. Brak jest analogicznego obowiązku spoczywającego na Ministrze Energii.</w:t>
      </w:r>
    </w:p>
    <w:p w:rsidR="00F30D22" w:rsidRPr="00F30D22" w:rsidRDefault="000206BA" w:rsidP="00CF358A">
      <w:pPr>
        <w:widowControl w:val="0"/>
        <w:numPr>
          <w:ilvl w:val="0"/>
          <w:numId w:val="2"/>
        </w:numPr>
        <w:autoSpaceDE w:val="0"/>
        <w:autoSpaceDN w:val="0"/>
        <w:adjustRightInd w:val="0"/>
        <w:spacing w:after="0" w:line="360" w:lineRule="auto"/>
        <w:ind w:left="546" w:hanging="518"/>
        <w:jc w:val="both"/>
        <w:rPr>
          <w:rFonts w:ascii="Times" w:eastAsia="Times New Roman" w:hAnsi="Times" w:cs="Arial"/>
          <w:bCs/>
          <w:sz w:val="24"/>
          <w:szCs w:val="24"/>
          <w:lang w:eastAsia="pl-PL"/>
        </w:rPr>
      </w:pPr>
      <w:r>
        <w:rPr>
          <w:rFonts w:ascii="Times" w:eastAsia="Times New Roman" w:hAnsi="Times" w:cs="Arial"/>
          <w:bCs/>
          <w:sz w:val="24"/>
          <w:szCs w:val="20"/>
          <w:lang w:eastAsia="pl-PL"/>
        </w:rPr>
        <w:t>Z</w:t>
      </w:r>
      <w:r w:rsidR="00F30D22" w:rsidRPr="00F30D22">
        <w:rPr>
          <w:rFonts w:ascii="Times" w:eastAsia="Times New Roman" w:hAnsi="Times" w:cs="Arial"/>
          <w:bCs/>
          <w:sz w:val="24"/>
          <w:szCs w:val="20"/>
          <w:lang w:eastAsia="pl-PL"/>
        </w:rPr>
        <w:t xml:space="preserve">miana </w:t>
      </w:r>
      <w:r w:rsidR="00F30D22" w:rsidRPr="00F30D22">
        <w:rPr>
          <w:rFonts w:ascii="Times" w:eastAsia="Times New Roman" w:hAnsi="Times" w:cs="Arial"/>
          <w:bCs/>
          <w:sz w:val="24"/>
          <w:szCs w:val="20"/>
        </w:rPr>
        <w:t xml:space="preserve">w art. 56 </w:t>
      </w:r>
      <w:r>
        <w:rPr>
          <w:rFonts w:ascii="Times" w:eastAsia="Times New Roman" w:hAnsi="Times" w:cs="Arial"/>
          <w:bCs/>
          <w:sz w:val="24"/>
          <w:szCs w:val="20"/>
        </w:rPr>
        <w:t xml:space="preserve">w </w:t>
      </w:r>
      <w:r w:rsidR="00F30D22" w:rsidRPr="00F30D22">
        <w:rPr>
          <w:rFonts w:ascii="Times" w:eastAsia="Times New Roman" w:hAnsi="Times" w:cs="Arial"/>
          <w:bCs/>
          <w:sz w:val="24"/>
          <w:szCs w:val="20"/>
          <w:lang w:eastAsia="pl-PL"/>
        </w:rPr>
        <w:t>ust. 1</w:t>
      </w:r>
      <w:r w:rsidR="00F30D22" w:rsidRPr="00F30D22">
        <w:rPr>
          <w:rFonts w:ascii="Times" w:eastAsia="Times New Roman" w:hAnsi="Times" w:cs="Arial"/>
          <w:bCs/>
          <w:sz w:val="24"/>
          <w:szCs w:val="24"/>
          <w:lang w:eastAsia="pl-PL"/>
        </w:rPr>
        <w:t xml:space="preserve"> ma charakter legislacyjny, tj. sprostowanie oczywistej omyłki </w:t>
      </w:r>
      <w:r w:rsidR="00F30D22" w:rsidRPr="00F30D22">
        <w:rPr>
          <w:rFonts w:ascii="Times" w:eastAsia="Times New Roman" w:hAnsi="Times" w:cs="Arial"/>
          <w:bCs/>
          <w:sz w:val="24"/>
          <w:szCs w:val="20"/>
          <w:lang w:eastAsia="pl-PL"/>
        </w:rPr>
        <w:t>ustawodawcy</w:t>
      </w:r>
      <w:r w:rsidR="00F30D22" w:rsidRPr="00F30D22">
        <w:rPr>
          <w:rFonts w:ascii="Times" w:eastAsia="Times New Roman" w:hAnsi="Times" w:cs="Arial"/>
          <w:bCs/>
          <w:sz w:val="24"/>
          <w:szCs w:val="24"/>
          <w:lang w:eastAsia="pl-PL"/>
        </w:rPr>
        <w:t xml:space="preserve"> (zmiana spójnika z „i” na „lub”). Zmiana ma na celu umożliwić nałożenie kary finansowej w przypadku pojedynczego naruszenia obowiązku, a nie jak obecnie w przypadku zbiegu obu naruszeń. </w:t>
      </w:r>
    </w:p>
    <w:p w:rsidR="00F30D22" w:rsidRPr="00F30D22" w:rsidRDefault="000206BA" w:rsidP="00CF358A">
      <w:pPr>
        <w:widowControl w:val="0"/>
        <w:numPr>
          <w:ilvl w:val="0"/>
          <w:numId w:val="2"/>
        </w:numPr>
        <w:autoSpaceDE w:val="0"/>
        <w:autoSpaceDN w:val="0"/>
        <w:adjustRightInd w:val="0"/>
        <w:spacing w:after="0" w:line="360" w:lineRule="auto"/>
        <w:ind w:left="546" w:hanging="518"/>
        <w:jc w:val="both"/>
        <w:rPr>
          <w:rFonts w:ascii="Times" w:eastAsia="Times New Roman" w:hAnsi="Times" w:cs="Arial"/>
          <w:bCs/>
          <w:sz w:val="24"/>
          <w:szCs w:val="24"/>
          <w:lang w:eastAsia="pl-PL"/>
        </w:rPr>
      </w:pPr>
      <w:r>
        <w:rPr>
          <w:rFonts w:ascii="Times" w:eastAsia="Times New Roman" w:hAnsi="Times" w:cs="Arial"/>
          <w:bCs/>
          <w:sz w:val="24"/>
          <w:szCs w:val="20"/>
        </w:rPr>
        <w:t>Z</w:t>
      </w:r>
      <w:r w:rsidR="00F30D22" w:rsidRPr="00F30D22">
        <w:rPr>
          <w:rFonts w:ascii="Times" w:eastAsia="Times New Roman" w:hAnsi="Times" w:cs="Arial"/>
          <w:bCs/>
          <w:sz w:val="24"/>
          <w:szCs w:val="20"/>
        </w:rPr>
        <w:t xml:space="preserve">miana w art. 56 ust. 2h pkt 8 </w:t>
      </w:r>
      <w:r w:rsidR="00F30D22" w:rsidRPr="00F30D22">
        <w:rPr>
          <w:rFonts w:ascii="Times" w:eastAsia="Times New Roman" w:hAnsi="Times" w:cs="Arial"/>
          <w:bCs/>
          <w:sz w:val="24"/>
          <w:szCs w:val="24"/>
          <w:lang w:eastAsia="pl-PL"/>
        </w:rPr>
        <w:t>uwzględnia uwagę Prezesa URE i umożliwia nakładanie kary pieniężnej w przypadku przekaz</w:t>
      </w:r>
      <w:r w:rsidR="00D02E43">
        <w:rPr>
          <w:rFonts w:ascii="Times" w:eastAsia="Times New Roman" w:hAnsi="Times" w:cs="Arial"/>
          <w:bCs/>
          <w:sz w:val="24"/>
          <w:szCs w:val="24"/>
          <w:lang w:eastAsia="pl-PL"/>
        </w:rPr>
        <w:t>ania nieprawdziwej informacji o </w:t>
      </w:r>
      <w:r w:rsidR="00F30D22" w:rsidRPr="00F30D22">
        <w:rPr>
          <w:rFonts w:ascii="Times" w:eastAsia="Times New Roman" w:hAnsi="Times" w:cs="Arial"/>
          <w:bCs/>
          <w:sz w:val="24"/>
          <w:szCs w:val="24"/>
          <w:lang w:eastAsia="pl-PL"/>
        </w:rPr>
        <w:t>infrastrukturze paliw ciekłych, o której mowa w art. 43e ust. 1 ustawy.</w:t>
      </w:r>
    </w:p>
    <w:p w:rsidR="00F30D22" w:rsidRPr="00F30D22" w:rsidRDefault="00F30D22" w:rsidP="00CF358A">
      <w:pPr>
        <w:widowControl w:val="0"/>
        <w:autoSpaceDE w:val="0"/>
        <w:autoSpaceDN w:val="0"/>
        <w:adjustRightInd w:val="0"/>
        <w:spacing w:after="0" w:line="360" w:lineRule="auto"/>
        <w:rPr>
          <w:rFonts w:ascii="Times New Roman" w:eastAsia="Times New Roman" w:hAnsi="Times New Roman" w:cs="Arial"/>
          <w:sz w:val="24"/>
          <w:szCs w:val="24"/>
          <w:lang w:eastAsia="pl-PL"/>
        </w:rPr>
      </w:pPr>
    </w:p>
    <w:p w:rsidR="00F30D22" w:rsidRPr="00D02E43" w:rsidRDefault="00F30D22" w:rsidP="00CF358A">
      <w:pPr>
        <w:suppressAutoHyphens/>
        <w:autoSpaceDE w:val="0"/>
        <w:autoSpaceDN w:val="0"/>
        <w:adjustRightInd w:val="0"/>
        <w:spacing w:after="0" w:line="360" w:lineRule="auto"/>
        <w:ind w:left="709" w:hanging="709"/>
        <w:jc w:val="both"/>
        <w:rPr>
          <w:rFonts w:ascii="Times" w:eastAsia="Times New Roman" w:hAnsi="Times" w:cs="Arial"/>
          <w:sz w:val="24"/>
          <w:szCs w:val="20"/>
          <w:lang w:eastAsia="pl-PL"/>
        </w:rPr>
      </w:pPr>
      <w:r w:rsidRPr="00D02E43">
        <w:rPr>
          <w:rFonts w:ascii="Times" w:eastAsia="Times New Roman" w:hAnsi="Times" w:cs="Arial"/>
          <w:sz w:val="24"/>
          <w:szCs w:val="20"/>
          <w:lang w:eastAsia="pl-PL"/>
        </w:rPr>
        <w:t xml:space="preserve">Ad 2. Zmiany do wprowadzenia w ustawie o biokomponentach i biopaliwach ciekłych </w:t>
      </w:r>
    </w:p>
    <w:p w:rsidR="00F30D22" w:rsidRPr="00F30D22" w:rsidRDefault="00CF358A" w:rsidP="007E5672">
      <w:pPr>
        <w:tabs>
          <w:tab w:val="left" w:pos="434"/>
        </w:tabs>
        <w:suppressAutoHyphens/>
        <w:autoSpaceDE w:val="0"/>
        <w:autoSpaceDN w:val="0"/>
        <w:adjustRightInd w:val="0"/>
        <w:spacing w:after="0" w:line="360" w:lineRule="auto"/>
        <w:ind w:left="434" w:hanging="434"/>
        <w:jc w:val="both"/>
        <w:rPr>
          <w:rFonts w:ascii="Times" w:eastAsia="Times New Roman" w:hAnsi="Times" w:cs="Arial"/>
          <w:sz w:val="24"/>
          <w:szCs w:val="24"/>
          <w:lang w:eastAsia="pl-PL"/>
        </w:rPr>
      </w:pPr>
      <w:r>
        <w:rPr>
          <w:rFonts w:ascii="Times" w:eastAsia="Times New Roman" w:hAnsi="Times" w:cs="Arial"/>
          <w:sz w:val="24"/>
          <w:szCs w:val="20"/>
          <w:lang w:eastAsia="pl-PL"/>
        </w:rPr>
        <w:lastRenderedPageBreak/>
        <w:t>1.</w:t>
      </w:r>
      <w:r>
        <w:rPr>
          <w:rFonts w:ascii="Times" w:eastAsia="Times New Roman" w:hAnsi="Times" w:cs="Arial"/>
          <w:sz w:val="24"/>
          <w:szCs w:val="20"/>
          <w:lang w:eastAsia="pl-PL"/>
        </w:rPr>
        <w:tab/>
      </w:r>
      <w:r w:rsidR="00F30D22" w:rsidRPr="00F30D22">
        <w:rPr>
          <w:rFonts w:ascii="Times" w:eastAsia="Times New Roman" w:hAnsi="Times" w:cs="Arial"/>
          <w:sz w:val="24"/>
          <w:szCs w:val="20"/>
          <w:lang w:eastAsia="pl-PL"/>
        </w:rPr>
        <w:t>Zmiany w art. 2 ust. 1, art. 23, art. 26a ust. 5 pkt 1, art. 30b ust. 1 pkt 1</w:t>
      </w:r>
      <w:r w:rsidR="005F187F">
        <w:rPr>
          <w:rFonts w:ascii="Times" w:eastAsia="Times New Roman" w:hAnsi="Times" w:cs="Arial"/>
          <w:sz w:val="24"/>
          <w:szCs w:val="20"/>
          <w:lang w:eastAsia="pl-PL"/>
        </w:rPr>
        <w:t>–</w:t>
      </w:r>
      <w:r w:rsidR="00D02E43">
        <w:rPr>
          <w:rFonts w:ascii="Times" w:eastAsia="Times New Roman" w:hAnsi="Times" w:cs="Arial"/>
          <w:sz w:val="24"/>
          <w:szCs w:val="20"/>
          <w:lang w:eastAsia="pl-PL"/>
        </w:rPr>
        <w:t>3 oraz art. </w:t>
      </w:r>
      <w:r w:rsidR="00F30D22" w:rsidRPr="00F30D22">
        <w:rPr>
          <w:rFonts w:ascii="Times" w:eastAsia="Times New Roman" w:hAnsi="Times" w:cs="Arial"/>
          <w:sz w:val="24"/>
          <w:szCs w:val="20"/>
          <w:lang w:eastAsia="pl-PL"/>
        </w:rPr>
        <w:t xml:space="preserve">33 ust. 1 pkt 1a, pkt 9 lit. b i ust. 5 </w:t>
      </w:r>
      <w:r w:rsidR="00F30D22" w:rsidRPr="00F30D22">
        <w:rPr>
          <w:rFonts w:ascii="Times" w:eastAsia="Times New Roman" w:hAnsi="Times" w:cs="Arial"/>
          <w:sz w:val="24"/>
          <w:szCs w:val="24"/>
          <w:lang w:eastAsia="pl-PL"/>
        </w:rPr>
        <w:t>mają charakter redakcyjny i dostosowujący treść ustawy o</w:t>
      </w:r>
      <w:r w:rsidR="005F187F">
        <w:rPr>
          <w:rFonts w:ascii="Times" w:eastAsia="Times New Roman" w:hAnsi="Times" w:cs="Arial"/>
          <w:sz w:val="24"/>
          <w:szCs w:val="24"/>
          <w:lang w:eastAsia="pl-PL"/>
        </w:rPr>
        <w:t xml:space="preserve"> </w:t>
      </w:r>
      <w:r w:rsidR="00F30D22" w:rsidRPr="00F30D22">
        <w:rPr>
          <w:rFonts w:ascii="Times" w:eastAsia="Times New Roman" w:hAnsi="Times" w:cs="Arial"/>
          <w:sz w:val="24"/>
          <w:szCs w:val="24"/>
          <w:lang w:eastAsia="pl-PL"/>
        </w:rPr>
        <w:t>biokomponentach i biopaliwach ciekłych do zmiany definicji podmiotu realizującego Narodowy Cel Wskaźnikowy wprowadzonej ustawą z dnia 22 lipca 2016 r. o zmianie ustawy – Prawo energetyczne oraz niektórych innych ustaw.</w:t>
      </w:r>
    </w:p>
    <w:p w:rsidR="00F30D22" w:rsidRPr="00F30D22" w:rsidRDefault="00CF358A" w:rsidP="005F187F">
      <w:pPr>
        <w:tabs>
          <w:tab w:val="left" w:pos="434"/>
        </w:tabs>
        <w:suppressAutoHyphens/>
        <w:autoSpaceDE w:val="0"/>
        <w:autoSpaceDN w:val="0"/>
        <w:adjustRightInd w:val="0"/>
        <w:spacing w:after="0" w:line="360" w:lineRule="auto"/>
        <w:ind w:left="434" w:hanging="434"/>
        <w:jc w:val="both"/>
        <w:rPr>
          <w:rFonts w:ascii="Times New Roman" w:eastAsia="Times New Roman" w:hAnsi="Times New Roman" w:cs="Times New Roman"/>
          <w:sz w:val="24"/>
          <w:szCs w:val="24"/>
          <w:lang w:eastAsia="pl-PL"/>
        </w:rPr>
      </w:pPr>
      <w:r>
        <w:rPr>
          <w:rFonts w:ascii="Times New Roman" w:eastAsia="Times New Roman" w:hAnsi="Times New Roman" w:cs="Arial"/>
          <w:sz w:val="24"/>
          <w:szCs w:val="24"/>
          <w:lang w:eastAsia="pl-PL"/>
        </w:rPr>
        <w:t>2.</w:t>
      </w:r>
      <w:r>
        <w:rPr>
          <w:rFonts w:ascii="Times New Roman" w:eastAsia="Times New Roman" w:hAnsi="Times New Roman" w:cs="Arial"/>
          <w:sz w:val="24"/>
          <w:szCs w:val="24"/>
          <w:lang w:eastAsia="pl-PL"/>
        </w:rPr>
        <w:tab/>
      </w:r>
      <w:r w:rsidR="00F30D22" w:rsidRPr="00F30D22">
        <w:rPr>
          <w:rFonts w:ascii="Times New Roman" w:eastAsia="Times New Roman" w:hAnsi="Times New Roman" w:cs="Arial"/>
          <w:sz w:val="24"/>
          <w:szCs w:val="24"/>
          <w:lang w:eastAsia="pl-PL"/>
        </w:rPr>
        <w:t xml:space="preserve">Zmiana w art. 24 ust. 1 </w:t>
      </w:r>
      <w:r w:rsidR="00F30D22" w:rsidRPr="00F30D22">
        <w:rPr>
          <w:rFonts w:ascii="Times New Roman" w:eastAsia="Times New Roman" w:hAnsi="Times New Roman" w:cs="Times New Roman"/>
          <w:sz w:val="24"/>
          <w:szCs w:val="24"/>
          <w:lang w:eastAsia="pl-PL"/>
        </w:rPr>
        <w:t xml:space="preserve">ma na celu dostosowanie przepisów prawa krajowego do aktualnej sytuacji na rynku biokomponentów i biopaliw ciekłych w Polsce i wynika z konieczności ograniczenia kosztów realizacji NCW ponoszonych przez producentów i importerów paliw wynikających z określenia poziomów NCW powyżej możliwości wykonania tego obowiązku w ramach normatywnego </w:t>
      </w:r>
      <w:r w:rsidR="00F30D22" w:rsidRPr="000206BA">
        <w:rPr>
          <w:rFonts w:ascii="Times New Roman" w:eastAsia="Times New Roman" w:hAnsi="Times New Roman" w:cs="Times New Roman"/>
          <w:i/>
          <w:sz w:val="24"/>
          <w:szCs w:val="24"/>
          <w:lang w:eastAsia="pl-PL"/>
        </w:rPr>
        <w:t>blendingu</w:t>
      </w:r>
      <w:r w:rsidR="00F30D22" w:rsidRPr="00F30D22">
        <w:rPr>
          <w:rFonts w:ascii="Times New Roman" w:eastAsia="Times New Roman" w:hAnsi="Times New Roman" w:cs="Times New Roman"/>
          <w:sz w:val="24"/>
          <w:szCs w:val="24"/>
          <w:lang w:eastAsia="pl-PL"/>
        </w:rPr>
        <w:t>. Projekt ustawy zawiera zmienioną delegację ustawową do wydania rozporządzenia w sprawie Narodowych Celów Wskaźnikowych, natomiast w celu uniknięcia konieczności procedowania rozporządzenia określającego NCW na lata 2016</w:t>
      </w:r>
      <w:r w:rsidR="005F187F">
        <w:rPr>
          <w:rFonts w:ascii="Times New Roman" w:eastAsia="Times New Roman" w:hAnsi="Times New Roman" w:cs="Times New Roman"/>
          <w:sz w:val="24"/>
          <w:szCs w:val="24"/>
          <w:lang w:eastAsia="pl-PL"/>
        </w:rPr>
        <w:t>–</w:t>
      </w:r>
      <w:r w:rsidR="00F30D22" w:rsidRPr="00F30D22">
        <w:rPr>
          <w:rFonts w:ascii="Times New Roman" w:eastAsia="Times New Roman" w:hAnsi="Times New Roman" w:cs="Times New Roman"/>
          <w:sz w:val="24"/>
          <w:szCs w:val="24"/>
          <w:lang w:eastAsia="pl-PL"/>
        </w:rPr>
        <w:t>2021 Narodowe Cele Wskaźnikowe na lata 2017</w:t>
      </w:r>
      <w:r w:rsidR="005F187F">
        <w:rPr>
          <w:rFonts w:ascii="Times New Roman" w:eastAsia="Times New Roman" w:hAnsi="Times New Roman" w:cs="Times New Roman"/>
          <w:sz w:val="24"/>
          <w:szCs w:val="24"/>
          <w:lang w:eastAsia="pl-PL"/>
        </w:rPr>
        <w:t>–</w:t>
      </w:r>
      <w:r w:rsidR="00D02E43">
        <w:rPr>
          <w:rFonts w:ascii="Times New Roman" w:eastAsia="Times New Roman" w:hAnsi="Times New Roman" w:cs="Times New Roman"/>
          <w:sz w:val="24"/>
          <w:szCs w:val="24"/>
          <w:lang w:eastAsia="pl-PL"/>
        </w:rPr>
        <w:t>2020 zostały określone w </w:t>
      </w:r>
      <w:r w:rsidR="00F30D22" w:rsidRPr="00F30D22">
        <w:rPr>
          <w:rFonts w:ascii="Times New Roman" w:eastAsia="Times New Roman" w:hAnsi="Times New Roman" w:cs="Times New Roman"/>
          <w:sz w:val="24"/>
          <w:szCs w:val="24"/>
          <w:lang w:eastAsia="pl-PL"/>
        </w:rPr>
        <w:t>projekcie nowelizacji. Dodatkowo wprowadzono przepis, zgodnie z którym Rada Ministrów po raz pierwszy wyda rozporządzenie, o którym mowa w art. 24 ust. 1 ustawy, w oparciu o znowelizowaną delegację ustawową, najpóźniej do d</w:t>
      </w:r>
      <w:r w:rsidR="00D02E43">
        <w:rPr>
          <w:rFonts w:ascii="Times New Roman" w:eastAsia="Times New Roman" w:hAnsi="Times New Roman" w:cs="Times New Roman"/>
          <w:sz w:val="24"/>
          <w:szCs w:val="24"/>
          <w:lang w:eastAsia="pl-PL"/>
        </w:rPr>
        <w:t>nia 15 </w:t>
      </w:r>
      <w:r w:rsidR="00F30D22" w:rsidRPr="00F30D22">
        <w:rPr>
          <w:rFonts w:ascii="Times New Roman" w:eastAsia="Times New Roman" w:hAnsi="Times New Roman" w:cs="Times New Roman"/>
          <w:sz w:val="24"/>
          <w:szCs w:val="24"/>
          <w:lang w:eastAsia="pl-PL"/>
        </w:rPr>
        <w:t>czerwca 2019 r., określając NCW na lata 2019</w:t>
      </w:r>
      <w:r w:rsidR="005F187F">
        <w:rPr>
          <w:rFonts w:ascii="Times New Roman" w:eastAsia="Times New Roman" w:hAnsi="Times New Roman" w:cs="Times New Roman"/>
          <w:sz w:val="24"/>
          <w:szCs w:val="24"/>
          <w:lang w:eastAsia="pl-PL"/>
        </w:rPr>
        <w:t>–</w:t>
      </w:r>
      <w:r w:rsidR="00F30D22" w:rsidRPr="00F30D22">
        <w:rPr>
          <w:rFonts w:ascii="Times New Roman" w:eastAsia="Times New Roman" w:hAnsi="Times New Roman" w:cs="Times New Roman"/>
          <w:sz w:val="24"/>
          <w:szCs w:val="24"/>
          <w:lang w:eastAsia="pl-PL"/>
        </w:rPr>
        <w:t xml:space="preserve">2026. Zatem kolejne rozporządzenia określające poziomy NCW będą wydawane już w momencie pozyskania pełnej wiedzy dotyczącej stanowiska Komisji Europejskiej wobec przyszłości polityki względem biopaliw pozwalającej w konsekwencji na określanie tej polityki w Polsce w sposób skoordynowany z przepisami Unii Europejskiej. </w:t>
      </w:r>
    </w:p>
    <w:p w:rsidR="00F30D22" w:rsidRPr="00D02E43" w:rsidRDefault="00DF3339" w:rsidP="005F187F">
      <w:pPr>
        <w:tabs>
          <w:tab w:val="left" w:pos="434"/>
        </w:tabs>
        <w:suppressAutoHyphens/>
        <w:autoSpaceDE w:val="0"/>
        <w:autoSpaceDN w:val="0"/>
        <w:adjustRightInd w:val="0"/>
        <w:spacing w:after="0" w:line="360" w:lineRule="auto"/>
        <w:ind w:left="434" w:hanging="434"/>
        <w:jc w:val="both"/>
        <w:rPr>
          <w:rFonts w:ascii="Times New Roman" w:eastAsia="Times New Roman" w:hAnsi="Times New Roman" w:cs="Arial"/>
          <w:sz w:val="24"/>
          <w:szCs w:val="24"/>
          <w:lang w:eastAsia="pl-PL"/>
        </w:rPr>
      </w:pPr>
      <w:r>
        <w:rPr>
          <w:rFonts w:ascii="Times New Roman" w:eastAsia="Times New Roman" w:hAnsi="Times New Roman" w:cs="Arial"/>
          <w:sz w:val="24"/>
          <w:szCs w:val="24"/>
          <w:lang w:eastAsia="pl-PL"/>
        </w:rPr>
        <w:t>3.</w:t>
      </w:r>
      <w:r>
        <w:rPr>
          <w:rFonts w:ascii="Times New Roman" w:eastAsia="Times New Roman" w:hAnsi="Times New Roman" w:cs="Arial"/>
          <w:sz w:val="24"/>
          <w:szCs w:val="24"/>
          <w:lang w:eastAsia="pl-PL"/>
        </w:rPr>
        <w:tab/>
      </w:r>
      <w:r w:rsidR="00F30D22" w:rsidRPr="00F30D22">
        <w:rPr>
          <w:rFonts w:ascii="Times New Roman" w:eastAsia="Times New Roman" w:hAnsi="Times New Roman" w:cs="Times New Roman"/>
          <w:sz w:val="24"/>
          <w:szCs w:val="24"/>
          <w:lang w:eastAsia="pl-PL"/>
        </w:rPr>
        <w:t>Zmiany w art. 28b ust. 1 ustawy wprowadzają r</w:t>
      </w:r>
      <w:r w:rsidR="00D02E43">
        <w:rPr>
          <w:rFonts w:ascii="Times New Roman" w:eastAsia="Times New Roman" w:hAnsi="Times New Roman" w:cs="Times New Roman"/>
          <w:sz w:val="24"/>
          <w:szCs w:val="24"/>
          <w:lang w:eastAsia="pl-PL"/>
        </w:rPr>
        <w:t>oczne odroczenie, tj. do dnia 1 </w:t>
      </w:r>
      <w:r w:rsidR="00F30D22" w:rsidRPr="00F30D22">
        <w:rPr>
          <w:rFonts w:ascii="Times New Roman" w:eastAsia="Times New Roman" w:hAnsi="Times New Roman" w:cs="Times New Roman"/>
          <w:sz w:val="24"/>
          <w:szCs w:val="24"/>
          <w:lang w:eastAsia="pl-PL"/>
        </w:rPr>
        <w:t>stycznia 2018 r., obowiązku spełnienia przez biokomponenty zaliczane do realizacji NCW kryterium ograniczenia emisji gazów cieplarnianych na poziomie 50%, pozostawiając poziom ww. ograniczenia na rok 2017 w dotychczasowej wysokości. Wprowadzona zmiana znacząco poprawi sytuację konkurencyjną krajowych wytwórców, którzy nie będę zobowiązani zapewnić, aby wytwarzane przez nich biokomponenty już od dnia 1 stycznia 2017 r. spełniały bardziej rygorystyczne kryterium ograniczenia emisji gazó</w:t>
      </w:r>
      <w:r w:rsidR="00D02E43">
        <w:rPr>
          <w:rFonts w:ascii="Times New Roman" w:eastAsia="Times New Roman" w:hAnsi="Times New Roman" w:cs="Times New Roman"/>
          <w:sz w:val="24"/>
          <w:szCs w:val="24"/>
          <w:lang w:eastAsia="pl-PL"/>
        </w:rPr>
        <w:t xml:space="preserve">w cieplarnianych. Zmiany </w:t>
      </w:r>
      <w:r w:rsidR="000206BA">
        <w:rPr>
          <w:rFonts w:ascii="Times New Roman" w:eastAsia="Times New Roman" w:hAnsi="Times New Roman" w:cs="Times New Roman"/>
          <w:sz w:val="24"/>
          <w:szCs w:val="24"/>
          <w:lang w:eastAsia="pl-PL"/>
        </w:rPr>
        <w:t>w</w:t>
      </w:r>
      <w:r w:rsidR="00D02E43">
        <w:rPr>
          <w:rFonts w:ascii="Times New Roman" w:eastAsia="Times New Roman" w:hAnsi="Times New Roman" w:cs="Times New Roman"/>
          <w:sz w:val="24"/>
          <w:szCs w:val="24"/>
          <w:lang w:eastAsia="pl-PL"/>
        </w:rPr>
        <w:t> art. </w:t>
      </w:r>
      <w:r w:rsidR="00F30D22" w:rsidRPr="00F30D22">
        <w:rPr>
          <w:rFonts w:ascii="Times New Roman" w:eastAsia="Times New Roman" w:hAnsi="Times New Roman" w:cs="Times New Roman"/>
          <w:sz w:val="24"/>
          <w:szCs w:val="24"/>
          <w:lang w:eastAsia="pl-PL"/>
        </w:rPr>
        <w:t xml:space="preserve">28b ust. 2 projektu ustawy wprowadzają obowiązek wykazania 60% redukcji </w:t>
      </w:r>
      <w:r w:rsidR="00F30D22" w:rsidRPr="00F30D22">
        <w:rPr>
          <w:rFonts w:ascii="Times New Roman" w:eastAsia="Times New Roman" w:hAnsi="Times New Roman" w:cs="Times New Roman"/>
          <w:sz w:val="24"/>
          <w:szCs w:val="24"/>
          <w:lang w:eastAsia="pl-PL"/>
        </w:rPr>
        <w:lastRenderedPageBreak/>
        <w:t>emisji gazów cieplarnianych od</w:t>
      </w:r>
      <w:r w:rsidR="000206BA">
        <w:rPr>
          <w:rFonts w:ascii="Times New Roman" w:eastAsia="Times New Roman" w:hAnsi="Times New Roman" w:cs="Times New Roman"/>
          <w:sz w:val="24"/>
          <w:szCs w:val="24"/>
          <w:lang w:eastAsia="pl-PL"/>
        </w:rPr>
        <w:t xml:space="preserve"> dnia</w:t>
      </w:r>
      <w:r w:rsidR="00F30D22" w:rsidRPr="00F30D22">
        <w:rPr>
          <w:rFonts w:ascii="Times New Roman" w:eastAsia="Times New Roman" w:hAnsi="Times New Roman" w:cs="Times New Roman"/>
          <w:sz w:val="24"/>
          <w:szCs w:val="24"/>
          <w:lang w:eastAsia="pl-PL"/>
        </w:rPr>
        <w:t xml:space="preserve"> 10 września 2017 r. Zaproponowane rozwiązania są zgodne z przepisami Unii Europejskiej</w:t>
      </w:r>
      <w:r w:rsidR="000206BA">
        <w:rPr>
          <w:rFonts w:ascii="Times New Roman" w:eastAsia="Times New Roman" w:hAnsi="Times New Roman" w:cs="Times New Roman"/>
          <w:sz w:val="24"/>
          <w:szCs w:val="24"/>
          <w:lang w:eastAsia="pl-PL"/>
        </w:rPr>
        <w:t>,</w:t>
      </w:r>
      <w:r w:rsidR="00F30D22" w:rsidRPr="00F30D22">
        <w:rPr>
          <w:rFonts w:ascii="Times New Roman" w:eastAsia="Times New Roman" w:hAnsi="Times New Roman" w:cs="Times New Roman"/>
          <w:sz w:val="24"/>
          <w:szCs w:val="24"/>
          <w:lang w:eastAsia="pl-PL"/>
        </w:rPr>
        <w:t xml:space="preserve"> a w szczególności z rozwiązaniami zawartymi w przepisach dyrektywy </w:t>
      </w:r>
      <w:r w:rsidR="00D02E43">
        <w:rPr>
          <w:rFonts w:ascii="Times New Roman" w:eastAsia="Times New Roman" w:hAnsi="Times New Roman" w:cs="Times New Roman"/>
          <w:sz w:val="24"/>
          <w:szCs w:val="24"/>
          <w:lang w:eastAsia="pl-PL"/>
        </w:rPr>
        <w:t>Parlamentu Europejskiego i </w:t>
      </w:r>
      <w:r w:rsidR="00F30D22" w:rsidRPr="00F30D22">
        <w:rPr>
          <w:rFonts w:ascii="Times New Roman" w:eastAsia="Times New Roman" w:hAnsi="Times New Roman" w:cs="Times New Roman"/>
          <w:sz w:val="24"/>
          <w:szCs w:val="24"/>
          <w:lang w:eastAsia="pl-PL"/>
        </w:rPr>
        <w:t xml:space="preserve">Rady </w:t>
      </w:r>
      <w:r w:rsidR="001A333D">
        <w:rPr>
          <w:rFonts w:ascii="Times New Roman" w:eastAsia="Times New Roman" w:hAnsi="Times New Roman" w:cs="Times New Roman"/>
          <w:sz w:val="24"/>
          <w:szCs w:val="24"/>
          <w:lang w:eastAsia="pl-PL"/>
        </w:rPr>
        <w:t xml:space="preserve">(UE) </w:t>
      </w:r>
      <w:r w:rsidR="001A333D" w:rsidRPr="00F30D22">
        <w:rPr>
          <w:rFonts w:ascii="Times New Roman" w:eastAsia="Times New Roman" w:hAnsi="Times New Roman" w:cs="Times New Roman"/>
          <w:sz w:val="24"/>
          <w:szCs w:val="24"/>
          <w:lang w:eastAsia="pl-PL"/>
        </w:rPr>
        <w:t>2015/151</w:t>
      </w:r>
      <w:r w:rsidR="00FF7C61">
        <w:rPr>
          <w:rFonts w:ascii="Times New Roman" w:eastAsia="Times New Roman" w:hAnsi="Times New Roman" w:cs="Times New Roman"/>
          <w:sz w:val="24"/>
          <w:szCs w:val="24"/>
          <w:lang w:eastAsia="pl-PL"/>
        </w:rPr>
        <w:t>3</w:t>
      </w:r>
      <w:r w:rsidR="001A333D">
        <w:rPr>
          <w:rFonts w:ascii="Times New Roman" w:eastAsia="Times New Roman" w:hAnsi="Times New Roman" w:cs="Times New Roman"/>
          <w:sz w:val="24"/>
          <w:szCs w:val="24"/>
          <w:lang w:eastAsia="pl-PL"/>
        </w:rPr>
        <w:t xml:space="preserve"> </w:t>
      </w:r>
      <w:r w:rsidR="00F30D22" w:rsidRPr="00F30D22">
        <w:rPr>
          <w:rFonts w:ascii="Times New Roman" w:eastAsia="Times New Roman" w:hAnsi="Times New Roman" w:cs="Times New Roman"/>
          <w:sz w:val="24"/>
          <w:szCs w:val="24"/>
          <w:lang w:eastAsia="pl-PL"/>
        </w:rPr>
        <w:t xml:space="preserve">z dnia 9 września 2015 r. </w:t>
      </w:r>
      <w:r w:rsidR="00F30D22" w:rsidRPr="00D02E43">
        <w:rPr>
          <w:rFonts w:ascii="Times New Roman" w:eastAsia="Times New Roman" w:hAnsi="Times New Roman" w:cs="Times New Roman"/>
          <w:sz w:val="24"/>
          <w:szCs w:val="24"/>
          <w:lang w:eastAsia="pl-PL"/>
        </w:rPr>
        <w:t>zmieniającej dyrektywę 98/70/WE odnoszącą się do jakości benzyny i olejów napędowych oraz zmieniającej dyrektywę 2009/28/WE w sprawie promowania stosowania energii ze źródeł odnawialnych.</w:t>
      </w:r>
    </w:p>
    <w:p w:rsidR="00F30D22" w:rsidRPr="00D02E43" w:rsidRDefault="00F30D22" w:rsidP="000206BA">
      <w:pPr>
        <w:keepNext/>
        <w:keepLines/>
        <w:autoSpaceDE w:val="0"/>
        <w:autoSpaceDN w:val="0"/>
        <w:adjustRightInd w:val="0"/>
        <w:spacing w:before="240" w:after="0" w:line="360" w:lineRule="auto"/>
        <w:jc w:val="both"/>
        <w:rPr>
          <w:rFonts w:ascii="Times New Roman" w:eastAsia="Times New Roman" w:hAnsi="Times New Roman" w:cs="Arial"/>
          <w:sz w:val="24"/>
          <w:szCs w:val="24"/>
          <w:lang w:eastAsia="pl-PL"/>
        </w:rPr>
      </w:pPr>
      <w:r w:rsidRPr="00D02E43">
        <w:rPr>
          <w:rFonts w:ascii="Times New Roman" w:eastAsia="Times New Roman" w:hAnsi="Times New Roman" w:cs="Arial"/>
          <w:sz w:val="24"/>
          <w:szCs w:val="24"/>
          <w:lang w:eastAsia="pl-PL"/>
        </w:rPr>
        <w:t>Ad 3.</w:t>
      </w:r>
      <w:r w:rsidR="000206BA">
        <w:rPr>
          <w:rFonts w:ascii="Times New Roman" w:eastAsia="Times New Roman" w:hAnsi="Times New Roman" w:cs="Arial"/>
          <w:sz w:val="24"/>
          <w:szCs w:val="24"/>
          <w:lang w:eastAsia="pl-PL"/>
        </w:rPr>
        <w:t xml:space="preserve"> </w:t>
      </w:r>
      <w:r w:rsidRPr="00D02E43">
        <w:rPr>
          <w:rFonts w:ascii="Times New Roman" w:eastAsia="Times New Roman" w:hAnsi="Times New Roman" w:cs="Arial"/>
          <w:sz w:val="24"/>
          <w:szCs w:val="24"/>
          <w:lang w:eastAsia="pl-PL"/>
        </w:rPr>
        <w:t>Zmiany do wprowadzenia do ustawy o zapasach</w:t>
      </w:r>
      <w:r w:rsidRPr="00D02E43">
        <w:rPr>
          <w:rFonts w:ascii="Times New Roman" w:eastAsia="Times New Roman" w:hAnsi="Times New Roman" w:cs="Arial"/>
          <w:sz w:val="24"/>
          <w:szCs w:val="20"/>
          <w:lang w:eastAsia="pl-PL"/>
        </w:rPr>
        <w:t xml:space="preserve"> ropy </w:t>
      </w:r>
      <w:r w:rsidRPr="00D02E43">
        <w:rPr>
          <w:rFonts w:ascii="Times New Roman" w:eastAsia="Times New Roman" w:hAnsi="Times New Roman" w:cs="Arial"/>
          <w:sz w:val="24"/>
          <w:szCs w:val="24"/>
          <w:lang w:eastAsia="pl-PL"/>
        </w:rPr>
        <w:t>naftowej, produktów naftowych i gazu ziemnego oraz zasadach postępowania w sytuacjach zagrożenia bezpieczeństwa paliwowego państwa i zakłóceń na rynku naftowym</w:t>
      </w:r>
    </w:p>
    <w:p w:rsidR="00F30D22" w:rsidRPr="00F30D22" w:rsidRDefault="000206BA" w:rsidP="007E5672">
      <w:pPr>
        <w:widowControl w:val="0"/>
        <w:numPr>
          <w:ilvl w:val="0"/>
          <w:numId w:val="3"/>
        </w:numPr>
        <w:tabs>
          <w:tab w:val="left" w:pos="0"/>
        </w:tabs>
        <w:autoSpaceDE w:val="0"/>
        <w:autoSpaceDN w:val="0"/>
        <w:adjustRightInd w:val="0"/>
        <w:spacing w:after="0" w:line="360" w:lineRule="auto"/>
        <w:ind w:left="392" w:hanging="434"/>
        <w:jc w:val="both"/>
        <w:rPr>
          <w:rFonts w:ascii="Times" w:eastAsia="Times New Roman" w:hAnsi="Times" w:cs="Arial"/>
          <w:bCs/>
          <w:sz w:val="24"/>
          <w:szCs w:val="24"/>
          <w:lang w:eastAsia="pl-PL"/>
        </w:rPr>
      </w:pPr>
      <w:r>
        <w:rPr>
          <w:rFonts w:ascii="Times" w:eastAsia="Times New Roman" w:hAnsi="Times" w:cs="Arial"/>
          <w:bCs/>
          <w:sz w:val="24"/>
          <w:szCs w:val="20"/>
          <w:lang w:eastAsia="pl-PL"/>
        </w:rPr>
        <w:t>Z</w:t>
      </w:r>
      <w:r w:rsidR="00F30D22" w:rsidRPr="00F30D22">
        <w:rPr>
          <w:rFonts w:ascii="Times" w:eastAsia="Times New Roman" w:hAnsi="Times" w:cs="Arial"/>
          <w:bCs/>
          <w:sz w:val="24"/>
          <w:szCs w:val="20"/>
          <w:lang w:eastAsia="pl-PL"/>
        </w:rPr>
        <w:t>miana w art. 13a</w:t>
      </w:r>
      <w:r w:rsidR="00F30D22" w:rsidRPr="00F30D22">
        <w:rPr>
          <w:rFonts w:ascii="Times" w:eastAsia="Times New Roman" w:hAnsi="Times" w:cs="Arial"/>
          <w:b/>
          <w:bCs/>
          <w:sz w:val="24"/>
          <w:szCs w:val="20"/>
          <w:lang w:eastAsia="pl-PL"/>
        </w:rPr>
        <w:t xml:space="preserve"> </w:t>
      </w:r>
      <w:r w:rsidR="00F30D22" w:rsidRPr="00F30D22">
        <w:rPr>
          <w:rFonts w:ascii="Times" w:eastAsia="Times New Roman" w:hAnsi="Times" w:cs="Arial"/>
          <w:bCs/>
          <w:sz w:val="24"/>
          <w:szCs w:val="24"/>
          <w:lang w:eastAsia="pl-PL"/>
        </w:rPr>
        <w:t xml:space="preserve">ma na celu uspójnienie brzmienia art. 13a ustawy </w:t>
      </w:r>
      <w:r w:rsidR="00F30D22" w:rsidRPr="000206BA">
        <w:rPr>
          <w:rFonts w:ascii="Times New Roman" w:eastAsia="Times New Roman" w:hAnsi="Times New Roman" w:cs="Times New Roman"/>
          <w:bCs/>
          <w:sz w:val="24"/>
          <w:szCs w:val="24"/>
          <w:lang w:eastAsia="pl-PL"/>
        </w:rPr>
        <w:t>o zapasach, który odmiennie został uregulowany w</w:t>
      </w:r>
      <w:r w:rsidR="00F30D22" w:rsidRPr="00F30D22">
        <w:rPr>
          <w:rFonts w:ascii="Times" w:eastAsia="Times New Roman" w:hAnsi="Times" w:cs="Arial"/>
          <w:bCs/>
          <w:sz w:val="24"/>
          <w:szCs w:val="24"/>
          <w:lang w:eastAsia="pl-PL"/>
        </w:rPr>
        <w:t xml:space="preserve"> ustawie – Prawo energetyczne ustawą z dnia 7 lipca 2016 r.</w:t>
      </w:r>
      <w:r w:rsidR="00F30D22" w:rsidRPr="00F30D22">
        <w:rPr>
          <w:rFonts w:ascii="Times" w:eastAsia="Times New Roman" w:hAnsi="Times" w:cs="Arial"/>
          <w:bCs/>
          <w:i/>
          <w:sz w:val="24"/>
          <w:szCs w:val="24"/>
          <w:lang w:eastAsia="pl-PL"/>
        </w:rPr>
        <w:t xml:space="preserve"> </w:t>
      </w:r>
      <w:r w:rsidR="00F30D22" w:rsidRPr="00D02E43">
        <w:rPr>
          <w:rFonts w:ascii="Times" w:eastAsia="Times New Roman" w:hAnsi="Times" w:cs="Arial"/>
          <w:bCs/>
          <w:sz w:val="24"/>
          <w:szCs w:val="24"/>
          <w:lang w:eastAsia="pl-PL"/>
        </w:rPr>
        <w:t>o zmianie ustawy o podatku od towarów i usług oraz niektórych innych ustaw</w:t>
      </w:r>
      <w:r w:rsidR="001A333D">
        <w:rPr>
          <w:rFonts w:ascii="Times" w:eastAsia="Times New Roman" w:hAnsi="Times" w:cs="Arial"/>
          <w:bCs/>
          <w:sz w:val="24"/>
          <w:szCs w:val="24"/>
          <w:lang w:eastAsia="pl-PL"/>
        </w:rPr>
        <w:t xml:space="preserve"> (Dz. U. poz. 1052 i 1165</w:t>
      </w:r>
      <w:r w:rsidR="001A333D" w:rsidRPr="001A333D">
        <w:rPr>
          <w:rFonts w:ascii="Times" w:eastAsia="Times New Roman" w:hAnsi="Times" w:cs="Arial"/>
          <w:bCs/>
          <w:sz w:val="24"/>
          <w:szCs w:val="24"/>
          <w:lang w:eastAsia="pl-PL"/>
        </w:rPr>
        <w:t>)</w:t>
      </w:r>
      <w:r w:rsidR="00F30D22" w:rsidRPr="001A333D">
        <w:rPr>
          <w:rFonts w:ascii="Times" w:eastAsia="Times New Roman" w:hAnsi="Times" w:cs="Arial"/>
          <w:bCs/>
          <w:sz w:val="24"/>
          <w:szCs w:val="24"/>
          <w:lang w:eastAsia="pl-PL"/>
        </w:rPr>
        <w:t xml:space="preserve"> </w:t>
      </w:r>
      <w:r w:rsidR="00F30D22" w:rsidRPr="00F30D22">
        <w:rPr>
          <w:rFonts w:ascii="Times" w:eastAsia="Times New Roman" w:hAnsi="Times" w:cs="Arial"/>
          <w:bCs/>
          <w:sz w:val="24"/>
          <w:szCs w:val="24"/>
          <w:lang w:eastAsia="pl-PL"/>
        </w:rPr>
        <w:t xml:space="preserve">oraz ustawie z dnia 22 lipca 2016 r. </w:t>
      </w:r>
      <w:r w:rsidR="006E6EB0">
        <w:rPr>
          <w:rFonts w:ascii="Times" w:eastAsia="Times New Roman" w:hAnsi="Times" w:cs="Arial"/>
          <w:bCs/>
          <w:sz w:val="24"/>
          <w:szCs w:val="24"/>
          <w:lang w:eastAsia="pl-PL"/>
        </w:rPr>
        <w:t>o </w:t>
      </w:r>
      <w:r w:rsidR="00F30D22" w:rsidRPr="00D02E43">
        <w:rPr>
          <w:rFonts w:ascii="Times" w:eastAsia="Times New Roman" w:hAnsi="Times" w:cs="Arial"/>
          <w:bCs/>
          <w:sz w:val="24"/>
          <w:szCs w:val="24"/>
          <w:lang w:eastAsia="pl-PL"/>
        </w:rPr>
        <w:t>zmianie ustawy – Prawo energetyczne oraz niektórych innych ustaw</w:t>
      </w:r>
      <w:r w:rsidR="00FF7C61">
        <w:rPr>
          <w:rFonts w:ascii="Times" w:eastAsia="Times New Roman" w:hAnsi="Times" w:cs="Arial"/>
          <w:bCs/>
          <w:sz w:val="24"/>
          <w:szCs w:val="24"/>
          <w:lang w:eastAsia="pl-PL"/>
        </w:rPr>
        <w:t xml:space="preserve"> (Dz. U. </w:t>
      </w:r>
      <w:r w:rsidR="006E6EB0">
        <w:rPr>
          <w:rFonts w:ascii="Times" w:eastAsia="Times New Roman" w:hAnsi="Times" w:cs="Arial"/>
          <w:bCs/>
          <w:sz w:val="24"/>
          <w:szCs w:val="24"/>
          <w:lang w:eastAsia="pl-PL"/>
        </w:rPr>
        <w:t>poz. </w:t>
      </w:r>
      <w:r w:rsidR="00FF7C61">
        <w:rPr>
          <w:rFonts w:ascii="Times" w:eastAsia="Times New Roman" w:hAnsi="Times" w:cs="Arial"/>
          <w:bCs/>
          <w:sz w:val="24"/>
          <w:szCs w:val="24"/>
          <w:lang w:eastAsia="pl-PL"/>
        </w:rPr>
        <w:t>1165)</w:t>
      </w:r>
      <w:r w:rsidR="00F30D22" w:rsidRPr="00D02E43">
        <w:rPr>
          <w:rFonts w:ascii="Times" w:eastAsia="Times New Roman" w:hAnsi="Times" w:cs="Arial"/>
          <w:bCs/>
          <w:sz w:val="24"/>
          <w:szCs w:val="24"/>
          <w:lang w:eastAsia="pl-PL"/>
        </w:rPr>
        <w:t xml:space="preserve">. </w:t>
      </w:r>
      <w:r w:rsidR="00F30D22" w:rsidRPr="00F30D22">
        <w:rPr>
          <w:rFonts w:ascii="Times" w:eastAsia="Times New Roman" w:hAnsi="Times" w:cs="Arial"/>
          <w:bCs/>
          <w:sz w:val="24"/>
          <w:szCs w:val="24"/>
          <w:lang w:eastAsia="pl-PL"/>
        </w:rPr>
        <w:t>Druga z tych nowelizacji nie nadała nowego brzmienia temu przepisowi, lecz ponownie go dodała. Propozycja ma na celu nadanie jednego brzmienia art. 13a, które pogodzi obie wersje regulacji.</w:t>
      </w:r>
    </w:p>
    <w:p w:rsidR="00F30D22" w:rsidRPr="00F30D22" w:rsidRDefault="00F30D22" w:rsidP="00CF358A">
      <w:pPr>
        <w:widowControl w:val="0"/>
        <w:numPr>
          <w:ilvl w:val="0"/>
          <w:numId w:val="3"/>
        </w:numPr>
        <w:autoSpaceDE w:val="0"/>
        <w:autoSpaceDN w:val="0"/>
        <w:adjustRightInd w:val="0"/>
        <w:spacing w:after="0" w:line="360" w:lineRule="auto"/>
        <w:ind w:left="392" w:hanging="364"/>
        <w:jc w:val="both"/>
        <w:rPr>
          <w:rFonts w:ascii="Times" w:eastAsia="Times New Roman" w:hAnsi="Times" w:cs="Arial"/>
          <w:bCs/>
          <w:sz w:val="24"/>
          <w:szCs w:val="20"/>
          <w:lang w:eastAsia="pl-PL"/>
        </w:rPr>
      </w:pPr>
      <w:r w:rsidRPr="00F30D22">
        <w:rPr>
          <w:rFonts w:ascii="Times" w:eastAsia="Times New Roman" w:hAnsi="Times" w:cs="Arial"/>
          <w:bCs/>
          <w:sz w:val="24"/>
          <w:szCs w:val="20"/>
          <w:lang w:eastAsia="pl-PL"/>
        </w:rPr>
        <w:t>Zmiana</w:t>
      </w:r>
      <w:r w:rsidRPr="00F30D22">
        <w:rPr>
          <w:rFonts w:ascii="Times" w:eastAsia="Times New Roman" w:hAnsi="Times" w:cs="Arial"/>
          <w:bCs/>
          <w:sz w:val="24"/>
          <w:szCs w:val="24"/>
          <w:lang w:eastAsia="pl-PL"/>
        </w:rPr>
        <w:t xml:space="preserve"> w</w:t>
      </w:r>
      <w:r w:rsidRPr="00F30D22">
        <w:rPr>
          <w:rFonts w:ascii="Times" w:eastAsia="Times New Roman" w:hAnsi="Times" w:cs="Arial"/>
          <w:b/>
          <w:bCs/>
          <w:sz w:val="24"/>
          <w:szCs w:val="20"/>
          <w:lang w:eastAsia="pl-PL"/>
        </w:rPr>
        <w:t xml:space="preserve"> </w:t>
      </w:r>
      <w:r w:rsidRPr="00F30D22">
        <w:rPr>
          <w:rFonts w:ascii="Times" w:eastAsia="Times New Roman" w:hAnsi="Times" w:cs="Arial"/>
          <w:bCs/>
          <w:sz w:val="24"/>
          <w:szCs w:val="20"/>
          <w:lang w:eastAsia="pl-PL"/>
        </w:rPr>
        <w:t>art. 25</w:t>
      </w:r>
      <w:r w:rsidRPr="00F30D22">
        <w:rPr>
          <w:rFonts w:ascii="Times" w:eastAsia="Times New Roman" w:hAnsi="Times" w:cs="Arial"/>
          <w:b/>
          <w:bCs/>
          <w:sz w:val="24"/>
          <w:szCs w:val="20"/>
          <w:lang w:eastAsia="pl-PL"/>
        </w:rPr>
        <w:t xml:space="preserve"> </w:t>
      </w:r>
      <w:r w:rsidRPr="00F30D22">
        <w:rPr>
          <w:rFonts w:ascii="Times" w:eastAsia="Times New Roman" w:hAnsi="Times" w:cs="Arial"/>
          <w:bCs/>
          <w:sz w:val="24"/>
          <w:szCs w:val="20"/>
          <w:lang w:eastAsia="pl-PL"/>
        </w:rPr>
        <w:t xml:space="preserve">ma na celu wyeliminowanie </w:t>
      </w:r>
      <w:r w:rsidR="00D02E43">
        <w:rPr>
          <w:rFonts w:ascii="Times" w:eastAsia="Times New Roman" w:hAnsi="Times" w:cs="Arial"/>
          <w:bCs/>
          <w:sz w:val="24"/>
          <w:szCs w:val="20"/>
          <w:lang w:eastAsia="pl-PL"/>
        </w:rPr>
        <w:t>wątpliwości interpretacyjnych i </w:t>
      </w:r>
      <w:r w:rsidRPr="00F30D22">
        <w:rPr>
          <w:rFonts w:ascii="Times" w:eastAsia="Times New Roman" w:hAnsi="Times" w:cs="Arial"/>
          <w:bCs/>
          <w:sz w:val="24"/>
          <w:szCs w:val="20"/>
          <w:lang w:eastAsia="pl-PL"/>
        </w:rPr>
        <w:t>problemów w</w:t>
      </w:r>
      <w:r w:rsidR="005F187F">
        <w:rPr>
          <w:rFonts w:ascii="Times" w:eastAsia="Times New Roman" w:hAnsi="Times" w:cs="Arial"/>
          <w:bCs/>
          <w:sz w:val="24"/>
          <w:szCs w:val="20"/>
          <w:lang w:eastAsia="pl-PL"/>
        </w:rPr>
        <w:t xml:space="preserve"> </w:t>
      </w:r>
      <w:r w:rsidRPr="00F30D22">
        <w:rPr>
          <w:rFonts w:ascii="Times" w:eastAsia="Times New Roman" w:hAnsi="Times" w:cs="Arial"/>
          <w:bCs/>
          <w:sz w:val="24"/>
          <w:szCs w:val="20"/>
          <w:lang w:eastAsia="pl-PL"/>
        </w:rPr>
        <w:t>stosowaniu powyższych przepisów w praktyce oraz doprecyzowanie zasad sposobu obliczania wielkości przywoz</w:t>
      </w:r>
      <w:r w:rsidR="00D02E43">
        <w:rPr>
          <w:rFonts w:ascii="Times" w:eastAsia="Times New Roman" w:hAnsi="Times" w:cs="Arial"/>
          <w:bCs/>
          <w:sz w:val="24"/>
          <w:szCs w:val="20"/>
          <w:lang w:eastAsia="pl-PL"/>
        </w:rPr>
        <w:t>u gazu ziemnego. Ww. przepisy w </w:t>
      </w:r>
      <w:r w:rsidRPr="00F30D22">
        <w:rPr>
          <w:rFonts w:ascii="Times" w:eastAsia="Times New Roman" w:hAnsi="Times" w:cs="Arial"/>
          <w:bCs/>
          <w:sz w:val="24"/>
          <w:szCs w:val="20"/>
          <w:lang w:eastAsia="pl-PL"/>
        </w:rPr>
        <w:t>brzmieniu przyjętym ustawą z</w:t>
      </w:r>
      <w:r w:rsidR="005F187F">
        <w:rPr>
          <w:rFonts w:ascii="Times" w:eastAsia="Times New Roman" w:hAnsi="Times" w:cs="Arial"/>
          <w:bCs/>
          <w:sz w:val="24"/>
          <w:szCs w:val="20"/>
          <w:lang w:eastAsia="pl-PL"/>
        </w:rPr>
        <w:t xml:space="preserve"> </w:t>
      </w:r>
      <w:r w:rsidRPr="00F30D22">
        <w:rPr>
          <w:rFonts w:ascii="Times" w:eastAsia="Times New Roman" w:hAnsi="Times" w:cs="Arial"/>
          <w:bCs/>
          <w:sz w:val="24"/>
          <w:szCs w:val="20"/>
          <w:lang w:eastAsia="pl-PL"/>
        </w:rPr>
        <w:t>dnia 22 lipca 2016 r. o zmianie ustawy – Prawo energetyczne nie zapewniały spójności z art. 33 ust. 1a ustawy – Prawo energetyczne, określającym</w:t>
      </w:r>
      <w:r w:rsidR="001A333D">
        <w:rPr>
          <w:rFonts w:ascii="Times" w:eastAsia="Times New Roman" w:hAnsi="Times" w:cs="Arial"/>
          <w:bCs/>
          <w:sz w:val="24"/>
          <w:szCs w:val="20"/>
          <w:lang w:eastAsia="pl-PL"/>
        </w:rPr>
        <w:t>,</w:t>
      </w:r>
      <w:r w:rsidRPr="00F30D22">
        <w:rPr>
          <w:rFonts w:ascii="Times" w:eastAsia="Times New Roman" w:hAnsi="Times" w:cs="Arial"/>
          <w:bCs/>
          <w:sz w:val="24"/>
          <w:szCs w:val="20"/>
          <w:lang w:eastAsia="pl-PL"/>
        </w:rPr>
        <w:t xml:space="preserve"> jakie warunki musi spełniać wnioskodawca</w:t>
      </w:r>
      <w:r w:rsidR="005F187F">
        <w:rPr>
          <w:rFonts w:ascii="Times" w:eastAsia="Times New Roman" w:hAnsi="Times" w:cs="Arial"/>
          <w:bCs/>
          <w:sz w:val="24"/>
          <w:szCs w:val="20"/>
          <w:lang w:eastAsia="pl-PL"/>
        </w:rPr>
        <w:t xml:space="preserve"> </w:t>
      </w:r>
      <w:r w:rsidRPr="00F30D22">
        <w:rPr>
          <w:rFonts w:ascii="Times" w:eastAsia="Times New Roman" w:hAnsi="Times" w:cs="Arial"/>
          <w:bCs/>
          <w:sz w:val="24"/>
          <w:szCs w:val="20"/>
          <w:lang w:eastAsia="pl-PL"/>
        </w:rPr>
        <w:t>ubiegający się o udzielenie koncesji na obrót gazem ziemnym z z</w:t>
      </w:r>
      <w:r w:rsidR="00D02E43">
        <w:rPr>
          <w:rFonts w:ascii="Times" w:eastAsia="Times New Roman" w:hAnsi="Times" w:cs="Arial"/>
          <w:bCs/>
          <w:sz w:val="24"/>
          <w:szCs w:val="20"/>
          <w:lang w:eastAsia="pl-PL"/>
        </w:rPr>
        <w:t>agranicą, gdyż art. 25 ust. 2 i </w:t>
      </w:r>
      <w:r w:rsidRPr="00F30D22">
        <w:rPr>
          <w:rFonts w:ascii="Times" w:eastAsia="Times New Roman" w:hAnsi="Times" w:cs="Arial"/>
          <w:bCs/>
          <w:sz w:val="24"/>
          <w:szCs w:val="20"/>
          <w:lang w:eastAsia="pl-PL"/>
        </w:rPr>
        <w:t xml:space="preserve">5 w brzmieniu obecnym odnoszą się do podmiotów, które już dokonują przywozu gazu ziemnego. Istnieje natomiast wątpliwość, w jaki sposób ma być ustalana wielkość zapasów obowiązkowych dla podmiotów, które ubiegają się o udzielenie koncesji. </w:t>
      </w:r>
    </w:p>
    <w:p w:rsidR="00F30D22" w:rsidRPr="00F30D22" w:rsidRDefault="00F30D22" w:rsidP="00CF358A">
      <w:pPr>
        <w:spacing w:after="0" w:line="360" w:lineRule="auto"/>
        <w:ind w:left="392"/>
        <w:jc w:val="both"/>
        <w:rPr>
          <w:rFonts w:ascii="Times" w:eastAsia="Times New Roman" w:hAnsi="Times" w:cs="Arial"/>
          <w:bCs/>
          <w:sz w:val="24"/>
          <w:szCs w:val="20"/>
          <w:lang w:eastAsia="pl-PL"/>
        </w:rPr>
      </w:pPr>
      <w:r w:rsidRPr="00F30D22">
        <w:rPr>
          <w:rFonts w:ascii="Times" w:eastAsia="Times New Roman" w:hAnsi="Times" w:cs="Arial"/>
          <w:bCs/>
          <w:sz w:val="24"/>
          <w:szCs w:val="20"/>
          <w:lang w:eastAsia="pl-PL"/>
        </w:rPr>
        <w:t xml:space="preserve">W konsekwencji przepisy art. 25 ust. 2 i 5 ustawy o zapasach oraz art. 33 ust. 1a ustawy – Prawo energetyczne tworzą mechanizm „zamkniętego koła”, w którym podmiot ubiegający się o udzielenie koncesji na obrót gazem ziemnym z zagranicą zobowiązany jest przedłożyć Prezesowi URE umowę przedwstępną o świadczenie </w:t>
      </w:r>
      <w:r w:rsidRPr="00F30D22">
        <w:rPr>
          <w:rFonts w:ascii="Times" w:eastAsia="Times New Roman" w:hAnsi="Times" w:cs="Arial"/>
          <w:bCs/>
          <w:sz w:val="24"/>
          <w:szCs w:val="20"/>
          <w:lang w:eastAsia="pl-PL"/>
        </w:rPr>
        <w:lastRenderedPageBreak/>
        <w:t xml:space="preserve">usług magazynowania lub umowy o wykonywanie zadań w zakresie utrzymywania zapasów obowiązkowych gazu ziemnego, nie mając jednocześnie realnej możliwości zawarcia żadnej z tych umów z </w:t>
      </w:r>
      <w:r w:rsidR="00D02E43">
        <w:rPr>
          <w:rFonts w:ascii="Times" w:eastAsia="Times New Roman" w:hAnsi="Times" w:cs="Arial"/>
          <w:bCs/>
          <w:sz w:val="24"/>
          <w:szCs w:val="20"/>
          <w:lang w:eastAsia="pl-PL"/>
        </w:rPr>
        <w:t>uwagi na wątpliwości związane z </w:t>
      </w:r>
      <w:r w:rsidRPr="00F30D22">
        <w:rPr>
          <w:rFonts w:ascii="Times" w:eastAsia="Times New Roman" w:hAnsi="Times" w:cs="Arial"/>
          <w:bCs/>
          <w:sz w:val="24"/>
          <w:szCs w:val="20"/>
          <w:lang w:eastAsia="pl-PL"/>
        </w:rPr>
        <w:t>możliwością ustalenia dla niego wielkości zapasów obowiązkowych, która stanowi jeden z podstawowych elementów każdej z tych umów. W efekcie udzielenie przez Prezesa URE koncesji na obrót gazem ziemnym z zagranicą podmiotowi, który nie posiada własnych pojemności magazynowych i chciałby zawrzeć jedną ze wskazanych umów, jest niemożliwe.</w:t>
      </w:r>
    </w:p>
    <w:p w:rsidR="00F30D22" w:rsidRPr="00D02E43" w:rsidRDefault="00F30D22" w:rsidP="00D02E43">
      <w:pPr>
        <w:widowControl w:val="0"/>
        <w:autoSpaceDE w:val="0"/>
        <w:autoSpaceDN w:val="0"/>
        <w:adjustRightInd w:val="0"/>
        <w:spacing w:before="240" w:after="0" w:line="360" w:lineRule="auto"/>
        <w:rPr>
          <w:rFonts w:ascii="Times New Roman" w:eastAsia="Times New Roman" w:hAnsi="Times New Roman" w:cs="Arial"/>
          <w:sz w:val="24"/>
          <w:szCs w:val="24"/>
          <w:lang w:eastAsia="pl-PL"/>
        </w:rPr>
      </w:pPr>
      <w:r w:rsidRPr="00D02E43">
        <w:rPr>
          <w:rFonts w:ascii="Times New Roman" w:eastAsia="Times New Roman" w:hAnsi="Times New Roman" w:cs="Arial"/>
          <w:sz w:val="24"/>
          <w:szCs w:val="24"/>
          <w:lang w:eastAsia="pl-PL"/>
        </w:rPr>
        <w:t xml:space="preserve">Ad. 4. </w:t>
      </w:r>
      <w:r w:rsidR="001A333D">
        <w:rPr>
          <w:rFonts w:ascii="Times New Roman" w:eastAsia="Times New Roman" w:hAnsi="Times New Roman" w:cs="Arial"/>
          <w:sz w:val="24"/>
          <w:szCs w:val="24"/>
          <w:lang w:eastAsia="pl-PL"/>
        </w:rPr>
        <w:t>Z</w:t>
      </w:r>
      <w:r w:rsidRPr="00D02E43">
        <w:rPr>
          <w:rFonts w:ascii="Times New Roman" w:eastAsia="Times New Roman" w:hAnsi="Times New Roman" w:cs="Arial"/>
          <w:sz w:val="24"/>
          <w:szCs w:val="24"/>
          <w:lang w:eastAsia="pl-PL"/>
        </w:rPr>
        <w:t>miany do wprowadzenia do ustawy o zmianie ustawy – Prawo energetyczne</w:t>
      </w:r>
      <w:r w:rsidR="001A333D">
        <w:rPr>
          <w:rFonts w:ascii="Times New Roman" w:eastAsia="Times New Roman" w:hAnsi="Times New Roman" w:cs="Arial"/>
          <w:sz w:val="24"/>
          <w:szCs w:val="24"/>
          <w:lang w:eastAsia="pl-PL"/>
        </w:rPr>
        <w:t xml:space="preserve"> oraz niektórych innych ustaw</w:t>
      </w:r>
    </w:p>
    <w:p w:rsidR="00F30D22" w:rsidRPr="00F30D22" w:rsidRDefault="00FF7C61" w:rsidP="00D02E43">
      <w:pPr>
        <w:widowControl w:val="0"/>
        <w:numPr>
          <w:ilvl w:val="0"/>
          <w:numId w:val="4"/>
        </w:numPr>
        <w:autoSpaceDE w:val="0"/>
        <w:autoSpaceDN w:val="0"/>
        <w:adjustRightInd w:val="0"/>
        <w:spacing w:after="0" w:line="360" w:lineRule="auto"/>
        <w:ind w:left="434" w:hanging="420"/>
        <w:jc w:val="both"/>
        <w:rPr>
          <w:rFonts w:ascii="Times" w:eastAsia="Times New Roman" w:hAnsi="Times" w:cs="Arial"/>
          <w:bCs/>
          <w:sz w:val="24"/>
          <w:szCs w:val="20"/>
          <w:lang w:eastAsia="pl-PL"/>
        </w:rPr>
      </w:pPr>
      <w:r>
        <w:rPr>
          <w:rFonts w:ascii="Times" w:eastAsia="Times New Roman" w:hAnsi="Times" w:cs="Arial"/>
          <w:bCs/>
          <w:sz w:val="24"/>
          <w:szCs w:val="20"/>
          <w:lang w:eastAsia="pl-PL"/>
        </w:rPr>
        <w:t>Doda</w:t>
      </w:r>
      <w:r w:rsidR="001A333D">
        <w:rPr>
          <w:rFonts w:ascii="Times" w:eastAsia="Times New Roman" w:hAnsi="Times" w:cs="Arial"/>
          <w:bCs/>
          <w:sz w:val="24"/>
          <w:szCs w:val="20"/>
          <w:lang w:eastAsia="pl-PL"/>
        </w:rPr>
        <w:t xml:space="preserve">nie </w:t>
      </w:r>
      <w:r w:rsidR="00F30D22" w:rsidRPr="00F30D22">
        <w:rPr>
          <w:rFonts w:ascii="Times" w:eastAsia="Times New Roman" w:hAnsi="Times" w:cs="Arial"/>
          <w:bCs/>
          <w:sz w:val="24"/>
          <w:szCs w:val="20"/>
          <w:lang w:eastAsia="pl-PL"/>
        </w:rPr>
        <w:t>art. 15</w:t>
      </w:r>
      <w:r w:rsidR="001A333D">
        <w:rPr>
          <w:rFonts w:ascii="Times" w:eastAsia="Times New Roman" w:hAnsi="Times" w:cs="Arial"/>
          <w:bCs/>
          <w:sz w:val="24"/>
          <w:szCs w:val="20"/>
          <w:lang w:eastAsia="pl-PL"/>
        </w:rPr>
        <w:t>a</w:t>
      </w:r>
      <w:r w:rsidR="00F30D22" w:rsidRPr="00F30D22">
        <w:rPr>
          <w:rFonts w:ascii="Times" w:eastAsia="Times New Roman" w:hAnsi="Times" w:cs="Arial"/>
          <w:bCs/>
          <w:sz w:val="24"/>
          <w:szCs w:val="20"/>
          <w:lang w:eastAsia="pl-PL"/>
        </w:rPr>
        <w:t xml:space="preserve"> ma na celu wyjaśnienie wątpliwości interpretacyjnych związanych ze stosowaniem przepisów rozporządzenia dywersyfikacyjnego. Podnoszony postulat wynika z wadliwości interpretacyjnych dotychczasowego rozporządzenia dywersyfikacyjnego (negatywna ocena obecnego rozporządzenia) oraz błędnej praktyki jego stosowania. W związku z</w:t>
      </w:r>
      <w:r w:rsidR="005F187F">
        <w:rPr>
          <w:rFonts w:ascii="Times" w:eastAsia="Times New Roman" w:hAnsi="Times" w:cs="Arial"/>
          <w:bCs/>
          <w:sz w:val="24"/>
          <w:szCs w:val="20"/>
          <w:lang w:eastAsia="pl-PL"/>
        </w:rPr>
        <w:t xml:space="preserve"> </w:t>
      </w:r>
      <w:r w:rsidR="00F30D22" w:rsidRPr="00F30D22">
        <w:rPr>
          <w:rFonts w:ascii="Times" w:eastAsia="Times New Roman" w:hAnsi="Times" w:cs="Arial"/>
          <w:bCs/>
          <w:sz w:val="24"/>
          <w:szCs w:val="20"/>
          <w:lang w:eastAsia="pl-PL"/>
        </w:rPr>
        <w:t>tym nie ma uzasadnienia dla</w:t>
      </w:r>
      <w:r w:rsidR="005F187F">
        <w:rPr>
          <w:rFonts w:ascii="Times" w:eastAsia="Times New Roman" w:hAnsi="Times" w:cs="Arial"/>
          <w:bCs/>
          <w:sz w:val="24"/>
          <w:szCs w:val="20"/>
          <w:lang w:eastAsia="pl-PL"/>
        </w:rPr>
        <w:t xml:space="preserve"> </w:t>
      </w:r>
      <w:r w:rsidR="00F30D22" w:rsidRPr="00F30D22">
        <w:rPr>
          <w:rFonts w:ascii="Times" w:eastAsia="Times New Roman" w:hAnsi="Times" w:cs="Arial"/>
          <w:bCs/>
          <w:sz w:val="24"/>
          <w:szCs w:val="20"/>
          <w:lang w:eastAsia="pl-PL"/>
        </w:rPr>
        <w:t xml:space="preserve">prowadzenia postępowań administracyjnych w przedmiocie nałożenia kar pieniężnych na podstawie wadliwego aktu prawnego. </w:t>
      </w:r>
    </w:p>
    <w:p w:rsidR="00F30D22" w:rsidRPr="00F30D22" w:rsidRDefault="00F30D22" w:rsidP="005F187F">
      <w:pPr>
        <w:widowControl w:val="0"/>
        <w:numPr>
          <w:ilvl w:val="0"/>
          <w:numId w:val="4"/>
        </w:numPr>
        <w:autoSpaceDE w:val="0"/>
        <w:autoSpaceDN w:val="0"/>
        <w:adjustRightInd w:val="0"/>
        <w:spacing w:after="0" w:line="360" w:lineRule="auto"/>
        <w:ind w:left="434" w:hanging="420"/>
        <w:jc w:val="both"/>
        <w:rPr>
          <w:rFonts w:ascii="Times" w:eastAsia="Times New Roman" w:hAnsi="Times" w:cs="Arial"/>
          <w:bCs/>
          <w:sz w:val="24"/>
          <w:szCs w:val="20"/>
          <w:lang w:eastAsia="pl-PL"/>
        </w:rPr>
      </w:pPr>
      <w:r w:rsidRPr="00F30D22">
        <w:rPr>
          <w:rFonts w:ascii="Times" w:eastAsia="Times New Roman" w:hAnsi="Times" w:cs="Arial"/>
          <w:bCs/>
          <w:sz w:val="24"/>
          <w:szCs w:val="20"/>
          <w:lang w:eastAsia="pl-PL"/>
        </w:rPr>
        <w:t>Zmiany w art. 16 oraz art. 41</w:t>
      </w:r>
      <w:r w:rsidRPr="00F30D22">
        <w:rPr>
          <w:rFonts w:ascii="Times" w:eastAsia="Times New Roman" w:hAnsi="Times" w:cs="Arial"/>
          <w:b/>
          <w:bCs/>
          <w:sz w:val="24"/>
          <w:szCs w:val="20"/>
          <w:lang w:eastAsia="pl-PL"/>
        </w:rPr>
        <w:t xml:space="preserve"> </w:t>
      </w:r>
      <w:r w:rsidRPr="00F30D22">
        <w:rPr>
          <w:rFonts w:ascii="Times" w:eastAsia="Times New Roman" w:hAnsi="Times" w:cs="Arial"/>
          <w:bCs/>
          <w:sz w:val="24"/>
          <w:szCs w:val="20"/>
          <w:lang w:eastAsia="pl-PL"/>
        </w:rPr>
        <w:t>i dodanie art. 16a</w:t>
      </w:r>
      <w:r w:rsidR="005F187F">
        <w:rPr>
          <w:rFonts w:ascii="Times" w:eastAsia="Times New Roman" w:hAnsi="Times" w:cs="Arial"/>
          <w:bCs/>
          <w:sz w:val="24"/>
          <w:szCs w:val="20"/>
          <w:lang w:eastAsia="pl-PL"/>
        </w:rPr>
        <w:t xml:space="preserve"> </w:t>
      </w:r>
      <w:r w:rsidRPr="00F30D22">
        <w:rPr>
          <w:rFonts w:ascii="Times" w:eastAsia="Times New Roman" w:hAnsi="Times" w:cs="Arial"/>
          <w:bCs/>
          <w:sz w:val="24"/>
          <w:szCs w:val="20"/>
          <w:lang w:eastAsia="pl-PL"/>
        </w:rPr>
        <w:t>mają na celu objęcie przepisem przejściowym wszystkich możliwych sytuacj</w:t>
      </w:r>
      <w:r w:rsidR="00D02E43">
        <w:rPr>
          <w:rFonts w:ascii="Times" w:eastAsia="Times New Roman" w:hAnsi="Times" w:cs="Arial"/>
          <w:bCs/>
          <w:sz w:val="24"/>
          <w:szCs w:val="20"/>
          <w:lang w:eastAsia="pl-PL"/>
        </w:rPr>
        <w:t>i, w ramach których w związku z </w:t>
      </w:r>
      <w:r w:rsidRPr="00F30D22">
        <w:rPr>
          <w:rFonts w:ascii="Times" w:eastAsia="Times New Roman" w:hAnsi="Times" w:cs="Arial"/>
          <w:bCs/>
          <w:sz w:val="24"/>
          <w:szCs w:val="20"/>
          <w:lang w:eastAsia="pl-PL"/>
        </w:rPr>
        <w:t>wejściem w życie ustawy z dnia 22 lipca 2016 r. o zmianie ustawy – Prawo energetyczne, a następnie przepisów wykonawc</w:t>
      </w:r>
      <w:r w:rsidR="00D02E43">
        <w:rPr>
          <w:rFonts w:ascii="Times" w:eastAsia="Times New Roman" w:hAnsi="Times" w:cs="Arial"/>
          <w:bCs/>
          <w:sz w:val="24"/>
          <w:szCs w:val="20"/>
          <w:lang w:eastAsia="pl-PL"/>
        </w:rPr>
        <w:t>zych wydanych na podstawie art. </w:t>
      </w:r>
      <w:r w:rsidRPr="00F30D22">
        <w:rPr>
          <w:rFonts w:ascii="Times" w:eastAsia="Times New Roman" w:hAnsi="Times" w:cs="Arial"/>
          <w:bCs/>
          <w:sz w:val="24"/>
          <w:szCs w:val="20"/>
          <w:lang w:eastAsia="pl-PL"/>
        </w:rPr>
        <w:t>32 ust. 6 ustawy – Prawo energetyczne, działalność wcześniej nie</w:t>
      </w:r>
      <w:r w:rsidR="001A333D">
        <w:rPr>
          <w:rFonts w:ascii="Times" w:eastAsia="Times New Roman" w:hAnsi="Times" w:cs="Arial"/>
          <w:bCs/>
          <w:sz w:val="24"/>
          <w:szCs w:val="20"/>
          <w:lang w:eastAsia="pl-PL"/>
        </w:rPr>
        <w:t>objęta obowiązkiem koncesyjnym</w:t>
      </w:r>
      <w:r w:rsidRPr="00F30D22">
        <w:rPr>
          <w:rFonts w:ascii="Times" w:eastAsia="Times New Roman" w:hAnsi="Times" w:cs="Arial"/>
          <w:bCs/>
          <w:sz w:val="24"/>
          <w:szCs w:val="20"/>
          <w:lang w:eastAsia="pl-PL"/>
        </w:rPr>
        <w:t xml:space="preserve"> staje się koncesjonowana.</w:t>
      </w:r>
    </w:p>
    <w:p w:rsidR="00F30D22" w:rsidRPr="00F30D22" w:rsidRDefault="00F30D22" w:rsidP="005F187F">
      <w:pPr>
        <w:spacing w:after="0" w:line="360" w:lineRule="auto"/>
        <w:ind w:left="476"/>
        <w:jc w:val="both"/>
        <w:rPr>
          <w:rFonts w:ascii="Times" w:eastAsia="Times New Roman" w:hAnsi="Times" w:cs="Arial"/>
          <w:bCs/>
          <w:sz w:val="24"/>
          <w:szCs w:val="20"/>
          <w:lang w:eastAsia="pl-PL"/>
        </w:rPr>
      </w:pPr>
      <w:r w:rsidRPr="00F30D22">
        <w:rPr>
          <w:rFonts w:ascii="Times" w:eastAsia="Times New Roman" w:hAnsi="Times" w:cs="Arial"/>
          <w:bCs/>
          <w:sz w:val="24"/>
          <w:szCs w:val="20"/>
          <w:lang w:eastAsia="pl-PL"/>
        </w:rPr>
        <w:t>W związku z propozycją wprowadzenia nowego art. 16a, przepis art. 18 staje się bezprzedmiotowy, dlatego powinien zostać uchylony. Należy natomiast uwzględnić dodawany przepis w ramach przepisów wymienionych w art. 41.</w:t>
      </w:r>
    </w:p>
    <w:p w:rsidR="00F30D22" w:rsidRPr="00F30D22" w:rsidRDefault="00F30D22" w:rsidP="005F187F">
      <w:pPr>
        <w:widowControl w:val="0"/>
        <w:numPr>
          <w:ilvl w:val="0"/>
          <w:numId w:val="4"/>
        </w:numPr>
        <w:autoSpaceDE w:val="0"/>
        <w:autoSpaceDN w:val="0"/>
        <w:adjustRightInd w:val="0"/>
        <w:spacing w:after="0" w:line="360" w:lineRule="auto"/>
        <w:ind w:left="434" w:hanging="420"/>
        <w:jc w:val="both"/>
        <w:rPr>
          <w:rFonts w:ascii="Times" w:eastAsia="Times New Roman" w:hAnsi="Times" w:cs="Arial"/>
          <w:bCs/>
          <w:sz w:val="24"/>
          <w:szCs w:val="20"/>
          <w:lang w:eastAsia="pl-PL"/>
        </w:rPr>
      </w:pPr>
      <w:r w:rsidRPr="00F30D22">
        <w:rPr>
          <w:rFonts w:ascii="Times" w:eastAsia="Times New Roman" w:hAnsi="Times" w:cs="Arial"/>
          <w:bCs/>
          <w:sz w:val="24"/>
          <w:szCs w:val="20"/>
          <w:lang w:eastAsia="pl-PL"/>
        </w:rPr>
        <w:t>Zmiana w art. 27</w:t>
      </w:r>
      <w:r w:rsidRPr="00F30D22">
        <w:rPr>
          <w:rFonts w:ascii="Times" w:eastAsia="Times New Roman" w:hAnsi="Times" w:cs="Arial"/>
          <w:b/>
          <w:bCs/>
          <w:sz w:val="24"/>
          <w:szCs w:val="20"/>
          <w:lang w:eastAsia="pl-PL"/>
        </w:rPr>
        <w:t xml:space="preserve"> </w:t>
      </w:r>
      <w:r w:rsidRPr="00F30D22">
        <w:rPr>
          <w:rFonts w:ascii="Times" w:eastAsia="Times New Roman" w:hAnsi="Times" w:cs="Arial"/>
          <w:bCs/>
          <w:sz w:val="24"/>
          <w:szCs w:val="20"/>
          <w:lang w:eastAsia="pl-PL"/>
        </w:rPr>
        <w:t>ma na celu doprecyzowanie sposobu rozliczania NCW przez podmioty, które zostały objęte nową definic</w:t>
      </w:r>
      <w:r w:rsidR="00D02E43">
        <w:rPr>
          <w:rFonts w:ascii="Times" w:eastAsia="Times New Roman" w:hAnsi="Times" w:cs="Arial"/>
          <w:bCs/>
          <w:sz w:val="24"/>
          <w:szCs w:val="20"/>
          <w:lang w:eastAsia="pl-PL"/>
        </w:rPr>
        <w:t>ją podmiotu realizującego NCW w </w:t>
      </w:r>
      <w:r w:rsidRPr="00F30D22">
        <w:rPr>
          <w:rFonts w:ascii="Times" w:eastAsia="Times New Roman" w:hAnsi="Times" w:cs="Arial"/>
          <w:bCs/>
          <w:sz w:val="24"/>
          <w:szCs w:val="20"/>
          <w:lang w:eastAsia="pl-PL"/>
        </w:rPr>
        <w:t>wyniku w</w:t>
      </w:r>
      <w:r w:rsidR="001A333D">
        <w:rPr>
          <w:rFonts w:ascii="Times" w:eastAsia="Times New Roman" w:hAnsi="Times" w:cs="Arial"/>
          <w:bCs/>
          <w:sz w:val="24"/>
          <w:szCs w:val="20"/>
          <w:lang w:eastAsia="pl-PL"/>
        </w:rPr>
        <w:t xml:space="preserve">ejścia w życie ustawy </w:t>
      </w:r>
      <w:r w:rsidRPr="00F30D22">
        <w:rPr>
          <w:rFonts w:ascii="Times" w:eastAsia="Times New Roman" w:hAnsi="Times" w:cs="Arial"/>
          <w:bCs/>
          <w:sz w:val="24"/>
          <w:szCs w:val="20"/>
          <w:lang w:eastAsia="pl-PL"/>
        </w:rPr>
        <w:t>z dnia 22 lipca 2016</w:t>
      </w:r>
      <w:r w:rsidR="005F187F">
        <w:rPr>
          <w:rFonts w:ascii="Times" w:eastAsia="Times New Roman" w:hAnsi="Times" w:cs="Arial"/>
          <w:bCs/>
          <w:sz w:val="24"/>
          <w:szCs w:val="20"/>
          <w:lang w:eastAsia="pl-PL"/>
        </w:rPr>
        <w:t xml:space="preserve"> </w:t>
      </w:r>
      <w:r w:rsidRPr="00F30D22">
        <w:rPr>
          <w:rFonts w:ascii="Times" w:eastAsia="Times New Roman" w:hAnsi="Times" w:cs="Arial"/>
          <w:bCs/>
          <w:sz w:val="24"/>
          <w:szCs w:val="20"/>
          <w:lang w:eastAsia="pl-PL"/>
        </w:rPr>
        <w:t>r. o zmianie ustawy – Prawo energetyczne oraz niektórych innych ustaw.</w:t>
      </w:r>
    </w:p>
    <w:p w:rsidR="00F30D22" w:rsidRPr="00F30D22" w:rsidRDefault="00F30D22" w:rsidP="005F187F">
      <w:pPr>
        <w:widowControl w:val="0"/>
        <w:numPr>
          <w:ilvl w:val="0"/>
          <w:numId w:val="4"/>
        </w:numPr>
        <w:autoSpaceDE w:val="0"/>
        <w:autoSpaceDN w:val="0"/>
        <w:adjustRightInd w:val="0"/>
        <w:spacing w:after="0" w:line="360" w:lineRule="auto"/>
        <w:ind w:left="434" w:hanging="420"/>
        <w:jc w:val="both"/>
        <w:rPr>
          <w:rFonts w:ascii="Times" w:eastAsia="Times New Roman" w:hAnsi="Times" w:cs="Arial"/>
          <w:bCs/>
          <w:sz w:val="24"/>
          <w:szCs w:val="20"/>
          <w:lang w:eastAsia="pl-PL"/>
        </w:rPr>
      </w:pPr>
      <w:r w:rsidRPr="00F30D22">
        <w:rPr>
          <w:rFonts w:ascii="Times" w:eastAsia="Times New Roman" w:hAnsi="Times" w:cs="Arial"/>
          <w:bCs/>
          <w:sz w:val="24"/>
          <w:szCs w:val="20"/>
          <w:lang w:eastAsia="pl-PL"/>
        </w:rPr>
        <w:t>Zmiana w art. 32</w:t>
      </w:r>
      <w:r w:rsidRPr="00F30D22">
        <w:rPr>
          <w:rFonts w:ascii="Times" w:eastAsia="Times New Roman" w:hAnsi="Times" w:cs="Arial"/>
          <w:b/>
          <w:bCs/>
          <w:sz w:val="24"/>
          <w:szCs w:val="20"/>
          <w:lang w:eastAsia="pl-PL"/>
        </w:rPr>
        <w:t xml:space="preserve"> </w:t>
      </w:r>
      <w:r w:rsidRPr="00F30D22">
        <w:rPr>
          <w:rFonts w:ascii="Times" w:eastAsia="Times New Roman" w:hAnsi="Times" w:cs="Arial"/>
          <w:bCs/>
          <w:sz w:val="24"/>
          <w:szCs w:val="20"/>
          <w:lang w:eastAsia="pl-PL"/>
        </w:rPr>
        <w:t>ma charakter redakcyjny.</w:t>
      </w:r>
    </w:p>
    <w:p w:rsidR="00F30D22" w:rsidRPr="00F30D22" w:rsidRDefault="00F30D22" w:rsidP="005F187F">
      <w:pPr>
        <w:widowControl w:val="0"/>
        <w:numPr>
          <w:ilvl w:val="0"/>
          <w:numId w:val="4"/>
        </w:numPr>
        <w:autoSpaceDE w:val="0"/>
        <w:autoSpaceDN w:val="0"/>
        <w:adjustRightInd w:val="0"/>
        <w:spacing w:after="0" w:line="360" w:lineRule="auto"/>
        <w:ind w:left="434" w:hanging="420"/>
        <w:jc w:val="both"/>
        <w:rPr>
          <w:rFonts w:ascii="Times" w:eastAsia="Times New Roman" w:hAnsi="Times" w:cs="Arial"/>
          <w:bCs/>
          <w:sz w:val="24"/>
          <w:szCs w:val="24"/>
          <w:lang w:eastAsia="pl-PL"/>
        </w:rPr>
      </w:pPr>
      <w:r w:rsidRPr="00F30D22">
        <w:rPr>
          <w:rFonts w:ascii="Times" w:eastAsia="Times New Roman" w:hAnsi="Times" w:cs="Arial"/>
          <w:bCs/>
          <w:sz w:val="24"/>
          <w:szCs w:val="20"/>
          <w:lang w:eastAsia="pl-PL"/>
        </w:rPr>
        <w:t>Zmiana w art. 37 m</w:t>
      </w:r>
      <w:r w:rsidRPr="00F30D22">
        <w:rPr>
          <w:rFonts w:ascii="Times" w:eastAsia="Times New Roman" w:hAnsi="Times" w:cs="Arial"/>
          <w:bCs/>
          <w:sz w:val="24"/>
          <w:szCs w:val="24"/>
          <w:lang w:eastAsia="pl-PL"/>
        </w:rPr>
        <w:t xml:space="preserve">a na celu zapewnienie efektywnego funkcjonowania przepisu przejściowego, na podstawie którego Prezes URE ma ustalić wielkość zapasów </w:t>
      </w:r>
      <w:r w:rsidRPr="00F30D22">
        <w:rPr>
          <w:rFonts w:ascii="Times" w:eastAsia="Times New Roman" w:hAnsi="Times" w:cs="Arial"/>
          <w:bCs/>
          <w:sz w:val="24"/>
          <w:szCs w:val="24"/>
          <w:lang w:eastAsia="pl-PL"/>
        </w:rPr>
        <w:lastRenderedPageBreak/>
        <w:t>obowiązkowych gazu ziemnego dla podmiotów, które nie utrzymywały tych zapasów w dniu wejścia w życie ustawy z dnia 22 lipca 2016 r. o zmianie ustawy – Prawo energetyczne</w:t>
      </w:r>
      <w:r w:rsidR="001A333D">
        <w:rPr>
          <w:rFonts w:ascii="Times" w:eastAsia="Times New Roman" w:hAnsi="Times" w:cs="Arial"/>
          <w:bCs/>
          <w:sz w:val="24"/>
          <w:szCs w:val="24"/>
          <w:lang w:eastAsia="pl-PL"/>
        </w:rPr>
        <w:t xml:space="preserve"> oraz niektórych innych ustaw</w:t>
      </w:r>
      <w:r w:rsidRPr="00F30D22">
        <w:rPr>
          <w:rFonts w:ascii="Times" w:eastAsia="Times New Roman" w:hAnsi="Times" w:cs="Arial"/>
          <w:bCs/>
          <w:sz w:val="24"/>
          <w:szCs w:val="24"/>
          <w:lang w:eastAsia="pl-PL"/>
        </w:rPr>
        <w:t>, tj. w dniu 2</w:t>
      </w:r>
      <w:r w:rsidR="005F187F">
        <w:rPr>
          <w:rFonts w:ascii="Times" w:eastAsia="Times New Roman" w:hAnsi="Times" w:cs="Arial"/>
          <w:bCs/>
          <w:sz w:val="24"/>
          <w:szCs w:val="24"/>
          <w:lang w:eastAsia="pl-PL"/>
        </w:rPr>
        <w:t xml:space="preserve"> </w:t>
      </w:r>
      <w:r w:rsidRPr="00F30D22">
        <w:rPr>
          <w:rFonts w:ascii="Times" w:eastAsia="Times New Roman" w:hAnsi="Times" w:cs="Arial"/>
          <w:bCs/>
          <w:sz w:val="24"/>
          <w:szCs w:val="24"/>
          <w:lang w:eastAsia="pl-PL"/>
        </w:rPr>
        <w:t>września 2016 r. W przepisie w brzmieniu obowiązującym brakuje daty końcowej okresu, dla którego dane z przywozu mają służyć za podstawę wyliczania tych zapasów.</w:t>
      </w:r>
    </w:p>
    <w:p w:rsidR="00F30D22" w:rsidRPr="00F30D22" w:rsidRDefault="00F30D22" w:rsidP="005F187F">
      <w:pPr>
        <w:keepNext/>
        <w:autoSpaceDE w:val="0"/>
        <w:autoSpaceDN w:val="0"/>
        <w:adjustRightInd w:val="0"/>
        <w:spacing w:before="100" w:beforeAutospacing="1"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Dodatkowo wprowadzenie modyfikacji w</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ustawie o zmianie ustawy – Prawo energetyczne oraz niektórych innych ustaw w zakresie zmiany art. 22 ma charakter czysto redakcyjny i wynika z dążenia do osiągnięcia czystości tekstu ustawy. Przepis ten odnosi się do umorzenia postępowania o udzielenie koncesji na obrót gazem ziemnym z zagranicą i</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zgodnie z oryginalnym brzmieniem odsyłał błędnie do art. 31 ust. 1a ustawy – Prawo energetyczne zamiast do art. 33 ust. 1a tej ustawy. Należy jednocześnie podkreślić, że przepis art. 22 w wyczerpujący sposób, opisowo wskazywał na postępowania w sprawie udzielenia koncesji na obrót gazem ziemnym z zagranicą jako na te, które miałyby podlegać umorzeniu. Wadliwe w jego brzmieniu było jedynie odesłanie. Należy więc stwierdzić, że dla zapewnienia równego traktowania wszystkich podmiotów, pomimo tego błędnego odesłania, postępowania te byłyby umarzane.</w:t>
      </w:r>
    </w:p>
    <w:p w:rsidR="00F30D22" w:rsidRPr="00D02E43" w:rsidRDefault="00F30D22" w:rsidP="00CF358A">
      <w:pPr>
        <w:widowControl w:val="0"/>
        <w:autoSpaceDE w:val="0"/>
        <w:autoSpaceDN w:val="0"/>
        <w:adjustRightInd w:val="0"/>
        <w:spacing w:before="100" w:beforeAutospacing="1" w:after="0" w:line="360" w:lineRule="auto"/>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 xml:space="preserve">Zgodność z prawem Unii Europejskiej </w:t>
      </w:r>
    </w:p>
    <w:p w:rsidR="00F30D22" w:rsidRPr="00F30D22" w:rsidRDefault="00F30D22" w:rsidP="005F187F">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 xml:space="preserve">Projekt jest zgodny z prawem Unii Europejskiej. </w:t>
      </w:r>
    </w:p>
    <w:p w:rsidR="00F30D22" w:rsidRPr="00D02E43" w:rsidRDefault="00F30D22" w:rsidP="00CF358A">
      <w:pPr>
        <w:widowControl w:val="0"/>
        <w:autoSpaceDE w:val="0"/>
        <w:autoSpaceDN w:val="0"/>
        <w:adjustRightInd w:val="0"/>
        <w:spacing w:before="240" w:after="0" w:line="360" w:lineRule="auto"/>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Notyfikacja</w:t>
      </w:r>
    </w:p>
    <w:p w:rsidR="00F30D22" w:rsidRPr="00F30D22" w:rsidRDefault="00F30D22" w:rsidP="005F187F">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Projekt rozporządzenia nie zawiera przepisów technicznych w rozumieniu przepisów rozporządzenia Rady Ministrów z dnia 23 grudnia 2002 r. w sprawie funkcjonowania krajowego systemu notyfikacji norm i aktów prawny</w:t>
      </w:r>
      <w:r w:rsidR="00D02E43">
        <w:rPr>
          <w:rFonts w:ascii="Times New Roman" w:eastAsia="Times New Roman" w:hAnsi="Times New Roman" w:cs="Arial"/>
          <w:sz w:val="24"/>
          <w:szCs w:val="20"/>
          <w:lang w:eastAsia="pl-PL"/>
        </w:rPr>
        <w:t>ch (Dz. U. poz. 2039, z </w:t>
      </w:r>
      <w:r w:rsidRPr="00F30D22">
        <w:rPr>
          <w:rFonts w:ascii="Times New Roman" w:eastAsia="Times New Roman" w:hAnsi="Times New Roman" w:cs="Arial"/>
          <w:sz w:val="24"/>
          <w:szCs w:val="20"/>
          <w:lang w:eastAsia="pl-PL"/>
        </w:rPr>
        <w:t>późn. zm.) i w związku z tym nie podlega w tym zakresie notyfikacji Komisji Europejskiej.</w:t>
      </w:r>
    </w:p>
    <w:p w:rsidR="00F30D22" w:rsidRPr="00D02E43" w:rsidRDefault="00F30D22" w:rsidP="00CF358A">
      <w:pPr>
        <w:widowControl w:val="0"/>
        <w:autoSpaceDE w:val="0"/>
        <w:autoSpaceDN w:val="0"/>
        <w:adjustRightInd w:val="0"/>
        <w:spacing w:before="240" w:after="0" w:line="360" w:lineRule="auto"/>
        <w:jc w:val="both"/>
        <w:rPr>
          <w:rFonts w:ascii="Times New Roman" w:eastAsia="Times New Roman" w:hAnsi="Times New Roman" w:cs="Arial"/>
          <w:sz w:val="24"/>
          <w:szCs w:val="20"/>
          <w:lang w:eastAsia="pl-PL"/>
        </w:rPr>
      </w:pPr>
      <w:r w:rsidRPr="00D02E43">
        <w:rPr>
          <w:rFonts w:ascii="Times New Roman" w:eastAsia="Times New Roman" w:hAnsi="Times New Roman" w:cs="Arial"/>
          <w:sz w:val="24"/>
          <w:szCs w:val="20"/>
          <w:lang w:eastAsia="pl-PL"/>
        </w:rPr>
        <w:t>BIP RCL</w:t>
      </w:r>
    </w:p>
    <w:p w:rsidR="00F30D22" w:rsidRDefault="00F30D22" w:rsidP="005F187F">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sidRPr="00F30D22">
        <w:rPr>
          <w:rFonts w:ascii="Times New Roman" w:eastAsia="Times New Roman" w:hAnsi="Times New Roman" w:cs="Arial"/>
          <w:sz w:val="24"/>
          <w:szCs w:val="20"/>
          <w:lang w:eastAsia="pl-PL"/>
        </w:rPr>
        <w:t>Zgodnie z art. 5 ustawy z dnia 7 lipca 2005 r. o działalności lobbingowej w procesie stanowienia prawa (Dz. U. poz. 1414, z późn. zm.), projekt został umieszczony</w:t>
      </w:r>
      <w:r w:rsidR="005F187F">
        <w:rPr>
          <w:rFonts w:ascii="Times New Roman" w:eastAsia="Times New Roman" w:hAnsi="Times New Roman" w:cs="Arial"/>
          <w:sz w:val="24"/>
          <w:szCs w:val="20"/>
          <w:lang w:eastAsia="pl-PL"/>
        </w:rPr>
        <w:t xml:space="preserve"> </w:t>
      </w:r>
      <w:r w:rsidRPr="00F30D22">
        <w:rPr>
          <w:rFonts w:ascii="Times New Roman" w:eastAsia="Times New Roman" w:hAnsi="Times New Roman" w:cs="Arial"/>
          <w:sz w:val="24"/>
          <w:szCs w:val="20"/>
          <w:lang w:eastAsia="pl-PL"/>
        </w:rPr>
        <w:t>w Biuletynie Informacji Publicznej Rządowego Centrum Legislacji w zakładce Rządowy Proces Legislacyjny.</w:t>
      </w:r>
    </w:p>
    <w:p w:rsidR="001A333D" w:rsidRPr="00F30D22" w:rsidRDefault="001A333D" w:rsidP="005F187F">
      <w:pPr>
        <w:widowControl w:val="0"/>
        <w:autoSpaceDE w:val="0"/>
        <w:autoSpaceDN w:val="0"/>
        <w:adjustRightInd w:val="0"/>
        <w:spacing w:after="0" w:line="360" w:lineRule="auto"/>
        <w:jc w:val="both"/>
        <w:rPr>
          <w:rFonts w:ascii="Times New Roman" w:eastAsia="Times New Roman" w:hAnsi="Times New Roman" w:cs="Arial"/>
          <w:sz w:val="24"/>
          <w:szCs w:val="20"/>
          <w:lang w:eastAsia="pl-PL"/>
        </w:rPr>
      </w:pPr>
      <w:r>
        <w:rPr>
          <w:rFonts w:ascii="Times New Roman" w:eastAsia="Times New Roman" w:hAnsi="Times New Roman" w:cs="Arial"/>
          <w:sz w:val="24"/>
          <w:szCs w:val="20"/>
          <w:lang w:eastAsia="pl-PL"/>
        </w:rPr>
        <w:t xml:space="preserve">W toku prac nie wpłynęły zgłoszenia zainteresowania </w:t>
      </w:r>
      <w:r w:rsidR="006861AA">
        <w:rPr>
          <w:rFonts w:ascii="Times New Roman" w:eastAsia="Times New Roman" w:hAnsi="Times New Roman" w:cs="Arial"/>
          <w:sz w:val="24"/>
          <w:szCs w:val="20"/>
          <w:lang w:eastAsia="pl-PL"/>
        </w:rPr>
        <w:t xml:space="preserve">pracami nad projektem ustawy </w:t>
      </w:r>
      <w:r w:rsidR="00022C7F">
        <w:rPr>
          <w:rFonts w:ascii="Times New Roman" w:eastAsia="Times New Roman" w:hAnsi="Times New Roman" w:cs="Arial"/>
          <w:sz w:val="24"/>
          <w:szCs w:val="20"/>
          <w:lang w:eastAsia="pl-PL"/>
        </w:rPr>
        <w:t xml:space="preserve">od podmiotów wykonujących zawodową działalność lobbingową. </w:t>
      </w:r>
    </w:p>
    <w:sectPr w:rsidR="001A333D" w:rsidRPr="00F30D22" w:rsidSect="00CF358A">
      <w:footerReference w:type="default" r:id="rId9"/>
      <w:endnotePr>
        <w:numFmt w:val="decimal"/>
      </w:end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D22" w:rsidRDefault="00F30D22" w:rsidP="00F30D22">
      <w:pPr>
        <w:spacing w:after="0" w:line="240" w:lineRule="auto"/>
      </w:pPr>
      <w:r>
        <w:separator/>
      </w:r>
    </w:p>
  </w:endnote>
  <w:endnote w:type="continuationSeparator" w:id="0">
    <w:p w:rsidR="00F30D22" w:rsidRDefault="00F30D22" w:rsidP="00F30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9835583"/>
      <w:docPartObj>
        <w:docPartGallery w:val="Page Numbers (Bottom of Page)"/>
        <w:docPartUnique/>
      </w:docPartObj>
    </w:sdtPr>
    <w:sdtEndPr>
      <w:rPr>
        <w:rFonts w:ascii="Times New Roman" w:hAnsi="Times New Roman" w:cs="Times New Roman"/>
        <w:sz w:val="24"/>
        <w:szCs w:val="24"/>
      </w:rPr>
    </w:sdtEndPr>
    <w:sdtContent>
      <w:p w:rsidR="00CF358A" w:rsidRPr="00CF358A" w:rsidRDefault="00CF358A">
        <w:pPr>
          <w:pStyle w:val="Stopka"/>
          <w:jc w:val="center"/>
          <w:rPr>
            <w:rFonts w:ascii="Times New Roman" w:hAnsi="Times New Roman" w:cs="Times New Roman"/>
            <w:sz w:val="24"/>
            <w:szCs w:val="24"/>
          </w:rPr>
        </w:pPr>
        <w:r w:rsidRPr="00CF358A">
          <w:rPr>
            <w:rFonts w:ascii="Times New Roman" w:hAnsi="Times New Roman" w:cs="Times New Roman"/>
            <w:sz w:val="24"/>
            <w:szCs w:val="24"/>
          </w:rPr>
          <w:fldChar w:fldCharType="begin"/>
        </w:r>
        <w:r w:rsidRPr="00CF358A">
          <w:rPr>
            <w:rFonts w:ascii="Times New Roman" w:hAnsi="Times New Roman" w:cs="Times New Roman"/>
            <w:sz w:val="24"/>
            <w:szCs w:val="24"/>
          </w:rPr>
          <w:instrText>PAGE   \* MERGEFORMAT</w:instrText>
        </w:r>
        <w:r w:rsidRPr="00CF358A">
          <w:rPr>
            <w:rFonts w:ascii="Times New Roman" w:hAnsi="Times New Roman" w:cs="Times New Roman"/>
            <w:sz w:val="24"/>
            <w:szCs w:val="24"/>
          </w:rPr>
          <w:fldChar w:fldCharType="separate"/>
        </w:r>
        <w:r w:rsidR="00303EB3">
          <w:rPr>
            <w:rFonts w:ascii="Times New Roman" w:hAnsi="Times New Roman" w:cs="Times New Roman"/>
            <w:noProof/>
            <w:sz w:val="24"/>
            <w:szCs w:val="24"/>
          </w:rPr>
          <w:t>16</w:t>
        </w:r>
        <w:r w:rsidRPr="00CF358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D22" w:rsidRDefault="00F30D22" w:rsidP="00F30D22">
      <w:pPr>
        <w:spacing w:after="0" w:line="240" w:lineRule="auto"/>
      </w:pPr>
      <w:r>
        <w:separator/>
      </w:r>
    </w:p>
  </w:footnote>
  <w:footnote w:type="continuationSeparator" w:id="0">
    <w:p w:rsidR="00F30D22" w:rsidRDefault="00F30D22" w:rsidP="00F30D22">
      <w:pPr>
        <w:spacing w:after="0" w:line="240" w:lineRule="auto"/>
      </w:pPr>
      <w:r>
        <w:continuationSeparator/>
      </w:r>
    </w:p>
  </w:footnote>
  <w:footnote w:id="1">
    <w:p w:rsidR="00F30D22" w:rsidRPr="00CF358A" w:rsidRDefault="00F30D22" w:rsidP="00CF358A">
      <w:pPr>
        <w:pStyle w:val="ODNONIKSPECtreodnonikadoodnonika"/>
        <w:tabs>
          <w:tab w:val="left" w:pos="284"/>
        </w:tabs>
        <w:ind w:left="0" w:firstLine="0"/>
        <w:jc w:val="both"/>
        <w:rPr>
          <w:rFonts w:cs="Times New Roman"/>
        </w:rPr>
      </w:pPr>
      <w:r w:rsidRPr="00CF358A">
        <w:rPr>
          <w:rStyle w:val="Odwoanieprzypisudolnego"/>
        </w:rPr>
        <w:footnoteRef/>
      </w:r>
      <w:r w:rsidRPr="00CF358A">
        <w:rPr>
          <w:rFonts w:cs="Times New Roman"/>
          <w:vertAlign w:val="superscript"/>
        </w:rPr>
        <w:t>)</w:t>
      </w:r>
      <w:r w:rsidR="00CF358A">
        <w:rPr>
          <w:rFonts w:cs="Times New Roman"/>
        </w:rPr>
        <w:tab/>
      </w:r>
      <w:r w:rsidRPr="00CF358A">
        <w:rPr>
          <w:rFonts w:cs="Times New Roman"/>
        </w:rPr>
        <w:t>Dz. U. z 2012 r. poz. 1059, z późn. zm.</w:t>
      </w:r>
    </w:p>
  </w:footnote>
  <w:footnote w:id="2">
    <w:p w:rsidR="00F30D22" w:rsidRPr="00CF358A" w:rsidRDefault="00F30D22" w:rsidP="00CF358A">
      <w:pPr>
        <w:pStyle w:val="ODNONIKSPECtreodnonikadoodnonika"/>
        <w:tabs>
          <w:tab w:val="left" w:pos="284"/>
        </w:tabs>
        <w:ind w:left="284" w:hanging="284"/>
        <w:jc w:val="both"/>
        <w:rPr>
          <w:rFonts w:cs="Times New Roman"/>
        </w:rPr>
      </w:pPr>
      <w:r w:rsidRPr="00CF358A">
        <w:rPr>
          <w:rStyle w:val="Odwoanieprzypisudolnego"/>
        </w:rPr>
        <w:footnoteRef/>
      </w:r>
      <w:r w:rsidRPr="00CF358A">
        <w:rPr>
          <w:rFonts w:cs="Times New Roman"/>
          <w:vertAlign w:val="superscript"/>
        </w:rPr>
        <w:t>)</w:t>
      </w:r>
      <w:r w:rsidR="00CF358A">
        <w:rPr>
          <w:rFonts w:cs="Times New Roman"/>
        </w:rPr>
        <w:tab/>
      </w:r>
      <w:r w:rsidR="006861AA">
        <w:rPr>
          <w:rFonts w:cs="Times New Roman"/>
        </w:rPr>
        <w:t>Dz. Urz. UE L</w:t>
      </w:r>
      <w:r w:rsidRPr="00CF358A">
        <w:rPr>
          <w:rFonts w:cs="Times New Roman"/>
        </w:rPr>
        <w:t xml:space="preserve"> 176 z 15.07.2003, str. 57; Dz. Urz. UE Polskie wydanie s</w:t>
      </w:r>
      <w:r w:rsidR="00CF358A">
        <w:rPr>
          <w:rFonts w:cs="Times New Roman"/>
        </w:rPr>
        <w:t>pecjalne, rozdz. 12, t. 2, str. </w:t>
      </w:r>
      <w:r w:rsidRPr="00CF358A">
        <w:rPr>
          <w:rFonts w:cs="Times New Roman"/>
        </w:rPr>
        <w:t xml:space="preserve">230. </w:t>
      </w:r>
    </w:p>
  </w:footnote>
  <w:footnote w:id="3">
    <w:p w:rsidR="00F30D22" w:rsidRDefault="00F30D22" w:rsidP="00CF358A">
      <w:pPr>
        <w:pStyle w:val="ODNONIKSPECtreodnonikadoodnonika"/>
        <w:tabs>
          <w:tab w:val="left" w:pos="284"/>
        </w:tabs>
        <w:ind w:left="284" w:hanging="284"/>
        <w:jc w:val="both"/>
      </w:pPr>
      <w:r w:rsidRPr="00CF358A">
        <w:rPr>
          <w:rStyle w:val="Odwoanieprzypisudolnego"/>
        </w:rPr>
        <w:footnoteRef/>
      </w:r>
      <w:r w:rsidRPr="00CF358A">
        <w:rPr>
          <w:rFonts w:cs="Times New Roman"/>
          <w:vertAlign w:val="superscript"/>
        </w:rPr>
        <w:t>)</w:t>
      </w:r>
      <w:r w:rsidR="00CF358A">
        <w:rPr>
          <w:rFonts w:cs="Times New Roman"/>
        </w:rPr>
        <w:tab/>
      </w:r>
      <w:r w:rsidRPr="00CF358A">
        <w:rPr>
          <w:rFonts w:cs="Times New Roman"/>
        </w:rPr>
        <w:t xml:space="preserve">Dz. Urz. UE </w:t>
      </w:r>
      <w:r w:rsidR="006861AA">
        <w:rPr>
          <w:rFonts w:cs="Times New Roman"/>
          <w:bCs/>
        </w:rPr>
        <w:t>L</w:t>
      </w:r>
      <w:r w:rsidRPr="00CF358A">
        <w:rPr>
          <w:rFonts w:cs="Times New Roman"/>
          <w:bCs/>
        </w:rPr>
        <w:t xml:space="preserve"> 211 z 14.08.2009, str. 94.</w:t>
      </w:r>
    </w:p>
  </w:footnote>
  <w:footnote w:id="4">
    <w:p w:rsidR="00F30D22" w:rsidRDefault="00F30D22" w:rsidP="00CF358A">
      <w:pPr>
        <w:pStyle w:val="ODNONIKSPECtreodnonikadoodnonika"/>
        <w:ind w:left="284" w:hanging="284"/>
        <w:jc w:val="both"/>
      </w:pPr>
      <w:r>
        <w:rPr>
          <w:rStyle w:val="Odwoanieprzypisudolnego"/>
        </w:rPr>
        <w:footnoteRef/>
      </w:r>
      <w:r w:rsidRPr="008342C9">
        <w:rPr>
          <w:rStyle w:val="IGindeksgrny"/>
        </w:rPr>
        <w:t>)</w:t>
      </w:r>
      <w:r>
        <w:t xml:space="preserve"> </w:t>
      </w:r>
      <w:r>
        <w:tab/>
        <w:t>Dz. U. poz. 984.</w:t>
      </w:r>
    </w:p>
  </w:footnote>
  <w:footnote w:id="5">
    <w:p w:rsidR="00F30D22" w:rsidRDefault="00F30D22" w:rsidP="00CF358A">
      <w:pPr>
        <w:pStyle w:val="ODNONIKSPECtreodnonikadoodnonika"/>
        <w:ind w:left="284" w:hanging="284"/>
        <w:jc w:val="both"/>
      </w:pPr>
      <w:r>
        <w:rPr>
          <w:rStyle w:val="Odwoanieprzypisudolnego"/>
        </w:rPr>
        <w:footnoteRef/>
      </w:r>
      <w:r w:rsidRPr="008342C9">
        <w:rPr>
          <w:rStyle w:val="IGindeksgrny"/>
        </w:rPr>
        <w:t>)</w:t>
      </w:r>
      <w:r>
        <w:t xml:space="preserve"> </w:t>
      </w:r>
      <w:r>
        <w:tab/>
      </w:r>
      <w:r w:rsidRPr="007A1FF4">
        <w:t>http://www.ure.gov.pl/pl/stanowiska/5371,dok.html</w:t>
      </w:r>
      <w:r>
        <w:t>.</w:t>
      </w:r>
    </w:p>
  </w:footnote>
  <w:footnote w:id="6">
    <w:p w:rsidR="00F30D22" w:rsidRDefault="00F30D22" w:rsidP="00F30D22">
      <w:pPr>
        <w:pStyle w:val="ODNONIKtreodnonika"/>
      </w:pPr>
      <w:r>
        <w:rPr>
          <w:rStyle w:val="Odwoanieprzypisudolnego"/>
        </w:rPr>
        <w:footnoteRef/>
      </w:r>
      <w:r>
        <w:rPr>
          <w:rStyle w:val="IGindeksgrny"/>
        </w:rPr>
        <w:t>)</w:t>
      </w:r>
      <w:r>
        <w:tab/>
      </w:r>
      <w:r w:rsidR="00CF358A">
        <w:t xml:space="preserve">Ustawa </w:t>
      </w:r>
      <w:r>
        <w:t xml:space="preserve">z dnia 26 lipca 2013 r. o zmianie ustawy </w:t>
      </w:r>
      <w:r w:rsidR="005F187F">
        <w:t>–</w:t>
      </w:r>
      <w:r>
        <w:t xml:space="preserve"> Prawo energetyczne oraz niektórych innych ustaw (Dz. U. poz. 984).</w:t>
      </w:r>
    </w:p>
  </w:footnote>
  <w:footnote w:id="7">
    <w:p w:rsidR="00F30D22" w:rsidRPr="00CF358A" w:rsidRDefault="00F30D22" w:rsidP="00CF358A">
      <w:pPr>
        <w:pStyle w:val="Tekstprzypisudolnego"/>
        <w:tabs>
          <w:tab w:val="left" w:pos="280"/>
        </w:tabs>
        <w:rPr>
          <w:rFonts w:ascii="Times New Roman" w:hAnsi="Times New Roman" w:cs="Times New Roman"/>
        </w:rPr>
      </w:pPr>
      <w:r w:rsidRPr="00CF358A">
        <w:rPr>
          <w:rStyle w:val="Odwoanieprzypisudolnego"/>
          <w:rFonts w:ascii="Times New Roman" w:hAnsi="Times New Roman"/>
        </w:rPr>
        <w:footnoteRef/>
      </w:r>
      <w:r w:rsidR="00CF358A" w:rsidRPr="00CF358A">
        <w:rPr>
          <w:rFonts w:ascii="Times New Roman" w:hAnsi="Times New Roman" w:cs="Times New Roman"/>
          <w:vertAlign w:val="superscript"/>
        </w:rPr>
        <w:t>)</w:t>
      </w:r>
      <w:r w:rsidR="00CF358A" w:rsidRPr="00CF358A">
        <w:rPr>
          <w:rFonts w:ascii="Times New Roman" w:hAnsi="Times New Roman" w:cs="Times New Roman"/>
          <w:vertAlign w:val="superscript"/>
        </w:rPr>
        <w:tab/>
      </w:r>
      <w:r w:rsidRPr="00CF358A">
        <w:rPr>
          <w:rFonts w:ascii="Times New Roman" w:hAnsi="Times New Roman" w:cs="Times New Roman"/>
        </w:rPr>
        <w:t>Dz. U. z 2014 r. poz. 752, z późn. zm.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C50E1"/>
    <w:multiLevelType w:val="hybridMultilevel"/>
    <w:tmpl w:val="3A564F78"/>
    <w:lvl w:ilvl="0" w:tplc="D9D09450">
      <w:start w:val="1"/>
      <w:numFmt w:val="decimal"/>
      <w:lvlText w:val="%1."/>
      <w:lvlJc w:val="left"/>
      <w:pPr>
        <w:ind w:left="1506" w:hanging="360"/>
      </w:pPr>
      <w:rPr>
        <w:rFonts w:cs="Times New Roman" w:hint="default"/>
      </w:rPr>
    </w:lvl>
    <w:lvl w:ilvl="1" w:tplc="04150019" w:tentative="1">
      <w:start w:val="1"/>
      <w:numFmt w:val="lowerLetter"/>
      <w:lvlText w:val="%2."/>
      <w:lvlJc w:val="left"/>
      <w:pPr>
        <w:ind w:left="2226" w:hanging="360"/>
      </w:pPr>
      <w:rPr>
        <w:rFonts w:cs="Times New Roman"/>
      </w:rPr>
    </w:lvl>
    <w:lvl w:ilvl="2" w:tplc="0415001B" w:tentative="1">
      <w:start w:val="1"/>
      <w:numFmt w:val="lowerRoman"/>
      <w:lvlText w:val="%3."/>
      <w:lvlJc w:val="right"/>
      <w:pPr>
        <w:ind w:left="2946" w:hanging="180"/>
      </w:pPr>
      <w:rPr>
        <w:rFonts w:cs="Times New Roman"/>
      </w:rPr>
    </w:lvl>
    <w:lvl w:ilvl="3" w:tplc="0415000F" w:tentative="1">
      <w:start w:val="1"/>
      <w:numFmt w:val="decimal"/>
      <w:lvlText w:val="%4."/>
      <w:lvlJc w:val="left"/>
      <w:pPr>
        <w:ind w:left="3666" w:hanging="360"/>
      </w:pPr>
      <w:rPr>
        <w:rFonts w:cs="Times New Roman"/>
      </w:rPr>
    </w:lvl>
    <w:lvl w:ilvl="4" w:tplc="04150019" w:tentative="1">
      <w:start w:val="1"/>
      <w:numFmt w:val="lowerLetter"/>
      <w:lvlText w:val="%5."/>
      <w:lvlJc w:val="left"/>
      <w:pPr>
        <w:ind w:left="4386" w:hanging="360"/>
      </w:pPr>
      <w:rPr>
        <w:rFonts w:cs="Times New Roman"/>
      </w:rPr>
    </w:lvl>
    <w:lvl w:ilvl="5" w:tplc="0415001B" w:tentative="1">
      <w:start w:val="1"/>
      <w:numFmt w:val="lowerRoman"/>
      <w:lvlText w:val="%6."/>
      <w:lvlJc w:val="right"/>
      <w:pPr>
        <w:ind w:left="5106" w:hanging="180"/>
      </w:pPr>
      <w:rPr>
        <w:rFonts w:cs="Times New Roman"/>
      </w:rPr>
    </w:lvl>
    <w:lvl w:ilvl="6" w:tplc="0415000F" w:tentative="1">
      <w:start w:val="1"/>
      <w:numFmt w:val="decimal"/>
      <w:lvlText w:val="%7."/>
      <w:lvlJc w:val="left"/>
      <w:pPr>
        <w:ind w:left="5826" w:hanging="360"/>
      </w:pPr>
      <w:rPr>
        <w:rFonts w:cs="Times New Roman"/>
      </w:rPr>
    </w:lvl>
    <w:lvl w:ilvl="7" w:tplc="04150019" w:tentative="1">
      <w:start w:val="1"/>
      <w:numFmt w:val="lowerLetter"/>
      <w:lvlText w:val="%8."/>
      <w:lvlJc w:val="left"/>
      <w:pPr>
        <w:ind w:left="6546" w:hanging="360"/>
      </w:pPr>
      <w:rPr>
        <w:rFonts w:cs="Times New Roman"/>
      </w:rPr>
    </w:lvl>
    <w:lvl w:ilvl="8" w:tplc="0415001B" w:tentative="1">
      <w:start w:val="1"/>
      <w:numFmt w:val="lowerRoman"/>
      <w:lvlText w:val="%9."/>
      <w:lvlJc w:val="right"/>
      <w:pPr>
        <w:ind w:left="7266" w:hanging="180"/>
      </w:pPr>
      <w:rPr>
        <w:rFonts w:cs="Times New Roman"/>
      </w:rPr>
    </w:lvl>
  </w:abstractNum>
  <w:abstractNum w:abstractNumId="1">
    <w:nsid w:val="5CC8292A"/>
    <w:multiLevelType w:val="hybridMultilevel"/>
    <w:tmpl w:val="3BE8AC34"/>
    <w:lvl w:ilvl="0" w:tplc="9DA69464">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2">
    <w:nsid w:val="66C60DEA"/>
    <w:multiLevelType w:val="hybridMultilevel"/>
    <w:tmpl w:val="FBCC70A0"/>
    <w:lvl w:ilvl="0" w:tplc="7CF8C714">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
    <w:nsid w:val="7E0847BF"/>
    <w:multiLevelType w:val="hybridMultilevel"/>
    <w:tmpl w:val="A24E08A8"/>
    <w:lvl w:ilvl="0" w:tplc="A18C0734">
      <w:start w:val="1"/>
      <w:numFmt w:val="decimal"/>
      <w:lvlText w:val="%1."/>
      <w:lvlJc w:val="left"/>
      <w:pPr>
        <w:ind w:left="1248" w:hanging="360"/>
      </w:pPr>
      <w:rPr>
        <w:rFonts w:cs="Times New Roman" w:hint="default"/>
      </w:rPr>
    </w:lvl>
    <w:lvl w:ilvl="1" w:tplc="04150019">
      <w:start w:val="1"/>
      <w:numFmt w:val="lowerLetter"/>
      <w:lvlText w:val="%2."/>
      <w:lvlJc w:val="left"/>
      <w:pPr>
        <w:ind w:left="1968" w:hanging="360"/>
      </w:pPr>
      <w:rPr>
        <w:rFonts w:cs="Times New Roman"/>
      </w:rPr>
    </w:lvl>
    <w:lvl w:ilvl="2" w:tplc="0415001B" w:tentative="1">
      <w:start w:val="1"/>
      <w:numFmt w:val="lowerRoman"/>
      <w:lvlText w:val="%3."/>
      <w:lvlJc w:val="right"/>
      <w:pPr>
        <w:ind w:left="2688" w:hanging="180"/>
      </w:pPr>
      <w:rPr>
        <w:rFonts w:cs="Times New Roman"/>
      </w:rPr>
    </w:lvl>
    <w:lvl w:ilvl="3" w:tplc="0415000F" w:tentative="1">
      <w:start w:val="1"/>
      <w:numFmt w:val="decimal"/>
      <w:lvlText w:val="%4."/>
      <w:lvlJc w:val="left"/>
      <w:pPr>
        <w:ind w:left="3408" w:hanging="360"/>
      </w:pPr>
      <w:rPr>
        <w:rFonts w:cs="Times New Roman"/>
      </w:rPr>
    </w:lvl>
    <w:lvl w:ilvl="4" w:tplc="04150019" w:tentative="1">
      <w:start w:val="1"/>
      <w:numFmt w:val="lowerLetter"/>
      <w:lvlText w:val="%5."/>
      <w:lvlJc w:val="left"/>
      <w:pPr>
        <w:ind w:left="4128" w:hanging="360"/>
      </w:pPr>
      <w:rPr>
        <w:rFonts w:cs="Times New Roman"/>
      </w:rPr>
    </w:lvl>
    <w:lvl w:ilvl="5" w:tplc="0415001B" w:tentative="1">
      <w:start w:val="1"/>
      <w:numFmt w:val="lowerRoman"/>
      <w:lvlText w:val="%6."/>
      <w:lvlJc w:val="right"/>
      <w:pPr>
        <w:ind w:left="4848" w:hanging="180"/>
      </w:pPr>
      <w:rPr>
        <w:rFonts w:cs="Times New Roman"/>
      </w:rPr>
    </w:lvl>
    <w:lvl w:ilvl="6" w:tplc="0415000F" w:tentative="1">
      <w:start w:val="1"/>
      <w:numFmt w:val="decimal"/>
      <w:lvlText w:val="%7."/>
      <w:lvlJc w:val="left"/>
      <w:pPr>
        <w:ind w:left="5568" w:hanging="360"/>
      </w:pPr>
      <w:rPr>
        <w:rFonts w:cs="Times New Roman"/>
      </w:rPr>
    </w:lvl>
    <w:lvl w:ilvl="7" w:tplc="04150019" w:tentative="1">
      <w:start w:val="1"/>
      <w:numFmt w:val="lowerLetter"/>
      <w:lvlText w:val="%8."/>
      <w:lvlJc w:val="left"/>
      <w:pPr>
        <w:ind w:left="6288" w:hanging="360"/>
      </w:pPr>
      <w:rPr>
        <w:rFonts w:cs="Times New Roman"/>
      </w:rPr>
    </w:lvl>
    <w:lvl w:ilvl="8" w:tplc="0415001B" w:tentative="1">
      <w:start w:val="1"/>
      <w:numFmt w:val="lowerRoman"/>
      <w:lvlText w:val="%9."/>
      <w:lvlJc w:val="right"/>
      <w:pPr>
        <w:ind w:left="7008" w:hanging="180"/>
      </w:pPr>
      <w:rPr>
        <w:rFonts w:cs="Times New Roman"/>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D22"/>
    <w:rsid w:val="000206BA"/>
    <w:rsid w:val="00022C7F"/>
    <w:rsid w:val="000F5E14"/>
    <w:rsid w:val="001031FA"/>
    <w:rsid w:val="001A333D"/>
    <w:rsid w:val="002049EF"/>
    <w:rsid w:val="00294916"/>
    <w:rsid w:val="002F2F87"/>
    <w:rsid w:val="00303EB3"/>
    <w:rsid w:val="00397FB0"/>
    <w:rsid w:val="00427EDA"/>
    <w:rsid w:val="00483E06"/>
    <w:rsid w:val="005660FA"/>
    <w:rsid w:val="005F187F"/>
    <w:rsid w:val="006861AA"/>
    <w:rsid w:val="006E6EB0"/>
    <w:rsid w:val="007E5672"/>
    <w:rsid w:val="009328DE"/>
    <w:rsid w:val="00A91693"/>
    <w:rsid w:val="00AA15F4"/>
    <w:rsid w:val="00B10A8C"/>
    <w:rsid w:val="00CB5ACF"/>
    <w:rsid w:val="00CF358A"/>
    <w:rsid w:val="00D02E43"/>
    <w:rsid w:val="00D91557"/>
    <w:rsid w:val="00DF3339"/>
    <w:rsid w:val="00EC05FB"/>
    <w:rsid w:val="00F30D22"/>
    <w:rsid w:val="00FD361A"/>
    <w:rsid w:val="00FF7C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Nagwek">
    <w:name w:val="header"/>
    <w:basedOn w:val="Normalny"/>
    <w:link w:val="NagwekZnak"/>
    <w:uiPriority w:val="99"/>
    <w:unhideWhenUsed/>
    <w:rsid w:val="00F30D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30D22"/>
  </w:style>
  <w:style w:type="paragraph" w:styleId="Tekstprzypisudolnego">
    <w:name w:val="footnote text"/>
    <w:basedOn w:val="Normalny"/>
    <w:link w:val="TekstprzypisudolnegoZnak"/>
    <w:uiPriority w:val="99"/>
    <w:semiHidden/>
    <w:unhideWhenUsed/>
    <w:rsid w:val="00F30D2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30D22"/>
    <w:rPr>
      <w:sz w:val="20"/>
      <w:szCs w:val="20"/>
    </w:rPr>
  </w:style>
  <w:style w:type="character" w:styleId="Odwoanieprzypisudolnego">
    <w:name w:val="footnote reference"/>
    <w:basedOn w:val="Domylnaczcionkaakapitu"/>
    <w:uiPriority w:val="99"/>
    <w:semiHidden/>
    <w:rsid w:val="00F30D22"/>
    <w:rPr>
      <w:rFonts w:cs="Times New Roman"/>
      <w:vertAlign w:val="superscript"/>
    </w:rPr>
  </w:style>
  <w:style w:type="paragraph" w:customStyle="1" w:styleId="ODNONIKtreodnonika">
    <w:name w:val="ODNOŚNIK – treść odnośnika"/>
    <w:uiPriority w:val="99"/>
    <w:rsid w:val="00F30D22"/>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basedOn w:val="Domylnaczcionkaakapitu"/>
    <w:uiPriority w:val="99"/>
    <w:rsid w:val="00F30D22"/>
    <w:rPr>
      <w:rFonts w:cs="Times New Roman"/>
      <w:spacing w:val="0"/>
      <w:vertAlign w:val="superscript"/>
    </w:rPr>
  </w:style>
  <w:style w:type="paragraph" w:customStyle="1" w:styleId="ODNONIKSPECtreodnonikadoodnonika">
    <w:name w:val="ODNOŚNIK_SPEC – treść odnośnika do odnośnika"/>
    <w:basedOn w:val="Normalny"/>
    <w:uiPriority w:val="99"/>
    <w:rsid w:val="00F30D22"/>
    <w:pPr>
      <w:spacing w:after="0" w:line="240" w:lineRule="auto"/>
      <w:ind w:left="283" w:hanging="170"/>
    </w:pPr>
    <w:rPr>
      <w:rFonts w:ascii="Times New Roman" w:eastAsia="Times New Roman" w:hAnsi="Times New Roman" w:cs="Arial"/>
      <w:sz w:val="20"/>
      <w:szCs w:val="20"/>
      <w:lang w:eastAsia="pl-PL"/>
    </w:rPr>
  </w:style>
  <w:style w:type="paragraph" w:styleId="Stopka">
    <w:name w:val="footer"/>
    <w:basedOn w:val="Normalny"/>
    <w:link w:val="StopkaZnak"/>
    <w:uiPriority w:val="99"/>
    <w:unhideWhenUsed/>
    <w:rsid w:val="00CF358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F358A"/>
  </w:style>
  <w:style w:type="paragraph" w:styleId="Tekstdymka">
    <w:name w:val="Balloon Text"/>
    <w:basedOn w:val="Normalny"/>
    <w:link w:val="TekstdymkaZnak"/>
    <w:uiPriority w:val="99"/>
    <w:semiHidden/>
    <w:unhideWhenUsed/>
    <w:rsid w:val="00A9169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916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Nagwek">
    <w:name w:val="header"/>
    <w:basedOn w:val="Normalny"/>
    <w:link w:val="NagwekZnak"/>
    <w:uiPriority w:val="99"/>
    <w:unhideWhenUsed/>
    <w:rsid w:val="00F30D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30D22"/>
  </w:style>
  <w:style w:type="paragraph" w:styleId="Tekstprzypisudolnego">
    <w:name w:val="footnote text"/>
    <w:basedOn w:val="Normalny"/>
    <w:link w:val="TekstprzypisudolnegoZnak"/>
    <w:uiPriority w:val="99"/>
    <w:semiHidden/>
    <w:unhideWhenUsed/>
    <w:rsid w:val="00F30D2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30D22"/>
    <w:rPr>
      <w:sz w:val="20"/>
      <w:szCs w:val="20"/>
    </w:rPr>
  </w:style>
  <w:style w:type="character" w:styleId="Odwoanieprzypisudolnego">
    <w:name w:val="footnote reference"/>
    <w:basedOn w:val="Domylnaczcionkaakapitu"/>
    <w:uiPriority w:val="99"/>
    <w:semiHidden/>
    <w:rsid w:val="00F30D22"/>
    <w:rPr>
      <w:rFonts w:cs="Times New Roman"/>
      <w:vertAlign w:val="superscript"/>
    </w:rPr>
  </w:style>
  <w:style w:type="paragraph" w:customStyle="1" w:styleId="ODNONIKtreodnonika">
    <w:name w:val="ODNOŚNIK – treść odnośnika"/>
    <w:uiPriority w:val="99"/>
    <w:rsid w:val="00F30D22"/>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basedOn w:val="Domylnaczcionkaakapitu"/>
    <w:uiPriority w:val="99"/>
    <w:rsid w:val="00F30D22"/>
    <w:rPr>
      <w:rFonts w:cs="Times New Roman"/>
      <w:spacing w:val="0"/>
      <w:vertAlign w:val="superscript"/>
    </w:rPr>
  </w:style>
  <w:style w:type="paragraph" w:customStyle="1" w:styleId="ODNONIKSPECtreodnonikadoodnonika">
    <w:name w:val="ODNOŚNIK_SPEC – treść odnośnika do odnośnika"/>
    <w:basedOn w:val="Normalny"/>
    <w:uiPriority w:val="99"/>
    <w:rsid w:val="00F30D22"/>
    <w:pPr>
      <w:spacing w:after="0" w:line="240" w:lineRule="auto"/>
      <w:ind w:left="283" w:hanging="170"/>
    </w:pPr>
    <w:rPr>
      <w:rFonts w:ascii="Times New Roman" w:eastAsia="Times New Roman" w:hAnsi="Times New Roman" w:cs="Arial"/>
      <w:sz w:val="20"/>
      <w:szCs w:val="20"/>
      <w:lang w:eastAsia="pl-PL"/>
    </w:rPr>
  </w:style>
  <w:style w:type="paragraph" w:styleId="Stopka">
    <w:name w:val="footer"/>
    <w:basedOn w:val="Normalny"/>
    <w:link w:val="StopkaZnak"/>
    <w:uiPriority w:val="99"/>
    <w:unhideWhenUsed/>
    <w:rsid w:val="00CF358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F358A"/>
  </w:style>
  <w:style w:type="paragraph" w:styleId="Tekstdymka">
    <w:name w:val="Balloon Text"/>
    <w:basedOn w:val="Normalny"/>
    <w:link w:val="TekstdymkaZnak"/>
    <w:uiPriority w:val="99"/>
    <w:semiHidden/>
    <w:unhideWhenUsed/>
    <w:rsid w:val="00A9169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916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90070-0BB5-41E0-8430-0C565765E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5100</Words>
  <Characters>30604</Characters>
  <Application>Microsoft Office Word</Application>
  <DocSecurity>0</DocSecurity>
  <Lines>255</Lines>
  <Paragraphs>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Cwiek</dc:creator>
  <cp:lastModifiedBy>Ewa A. Genert</cp:lastModifiedBy>
  <cp:revision>2</cp:revision>
  <cp:lastPrinted>2016-11-09T08:59:00Z</cp:lastPrinted>
  <dcterms:created xsi:type="dcterms:W3CDTF">2016-11-10T12:42:00Z</dcterms:created>
  <dcterms:modified xsi:type="dcterms:W3CDTF">2016-11-10T12:42:00Z</dcterms:modified>
</cp:coreProperties>
</file>