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142F6" w14:textId="77777777" w:rsidR="007C3C17" w:rsidRPr="003664A4" w:rsidRDefault="007C3C17" w:rsidP="007C3C17">
      <w:pPr>
        <w:keepNext/>
        <w:suppressAutoHyphens/>
        <w:spacing w:before="120" w:after="360" w:line="360" w:lineRule="auto"/>
        <w:jc w:val="center"/>
        <w:rPr>
          <w:rFonts w:ascii="Times New Roman" w:eastAsia="SimSun" w:hAnsi="Times New Roman" w:cs="Times New Roman"/>
          <w:b/>
          <w:sz w:val="24"/>
          <w:szCs w:val="24"/>
          <w:lang w:eastAsia="pl-PL"/>
        </w:rPr>
      </w:pPr>
      <w:bookmarkStart w:id="0" w:name="_GoBack"/>
      <w:bookmarkEnd w:id="0"/>
      <w:r w:rsidRPr="003664A4">
        <w:rPr>
          <w:rFonts w:ascii="Times New Roman" w:eastAsia="SimSun" w:hAnsi="Times New Roman" w:cs="Times New Roman"/>
          <w:bCs/>
          <w:sz w:val="24"/>
          <w:szCs w:val="24"/>
          <w:lang w:eastAsia="pl-PL"/>
        </w:rPr>
        <w:t>UZASADNIENIE</w:t>
      </w:r>
    </w:p>
    <w:p w14:paraId="1562C0A5"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3664A4">
        <w:rPr>
          <w:rFonts w:ascii="Times New Roman" w:eastAsia="SimSun" w:hAnsi="Times New Roman" w:cs="Times New Roman"/>
          <w:bCs/>
          <w:sz w:val="24"/>
          <w:szCs w:val="20"/>
          <w:lang w:eastAsia="pl-PL"/>
        </w:rPr>
        <w:t>Ustawą z dnia 14 kwietnia 2016 r. o wstrzymaniu sprzedaży nieruchomości Zasobu Własności Rolnej Skarbu Państwa oraz o zmianie niektórych ustaw (Dz. U. z 2018 r. poz. 869), zwaną dalej „ustawą”, wstrzymano na okres 5 lat od dnia wejścia w życie ustawy sprzedaż nieruchomości rolnych albo ich części wchodzących w skład Zasobu Własności Rolnej Skarbu Państwa, zwanego dalej „Zasobem”. Wskazany okres wstrzymania sprzedaży nieruchomości rolnych upływa z dniem 30 kwietnia 2021 r.</w:t>
      </w:r>
    </w:p>
    <w:p w14:paraId="0885355D"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3664A4">
        <w:rPr>
          <w:rFonts w:ascii="Times New Roman" w:eastAsia="SimSun" w:hAnsi="Times New Roman" w:cs="Times New Roman"/>
          <w:bCs/>
          <w:sz w:val="24"/>
          <w:szCs w:val="20"/>
          <w:lang w:eastAsia="pl-PL"/>
        </w:rPr>
        <w:t>Celem wstrzymania sprzedaży nieruchomości rolnych z Zasobu było zahamowanie silnej tendencji wzrostowej cen sprzedaży gruntów rolnych oraz przeciwdziałanie spekulacyjnemu wykupowaniu nieruchomości rolnych przez osoby krajowe i zagraniczne, które nie gwarantuje zgodnego z interesem społecznym wykorzystania nabytej ziemi na cele rolnicze. Jak wynika ze Sprawozdania z działalności Krajowego Ośrodka Wsparcia Rolnictwa w 2019 r., średnie ceny sprzedaży gruntów Zasobu w ostatnich latach kształtowały się następująco: 2012 r. – 19 283 zł/ha, 2013 r. – 21 813 zł/ha, 2014 r. – 25 592 zł/ha, 2015 r. – 29 546 zł/ha, 2016 r. – 32 255 zł/ha, 2017 r. – 31 058 zł/ha, 2018 r. – 26 402 zł/ha, 2019 r. – 30 998 zł/ha. Jak wynika zatem z powyższego zestawienia, w okresie od dnia wejścia w życie</w:t>
      </w:r>
      <w:r w:rsidR="00DB4AF5">
        <w:rPr>
          <w:rFonts w:ascii="Times New Roman" w:eastAsia="SimSun" w:hAnsi="Times New Roman" w:cs="Times New Roman"/>
          <w:bCs/>
          <w:sz w:val="24"/>
          <w:szCs w:val="20"/>
          <w:lang w:eastAsia="pl-PL"/>
        </w:rPr>
        <w:t xml:space="preserve"> </w:t>
      </w:r>
      <w:r w:rsidRPr="003664A4">
        <w:rPr>
          <w:rFonts w:ascii="Times New Roman" w:eastAsia="SimSun" w:hAnsi="Times New Roman" w:cs="Times New Roman"/>
          <w:bCs/>
          <w:sz w:val="24"/>
          <w:szCs w:val="20"/>
          <w:lang w:eastAsia="pl-PL"/>
        </w:rPr>
        <w:t>ustawy do końca 2019 r. (a więc w perspektywie prawie 4-letniej), założony przez ustawodawcę cel został osiągnięty, tj. wzrost cen gruntów rolnych Zasobu został zahamowany. Analizując przedstawione dane, nie sposób jednak nie zwrócić uwagi na wyraźny, choć dużo wolniejszy niż przed 2016 r., wzrost średnich cen sprzedaży gruntów rolnych Zasobu uzyskanych w 2019 r. w porównaniu do 2018 r. (wzrost o ponad 4500 zł/ha). Niemniej jednak zarówno w 2017 r., jak i w 2018 r. nastąpił spadek tych cen, a średnia cena z 2019 r. wróciła do poziomu z 2017 r., w dalszym ciągu będąc na niższym poziomie niż w 2016 r. Zatem, aby nie dopuścić do ewentualnego dalszego wzrostu ww. cen, niezbędne jest wprowadzenie odpowiednich rozwiązań prawnych, które pozwolą na zminimalizowanie lub całkowite wyeliminowanie pojawiającego się zagrożenia związanego z możliwością rozwoju tego niekorzystnego zjawiska. Optymalnym rozwiązaniem w tym zakresie jest przedłużenie okresu wstrzymania sprzedaży nieruchomości Zasobu o kolejne 5 lat. Tak ustalony okres pozwoli na stabilizację cen sprzedaży ww. gruntów, gwarantując jednocześnie, że w dłuższej perspektywie czasowej nie dojdzie do ponownych gwałtownych wzrostów.</w:t>
      </w:r>
    </w:p>
    <w:p w14:paraId="795CE5D5"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3664A4">
        <w:rPr>
          <w:rFonts w:ascii="Times New Roman" w:eastAsia="SimSun" w:hAnsi="Times New Roman" w:cs="Times New Roman"/>
          <w:bCs/>
          <w:sz w:val="24"/>
          <w:szCs w:val="20"/>
          <w:lang w:eastAsia="pl-PL"/>
        </w:rPr>
        <w:lastRenderedPageBreak/>
        <w:t xml:space="preserve">Należy ponadto wskazać, że w latach 2016–2019 w cenach uzyskiwanych w transakcjach sprzedaży gruntów rolnych zawartych przez Krajowy Ośrodek Wsparcia Rolnictwa nastąpiła stabilizacja, natomiast w cenach uzyskiwanych w transakcjach sprzedaży na rynku prywatnym utrzymywała się tendencja wzrostowa. </w:t>
      </w:r>
    </w:p>
    <w:p w14:paraId="7BEA0D4B"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lang w:eastAsia="pl-PL"/>
        </w:rPr>
        <w:t>W 2019 r. uzyskano za 1 ha gruntów rolnych Zasobu średnią cenę w wysokości 30 998</w:t>
      </w:r>
      <w:r w:rsidR="003664A4">
        <w:rPr>
          <w:rFonts w:ascii="Times New Roman" w:eastAsia="SimSun" w:hAnsi="Times New Roman" w:cs="Times New Roman"/>
          <w:bCs/>
          <w:sz w:val="24"/>
          <w:szCs w:val="20"/>
          <w:lang w:eastAsia="pl-PL"/>
        </w:rPr>
        <w:t> </w:t>
      </w:r>
      <w:r w:rsidRPr="003664A4">
        <w:rPr>
          <w:rFonts w:ascii="Times New Roman" w:eastAsia="SimSun" w:hAnsi="Times New Roman" w:cs="Times New Roman"/>
          <w:bCs/>
          <w:sz w:val="24"/>
          <w:szCs w:val="20"/>
          <w:lang w:eastAsia="pl-PL"/>
        </w:rPr>
        <w:t xml:space="preserve">zł. Od 2004 r. do 2016 r. średnie roczne ceny uzyskiwane za grunty rolne Zasobu miały wyraźną tendencję rosnącą. Dotyczyło to wszystkich grup obszarowych i regionów kraju. W latach 2017 i 2018 nastąpił spadek cen – w 2017 r. o 4% w porównaniu z 2016 r., a w 2018 r. – o 15% w porównaniu z 2017 r. Natomiast w 2019 r. nastąpił wzrost cen sprzedaży gruntów rolnych o 17% w stosunku do 2018 r. Wpływ na uzyskaną średnią cenę 31 tys. zł/ha miały sprzedane </w:t>
      </w:r>
      <w:r w:rsidRPr="003664A4">
        <w:rPr>
          <w:rFonts w:ascii="Times New Roman" w:eastAsia="SimSun" w:hAnsi="Times New Roman" w:cs="Times New Roman"/>
          <w:bCs/>
          <w:sz w:val="24"/>
          <w:szCs w:val="20"/>
        </w:rPr>
        <w:t xml:space="preserve">nieruchomości o powierzchni od 100 do 300 ha oraz od 10 do 100 ha. Średnia powierzchnia przypadająca na 1 umowę sprzedaży wyniosła 0,96 ha. </w:t>
      </w:r>
    </w:p>
    <w:p w14:paraId="5D0CEC42" w14:textId="77777777" w:rsidR="007C3C17" w:rsidRPr="007C3C17" w:rsidRDefault="007C3C17" w:rsidP="007C3C17">
      <w:pPr>
        <w:suppressAutoHyphens/>
        <w:autoSpaceDE w:val="0"/>
        <w:autoSpaceDN w:val="0"/>
        <w:adjustRightInd w:val="0"/>
        <w:spacing w:before="120" w:after="0" w:line="360" w:lineRule="auto"/>
        <w:ind w:firstLine="510"/>
        <w:jc w:val="both"/>
        <w:rPr>
          <w:rFonts w:ascii="Times" w:eastAsia="SimSun" w:hAnsi="Times" w:cs="Arial"/>
          <w:sz w:val="24"/>
          <w:szCs w:val="20"/>
          <w:lang w:eastAsia="pl-PL"/>
        </w:rPr>
      </w:pPr>
      <w:r w:rsidRPr="007C3C17">
        <w:rPr>
          <w:rFonts w:ascii="Verdana" w:eastAsia="SimSun" w:hAnsi="Verdana" w:cs="Arial"/>
          <w:noProof/>
          <w:lang w:eastAsia="pl-PL"/>
        </w:rPr>
        <w:drawing>
          <wp:inline distT="0" distB="0" distL="0" distR="0" wp14:anchorId="1F920626" wp14:editId="4002A198">
            <wp:extent cx="5303520" cy="2966085"/>
            <wp:effectExtent l="0" t="0" r="0" b="5715"/>
            <wp:docPr id="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3520" cy="2966085"/>
                    </a:xfrm>
                    <a:prstGeom prst="rect">
                      <a:avLst/>
                    </a:prstGeom>
                    <a:noFill/>
                    <a:ln>
                      <a:noFill/>
                    </a:ln>
                  </pic:spPr>
                </pic:pic>
              </a:graphicData>
            </a:graphic>
          </wp:inline>
        </w:drawing>
      </w:r>
    </w:p>
    <w:p w14:paraId="53D07D1D"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Tendencje wzrostowe cen gruntów rolnych występują w obrocie prywatnym. Jak wynika z informacji Głównego Urzędu Statystycznego, ceny użytków rolnych wynosiły w 2019 r. średnio w kraju 46 240 zł/ha (od 26 721 zł/ha w woj. zachodniopomorskim do 60 255 zł/ha w woj. opolskim), w tym za grunty orne 47 233 zł/ha. Wzrost cen sprzedaży użytków rolnych w obrocie prywatnym w 2019 r. w porównaniu z 2018 r. wyniósł 7%.</w:t>
      </w:r>
    </w:p>
    <w:p w14:paraId="005C92E9"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 xml:space="preserve">Z porównania danych Głównego Urzędu Statystycznego i Agencji Nieruchomości Rolnych zamieszczonych w załączonej tabeli wynika, że średnie ceny gruntów ornych w </w:t>
      </w:r>
      <w:r w:rsidRPr="003664A4">
        <w:rPr>
          <w:rFonts w:ascii="Times New Roman" w:eastAsia="SimSun" w:hAnsi="Times New Roman" w:cs="Times New Roman"/>
          <w:bCs/>
          <w:sz w:val="24"/>
          <w:szCs w:val="20"/>
        </w:rPr>
        <w:lastRenderedPageBreak/>
        <w:t>obrocie prywatnym w latach 1992–2005 były o 40–50% wyższe niż średnie ceny gruntów rolnych uzyskiwane przez Agencję Nieruchomości Rolnych. Od 2006 r. różnica ta zmalała i utrzymuje się na poziomie 20–30%. Przy analizie powyższych danych należy mieć na uwadze, że w skład średniej ceny gruntów rolnych uzyskiwanej przez Agencję Nieruchomości Rolnych wchodziły ceny gruntów ornych, łąk, pastwisk i nieużytków. Natomiast Główny Urząd Statystyczny do 2004 r. podawał dane dotyczące średnich cen tylko gruntów ornych, a od 2005 r. podaje średnie ceny oddzielnie dla gruntów ornych i łąk (w załączonej tabeli podano ceny gruntów ornych według Głównego Urzędu Statystycznego). W 2019 r. średnia cena za grunty orne w obrocie prywatnym wyniosła 47 233 zł/ha.</w:t>
      </w:r>
    </w:p>
    <w:p w14:paraId="7A7CB228"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Należy podkreślić, że sprzedaż nieruchomości Zasobu, mimo jej wstrzymania, jest możliwa w stosunku do nieruchomości określonych w art. 2 ust. 1 ustawy, tj.:</w:t>
      </w:r>
    </w:p>
    <w:p w14:paraId="1CCBAD9C" w14:textId="77777777" w:rsidR="007C3C17" w:rsidRPr="003664A4" w:rsidRDefault="007C3C17" w:rsidP="00DB4AF5">
      <w:pPr>
        <w:suppressAutoHyphens/>
        <w:autoSpaceDE w:val="0"/>
        <w:autoSpaceDN w:val="0"/>
        <w:adjustRightInd w:val="0"/>
        <w:spacing w:before="120" w:after="0" w:line="360" w:lineRule="auto"/>
        <w:ind w:left="42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1)</w:t>
      </w:r>
      <w:r w:rsidRPr="003664A4">
        <w:rPr>
          <w:rFonts w:ascii="Times New Roman" w:eastAsia="SimSun" w:hAnsi="Times New Roman" w:cs="Times New Roman"/>
          <w:bCs/>
          <w:sz w:val="24"/>
          <w:szCs w:val="20"/>
        </w:rPr>
        <w:tab/>
        <w:t>nieruchomości i ich części przeznaczonych w:</w:t>
      </w:r>
    </w:p>
    <w:p w14:paraId="4CCFEBF3" w14:textId="77777777" w:rsidR="007C3C17" w:rsidRPr="003664A4" w:rsidRDefault="007C3C17" w:rsidP="00935DAA">
      <w:pPr>
        <w:suppressAutoHyphens/>
        <w:autoSpaceDE w:val="0"/>
        <w:autoSpaceDN w:val="0"/>
        <w:adjustRightInd w:val="0"/>
        <w:spacing w:before="120" w:after="0" w:line="360" w:lineRule="auto"/>
        <w:ind w:leftChars="191" w:left="84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a)</w:t>
      </w:r>
      <w:r w:rsidRPr="003664A4">
        <w:rPr>
          <w:rFonts w:ascii="Times New Roman" w:eastAsia="SimSun" w:hAnsi="Times New Roman" w:cs="Times New Roman"/>
          <w:bCs/>
          <w:sz w:val="24"/>
          <w:szCs w:val="20"/>
        </w:rPr>
        <w:tab/>
        <w:t>miejscowym planie zagospodarowania przestrzennego lub</w:t>
      </w:r>
    </w:p>
    <w:p w14:paraId="5F9B9E8B" w14:textId="77777777" w:rsidR="007C3C17" w:rsidRPr="003664A4" w:rsidRDefault="007C3C17" w:rsidP="00935DAA">
      <w:pPr>
        <w:suppressAutoHyphens/>
        <w:autoSpaceDE w:val="0"/>
        <w:autoSpaceDN w:val="0"/>
        <w:adjustRightInd w:val="0"/>
        <w:spacing w:before="120" w:after="0" w:line="360" w:lineRule="auto"/>
        <w:ind w:leftChars="191" w:left="84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b)</w:t>
      </w:r>
      <w:r w:rsidRPr="003664A4">
        <w:rPr>
          <w:rFonts w:ascii="Times New Roman" w:eastAsia="SimSun" w:hAnsi="Times New Roman" w:cs="Times New Roman"/>
          <w:bCs/>
          <w:sz w:val="24"/>
          <w:szCs w:val="20"/>
        </w:rPr>
        <w:tab/>
        <w:t>studium uwarunkowań i kierunków zagospodarowania przestrzennego gminy, lub</w:t>
      </w:r>
    </w:p>
    <w:p w14:paraId="701E2F75" w14:textId="77777777" w:rsidR="007C3C17" w:rsidRPr="003664A4" w:rsidRDefault="007C3C17" w:rsidP="00935DAA">
      <w:pPr>
        <w:suppressAutoHyphens/>
        <w:autoSpaceDE w:val="0"/>
        <w:autoSpaceDN w:val="0"/>
        <w:adjustRightInd w:val="0"/>
        <w:spacing w:before="120" w:after="0" w:line="360" w:lineRule="auto"/>
        <w:ind w:leftChars="191" w:left="84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c)</w:t>
      </w:r>
      <w:r w:rsidRPr="003664A4">
        <w:rPr>
          <w:rFonts w:ascii="Times New Roman" w:eastAsia="SimSun" w:hAnsi="Times New Roman" w:cs="Times New Roman"/>
          <w:bCs/>
          <w:sz w:val="24"/>
          <w:szCs w:val="20"/>
        </w:rPr>
        <w:tab/>
        <w:t>ostatecznej decyzji o warunkach zabudowy i zagospodarowania terenu</w:t>
      </w:r>
    </w:p>
    <w:p w14:paraId="510F8A19" w14:textId="77777777" w:rsidR="007C3C17" w:rsidRPr="003664A4" w:rsidRDefault="007C3C17" w:rsidP="00935DAA">
      <w:pPr>
        <w:suppressAutoHyphens/>
        <w:autoSpaceDE w:val="0"/>
        <w:autoSpaceDN w:val="0"/>
        <w:adjustRightInd w:val="0"/>
        <w:spacing w:before="120" w:after="0" w:line="360" w:lineRule="auto"/>
        <w:ind w:leftChars="193" w:left="425"/>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 na cele inne niż rolne, w szczególności na parki technologiczne, parki przemysłowe, centra biznesowo-logistyczne, składy magazynowe, inwestycje transportowe, budownictwo mieszkaniowe, obiekty sportowo-rekreacyjne, lub</w:t>
      </w:r>
    </w:p>
    <w:p w14:paraId="5C31BED1" w14:textId="77777777" w:rsidR="007C3C17" w:rsidRPr="003664A4" w:rsidRDefault="007C3C17" w:rsidP="00935DAA">
      <w:pPr>
        <w:suppressAutoHyphens/>
        <w:autoSpaceDE w:val="0"/>
        <w:autoSpaceDN w:val="0"/>
        <w:adjustRightInd w:val="0"/>
        <w:spacing w:before="120" w:after="0" w:line="360" w:lineRule="auto"/>
        <w:ind w:left="42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2)</w:t>
      </w:r>
      <w:r w:rsidRPr="003664A4">
        <w:rPr>
          <w:rFonts w:ascii="Times New Roman" w:eastAsia="SimSun" w:hAnsi="Times New Roman" w:cs="Times New Roman"/>
          <w:bCs/>
          <w:sz w:val="24"/>
          <w:szCs w:val="20"/>
        </w:rPr>
        <w:tab/>
        <w:t>nieruchomości położonych w granicach specjalnych stref ekonomicznych, lub</w:t>
      </w:r>
    </w:p>
    <w:p w14:paraId="7B723AAE" w14:textId="77777777" w:rsidR="007C3C17" w:rsidRPr="003664A4" w:rsidRDefault="007C3C17" w:rsidP="00935DAA">
      <w:pPr>
        <w:suppressAutoHyphens/>
        <w:autoSpaceDE w:val="0"/>
        <w:autoSpaceDN w:val="0"/>
        <w:adjustRightInd w:val="0"/>
        <w:spacing w:before="120" w:after="0" w:line="360" w:lineRule="auto"/>
        <w:ind w:left="42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3)</w:t>
      </w:r>
      <w:r w:rsidRPr="003664A4">
        <w:rPr>
          <w:rFonts w:ascii="Times New Roman" w:eastAsia="SimSun" w:hAnsi="Times New Roman" w:cs="Times New Roman"/>
          <w:bCs/>
          <w:sz w:val="24"/>
          <w:szCs w:val="20"/>
        </w:rPr>
        <w:tab/>
        <w:t>domów, lokali mieszkalnych, budynków gospodarczych i garaży wraz z niezbędnymi gruntami oraz ogródków przydomowych, lub</w:t>
      </w:r>
    </w:p>
    <w:p w14:paraId="68420E7C" w14:textId="77777777" w:rsidR="007C3C17" w:rsidRPr="003664A4" w:rsidRDefault="007C3C17" w:rsidP="00935DAA">
      <w:pPr>
        <w:suppressAutoHyphens/>
        <w:autoSpaceDE w:val="0"/>
        <w:autoSpaceDN w:val="0"/>
        <w:adjustRightInd w:val="0"/>
        <w:spacing w:before="120" w:after="0" w:line="360" w:lineRule="auto"/>
        <w:ind w:left="426" w:hanging="426"/>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4)</w:t>
      </w:r>
      <w:r w:rsidRPr="003664A4">
        <w:rPr>
          <w:rFonts w:ascii="Times New Roman" w:eastAsia="SimSun" w:hAnsi="Times New Roman" w:cs="Times New Roman"/>
          <w:bCs/>
          <w:sz w:val="24"/>
          <w:szCs w:val="20"/>
        </w:rPr>
        <w:tab/>
        <w:t>nieruchomości rolnych o powierzchni do 2 ha.</w:t>
      </w:r>
    </w:p>
    <w:p w14:paraId="49328CD4" w14:textId="77777777" w:rsidR="007C3C17" w:rsidRPr="003664A4"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rPr>
      </w:pPr>
      <w:r w:rsidRPr="003664A4">
        <w:rPr>
          <w:rFonts w:ascii="Times New Roman" w:eastAsia="SimSun" w:hAnsi="Times New Roman" w:cs="Times New Roman"/>
          <w:bCs/>
          <w:sz w:val="24"/>
          <w:szCs w:val="20"/>
        </w:rPr>
        <w:t xml:space="preserve">Ponadto zgodnie z art. 2 ust. 2 ustawy sprzedaż innych niż wymienione w ust. 1 nieruchomości jest możliwa za zgodą ministra właściwego do spraw rozwoju wsi, na wniosek Dyrektora Generalnego Krajowego Ośrodka Wsparcia Rolnictwa, jeżeli jest to uzasadnione względami społeczno-gospodarczymi. Należy zaznaczyć, że przepis ten oddziałuje bezpośrednio wyłącznie na Krajowy Ośrodek Wsparcia Rolnictwa (a nie na zakres praw innych podmiotów), który ostatecznie samodzielnie decyduje o </w:t>
      </w:r>
      <w:r w:rsidRPr="003664A4">
        <w:rPr>
          <w:rFonts w:ascii="Times New Roman" w:eastAsia="SimSun" w:hAnsi="Times New Roman" w:cs="Times New Roman"/>
          <w:bCs/>
          <w:sz w:val="24"/>
          <w:szCs w:val="20"/>
        </w:rPr>
        <w:lastRenderedPageBreak/>
        <w:t>przeznaczeniu nieruchomości do sprzedaży. Należy podkreślić, że również w tym przypadku sprzedaż nieruchomości wchodzących w skład Zasobu odbywa się zgodnie z zasadami określonymi w ustawie z dnia 19 października 1991 r. o gospodarowaniu nieruchomościami rolnymi Skarbu Państwa (Dz. U. z 2020 r. poz. 2243). Nie ma tu zatem mowy o nieograniczonej możliwości podejmowania decyzji przez organy władzy wykonawczej w zakresie dysponowania tymi nieruchomościami. Warto podkreślić, że zasady i tryb sprzedaży nieruchomości określone w ustawie z dnia 19 października 1991 r. o gospodarowaniu nieruchomościami rolnymi Skarbu Państwa miałyby zastosowanie również w przypadku braku wstrzymania tej sprzedaży.</w:t>
      </w:r>
    </w:p>
    <w:p w14:paraId="33517C6E" w14:textId="16A9648F" w:rsidR="007C3C17" w:rsidRPr="00DB4AF5"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pacing w:val="-3"/>
          <w:sz w:val="24"/>
          <w:szCs w:val="20"/>
          <w:lang w:eastAsia="pl-PL"/>
        </w:rPr>
      </w:pPr>
      <w:r w:rsidRPr="003664A4">
        <w:rPr>
          <w:rFonts w:ascii="Times New Roman" w:eastAsia="SimSun" w:hAnsi="Times New Roman" w:cs="Times New Roman"/>
          <w:bCs/>
          <w:sz w:val="24"/>
          <w:szCs w:val="20"/>
          <w:lang w:eastAsia="pl-PL"/>
        </w:rPr>
        <w:t xml:space="preserve">Wraz z wejściem w życie ustawy dzierżawa zyskała status podstawowego sposobu zagospodarowania nieruchomości rolnych Zasobu. Stała się ona podstawową formą rozdysponowania (nietrwałego) nieruchomości rolnych Zasobu, ponieważ </w:t>
      </w:r>
      <w:r w:rsidRPr="00DB4AF5">
        <w:rPr>
          <w:rFonts w:ascii="Times New Roman" w:eastAsia="SimSun" w:hAnsi="Times New Roman" w:cs="Times New Roman"/>
          <w:bCs/>
          <w:spacing w:val="-3"/>
          <w:sz w:val="24"/>
          <w:szCs w:val="20"/>
          <w:lang w:eastAsia="pl-PL"/>
        </w:rPr>
        <w:t xml:space="preserve">dzierżawa państwowych gruntów jest </w:t>
      </w:r>
      <w:r w:rsidRPr="00935DAA">
        <w:rPr>
          <w:rFonts w:ascii="Times New Roman" w:eastAsia="SimSun" w:hAnsi="Times New Roman" w:cs="Times New Roman"/>
          <w:bCs/>
          <w:sz w:val="24"/>
          <w:szCs w:val="20"/>
          <w:lang w:eastAsia="pl-PL"/>
        </w:rPr>
        <w:t xml:space="preserve">stosunkowo </w:t>
      </w:r>
      <w:r w:rsidRPr="00DB4AF5">
        <w:rPr>
          <w:rFonts w:ascii="Times New Roman" w:eastAsia="SimSun" w:hAnsi="Times New Roman" w:cs="Times New Roman"/>
          <w:bCs/>
          <w:spacing w:val="-3"/>
          <w:sz w:val="24"/>
          <w:szCs w:val="20"/>
          <w:lang w:eastAsia="pl-PL"/>
        </w:rPr>
        <w:t xml:space="preserve">niedroga w porównaniu do kosztów nabycia nieruchomości i dlatego pozwala rolnikom na nieangażowanie kapitału w zakup ziemi, dając im możliwość przeznaczenia tego kapitału na dokonywanie inwestycji w prowadzone gospodarstwa. Państwo zaś może jako przewidywalny partner prowadzić politykę wspierania rolników, mając do dyspozycji stały przychód, który w istocie i tak w dużej mierze służy finansowaniu wprowadzanych i stosowanych mechanizmów pomocowych, a więc jest redystrybuowany wśród rolników w sytuacjach występowania np. niekorzystnych zjawisk atmosferycznych (w ostatnich latach szczególnie suszy). Państwo zachowuje przy tym, jako właściciel ziemi oddawanej w dzierżawę, możliwość dokonywania weryfikacji prawidłowości sposobu jej użytkowania przez dzierżawców. W przypadku </w:t>
      </w:r>
      <w:r w:rsidRPr="00935DAA">
        <w:rPr>
          <w:rFonts w:ascii="Times New Roman" w:eastAsia="SimSun" w:hAnsi="Times New Roman" w:cs="Times New Roman"/>
          <w:bCs/>
          <w:sz w:val="24"/>
          <w:szCs w:val="20"/>
          <w:lang w:eastAsia="pl-PL"/>
        </w:rPr>
        <w:t>więc przedłużenia okresu wstrzymania sprzedaży nieruchomości Zasobu o kolejne 5 lat rolnicy będą mogli posiadane środki pieniężne</w:t>
      </w:r>
      <w:r w:rsidRPr="00DB4AF5">
        <w:rPr>
          <w:rFonts w:ascii="Times New Roman" w:eastAsia="SimSun" w:hAnsi="Times New Roman" w:cs="Times New Roman"/>
          <w:bCs/>
          <w:spacing w:val="-3"/>
          <w:sz w:val="24"/>
          <w:szCs w:val="20"/>
          <w:lang w:eastAsia="pl-PL"/>
        </w:rPr>
        <w:t xml:space="preserve"> przeznaczyć na inwestycje w prowadzone gospodarstwa, a nie </w:t>
      </w:r>
      <w:r w:rsidRPr="00935DAA">
        <w:rPr>
          <w:rFonts w:ascii="Times New Roman" w:eastAsia="SimSun" w:hAnsi="Times New Roman" w:cs="Times New Roman"/>
          <w:bCs/>
          <w:sz w:val="24"/>
          <w:szCs w:val="20"/>
          <w:lang w:eastAsia="pl-PL"/>
        </w:rPr>
        <w:t>an</w:t>
      </w:r>
      <w:r w:rsidRPr="00DB4AF5">
        <w:rPr>
          <w:rFonts w:ascii="Times New Roman" w:eastAsia="SimSun" w:hAnsi="Times New Roman" w:cs="Times New Roman"/>
          <w:bCs/>
          <w:spacing w:val="-3"/>
          <w:sz w:val="24"/>
          <w:szCs w:val="20"/>
          <w:lang w:eastAsia="pl-PL"/>
        </w:rPr>
        <w:t>gażowanie ich w zakup ziemi.</w:t>
      </w:r>
    </w:p>
    <w:p w14:paraId="581F5283" w14:textId="68F0E197" w:rsidR="007C3C17" w:rsidRPr="00DB4AF5" w:rsidRDefault="007C3C17" w:rsidP="007C3C17">
      <w:pPr>
        <w:suppressAutoHyphens/>
        <w:autoSpaceDE w:val="0"/>
        <w:autoSpaceDN w:val="0"/>
        <w:adjustRightInd w:val="0"/>
        <w:spacing w:before="120" w:after="0" w:line="360" w:lineRule="auto"/>
        <w:jc w:val="both"/>
        <w:rPr>
          <w:rFonts w:ascii="Times New Roman" w:eastAsia="Times New Roman" w:hAnsi="Times New Roman" w:cs="Times New Roman"/>
          <w:spacing w:val="-3"/>
          <w:sz w:val="24"/>
          <w:szCs w:val="24"/>
          <w:lang w:eastAsia="pl-PL"/>
        </w:rPr>
      </w:pPr>
      <w:r w:rsidRPr="00DB4AF5">
        <w:rPr>
          <w:rFonts w:ascii="Times New Roman" w:eastAsia="Times New Roman" w:hAnsi="Times New Roman" w:cs="Times New Roman"/>
          <w:sz w:val="24"/>
          <w:szCs w:val="24"/>
          <w:lang w:eastAsia="pl-PL"/>
        </w:rPr>
        <w:t>Należy zauważyć, że obszar gruntów pozostających w Zasobie, według stanu na dzień 31 sierpnia 2020 r., wynosił ogółem 1</w:t>
      </w:r>
      <w:r w:rsidR="00DB4AF5">
        <w:rPr>
          <w:rFonts w:ascii="Times New Roman" w:eastAsia="Times New Roman" w:hAnsi="Times New Roman" w:cs="Times New Roman"/>
          <w:sz w:val="24"/>
          <w:szCs w:val="24"/>
          <w:lang w:eastAsia="pl-PL"/>
        </w:rPr>
        <w:t xml:space="preserve"> </w:t>
      </w:r>
      <w:r w:rsidRPr="00DB4AF5">
        <w:rPr>
          <w:rFonts w:ascii="Times New Roman" w:eastAsia="Times New Roman" w:hAnsi="Times New Roman" w:cs="Times New Roman"/>
          <w:sz w:val="24"/>
          <w:szCs w:val="24"/>
          <w:lang w:eastAsia="pl-PL"/>
        </w:rPr>
        <w:t>362 472</w:t>
      </w:r>
      <w:r w:rsidR="00DB4AF5">
        <w:rPr>
          <w:rFonts w:ascii="Times New Roman" w:eastAsia="Times New Roman" w:hAnsi="Times New Roman" w:cs="Times New Roman"/>
          <w:sz w:val="24"/>
          <w:szCs w:val="24"/>
          <w:lang w:eastAsia="pl-PL"/>
        </w:rPr>
        <w:t xml:space="preserve"> </w:t>
      </w:r>
      <w:r w:rsidRPr="00DB4AF5">
        <w:rPr>
          <w:rFonts w:ascii="Times New Roman" w:eastAsia="Times New Roman" w:hAnsi="Times New Roman" w:cs="Times New Roman"/>
          <w:sz w:val="24"/>
          <w:szCs w:val="24"/>
          <w:lang w:eastAsia="pl-PL"/>
        </w:rPr>
        <w:t>ha, z czego grunty oddane w dzierżawę stanowiły 1</w:t>
      </w:r>
      <w:r w:rsidR="00DB4AF5">
        <w:rPr>
          <w:rFonts w:ascii="Times New Roman" w:eastAsia="Times New Roman" w:hAnsi="Times New Roman" w:cs="Times New Roman"/>
          <w:sz w:val="24"/>
          <w:szCs w:val="24"/>
          <w:lang w:eastAsia="pl-PL"/>
        </w:rPr>
        <w:t xml:space="preserve"> </w:t>
      </w:r>
      <w:r w:rsidRPr="00DB4AF5">
        <w:rPr>
          <w:rFonts w:ascii="Times New Roman" w:eastAsia="Times New Roman" w:hAnsi="Times New Roman" w:cs="Times New Roman"/>
          <w:sz w:val="24"/>
          <w:szCs w:val="24"/>
          <w:lang w:eastAsia="pl-PL"/>
        </w:rPr>
        <w:t>067 214</w:t>
      </w:r>
      <w:r w:rsidR="00DB4AF5">
        <w:rPr>
          <w:rFonts w:ascii="Times New Roman" w:eastAsia="Times New Roman" w:hAnsi="Times New Roman" w:cs="Times New Roman"/>
          <w:sz w:val="24"/>
          <w:szCs w:val="24"/>
          <w:lang w:eastAsia="pl-PL"/>
        </w:rPr>
        <w:t xml:space="preserve"> </w:t>
      </w:r>
      <w:r w:rsidRPr="00DB4AF5">
        <w:rPr>
          <w:rFonts w:ascii="Times New Roman" w:eastAsia="Times New Roman" w:hAnsi="Times New Roman" w:cs="Times New Roman"/>
          <w:sz w:val="24"/>
          <w:szCs w:val="24"/>
          <w:lang w:eastAsia="pl-PL"/>
        </w:rPr>
        <w:t xml:space="preserve">ha. Jak wynika z powyższego, zgodnie z założeniami i intencjami ustawodawcy, które legły u podstaw wprowadzenia w 2016 r. do polskiego porządku prawnego przepisów </w:t>
      </w:r>
      <w:r w:rsidRPr="00935DAA">
        <w:rPr>
          <w:rFonts w:ascii="Times New Roman" w:eastAsia="SimSun" w:hAnsi="Times New Roman" w:cs="Times New Roman"/>
          <w:sz w:val="24"/>
          <w:szCs w:val="20"/>
          <w:lang w:eastAsia="pl-PL"/>
        </w:rPr>
        <w:t xml:space="preserve">ustawy, </w:t>
      </w:r>
      <w:r w:rsidRPr="00DB4AF5">
        <w:rPr>
          <w:rFonts w:ascii="Times New Roman" w:eastAsia="Times New Roman" w:hAnsi="Times New Roman" w:cs="Times New Roman"/>
          <w:spacing w:val="-3"/>
          <w:sz w:val="24"/>
          <w:szCs w:val="24"/>
          <w:lang w:eastAsia="pl-PL"/>
        </w:rPr>
        <w:t xml:space="preserve">głównym kierunkiem zagospodarowania nieruchomości Zasobu (przez nietrwałe ich rozdysponowanie) stała się i jest nadal dzierżawa. Dzierżawa nieruchomości rolnych cieszy się dużym zainteresowaniem wśród rolników indywidualnych, ponieważ stwarza ona możliwość dogodnego sposobu użytkowania </w:t>
      </w:r>
      <w:r w:rsidRPr="00DB4AF5">
        <w:rPr>
          <w:rFonts w:ascii="Times New Roman" w:eastAsia="Times New Roman" w:hAnsi="Times New Roman" w:cs="Times New Roman"/>
          <w:spacing w:val="-3"/>
          <w:sz w:val="24"/>
          <w:szCs w:val="24"/>
          <w:lang w:eastAsia="pl-PL"/>
        </w:rPr>
        <w:lastRenderedPageBreak/>
        <w:t xml:space="preserve">gruntów i budynków, nie wymagając przy tym angażowania przez dzierżawców znacznych środków finansowych, jak ma to miejsce w przypadku trwałego nabycia nieruchomości. Nabycie gruntów na własność powoduje konieczność skumulowania znacznego kapitału (często pochodzącego z udzielanych przez banki kredytów) z przeznaczeniem na pokrycie całości lub, w przypadku nabycia na raty, znacznej części ceny tego nabycia, co nawet jeżeli nie zamyka, to w znacznym stopniu ogranicza możliwość przeznaczenia środków finansowych na rozwój prowadzonego gospodarstwa, w tym na dokonanie niezbędnych inwestycji. W konsekwencji prowadzi to lub może prowadzić w wielu przypadkach, również ze względu na zaangażowanie kapitału w pokrycie strat związanych z wystąpieniem niekorzystnych zjawisk, np. suszy, do nadmiernego zadłużania się rolników, a co za tym idzie do konieczności wyzbycia się przez nich własności nieruchomości w celu pokrycia istniejącego zadłużenia. </w:t>
      </w:r>
    </w:p>
    <w:p w14:paraId="44AD6187"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O tym, że dzierżawa cieszy się znacznie większym zainteresowaniem wśród rolników indywidualnych niż sprzedaż świadczą dobitnie m.in. dane dotyczące skuteczności przetargów na rozdysponowanie nieruchomości Zasobu w tych formach. Jako przykład niech posłużą dane będące w posiadaniu Krajowego Ośrodka Wsparcia Rolnictwa, z których wynika, że w samym tylko okresie od dnia 1 stycznia do dnia 31 sierpnia 2020 r. odbyło się 3597 przetargów na dzierżawę, których przedmiotem były grunty o łącznej powierzchni 32</w:t>
      </w:r>
      <w:r w:rsidR="00DB4AF5">
        <w:rPr>
          <w:rFonts w:ascii="Times New Roman" w:eastAsia="SimSun" w:hAnsi="Times New Roman" w:cs="Times New Roman"/>
          <w:bCs/>
          <w:sz w:val="24"/>
          <w:szCs w:val="20"/>
          <w:lang w:eastAsia="pl-PL"/>
        </w:rPr>
        <w:t xml:space="preserve"> </w:t>
      </w:r>
      <w:r w:rsidRPr="00935DAA">
        <w:rPr>
          <w:rFonts w:ascii="Times New Roman" w:eastAsia="SimSun" w:hAnsi="Times New Roman" w:cs="Times New Roman"/>
          <w:bCs/>
          <w:sz w:val="24"/>
          <w:szCs w:val="20"/>
          <w:lang w:eastAsia="pl-PL"/>
        </w:rPr>
        <w:t>997 ha, przy czym rozstrzygnięto 2589 przetargów na dzierżawę gruntów o powierzchni 26</w:t>
      </w:r>
      <w:r w:rsidR="00DB4AF5">
        <w:rPr>
          <w:rFonts w:ascii="Times New Roman" w:eastAsia="SimSun" w:hAnsi="Times New Roman" w:cs="Times New Roman"/>
          <w:bCs/>
          <w:sz w:val="24"/>
          <w:szCs w:val="20"/>
          <w:lang w:eastAsia="pl-PL"/>
        </w:rPr>
        <w:t xml:space="preserve"> </w:t>
      </w:r>
      <w:r w:rsidRPr="00935DAA">
        <w:rPr>
          <w:rFonts w:ascii="Times New Roman" w:eastAsia="SimSun" w:hAnsi="Times New Roman" w:cs="Times New Roman"/>
          <w:bCs/>
          <w:sz w:val="24"/>
          <w:szCs w:val="20"/>
          <w:lang w:eastAsia="pl-PL"/>
        </w:rPr>
        <w:t>377 ha. W okresie tym skuteczność przetargów na dzierżawę nieruchomości Zasobu, mierzona liczbą przetargów rozstrzygniętych w stosunku do przetargów odbytych, wyniosła 72%. Skuteczność przetargów na dzierżawę, mierzona powierzchnią nieruchomości z przetargów rozstrzygniętych do powierzchni zaoferowanej do dzierżawy, wyniosła 80%. Z kolei skuteczność przetargów na sprzedaż nieruchomości z Zasobu jest znacznie niższa. W analogicznym okresie od dnia 1 stycznia do dnia 31 sierpnia 2020 r. odbyło się 17</w:t>
      </w:r>
      <w:r w:rsidR="00DB4AF5">
        <w:rPr>
          <w:rFonts w:ascii="Times New Roman" w:eastAsia="SimSun" w:hAnsi="Times New Roman" w:cs="Times New Roman"/>
          <w:bCs/>
          <w:sz w:val="24"/>
          <w:szCs w:val="20"/>
          <w:lang w:eastAsia="pl-PL"/>
        </w:rPr>
        <w:t xml:space="preserve"> </w:t>
      </w:r>
      <w:r w:rsidRPr="00935DAA">
        <w:rPr>
          <w:rFonts w:ascii="Times New Roman" w:eastAsia="SimSun" w:hAnsi="Times New Roman" w:cs="Times New Roman"/>
          <w:bCs/>
          <w:sz w:val="24"/>
          <w:szCs w:val="20"/>
          <w:lang w:eastAsia="pl-PL"/>
        </w:rPr>
        <w:t>771 przetargów na sprzedaż nieruchomości Zasobu, obejmujących powierzchnię 11</w:t>
      </w:r>
      <w:r w:rsidR="00DB4AF5">
        <w:rPr>
          <w:rFonts w:ascii="Times New Roman" w:eastAsia="SimSun" w:hAnsi="Times New Roman" w:cs="Times New Roman"/>
          <w:bCs/>
          <w:sz w:val="24"/>
          <w:szCs w:val="20"/>
          <w:lang w:eastAsia="pl-PL"/>
        </w:rPr>
        <w:t xml:space="preserve"> </w:t>
      </w:r>
      <w:r w:rsidRPr="00935DAA">
        <w:rPr>
          <w:rFonts w:ascii="Times New Roman" w:eastAsia="SimSun" w:hAnsi="Times New Roman" w:cs="Times New Roman"/>
          <w:bCs/>
          <w:sz w:val="24"/>
          <w:szCs w:val="20"/>
          <w:lang w:eastAsia="pl-PL"/>
        </w:rPr>
        <w:t>319 ha, z czego rozstrzygnięto 3534</w:t>
      </w:r>
      <w:r w:rsidR="00DB4AF5">
        <w:rPr>
          <w:rFonts w:ascii="Times New Roman" w:eastAsia="SimSun" w:hAnsi="Times New Roman" w:cs="Times New Roman"/>
          <w:bCs/>
          <w:sz w:val="24"/>
          <w:szCs w:val="20"/>
          <w:lang w:eastAsia="pl-PL"/>
        </w:rPr>
        <w:t xml:space="preserve"> </w:t>
      </w:r>
      <w:r w:rsidRPr="00935DAA">
        <w:rPr>
          <w:rFonts w:ascii="Times New Roman" w:eastAsia="SimSun" w:hAnsi="Times New Roman" w:cs="Times New Roman"/>
          <w:bCs/>
          <w:sz w:val="24"/>
          <w:szCs w:val="20"/>
          <w:lang w:eastAsia="pl-PL"/>
        </w:rPr>
        <w:t>przetargi na sprzedaż nieruchomości o łącznej powierzchni 2530 ha. W okresie tym skuteczność przetargów na sprzedaż gruntów Zasobu, mierzona liczbą przetargów rozstrzygniętych w relacji do przetargów odbytych, wyniosła 20%. Skuteczność przetargów na sprzedaż, mierzona powierzchnią nieruchomości z przetargów rozstrzygniętych do powierzchni zaoferowanej do sprzedaży, wyniosła 22%.</w:t>
      </w:r>
    </w:p>
    <w:p w14:paraId="4A834E23"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lastRenderedPageBreak/>
        <w:t>Jak zatem widać, dotychczasowe doświadczenia wskazują, że dzierżawa jako podstawowa forma gospodarowania nieruchomościami wchodzącymi w skład Zasobu jest korzystna dla rolników, a zatem zasadne jest wstrzymanie sprzedaży nieruchomości Zasobu o kolejne 5 lat, tj. do dnia 30 kwietnia 2026 r.</w:t>
      </w:r>
    </w:p>
    <w:p w14:paraId="2A59633E"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 xml:space="preserve">Ponadto, jak wynika ze Sprawozdań Krajowego Ośrodka Wsparcia Rolnictwa za lata 2017, 2018 i 2019 oraz raportów z działalności Agencji Nieruchomości Rolnych za lata 2014, 2015 i 2016, wpływy z gospodarowania mieniem Zasobu w postaci odpłatnego korzystania z tego mienia od lat kształtują się na podobnym, stałym poziomie, a zatem przedłużenie okresu wstrzymania sprzedaży nieruchomości Zasobu nie wpłynie na spadek tych dochodów. </w:t>
      </w:r>
    </w:p>
    <w:p w14:paraId="424102C9" w14:textId="675F9B6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Należy wskazać, że zgodnie z obecnie obowiązującymi przepisami ustawy wstrzymanie, o którym mowa w art. 1 ustawy, dotyczy również udziałów we współwłasności nieruchomości. Objęcie projektem ustawy udziałów we współwłasności nieruchomości reguluje tę kwestię, tak aby uniknąć pojawienia się ewentualnych wątpliwości w tym zakresie. Ponadto należy zwrócić uwagę, że w innych przepisach regulujących obrót nieruchomościami rolnymi, np. w ustawie z dnia 11 kwietnia 2003 r. o kształtowaniu ustroju rolnego (Dz. U. z 2020 r. poz. 1655, z późn. zm.), kwestia ta została także uregulowana, a zatem proponowana zmiana ma charakter systemowy i służy ujednoliceniu obowiązujących w tym zakresie przepisów.</w:t>
      </w:r>
    </w:p>
    <w:p w14:paraId="5314BAE0"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sz w:val="24"/>
          <w:szCs w:val="20"/>
          <w:lang w:eastAsia="pl-PL"/>
        </w:rPr>
      </w:pPr>
      <w:r w:rsidRPr="00935DAA">
        <w:rPr>
          <w:rFonts w:ascii="Times New Roman" w:eastAsia="SimSun" w:hAnsi="Times New Roman" w:cs="Times New Roman"/>
          <w:sz w:val="24"/>
          <w:szCs w:val="20"/>
          <w:lang w:eastAsia="pl-PL"/>
        </w:rPr>
        <w:t>Proponuje się ponadto doprecyzować, że we wniosku o wyrażenie zgody, o której mowa w art. 2 ust. 2 ustawy, Dyrektor Generalny Krajowego Ośrodka Wsparcia Rolnictwa w szczególności wskazuje, jakie względy społeczno-gospodarcze uzasadniają sprzedaż nieruchomości, ich części lub udziałów we współwłasności nieruchomości. Należy wskazać, że ocena przesłanek społeczno-gospodarczych jest możliwa wyłącznie na podstawie danych przekazanych przez Krajowy Ośrodek Wsparcia Rolnictwa, który gospodaruje mieniem Zasobu, a więc posiada pełne informacje w tym zakresie. Do tej pory, w praktyce, przedmiotowe wnioski zawierały takie uzasadnienie, jednak zasadne wydaje się, aby stanowiło ono wymóg formalny tego wniosku, wynikający wprost z przepisu ustawy.</w:t>
      </w:r>
    </w:p>
    <w:p w14:paraId="5D5205C1"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sz w:val="24"/>
          <w:szCs w:val="20"/>
          <w:lang w:eastAsia="pl-PL"/>
        </w:rPr>
      </w:pPr>
      <w:r w:rsidRPr="00935DAA">
        <w:rPr>
          <w:rFonts w:ascii="Times New Roman" w:eastAsia="SimSun" w:hAnsi="Times New Roman" w:cs="Times New Roman"/>
          <w:sz w:val="24"/>
          <w:szCs w:val="20"/>
          <w:lang w:eastAsia="pl-PL"/>
        </w:rPr>
        <w:t xml:space="preserve">Zarówno przedłużenie okresu wstrzymania sprzedaży nieruchomości Zasobu, jak i objęcie ustawą udziałów we współwłasności nieruchomości nie będzie miało wpływu na stosunki prawne powstałe pod działaniem ustawy w dotychczasowym brzmieniu. Zatem </w:t>
      </w:r>
      <w:r w:rsidRPr="00935DAA">
        <w:rPr>
          <w:rFonts w:ascii="Times New Roman" w:eastAsia="SimSun" w:hAnsi="Times New Roman" w:cs="Times New Roman"/>
          <w:sz w:val="24"/>
          <w:szCs w:val="20"/>
          <w:lang w:eastAsia="pl-PL"/>
        </w:rPr>
        <w:lastRenderedPageBreak/>
        <w:t>zamieszczenie w projekcie ustawy przepisów przejściowych w tym zakresie jest niecelowe. Natomiast proponuje się rozstrzygnąć w przepisie przejściowym, że do wniosków Dyrektora Generalnego Krajowego Ośrodka Wsparcia Rolnictwa, o których mowa w art. 2 ust. 2 ustawy, złożonych i nierozpatrzonych przed dniem wejścia w życie niniejszej ustawy, stosuje się przepisy dotychczasowe.</w:t>
      </w:r>
    </w:p>
    <w:p w14:paraId="2EB3A9E9"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Projektowana ustawa jest zgodna z prawem Unii Europejskiej.</w:t>
      </w:r>
    </w:p>
    <w:p w14:paraId="3D8A1F98"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Projekt ustawy nie ma wpływu na działalność mikroprzedsiębiorców oraz małych i średnich przedsiębiorców.</w:t>
      </w:r>
    </w:p>
    <w:p w14:paraId="76EADCC9" w14:textId="3AE75676"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 xml:space="preserve">Projekt ustawy nie wymaga uzyskania opinii, dokonania powiadomienia, konsultacji albo uzgodnienia z właściwymi organami i instytucjami Unii Europejskiej, w tym z Europejskim Bankiem Centralnym, o czym stanowi § 39 uchwały nr 190 Rady Ministrów z dnia 29 października 2013 r. – Regulamin pracy Rady Ministrów </w:t>
      </w:r>
      <w:r w:rsidR="00E74854">
        <w:rPr>
          <w:rFonts w:ascii="Times New Roman" w:eastAsia="SimSun" w:hAnsi="Times New Roman" w:cs="Times New Roman"/>
          <w:bCs/>
          <w:sz w:val="24"/>
          <w:szCs w:val="20"/>
          <w:lang w:eastAsia="pl-PL"/>
        </w:rPr>
        <w:t>(M.P. z 2016 r. poz. </w:t>
      </w:r>
      <w:r w:rsidRPr="00BC312A">
        <w:rPr>
          <w:rFonts w:ascii="Times New Roman" w:eastAsia="SimSun" w:hAnsi="Times New Roman" w:cs="Times New Roman"/>
          <w:bCs/>
          <w:sz w:val="24"/>
          <w:szCs w:val="20"/>
          <w:lang w:eastAsia="pl-PL"/>
        </w:rPr>
        <w:t>1006, z późn. zm.)</w:t>
      </w:r>
      <w:r w:rsidRPr="00935DAA">
        <w:rPr>
          <w:rFonts w:ascii="Times New Roman" w:eastAsia="SimSun" w:hAnsi="Times New Roman" w:cs="Times New Roman"/>
          <w:bCs/>
          <w:sz w:val="24"/>
          <w:szCs w:val="20"/>
          <w:lang w:eastAsia="pl-PL"/>
        </w:rPr>
        <w:t>.</w:t>
      </w:r>
    </w:p>
    <w:p w14:paraId="2B2511AB"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Zgodnie z art. 5 ustawy z dnia 7 lipca 2005 r. o działalności lobbingowej w procesie stanowienia prawa (Dz. U. z 2017 r. poz. 248) projekt ustawy został zamieszczony na stronie internetowej Biuletynu Informacji Publicznej Ministerstwa Rolnictwa i Rozwoju Wsi oraz Rządowego Centrum Legislacji.</w:t>
      </w:r>
    </w:p>
    <w:p w14:paraId="48239055"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Projekt nie zawiera przepisów technicznych wymagających notyfikacji w rozumieniu rozporządzenia Rady Ministrów z dnia 23 grudnia 2002 r. w sprawie sposobu funkcjonowania krajowego systemu notyfikacji norm i aktów prawnych (Dz. U. poz. 2039, z późn. zm.) oraz nie podlega notyfikacji na zasadach przewidzianych w tym rozporządzeniu.</w:t>
      </w:r>
    </w:p>
    <w:p w14:paraId="1764E419" w14:textId="77777777" w:rsidR="007C3C17" w:rsidRPr="00935DAA" w:rsidRDefault="007C3C17" w:rsidP="007C3C17">
      <w:pPr>
        <w:suppressAutoHyphens/>
        <w:autoSpaceDE w:val="0"/>
        <w:autoSpaceDN w:val="0"/>
        <w:adjustRightInd w:val="0"/>
        <w:spacing w:before="120" w:after="0" w:line="360" w:lineRule="auto"/>
        <w:jc w:val="both"/>
        <w:rPr>
          <w:rFonts w:ascii="Times New Roman" w:eastAsia="SimSun" w:hAnsi="Times New Roman" w:cs="Times New Roman"/>
          <w:bCs/>
          <w:sz w:val="24"/>
          <w:szCs w:val="20"/>
          <w:lang w:eastAsia="pl-PL"/>
        </w:rPr>
      </w:pPr>
      <w:r w:rsidRPr="00935DAA">
        <w:rPr>
          <w:rFonts w:ascii="Times New Roman" w:eastAsia="SimSun" w:hAnsi="Times New Roman" w:cs="Times New Roman"/>
          <w:bCs/>
          <w:sz w:val="24"/>
          <w:szCs w:val="20"/>
          <w:lang w:eastAsia="pl-PL"/>
        </w:rPr>
        <w:t>Projekt ustawy został wpisany do Wykazu prac legislacyjnych i programowych Rady Ministrów.</w:t>
      </w:r>
    </w:p>
    <w:p w14:paraId="148F570C" w14:textId="77777777" w:rsidR="007F577D" w:rsidRPr="00935DAA" w:rsidRDefault="007F577D">
      <w:pPr>
        <w:rPr>
          <w:rFonts w:ascii="Times New Roman" w:hAnsi="Times New Roman" w:cs="Times New Roman"/>
        </w:rPr>
      </w:pPr>
    </w:p>
    <w:sectPr w:rsidR="007F577D" w:rsidRPr="00935DAA" w:rsidSect="003664A4">
      <w:footerReference w:type="default" r:id="rId7"/>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A81D6" w14:textId="77777777" w:rsidR="00174B97" w:rsidRDefault="00174B97" w:rsidP="00DB4AF5">
      <w:pPr>
        <w:spacing w:after="0" w:line="240" w:lineRule="auto"/>
      </w:pPr>
      <w:r>
        <w:separator/>
      </w:r>
    </w:p>
  </w:endnote>
  <w:endnote w:type="continuationSeparator" w:id="0">
    <w:p w14:paraId="52CE8107" w14:textId="77777777" w:rsidR="00174B97" w:rsidRDefault="00174B97" w:rsidP="00DB4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128136"/>
      <w:docPartObj>
        <w:docPartGallery w:val="Page Numbers (Bottom of Page)"/>
        <w:docPartUnique/>
      </w:docPartObj>
    </w:sdtPr>
    <w:sdtEndPr>
      <w:rPr>
        <w:rFonts w:ascii="Times New Roman" w:hAnsi="Times New Roman" w:cs="Times New Roman"/>
        <w:sz w:val="24"/>
      </w:rPr>
    </w:sdtEndPr>
    <w:sdtContent>
      <w:p w14:paraId="5A0EAA37" w14:textId="2274B9D7" w:rsidR="00DB4AF5" w:rsidRPr="00935DAA" w:rsidRDefault="00DB4AF5" w:rsidP="003664A4">
        <w:pPr>
          <w:pStyle w:val="Stopka"/>
          <w:jc w:val="center"/>
          <w:rPr>
            <w:rFonts w:ascii="Times New Roman" w:hAnsi="Times New Roman" w:cs="Times New Roman"/>
            <w:sz w:val="24"/>
          </w:rPr>
        </w:pPr>
        <w:r w:rsidRPr="00935DAA">
          <w:rPr>
            <w:rFonts w:ascii="Times New Roman" w:hAnsi="Times New Roman" w:cs="Times New Roman"/>
            <w:sz w:val="24"/>
          </w:rPr>
          <w:fldChar w:fldCharType="begin"/>
        </w:r>
        <w:r w:rsidRPr="00935DAA">
          <w:rPr>
            <w:rFonts w:ascii="Times New Roman" w:hAnsi="Times New Roman" w:cs="Times New Roman"/>
            <w:sz w:val="24"/>
          </w:rPr>
          <w:instrText>PAGE   \* MERGEFORMAT</w:instrText>
        </w:r>
        <w:r w:rsidRPr="00935DAA">
          <w:rPr>
            <w:rFonts w:ascii="Times New Roman" w:hAnsi="Times New Roman" w:cs="Times New Roman"/>
            <w:sz w:val="24"/>
          </w:rPr>
          <w:fldChar w:fldCharType="separate"/>
        </w:r>
        <w:r w:rsidR="005F63B0">
          <w:rPr>
            <w:rFonts w:ascii="Times New Roman" w:hAnsi="Times New Roman" w:cs="Times New Roman"/>
            <w:noProof/>
            <w:sz w:val="24"/>
          </w:rPr>
          <w:t>7</w:t>
        </w:r>
        <w:r w:rsidRPr="00935DAA">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EBD7" w14:textId="77777777" w:rsidR="00174B97" w:rsidRDefault="00174B97" w:rsidP="00DB4AF5">
      <w:pPr>
        <w:spacing w:after="0" w:line="240" w:lineRule="auto"/>
      </w:pPr>
      <w:r>
        <w:separator/>
      </w:r>
    </w:p>
  </w:footnote>
  <w:footnote w:type="continuationSeparator" w:id="0">
    <w:p w14:paraId="52E041DA" w14:textId="77777777" w:rsidR="00174B97" w:rsidRDefault="00174B97" w:rsidP="00DB4A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C17"/>
    <w:rsid w:val="00174B97"/>
    <w:rsid w:val="003664A4"/>
    <w:rsid w:val="0041243F"/>
    <w:rsid w:val="00474FAA"/>
    <w:rsid w:val="005954BF"/>
    <w:rsid w:val="005F63B0"/>
    <w:rsid w:val="006177CF"/>
    <w:rsid w:val="00711D2D"/>
    <w:rsid w:val="00750D3F"/>
    <w:rsid w:val="007C3C17"/>
    <w:rsid w:val="007F577D"/>
    <w:rsid w:val="00851BE7"/>
    <w:rsid w:val="008B5819"/>
    <w:rsid w:val="00935DAA"/>
    <w:rsid w:val="00A4349D"/>
    <w:rsid w:val="00BC312A"/>
    <w:rsid w:val="00C05345"/>
    <w:rsid w:val="00CC04F2"/>
    <w:rsid w:val="00DB4AF5"/>
    <w:rsid w:val="00E4203D"/>
    <w:rsid w:val="00E74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6CD1C"/>
  <w15:chartTrackingRefBased/>
  <w15:docId w15:val="{1E0C4806-E224-4815-B190-C10BEC10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B4AF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B4AF5"/>
    <w:rPr>
      <w:rFonts w:ascii="Segoe UI" w:hAnsi="Segoe UI" w:cs="Segoe UI"/>
      <w:sz w:val="18"/>
      <w:szCs w:val="18"/>
    </w:rPr>
  </w:style>
  <w:style w:type="paragraph" w:styleId="Nagwek">
    <w:name w:val="header"/>
    <w:basedOn w:val="Normalny"/>
    <w:link w:val="NagwekZnak"/>
    <w:uiPriority w:val="99"/>
    <w:unhideWhenUsed/>
    <w:rsid w:val="00DB4A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4AF5"/>
  </w:style>
  <w:style w:type="paragraph" w:styleId="Stopka">
    <w:name w:val="footer"/>
    <w:basedOn w:val="Normalny"/>
    <w:link w:val="StopkaZnak"/>
    <w:uiPriority w:val="99"/>
    <w:unhideWhenUsed/>
    <w:rsid w:val="00DB4A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4AF5"/>
  </w:style>
  <w:style w:type="character" w:styleId="Odwoaniedokomentarza">
    <w:name w:val="annotation reference"/>
    <w:basedOn w:val="Domylnaczcionkaakapitu"/>
    <w:uiPriority w:val="99"/>
    <w:semiHidden/>
    <w:unhideWhenUsed/>
    <w:rsid w:val="00851BE7"/>
    <w:rPr>
      <w:sz w:val="16"/>
      <w:szCs w:val="16"/>
    </w:rPr>
  </w:style>
  <w:style w:type="paragraph" w:styleId="Tekstkomentarza">
    <w:name w:val="annotation text"/>
    <w:basedOn w:val="Normalny"/>
    <w:link w:val="TekstkomentarzaZnak"/>
    <w:uiPriority w:val="99"/>
    <w:semiHidden/>
    <w:unhideWhenUsed/>
    <w:rsid w:val="00851BE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1BE7"/>
    <w:rPr>
      <w:sz w:val="20"/>
      <w:szCs w:val="20"/>
    </w:rPr>
  </w:style>
  <w:style w:type="paragraph" w:styleId="Tematkomentarza">
    <w:name w:val="annotation subject"/>
    <w:basedOn w:val="Tekstkomentarza"/>
    <w:next w:val="Tekstkomentarza"/>
    <w:link w:val="TematkomentarzaZnak"/>
    <w:uiPriority w:val="99"/>
    <w:semiHidden/>
    <w:unhideWhenUsed/>
    <w:rsid w:val="00851BE7"/>
    <w:rPr>
      <w:b/>
      <w:bCs/>
    </w:rPr>
  </w:style>
  <w:style w:type="character" w:customStyle="1" w:styleId="TematkomentarzaZnak">
    <w:name w:val="Temat komentarza Znak"/>
    <w:basedOn w:val="TekstkomentarzaZnak"/>
    <w:link w:val="Tematkomentarza"/>
    <w:uiPriority w:val="99"/>
    <w:semiHidden/>
    <w:rsid w:val="00851B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72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2183</Words>
  <Characters>13103</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Jachimowicz Teresa</cp:lastModifiedBy>
  <cp:revision>2</cp:revision>
  <dcterms:created xsi:type="dcterms:W3CDTF">2021-03-10T12:58:00Z</dcterms:created>
  <dcterms:modified xsi:type="dcterms:W3CDTF">2021-03-10T12:58:00Z</dcterms:modified>
</cp:coreProperties>
</file>