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56CC7" w14:textId="05FAEFC0" w:rsidR="00946CFB" w:rsidRDefault="00946CFB" w:rsidP="00621CFA">
      <w:pPr>
        <w:widowControl/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  <w:lang w:eastAsia="en-US"/>
        </w:rPr>
      </w:pPr>
      <w:bookmarkStart w:id="0" w:name="_GoBack"/>
      <w:bookmarkEnd w:id="0"/>
      <w:r w:rsidRPr="00946CFB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  <w:lang w:eastAsia="en-US"/>
        </w:rPr>
        <w:t>UZASADNIENIE</w:t>
      </w:r>
    </w:p>
    <w:p w14:paraId="06CC4842" w14:textId="77777777" w:rsidR="005914D9" w:rsidRPr="00946CFB" w:rsidRDefault="005914D9" w:rsidP="00946CFB">
      <w:pPr>
        <w:widowControl/>
        <w:autoSpaceDE/>
        <w:autoSpaceDN/>
        <w:adjustRightInd/>
        <w:spacing w:line="360" w:lineRule="auto"/>
        <w:ind w:firstLine="708"/>
        <w:jc w:val="center"/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  <w:lang w:eastAsia="en-US"/>
        </w:rPr>
      </w:pPr>
    </w:p>
    <w:p w14:paraId="2DC7531A" w14:textId="7804FC7F" w:rsidR="00621CFA" w:rsidRDefault="00621CFA" w:rsidP="00621CFA">
      <w:pPr>
        <w:widowControl/>
        <w:autoSpaceDE/>
        <w:autoSpaceDN/>
        <w:adjustRightInd/>
        <w:spacing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Celem p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rojektowan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ej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ustaw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y jest rozszerzenie kręgu podmiotów uprawnionych do przeprowadz</w:t>
      </w:r>
      <w:r w:rsidR="00295156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a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nia badania </w:t>
      </w:r>
      <w:bookmarkStart w:id="1" w:name="_Hlk66263682"/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kwalifikacyjnego 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w celu wykluczenia przeciwwskazań do wykonania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szczepienia ochronnego przeciw COVID-19</w:t>
      </w:r>
      <w:bookmarkEnd w:id="1"/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. W związku z powyższym, projekt wprowadza zmiany w art. 21c 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ustaw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y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z dnia 5 grudnia 2008 r. o zapobieganiu oraz zwalczaniu zakażeń i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 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chorób zakaźnych u ludzi (Dz. U. z 2020 r. poz. 1845, z późn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.</w:t>
      </w:r>
      <w:r w:rsidRPr="00946CF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zm.), zwanej dalej „ustawą</w:t>
      </w:r>
      <w:r w:rsidRPr="009C6795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”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. </w:t>
      </w:r>
    </w:p>
    <w:p w14:paraId="342E6741" w14:textId="1545A482" w:rsidR="00621CFA" w:rsidRDefault="00621CFA" w:rsidP="008C5BAC">
      <w:pPr>
        <w:widowControl/>
        <w:autoSpaceDE/>
        <w:autoSpaceDN/>
        <w:adjustRightInd/>
        <w:spacing w:before="120" w:line="360" w:lineRule="auto"/>
        <w:ind w:firstLine="708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Zgodnie z </w:t>
      </w:r>
      <w:r w:rsidRPr="00621CFA">
        <w:rPr>
          <w:rFonts w:ascii="Times New Roman" w:hAnsi="Times New Roman"/>
          <w:color w:val="000000"/>
          <w:spacing w:val="-2"/>
          <w:sz w:val="24"/>
          <w:szCs w:val="24"/>
        </w:rPr>
        <w:t xml:space="preserve">obowiązującymi przepisami </w:t>
      </w:r>
      <w:bookmarkStart w:id="2" w:name="_Hlk66264845"/>
      <w:r w:rsidRPr="00621CFA">
        <w:rPr>
          <w:rFonts w:ascii="Times New Roman" w:hAnsi="Times New Roman"/>
          <w:color w:val="000000"/>
          <w:spacing w:val="-2"/>
          <w:sz w:val="24"/>
          <w:szCs w:val="24"/>
        </w:rPr>
        <w:t xml:space="preserve">badania </w:t>
      </w: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kwalifikacyjne w celu wykluczenia przeciwwskazań do wykonania szczepienia ochronnego przeciw COVID-19</w:t>
      </w:r>
      <w:bookmarkEnd w:id="2"/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="00274A6C">
        <w:rPr>
          <w:rFonts w:ascii="Times New Roman" w:hAnsi="Times New Roman"/>
          <w:color w:val="000000"/>
          <w:spacing w:val="-2"/>
          <w:sz w:val="24"/>
          <w:szCs w:val="24"/>
        </w:rPr>
        <w:t xml:space="preserve">mogą przeprowadzać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jedynie </w:t>
      </w:r>
      <w:r w:rsidR="00274A6C">
        <w:rPr>
          <w:rFonts w:ascii="Times New Roman" w:hAnsi="Times New Roman"/>
          <w:color w:val="000000"/>
          <w:spacing w:val="-2"/>
          <w:sz w:val="24"/>
          <w:szCs w:val="24"/>
        </w:rPr>
        <w:t>lekarze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="00274A6C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21CFA">
        <w:rPr>
          <w:rFonts w:ascii="Times New Roman" w:hAnsi="Times New Roman"/>
          <w:color w:val="000000"/>
          <w:spacing w:val="-2"/>
          <w:sz w:val="24"/>
          <w:szCs w:val="24"/>
        </w:rPr>
        <w:t xml:space="preserve">Wprowadzane zmiany umożliwiają przeprowadzanie tych badań </w:t>
      </w: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również przez osoby wykonujące niektóre inne zawody medyczne</w:t>
      </w:r>
      <w:r w:rsidR="008C5BAC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.</w:t>
      </w: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Podkreślenia wymaga, że </w:t>
      </w:r>
      <w:r w:rsidR="00274A6C">
        <w:rPr>
          <w:rFonts w:ascii="Times New Roman" w:hAnsi="Times New Roman"/>
          <w:color w:val="000000"/>
          <w:spacing w:val="-2"/>
          <w:sz w:val="24"/>
          <w:szCs w:val="24"/>
        </w:rPr>
        <w:t xml:space="preserve">odpowiednie kwalifikacje </w:t>
      </w:r>
      <w:r w:rsidR="00603950">
        <w:rPr>
          <w:rFonts w:ascii="Times New Roman" w:hAnsi="Times New Roman"/>
          <w:color w:val="000000"/>
          <w:spacing w:val="-2"/>
          <w:sz w:val="24"/>
          <w:szCs w:val="24"/>
        </w:rPr>
        <w:t xml:space="preserve">do przeprowadzania przedmiotowych badań mają </w:t>
      </w:r>
      <w:r w:rsidR="00274A6C">
        <w:rPr>
          <w:rFonts w:ascii="Times New Roman" w:hAnsi="Times New Roman"/>
          <w:color w:val="000000"/>
          <w:spacing w:val="-2"/>
          <w:sz w:val="24"/>
          <w:szCs w:val="24"/>
        </w:rPr>
        <w:t xml:space="preserve">przede wszystkim pielęgniarki i położne. </w:t>
      </w:r>
    </w:p>
    <w:p w14:paraId="2E353350" w14:textId="6F260EA2" w:rsidR="00621CFA" w:rsidRPr="00621CFA" w:rsidRDefault="00621CFA" w:rsidP="008C5BAC">
      <w:pPr>
        <w:widowControl/>
        <w:autoSpaceDE/>
        <w:autoSpaceDN/>
        <w:adjustRightInd/>
        <w:spacing w:before="12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</w:pP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Kwalifikacje </w:t>
      </w:r>
      <w:r w:rsidR="00737C1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innych niż lekarze </w:t>
      </w:r>
      <w:r w:rsidR="0060395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osób przeprowadzających </w:t>
      </w:r>
      <w:r w:rsidR="00603950" w:rsidRPr="00621CFA">
        <w:rPr>
          <w:rFonts w:ascii="Times New Roman" w:hAnsi="Times New Roman"/>
          <w:color w:val="000000"/>
          <w:spacing w:val="-2"/>
          <w:sz w:val="24"/>
          <w:szCs w:val="24"/>
        </w:rPr>
        <w:t xml:space="preserve">badania </w:t>
      </w:r>
      <w:r w:rsidR="00603950"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kwalifikacyjne w celu wykluczenia przeciwwskazań do wykonania szczepienia ochronnego przeciw COVID-19</w:t>
      </w: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zostaną wskazane w akcie wykonawczym wydawanym przez ministra właściwego do spraw zdrowia na podstawie art. 21c ust. 5 ustawy. W związku z tym, zakres upoważnienia ustawowego sformułowanego w tym przepisie, obejmującego obecnie wyłącznie określenie kwalifikacji osób przeprowadzających szczepienia ochronne przeciwo COVID-19, został rozszerzony również o określenie kwalifikacji </w:t>
      </w:r>
      <w:r w:rsidR="00737C1B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innych </w:t>
      </w:r>
      <w:r w:rsidRPr="00621CF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osób przeprowadzających badanie kwalifikacyjne w celu wykluczenia przeciwwskazań do wykonania szczepienia ochronnego przeciw COVID-19. </w:t>
      </w:r>
    </w:p>
    <w:p w14:paraId="6885C051" w14:textId="085EFDE6" w:rsidR="008318B1" w:rsidRPr="008318B1" w:rsidRDefault="008318B1" w:rsidP="008C5BAC">
      <w:pPr>
        <w:widowControl/>
        <w:autoSpaceDE/>
        <w:autoSpaceDN/>
        <w:adjustRightInd/>
        <w:spacing w:before="12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</w:pP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Podkreślenia wymaga, że określając kwalifikacje osób uprawnionych do przeprowadzania badania kwalifikacyjnego, minister właściwy do spraw zdrowia będzie kierował się konieczno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ś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cią zapewnienia bezpieczeństwa osób poddanych tym szczepieniom. Z tego względu do przeprowadzenia</w:t>
      </w:r>
      <w:r w:rsidRPr="008318B1">
        <w:rPr>
          <w:rFonts w:ascii="Times New Roman" w:hAnsi="Times New Roman"/>
          <w:color w:val="000000"/>
          <w:spacing w:val="-2"/>
          <w:sz w:val="24"/>
          <w:szCs w:val="24"/>
        </w:rPr>
        <w:t xml:space="preserve"> badania 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kwalifikacyjne</w:t>
      </w:r>
      <w:r w:rsidR="00295156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go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w celu wykluczenia przeciwwskazań do wykonania szczepienia ochronnego przeciw COVID-19 zostaną uprawnieni wyłącznie przedst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a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wiciele niektórych zawod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ó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w medycznych</w:t>
      </w:r>
      <w:r w:rsidR="0036377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.</w:t>
      </w:r>
      <w:r w:rsidRPr="008318B1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</w:p>
    <w:p w14:paraId="11B90F5A" w14:textId="5EDAE5DE" w:rsidR="005D0160" w:rsidRDefault="005D0160" w:rsidP="008C5BAC">
      <w:pPr>
        <w:widowControl/>
        <w:autoSpaceDE/>
        <w:autoSpaceDN/>
        <w:adjustRightInd/>
        <w:spacing w:before="12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</w:pP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W związku ze zmianą upoważnienia ustawowego zawartego w art. 21c ust. 5 ustawy, w art. 2 projektu zawarto przepis utrzymujący w mocy</w:t>
      </w:r>
      <w:r w:rsidRPr="005D0160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  <w:lang w:eastAsia="en-US"/>
        </w:rPr>
        <w:t xml:space="preserve"> 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dotychczasowe przepisy wykonawcze wydane na podstawie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art. 21c ust. ustawy zmienianej w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art. 1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(</w:t>
      </w:r>
      <w:r w:rsidR="00287D7D" w:rsidRP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tj. rozporządzenie Ministra Zdrowia z dnia 15 lutego 2021 r. w sprawie kwalifikacji osób przeprowadzających szczepienia ochronne przeciwko COVID-19 (Dz. U. poz. 293)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)</w:t>
      </w:r>
      <w:r w:rsidR="00287D7D" w:rsidRP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,</w:t>
      </w:r>
      <w:r w:rsidR="00287D7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do dnia wejścia w życie przepisów wykonawczych wydanych na podstawie art. 21c ust. 5 ustawy zmienianej w art. 1, w brzmieniu 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lastRenderedPageBreak/>
        <w:t xml:space="preserve">nadanym niniejszą ustawą, jednak nie dłużej niż przez 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6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miesięcy od dnia wejścia w życie niniejszej ustawy</w:t>
      </w: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>,</w:t>
      </w:r>
      <w:r w:rsidRPr="005D016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  <w:t xml:space="preserve"> z możliwością dokonywania nowelizacji w tym czasie. Utrzymanie w mocy dotychczasowego aktu wykonawczego z możliwością jego nowelizacji jest uzasadnione zmieniającą się niezwykle szybko sytuacją epidemiczną.</w:t>
      </w:r>
    </w:p>
    <w:p w14:paraId="649562AA" w14:textId="7DBB3EA6" w:rsidR="00AB44DE" w:rsidRDefault="00946CFB" w:rsidP="008C5BAC">
      <w:pPr>
        <w:pStyle w:val="NIEARTTEKSTtekstnieartykuowanynppodstprawnarozplubpreambua"/>
      </w:pPr>
      <w:r w:rsidRPr="00946CFB">
        <w:rPr>
          <w:rFonts w:ascii="Times New Roman" w:eastAsia="Times New Roman" w:hAnsi="Times New Roman" w:cs="Times New Roman"/>
          <w:szCs w:val="24"/>
        </w:rPr>
        <w:t xml:space="preserve">Projektowana ustawa wejdzie w życie z dniem </w:t>
      </w:r>
      <w:r w:rsidRPr="00946CFB">
        <w:rPr>
          <w:rFonts w:eastAsia="Times New Roman"/>
        </w:rPr>
        <w:t xml:space="preserve">następującym po dniu ogłoszenia. </w:t>
      </w:r>
      <w:r w:rsidR="00AA7AAD" w:rsidRPr="00E31B90">
        <w:t xml:space="preserve">Zgodnie z art. 4 ust. 2 ustawy z dnia 20 lipca 2000 r. o ogłaszaniu aktów normatywnych i niektórych innych aktów prawnych (Dz. U. z 2019 r. poz. 1461) w uzasadnionych przypadkach akty normatywne mogą wchodzić w życie w terminie krótszym niż czternaście dni, a jeżeli ważny interes państwa wymaga natychmiastowego wejścia w życie aktu normatywnego i zasady demokratycznego państwa prawnego nie stoją temu na przeszkodzie, dniem wejścia w życie może być dzień ogłoszenia tego aktu w dzienniku urzędowym. </w:t>
      </w:r>
      <w:bookmarkStart w:id="3" w:name="_Hlk65751018"/>
      <w:r w:rsidR="00AA7AAD" w:rsidRPr="00E31B90">
        <w:t xml:space="preserve">Wskazany termin wejścia w życie z dniem następującym po dniu ogłoszenia </w:t>
      </w:r>
      <w:r w:rsidR="00A527FC">
        <w:t xml:space="preserve">nie narusza zasady demokratycznego państwa prawnego i </w:t>
      </w:r>
      <w:r w:rsidR="00AA7AAD" w:rsidRPr="00E31B90">
        <w:t xml:space="preserve">wynika z konieczności szybkiego wdrożenia </w:t>
      </w:r>
      <w:r w:rsidR="00A527FC">
        <w:t>rozwiązań umożliwiających zwiększenie liczby przeprowadzanych szczepień przeciw COVID-19</w:t>
      </w:r>
      <w:bookmarkEnd w:id="3"/>
      <w:r w:rsidR="00AB44DE">
        <w:t>.</w:t>
      </w:r>
    </w:p>
    <w:p w14:paraId="45F2D5AF" w14:textId="62F886A9" w:rsidR="00295156" w:rsidRDefault="00295156" w:rsidP="008C5BAC">
      <w:pPr>
        <w:pStyle w:val="ARTartustawynprozporzdzenia"/>
      </w:pPr>
      <w:r w:rsidRPr="00295156">
        <w:t>Wprowadzane rozwiązania spowodują pozytywne skutki zdrowotne i społeczne, umożliwiając sprawniejsze przeprowadzenie akcji szczepień ochronnych przeciwko COVID</w:t>
      </w:r>
      <w:r w:rsidR="00CE3F79">
        <w:t> </w:t>
      </w:r>
      <w:r w:rsidRPr="00295156">
        <w:t>19. Z kolei jak najszybsze zaszczepienie większości społeczeństwa jest kluczowym instrumentem w zwalczaniu pandemii COVID-19.</w:t>
      </w:r>
    </w:p>
    <w:p w14:paraId="7352EEC9" w14:textId="54014515" w:rsidR="008C5BAC" w:rsidRPr="00295156" w:rsidRDefault="008C5BAC" w:rsidP="008C5BAC">
      <w:pPr>
        <w:pStyle w:val="ARTartustawynprozporzdzenia"/>
      </w:pPr>
      <w:r>
        <w:t>Wejście w życie projektowanych regulacji nie spowoduje dodatkowych skutków finansowych dla budżetu państwa oraz budżetów jednostek samorządu terytorialnego.</w:t>
      </w:r>
    </w:p>
    <w:p w14:paraId="632FE4A5" w14:textId="00FF7E1A" w:rsidR="00946CFB" w:rsidRPr="00946CFB" w:rsidRDefault="00AA7AAD" w:rsidP="008C5BAC">
      <w:pPr>
        <w:pStyle w:val="NIEARTTEKSTtekstnieartykuowanynppodstprawnarozplubpreambua"/>
        <w:rPr>
          <w:rFonts w:ascii="Times New Roman" w:eastAsia="Times New Roman" w:hAnsi="Times New Roman" w:cs="Times New Roman"/>
          <w:bCs w:val="0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P</w:t>
      </w:r>
      <w:r w:rsidR="00946CFB" w:rsidRPr="00946CFB">
        <w:rPr>
          <w:rFonts w:ascii="Times New Roman" w:eastAsia="Times New Roman" w:hAnsi="Times New Roman" w:cs="Times New Roman"/>
          <w:szCs w:val="24"/>
        </w:rPr>
        <w:t>rojekt ustawy nie jest sprzeczny z prawem Unii Europejskiej.</w:t>
      </w:r>
    </w:p>
    <w:p w14:paraId="3F63763E" w14:textId="77777777" w:rsidR="00946CFB" w:rsidRPr="00946CFB" w:rsidRDefault="00946CFB" w:rsidP="008C5BAC">
      <w:pPr>
        <w:widowControl/>
        <w:suppressAutoHyphens/>
        <w:spacing w:before="12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CFB">
        <w:rPr>
          <w:rFonts w:ascii="Times New Roman" w:eastAsia="Times New Roman" w:hAnsi="Times New Roman" w:cs="Times New Roman"/>
          <w:bCs/>
          <w:sz w:val="24"/>
          <w:szCs w:val="24"/>
        </w:rPr>
        <w:t>Projekt ustawy nie podlega obowiązkowi przedstawienia właściwym organom i instytucjom Unii Europejskiej, w tym Europejskiemu Bankowi Centralnemu, w celu uzyskania opinii, dokonania powiadomienia, konsultacji albo uzgodnienia.</w:t>
      </w:r>
    </w:p>
    <w:p w14:paraId="65BBFC5E" w14:textId="77777777" w:rsidR="00946CFB" w:rsidRPr="00946CFB" w:rsidRDefault="00946CFB" w:rsidP="008C5BAC">
      <w:pPr>
        <w:widowControl/>
        <w:suppressAutoHyphens/>
        <w:spacing w:before="12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CFB">
        <w:rPr>
          <w:rFonts w:ascii="Times New Roman" w:eastAsia="Times New Roman" w:hAnsi="Times New Roman" w:cs="Times New Roman"/>
          <w:bCs/>
          <w:sz w:val="24"/>
          <w:szCs w:val="24"/>
        </w:rPr>
        <w:t>Projektowana ustawa nie zawiera przepisów technicznych w rozumieniu przepisów rozporządzenia Rady Ministrów z dnia 23 grudnia 2002 r. w sprawie sposobu funkcjonowania krajowego systemu notyfikacji norm i aktów prawnych (Dz. U. poz. 2039, z późn. zm.) i w związku z tym nie podlega notyfikacji.</w:t>
      </w:r>
    </w:p>
    <w:p w14:paraId="77CD85CD" w14:textId="77777777" w:rsidR="00946CFB" w:rsidRPr="00946CFB" w:rsidRDefault="00946CFB" w:rsidP="008C5BAC">
      <w:pPr>
        <w:widowControl/>
        <w:suppressAutoHyphens/>
        <w:spacing w:before="12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6CFB">
        <w:rPr>
          <w:rFonts w:ascii="Times New Roman" w:eastAsia="Times New Roman" w:hAnsi="Times New Roman" w:cs="Times New Roman"/>
          <w:bCs/>
          <w:sz w:val="24"/>
          <w:szCs w:val="24"/>
        </w:rPr>
        <w:t xml:space="preserve"> Należy wskazać, że nie ma możliwości podjęcia alternatywnych w stosunku do projektowanej ustawy środków umożliwiających osiągnięcie zamierzonego celu.</w:t>
      </w:r>
    </w:p>
    <w:p w14:paraId="73A539F9" w14:textId="525C5AC9" w:rsidR="00946CFB" w:rsidRPr="00946CFB" w:rsidRDefault="00946CFB" w:rsidP="008C5BAC">
      <w:pPr>
        <w:widowControl/>
        <w:suppressAutoHyphens/>
        <w:spacing w:before="120" w:line="360" w:lineRule="auto"/>
        <w:ind w:firstLine="510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eastAsia="en-US"/>
        </w:rPr>
      </w:pPr>
      <w:r w:rsidRPr="00946CFB">
        <w:rPr>
          <w:rFonts w:ascii="Times" w:eastAsia="Times New Roman" w:hAnsi="Times" w:cs="Arial"/>
          <w:sz w:val="24"/>
        </w:rPr>
        <w:lastRenderedPageBreak/>
        <w:t>Brak również przewidywanego wpływu projektowane</w:t>
      </w:r>
      <w:r w:rsidR="003F540F">
        <w:rPr>
          <w:rFonts w:ascii="Times" w:eastAsia="Times New Roman" w:hAnsi="Times" w:cs="Arial"/>
          <w:sz w:val="24"/>
        </w:rPr>
        <w:t>j</w:t>
      </w:r>
      <w:r w:rsidRPr="00946CFB">
        <w:rPr>
          <w:rFonts w:ascii="Times" w:eastAsia="Times New Roman" w:hAnsi="Times" w:cs="Arial"/>
          <w:sz w:val="24"/>
        </w:rPr>
        <w:t xml:space="preserve"> </w:t>
      </w:r>
      <w:r w:rsidR="003F540F">
        <w:rPr>
          <w:rFonts w:ascii="Times" w:eastAsia="Times New Roman" w:hAnsi="Times" w:cs="Arial"/>
          <w:sz w:val="24"/>
        </w:rPr>
        <w:t>ustawy</w:t>
      </w:r>
      <w:r w:rsidR="003F540F" w:rsidRPr="00946CFB">
        <w:rPr>
          <w:rFonts w:ascii="Times" w:eastAsia="Times New Roman" w:hAnsi="Times" w:cs="Arial"/>
          <w:sz w:val="24"/>
        </w:rPr>
        <w:t xml:space="preserve"> </w:t>
      </w:r>
      <w:r w:rsidRPr="00946CFB">
        <w:rPr>
          <w:rFonts w:ascii="Times" w:eastAsia="Times New Roman" w:hAnsi="Times" w:cs="Arial"/>
          <w:sz w:val="24"/>
        </w:rPr>
        <w:t>na działalność mikroprzedsiębiorców oraz małych i średnich przedsiębiorstw.</w:t>
      </w:r>
    </w:p>
    <w:p w14:paraId="4E65F294" w14:textId="77777777" w:rsidR="00DF0D97" w:rsidRDefault="00DF0D97" w:rsidP="008C5BAC">
      <w:pPr>
        <w:pStyle w:val="PKTpunkt"/>
        <w:spacing w:before="120"/>
      </w:pPr>
    </w:p>
    <w:sectPr w:rsidR="00DF0D97" w:rsidSect="003838F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BAC44" w14:textId="77777777" w:rsidR="00590686" w:rsidRDefault="00590686" w:rsidP="004673DB">
      <w:r>
        <w:separator/>
      </w:r>
    </w:p>
  </w:endnote>
  <w:endnote w:type="continuationSeparator" w:id="0">
    <w:p w14:paraId="6DD382D6" w14:textId="77777777" w:rsidR="00590686" w:rsidRDefault="00590686" w:rsidP="0046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4CD60" w14:textId="77777777" w:rsidR="00590686" w:rsidRDefault="00590686" w:rsidP="004673DB">
      <w:r>
        <w:separator/>
      </w:r>
    </w:p>
  </w:footnote>
  <w:footnote w:type="continuationSeparator" w:id="0">
    <w:p w14:paraId="15B8B8BF" w14:textId="77777777" w:rsidR="00590686" w:rsidRDefault="00590686" w:rsidP="00467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02FCD"/>
    <w:multiLevelType w:val="hybridMultilevel"/>
    <w:tmpl w:val="FD121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DDE"/>
    <w:multiLevelType w:val="hybridMultilevel"/>
    <w:tmpl w:val="5E9AD756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068953C2"/>
    <w:multiLevelType w:val="hybridMultilevel"/>
    <w:tmpl w:val="019AE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1077"/>
    <w:multiLevelType w:val="hybridMultilevel"/>
    <w:tmpl w:val="D50CEB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866AB"/>
    <w:multiLevelType w:val="hybridMultilevel"/>
    <w:tmpl w:val="0FA6BED0"/>
    <w:lvl w:ilvl="0" w:tplc="E4202802">
      <w:start w:val="1"/>
      <w:numFmt w:val="decimal"/>
      <w:lvlText w:val="%1)  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057398"/>
    <w:multiLevelType w:val="hybridMultilevel"/>
    <w:tmpl w:val="14FC595A"/>
    <w:lvl w:ilvl="0" w:tplc="F4FC1774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56F95C43"/>
    <w:multiLevelType w:val="hybridMultilevel"/>
    <w:tmpl w:val="21DEC1F6"/>
    <w:lvl w:ilvl="0" w:tplc="1994BFE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131531"/>
    <w:multiLevelType w:val="hybridMultilevel"/>
    <w:tmpl w:val="230E17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5065A"/>
    <w:multiLevelType w:val="hybridMultilevel"/>
    <w:tmpl w:val="BF606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348F1"/>
    <w:multiLevelType w:val="hybridMultilevel"/>
    <w:tmpl w:val="C26EA13E"/>
    <w:lvl w:ilvl="0" w:tplc="BABC3B50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8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FF"/>
    <w:rsid w:val="00022890"/>
    <w:rsid w:val="00023A69"/>
    <w:rsid w:val="000264DF"/>
    <w:rsid w:val="0004037B"/>
    <w:rsid w:val="00040A8A"/>
    <w:rsid w:val="00040D3B"/>
    <w:rsid w:val="00045036"/>
    <w:rsid w:val="00046194"/>
    <w:rsid w:val="000646C8"/>
    <w:rsid w:val="00075775"/>
    <w:rsid w:val="00092EDD"/>
    <w:rsid w:val="000A0210"/>
    <w:rsid w:val="000B105F"/>
    <w:rsid w:val="000B5DBC"/>
    <w:rsid w:val="000C3DD3"/>
    <w:rsid w:val="000C74BA"/>
    <w:rsid w:val="000D3092"/>
    <w:rsid w:val="000D3BA3"/>
    <w:rsid w:val="000D48B4"/>
    <w:rsid w:val="000E296E"/>
    <w:rsid w:val="000E3443"/>
    <w:rsid w:val="000E4109"/>
    <w:rsid w:val="000E4C03"/>
    <w:rsid w:val="000F447D"/>
    <w:rsid w:val="00103AC9"/>
    <w:rsid w:val="00106CEA"/>
    <w:rsid w:val="00113C77"/>
    <w:rsid w:val="00121C44"/>
    <w:rsid w:val="00135933"/>
    <w:rsid w:val="00140C27"/>
    <w:rsid w:val="0014490C"/>
    <w:rsid w:val="00151A35"/>
    <w:rsid w:val="001563A9"/>
    <w:rsid w:val="00160553"/>
    <w:rsid w:val="001619B0"/>
    <w:rsid w:val="00170BD6"/>
    <w:rsid w:val="00171B3B"/>
    <w:rsid w:val="00191566"/>
    <w:rsid w:val="001928BE"/>
    <w:rsid w:val="0019576F"/>
    <w:rsid w:val="001A4141"/>
    <w:rsid w:val="001A681B"/>
    <w:rsid w:val="001A7C2A"/>
    <w:rsid w:val="001B2175"/>
    <w:rsid w:val="001B553D"/>
    <w:rsid w:val="001C1903"/>
    <w:rsid w:val="001C6856"/>
    <w:rsid w:val="001D2BDF"/>
    <w:rsid w:val="001D60EB"/>
    <w:rsid w:val="001E116D"/>
    <w:rsid w:val="001E3782"/>
    <w:rsid w:val="001E7BF4"/>
    <w:rsid w:val="001F614A"/>
    <w:rsid w:val="001F67CC"/>
    <w:rsid w:val="001F78FC"/>
    <w:rsid w:val="00207552"/>
    <w:rsid w:val="00207B88"/>
    <w:rsid w:val="00207CF5"/>
    <w:rsid w:val="00220191"/>
    <w:rsid w:val="00221095"/>
    <w:rsid w:val="0022759C"/>
    <w:rsid w:val="00232E2B"/>
    <w:rsid w:val="002430A5"/>
    <w:rsid w:val="00244C9A"/>
    <w:rsid w:val="00245412"/>
    <w:rsid w:val="00245C13"/>
    <w:rsid w:val="00247CCE"/>
    <w:rsid w:val="00257600"/>
    <w:rsid w:val="002646F3"/>
    <w:rsid w:val="00272390"/>
    <w:rsid w:val="00274A6C"/>
    <w:rsid w:val="0027697C"/>
    <w:rsid w:val="0028148F"/>
    <w:rsid w:val="00287D7D"/>
    <w:rsid w:val="00292A60"/>
    <w:rsid w:val="00295156"/>
    <w:rsid w:val="0029624A"/>
    <w:rsid w:val="002A1C0B"/>
    <w:rsid w:val="002A69A6"/>
    <w:rsid w:val="002C2C9A"/>
    <w:rsid w:val="002C49FE"/>
    <w:rsid w:val="002D1949"/>
    <w:rsid w:val="002D357A"/>
    <w:rsid w:val="002E00BD"/>
    <w:rsid w:val="003000CD"/>
    <w:rsid w:val="00304B55"/>
    <w:rsid w:val="00307794"/>
    <w:rsid w:val="00335B1E"/>
    <w:rsid w:val="003426AF"/>
    <w:rsid w:val="00343BEF"/>
    <w:rsid w:val="00344B05"/>
    <w:rsid w:val="00352EC3"/>
    <w:rsid w:val="00363773"/>
    <w:rsid w:val="003670E7"/>
    <w:rsid w:val="00370856"/>
    <w:rsid w:val="00380E00"/>
    <w:rsid w:val="003838FA"/>
    <w:rsid w:val="00393CA2"/>
    <w:rsid w:val="00395224"/>
    <w:rsid w:val="003B240F"/>
    <w:rsid w:val="003C099F"/>
    <w:rsid w:val="003C389B"/>
    <w:rsid w:val="003C46D9"/>
    <w:rsid w:val="003C5A33"/>
    <w:rsid w:val="003D3A46"/>
    <w:rsid w:val="003D474D"/>
    <w:rsid w:val="003D77F6"/>
    <w:rsid w:val="003E4EB6"/>
    <w:rsid w:val="003F10AB"/>
    <w:rsid w:val="003F540F"/>
    <w:rsid w:val="00400BAC"/>
    <w:rsid w:val="004020C4"/>
    <w:rsid w:val="0040227D"/>
    <w:rsid w:val="00404B86"/>
    <w:rsid w:val="00405583"/>
    <w:rsid w:val="00414F62"/>
    <w:rsid w:val="00420361"/>
    <w:rsid w:val="00426C02"/>
    <w:rsid w:val="004373DF"/>
    <w:rsid w:val="004414B0"/>
    <w:rsid w:val="00441684"/>
    <w:rsid w:val="0045242A"/>
    <w:rsid w:val="00452B81"/>
    <w:rsid w:val="0046080A"/>
    <w:rsid w:val="00463881"/>
    <w:rsid w:val="004673DB"/>
    <w:rsid w:val="00475B0A"/>
    <w:rsid w:val="00481EB2"/>
    <w:rsid w:val="00483A8C"/>
    <w:rsid w:val="00484ABA"/>
    <w:rsid w:val="00492019"/>
    <w:rsid w:val="00492B02"/>
    <w:rsid w:val="0049470A"/>
    <w:rsid w:val="00494770"/>
    <w:rsid w:val="004A0C9A"/>
    <w:rsid w:val="004A31CE"/>
    <w:rsid w:val="004B0C6D"/>
    <w:rsid w:val="004B6714"/>
    <w:rsid w:val="004C035A"/>
    <w:rsid w:val="004C359E"/>
    <w:rsid w:val="004D3F89"/>
    <w:rsid w:val="004D795F"/>
    <w:rsid w:val="004E2B63"/>
    <w:rsid w:val="004E355F"/>
    <w:rsid w:val="004E3915"/>
    <w:rsid w:val="004F0D26"/>
    <w:rsid w:val="004F5735"/>
    <w:rsid w:val="00500F6F"/>
    <w:rsid w:val="00505841"/>
    <w:rsid w:val="00506A9E"/>
    <w:rsid w:val="0051735A"/>
    <w:rsid w:val="00517663"/>
    <w:rsid w:val="00533727"/>
    <w:rsid w:val="00537E00"/>
    <w:rsid w:val="0054215B"/>
    <w:rsid w:val="00542E88"/>
    <w:rsid w:val="00547F58"/>
    <w:rsid w:val="00550B81"/>
    <w:rsid w:val="005526D1"/>
    <w:rsid w:val="0056752C"/>
    <w:rsid w:val="00583E4E"/>
    <w:rsid w:val="00590048"/>
    <w:rsid w:val="00590686"/>
    <w:rsid w:val="0059136F"/>
    <w:rsid w:val="005914D9"/>
    <w:rsid w:val="00594F6C"/>
    <w:rsid w:val="0059551D"/>
    <w:rsid w:val="005A4142"/>
    <w:rsid w:val="005A44F5"/>
    <w:rsid w:val="005A55A7"/>
    <w:rsid w:val="005B020E"/>
    <w:rsid w:val="005B2E5F"/>
    <w:rsid w:val="005B590D"/>
    <w:rsid w:val="005B7030"/>
    <w:rsid w:val="005C4FF6"/>
    <w:rsid w:val="005D0160"/>
    <w:rsid w:val="005D2630"/>
    <w:rsid w:val="005E1BDF"/>
    <w:rsid w:val="005E5AA4"/>
    <w:rsid w:val="005F7C08"/>
    <w:rsid w:val="00603950"/>
    <w:rsid w:val="00605FCA"/>
    <w:rsid w:val="00616104"/>
    <w:rsid w:val="00621CFA"/>
    <w:rsid w:val="00636AFF"/>
    <w:rsid w:val="00646183"/>
    <w:rsid w:val="00652FD2"/>
    <w:rsid w:val="00663E31"/>
    <w:rsid w:val="006749D7"/>
    <w:rsid w:val="00681309"/>
    <w:rsid w:val="006947F0"/>
    <w:rsid w:val="006A1F91"/>
    <w:rsid w:val="006A66BB"/>
    <w:rsid w:val="006C45AD"/>
    <w:rsid w:val="006C6F1F"/>
    <w:rsid w:val="006D018A"/>
    <w:rsid w:val="006D11A6"/>
    <w:rsid w:val="006D162D"/>
    <w:rsid w:val="006D1B64"/>
    <w:rsid w:val="006D3C3A"/>
    <w:rsid w:val="006E6974"/>
    <w:rsid w:val="006F26A3"/>
    <w:rsid w:val="00734703"/>
    <w:rsid w:val="00735532"/>
    <w:rsid w:val="00737C1B"/>
    <w:rsid w:val="007424AF"/>
    <w:rsid w:val="00746D31"/>
    <w:rsid w:val="00751C7E"/>
    <w:rsid w:val="00780C32"/>
    <w:rsid w:val="00786E25"/>
    <w:rsid w:val="007B0101"/>
    <w:rsid w:val="007B1EB8"/>
    <w:rsid w:val="007B77D8"/>
    <w:rsid w:val="007C40D3"/>
    <w:rsid w:val="007C5043"/>
    <w:rsid w:val="007D0B41"/>
    <w:rsid w:val="007D1EFE"/>
    <w:rsid w:val="007D21FD"/>
    <w:rsid w:val="007E5609"/>
    <w:rsid w:val="007F1222"/>
    <w:rsid w:val="0080012B"/>
    <w:rsid w:val="0080346B"/>
    <w:rsid w:val="0081139B"/>
    <w:rsid w:val="008167EC"/>
    <w:rsid w:val="00816D86"/>
    <w:rsid w:val="0081714C"/>
    <w:rsid w:val="008178BB"/>
    <w:rsid w:val="00817FAC"/>
    <w:rsid w:val="008201AF"/>
    <w:rsid w:val="00824198"/>
    <w:rsid w:val="008318B1"/>
    <w:rsid w:val="0084330D"/>
    <w:rsid w:val="00860B96"/>
    <w:rsid w:val="008753D0"/>
    <w:rsid w:val="0089116B"/>
    <w:rsid w:val="00896CCF"/>
    <w:rsid w:val="008C5BAC"/>
    <w:rsid w:val="008D6250"/>
    <w:rsid w:val="008D7B72"/>
    <w:rsid w:val="008F5FE1"/>
    <w:rsid w:val="00904C7B"/>
    <w:rsid w:val="00905A02"/>
    <w:rsid w:val="00905A33"/>
    <w:rsid w:val="00906F2E"/>
    <w:rsid w:val="00914DB9"/>
    <w:rsid w:val="00916511"/>
    <w:rsid w:val="00922D50"/>
    <w:rsid w:val="00935443"/>
    <w:rsid w:val="00936B56"/>
    <w:rsid w:val="00940F56"/>
    <w:rsid w:val="00942ABC"/>
    <w:rsid w:val="00946CFB"/>
    <w:rsid w:val="00952825"/>
    <w:rsid w:val="009555A0"/>
    <w:rsid w:val="00956B5D"/>
    <w:rsid w:val="00961DAD"/>
    <w:rsid w:val="00966560"/>
    <w:rsid w:val="0097233B"/>
    <w:rsid w:val="009724B8"/>
    <w:rsid w:val="00973797"/>
    <w:rsid w:val="00977528"/>
    <w:rsid w:val="009804D5"/>
    <w:rsid w:val="00981CA0"/>
    <w:rsid w:val="009974A1"/>
    <w:rsid w:val="009A0F3F"/>
    <w:rsid w:val="009A5F2B"/>
    <w:rsid w:val="009B34DE"/>
    <w:rsid w:val="009C74DF"/>
    <w:rsid w:val="009D14F7"/>
    <w:rsid w:val="009D45B7"/>
    <w:rsid w:val="009E11DE"/>
    <w:rsid w:val="009E268C"/>
    <w:rsid w:val="009F45A5"/>
    <w:rsid w:val="009F5113"/>
    <w:rsid w:val="009F6197"/>
    <w:rsid w:val="009F67B5"/>
    <w:rsid w:val="00A00903"/>
    <w:rsid w:val="00A0724C"/>
    <w:rsid w:val="00A20C15"/>
    <w:rsid w:val="00A21B67"/>
    <w:rsid w:val="00A222A4"/>
    <w:rsid w:val="00A26B54"/>
    <w:rsid w:val="00A516BF"/>
    <w:rsid w:val="00A520B9"/>
    <w:rsid w:val="00A527FC"/>
    <w:rsid w:val="00A92197"/>
    <w:rsid w:val="00A943A1"/>
    <w:rsid w:val="00AA671E"/>
    <w:rsid w:val="00AA7796"/>
    <w:rsid w:val="00AA7AAD"/>
    <w:rsid w:val="00AB44DE"/>
    <w:rsid w:val="00AC17A0"/>
    <w:rsid w:val="00AC61BD"/>
    <w:rsid w:val="00AD5FB3"/>
    <w:rsid w:val="00AE53F1"/>
    <w:rsid w:val="00AE5E48"/>
    <w:rsid w:val="00AF0BE6"/>
    <w:rsid w:val="00AF1B29"/>
    <w:rsid w:val="00B05C82"/>
    <w:rsid w:val="00B15D42"/>
    <w:rsid w:val="00B20C99"/>
    <w:rsid w:val="00B20FAE"/>
    <w:rsid w:val="00B4061E"/>
    <w:rsid w:val="00B4323A"/>
    <w:rsid w:val="00B44F7F"/>
    <w:rsid w:val="00B4652A"/>
    <w:rsid w:val="00B55F40"/>
    <w:rsid w:val="00B71A49"/>
    <w:rsid w:val="00B763C1"/>
    <w:rsid w:val="00B91856"/>
    <w:rsid w:val="00B968DB"/>
    <w:rsid w:val="00BA22FB"/>
    <w:rsid w:val="00BB182A"/>
    <w:rsid w:val="00BC7101"/>
    <w:rsid w:val="00BC7D4E"/>
    <w:rsid w:val="00BD1633"/>
    <w:rsid w:val="00BD228D"/>
    <w:rsid w:val="00BD70D0"/>
    <w:rsid w:val="00BE2BCD"/>
    <w:rsid w:val="00BE3297"/>
    <w:rsid w:val="00BE5F0A"/>
    <w:rsid w:val="00BF1F75"/>
    <w:rsid w:val="00C13E07"/>
    <w:rsid w:val="00C15BB4"/>
    <w:rsid w:val="00C25FA3"/>
    <w:rsid w:val="00C26AE0"/>
    <w:rsid w:val="00C4286E"/>
    <w:rsid w:val="00C51B81"/>
    <w:rsid w:val="00C54205"/>
    <w:rsid w:val="00C55CBC"/>
    <w:rsid w:val="00C63AE6"/>
    <w:rsid w:val="00C92845"/>
    <w:rsid w:val="00C932E0"/>
    <w:rsid w:val="00CA1777"/>
    <w:rsid w:val="00CA200B"/>
    <w:rsid w:val="00CA2836"/>
    <w:rsid w:val="00CA73AC"/>
    <w:rsid w:val="00CB0503"/>
    <w:rsid w:val="00CB3E87"/>
    <w:rsid w:val="00CB43AD"/>
    <w:rsid w:val="00CC24FF"/>
    <w:rsid w:val="00CC63CB"/>
    <w:rsid w:val="00CC7F05"/>
    <w:rsid w:val="00CD43BF"/>
    <w:rsid w:val="00CD593B"/>
    <w:rsid w:val="00CE3F79"/>
    <w:rsid w:val="00CE6243"/>
    <w:rsid w:val="00D1636B"/>
    <w:rsid w:val="00D275A1"/>
    <w:rsid w:val="00D32D08"/>
    <w:rsid w:val="00D52D70"/>
    <w:rsid w:val="00D85090"/>
    <w:rsid w:val="00D90442"/>
    <w:rsid w:val="00D9244C"/>
    <w:rsid w:val="00D9415E"/>
    <w:rsid w:val="00DA37E9"/>
    <w:rsid w:val="00DB32E0"/>
    <w:rsid w:val="00DC1BD3"/>
    <w:rsid w:val="00DC249C"/>
    <w:rsid w:val="00DC3CCB"/>
    <w:rsid w:val="00DC4732"/>
    <w:rsid w:val="00DC7A67"/>
    <w:rsid w:val="00DD1926"/>
    <w:rsid w:val="00DD4D55"/>
    <w:rsid w:val="00DE23B3"/>
    <w:rsid w:val="00DE2DCF"/>
    <w:rsid w:val="00DF0D97"/>
    <w:rsid w:val="00DF0F91"/>
    <w:rsid w:val="00E033E0"/>
    <w:rsid w:val="00E060CB"/>
    <w:rsid w:val="00E17817"/>
    <w:rsid w:val="00E203E1"/>
    <w:rsid w:val="00E23D9E"/>
    <w:rsid w:val="00E267ED"/>
    <w:rsid w:val="00E342F0"/>
    <w:rsid w:val="00E40985"/>
    <w:rsid w:val="00E40C6C"/>
    <w:rsid w:val="00E44902"/>
    <w:rsid w:val="00E461DE"/>
    <w:rsid w:val="00E572CB"/>
    <w:rsid w:val="00E66AC4"/>
    <w:rsid w:val="00E75F2B"/>
    <w:rsid w:val="00E7760D"/>
    <w:rsid w:val="00E80311"/>
    <w:rsid w:val="00E91E8E"/>
    <w:rsid w:val="00E92800"/>
    <w:rsid w:val="00EB2FB6"/>
    <w:rsid w:val="00EB6604"/>
    <w:rsid w:val="00EE7B7B"/>
    <w:rsid w:val="00EF2FE4"/>
    <w:rsid w:val="00F0005F"/>
    <w:rsid w:val="00F20943"/>
    <w:rsid w:val="00F30CED"/>
    <w:rsid w:val="00F33A3F"/>
    <w:rsid w:val="00F519B2"/>
    <w:rsid w:val="00F75A7D"/>
    <w:rsid w:val="00F8022E"/>
    <w:rsid w:val="00F84A85"/>
    <w:rsid w:val="00F93FAF"/>
    <w:rsid w:val="00F945FB"/>
    <w:rsid w:val="00FA31D0"/>
    <w:rsid w:val="00FA54AE"/>
    <w:rsid w:val="00FB387A"/>
    <w:rsid w:val="00FC7CCC"/>
    <w:rsid w:val="00FD1D9B"/>
    <w:rsid w:val="00FE7739"/>
    <w:rsid w:val="00FF4359"/>
    <w:rsid w:val="00FF4F22"/>
    <w:rsid w:val="00FF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91A0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4F6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rsid w:val="00594F6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77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37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94F6C"/>
    <w:pPr>
      <w:ind w:left="1497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594F6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94F6C"/>
    <w:pPr>
      <w:spacing w:before="0"/>
      <w:ind w:left="510"/>
    </w:pPr>
  </w:style>
  <w:style w:type="paragraph" w:customStyle="1" w:styleId="ZLITzmlitartykuempunktem">
    <w:name w:val="Z/LIT – zm. lit. artykułem (punktem)"/>
    <w:basedOn w:val="LITlitera"/>
    <w:uiPriority w:val="32"/>
    <w:qFormat/>
    <w:rsid w:val="00594F6C"/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94F6C"/>
    <w:pPr>
      <w:ind w:left="510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94F6C"/>
  </w:style>
  <w:style w:type="character" w:styleId="Uwydatnienie">
    <w:name w:val="Emphasis"/>
    <w:basedOn w:val="Domylnaczcionkaakapitu"/>
    <w:uiPriority w:val="20"/>
    <w:qFormat/>
    <w:rsid w:val="00505841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rsid w:val="00594F6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594F6C"/>
    <w:rPr>
      <w:rFonts w:ascii="Tahoma" w:eastAsia="Times New Roman" w:hAnsi="Tahoma" w:cs="Tahoma"/>
      <w:kern w:val="1"/>
      <w:sz w:val="20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594F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94F6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rsid w:val="00594F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94F6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4F6C"/>
    <w:rPr>
      <w:rFonts w:ascii="Times" w:eastAsia="Times New Roman" w:hAnsi="Times" w:cs="Times New Roman"/>
      <w:sz w:val="20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94F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4F6C"/>
    <w:rPr>
      <w:rFonts w:ascii="Times" w:eastAsia="Times New Roman" w:hAnsi="Times" w:cs="Times New Roman"/>
      <w:b/>
      <w:bCs/>
      <w:sz w:val="20"/>
      <w:szCs w:val="24"/>
      <w:lang w:eastAsia="pl-PL"/>
    </w:rPr>
  </w:style>
  <w:style w:type="paragraph" w:styleId="Poprawka">
    <w:name w:val="Revision"/>
    <w:hidden/>
    <w:uiPriority w:val="99"/>
    <w:semiHidden/>
    <w:rsid w:val="00C26AE0"/>
    <w:pPr>
      <w:spacing w:after="0" w:line="240" w:lineRule="auto"/>
    </w:pPr>
  </w:style>
  <w:style w:type="character" w:customStyle="1" w:styleId="BEZWERSALIKW">
    <w:name w:val="_BEZ_WERSALIKÓW_"/>
    <w:basedOn w:val="Domylnaczcionkaakapitu"/>
    <w:uiPriority w:val="4"/>
    <w:qFormat/>
    <w:rsid w:val="00594F6C"/>
    <w:rPr>
      <w:caps/>
    </w:rPr>
  </w:style>
  <w:style w:type="character" w:customStyle="1" w:styleId="IDindeksdolny">
    <w:name w:val="_ID_ – indeks dolny"/>
    <w:basedOn w:val="Domylnaczcionkaakapitu"/>
    <w:uiPriority w:val="3"/>
    <w:qFormat/>
    <w:rsid w:val="00594F6C"/>
    <w:rPr>
      <w:b w:val="0"/>
      <w:i w:val="0"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4F6C"/>
    <w:rPr>
      <w:i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4F6C"/>
    <w:rPr>
      <w:b/>
      <w:vanish w:val="0"/>
      <w:spacing w:val="0"/>
      <w:vertAlign w:val="sub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4F6C"/>
    <w:rPr>
      <w:b/>
      <w:i/>
      <w:vanish w:val="0"/>
      <w:spacing w:val="0"/>
      <w:vertAlign w:val="subscript"/>
    </w:rPr>
  </w:style>
  <w:style w:type="character" w:customStyle="1" w:styleId="IGindeksgrny">
    <w:name w:val="_IG_ – indeks górny"/>
    <w:basedOn w:val="Domylnaczcionkaakapitu"/>
    <w:uiPriority w:val="2"/>
    <w:qFormat/>
    <w:rsid w:val="00594F6C"/>
    <w:rPr>
      <w:b w:val="0"/>
      <w:i w:val="0"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594F6C"/>
    <w:rPr>
      <w:i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594F6C"/>
    <w:rPr>
      <w:b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4F6C"/>
    <w:rPr>
      <w:b/>
      <w:i/>
      <w:vanish w:val="0"/>
      <w:spacing w:val="0"/>
      <w:vertAlign w:val="superscript"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594F6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594F6C"/>
    <w:rPr>
      <w:b w:val="0"/>
      <w:i w:val="0"/>
      <w:vanish w:val="0"/>
      <w:spacing w:val="0"/>
      <w:position w:val="6"/>
      <w:vertAlign w:val="superscript"/>
    </w:rPr>
  </w:style>
  <w:style w:type="character" w:customStyle="1" w:styleId="Kkursywa">
    <w:name w:val="_K_ – kursywa"/>
    <w:basedOn w:val="Domylnaczcionkaakapitu"/>
    <w:uiPriority w:val="1"/>
    <w:qFormat/>
    <w:rsid w:val="00594F6C"/>
    <w:rPr>
      <w:i/>
    </w:rPr>
  </w:style>
  <w:style w:type="character" w:customStyle="1" w:styleId="Ppogrubienie">
    <w:name w:val="_P_ – pogrubienie"/>
    <w:basedOn w:val="Domylnaczcionkaakapitu"/>
    <w:uiPriority w:val="1"/>
    <w:qFormat/>
    <w:rsid w:val="00594F6C"/>
    <w:rPr>
      <w:b/>
    </w:rPr>
  </w:style>
  <w:style w:type="character" w:customStyle="1" w:styleId="PKpogrubieniekursywa">
    <w:name w:val="_P_K_ – pogrubienie kursywa"/>
    <w:basedOn w:val="Domylnaczcionkaakapitu"/>
    <w:uiPriority w:val="1"/>
    <w:qFormat/>
    <w:rsid w:val="00594F6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594F6C"/>
    <w:rPr>
      <w:vanish w:val="0"/>
      <w:color w:val="FF0000"/>
      <w:u w:val="single" w:color="FF0000"/>
    </w:rPr>
  </w:style>
  <w:style w:type="paragraph" w:customStyle="1" w:styleId="PKTpunkt">
    <w:name w:val="PKT – punkt"/>
    <w:uiPriority w:val="13"/>
    <w:qFormat/>
    <w:rsid w:val="00594F6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594F6C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594F6C"/>
    <w:pPr>
      <w:ind w:left="1384" w:hanging="397"/>
    </w:pPr>
  </w:style>
  <w:style w:type="paragraph" w:customStyle="1" w:styleId="2TIRpodwjnytiret">
    <w:name w:val="2TIR – podwójny tiret"/>
    <w:basedOn w:val="TIRtiret"/>
    <w:uiPriority w:val="73"/>
    <w:qFormat/>
    <w:rsid w:val="00594F6C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594F6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Bezodstpw">
    <w:name w:val="No Spacing"/>
    <w:uiPriority w:val="99"/>
    <w:rsid w:val="00594F6C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94F6C"/>
    <w:pPr>
      <w:spacing w:before="0"/>
    </w:pPr>
    <w:rPr>
      <w:bCs/>
    </w:r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94F6C"/>
    <w:pPr>
      <w:ind w:left="510" w:right="510" w:firstLine="0"/>
      <w:mirrorIndents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94F6C"/>
    <w:pPr>
      <w:ind w:left="987" w:firstLine="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94F6C"/>
    <w:pPr>
      <w:ind w:left="1780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94F6C"/>
    <w:pPr>
      <w:ind w:left="510" w:firstLine="0"/>
    </w:pPr>
    <w:rPr>
      <w:szCs w:val="24"/>
    </w:rPr>
  </w:style>
  <w:style w:type="paragraph" w:customStyle="1" w:styleId="ODNONIKtreodnonika">
    <w:name w:val="ODNOŚNIK – treść odnośnika"/>
    <w:uiPriority w:val="19"/>
    <w:qFormat/>
    <w:rsid w:val="00594F6C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PKTODNONIKApunktodnonika">
    <w:name w:val="PKT_ODNOŚNIKA – punkt odnośnika"/>
    <w:basedOn w:val="ODNONIKtreodnonika"/>
    <w:uiPriority w:val="19"/>
    <w:qFormat/>
    <w:rsid w:val="00594F6C"/>
    <w:pPr>
      <w:ind w:left="568"/>
    </w:p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94F6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94F6C"/>
    <w:pPr>
      <w:ind w:left="567" w:firstLine="0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594F6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94F6C"/>
    <w:pPr>
      <w:ind w:left="0" w:firstLine="0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94F6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94F6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94F6C"/>
    <w:pPr>
      <w:ind w:left="1191"/>
    </w:p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94F6C"/>
    <w:pPr>
      <w:ind w:left="0" w:firstLine="0"/>
    </w:p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94F6C"/>
    <w:pPr>
      <w:ind w:left="284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594F6C"/>
    <w:pPr>
      <w:keepNext/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594F6C"/>
    <w:pPr>
      <w:keepNext w:val="0"/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594F6C"/>
    <w:pPr>
      <w:ind w:left="-510" w:firstLine="0"/>
    </w:p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594F6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594F6C"/>
    <w:pPr>
      <w:ind w:left="-510"/>
    </w:pPr>
  </w:style>
  <w:style w:type="paragraph" w:customStyle="1" w:styleId="WMATFIZCHEMwzrmatfizlubchem">
    <w:name w:val="W_MAT(FIZ|CHEM) – wzór mat. (fiz. lub chem.)"/>
    <w:uiPriority w:val="18"/>
    <w:qFormat/>
    <w:rsid w:val="00594F6C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94F6C"/>
    <w:pPr>
      <w:ind w:left="1304" w:hanging="794"/>
      <w:jc w:val="both"/>
    </w:pPr>
  </w:style>
  <w:style w:type="paragraph" w:styleId="Nagwek">
    <w:name w:val="header"/>
    <w:basedOn w:val="Normalny"/>
    <w:link w:val="NagwekZnak"/>
    <w:uiPriority w:val="99"/>
    <w:rsid w:val="00594F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594F6C"/>
    <w:rPr>
      <w:rFonts w:ascii="Times" w:eastAsia="Times New Roman" w:hAnsi="Times" w:cs="Times New Roman"/>
      <w:kern w:val="1"/>
      <w:sz w:val="20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9"/>
    <w:rsid w:val="00594F6C"/>
    <w:rPr>
      <w:rFonts w:asciiTheme="majorHAnsi" w:eastAsiaTheme="majorEastAsia" w:hAnsiTheme="majorHAnsi" w:cstheme="majorBidi"/>
      <w:b/>
      <w:bCs/>
      <w:color w:val="2F5496" w:themeColor="accent1" w:themeShade="BF"/>
      <w:kern w:val="1"/>
      <w:sz w:val="28"/>
      <w:szCs w:val="28"/>
      <w:lang w:eastAsia="ar-SA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94F6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94F6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94F6C"/>
    <w:pPr>
      <w:ind w:left="0" w:right="4820"/>
      <w:jc w:val="left"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94F6C"/>
    <w:rPr>
      <w:bCs/>
    </w:rPr>
  </w:style>
  <w:style w:type="paragraph" w:customStyle="1" w:styleId="NOTATKILEGISLATORA">
    <w:name w:val="NOTATKI_LEGISLATORA"/>
    <w:basedOn w:val="Normalny"/>
    <w:uiPriority w:val="5"/>
    <w:qFormat/>
    <w:rsid w:val="00594F6C"/>
    <w:rPr>
      <w:b/>
      <w:i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94F6C"/>
    <w:pPr>
      <w:widowControl/>
      <w:autoSpaceDE/>
      <w:autoSpaceDN/>
      <w:adjustRightInd/>
      <w:ind w:left="283" w:hanging="170"/>
    </w:pPr>
  </w:style>
  <w:style w:type="character" w:styleId="Odwoanieprzypisudolnego">
    <w:name w:val="footnote reference"/>
    <w:uiPriority w:val="99"/>
    <w:rsid w:val="00594F6C"/>
    <w:rPr>
      <w:rFonts w:cs="Times New Roman"/>
      <w:vertAlign w:val="superscript"/>
    </w:rPr>
  </w:style>
  <w:style w:type="paragraph" w:customStyle="1" w:styleId="OZNPARAFYADNOTACJE">
    <w:name w:val="OZN_PARAFY(ADNOTACJE)"/>
    <w:basedOn w:val="ODNONIKtreodnonika"/>
    <w:uiPriority w:val="26"/>
    <w:qFormat/>
    <w:rsid w:val="00594F6C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94F6C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94F6C"/>
    <w:pPr>
      <w:keepNext/>
    </w:pPr>
    <w:rPr>
      <w:b/>
      <w:u w:val="none"/>
    </w:r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94F6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94F6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94F6C"/>
    <w:pPr>
      <w:ind w:left="1588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94F6C"/>
    <w:pPr>
      <w:ind w:left="510" w:firstLine="0"/>
    </w:pPr>
  </w:style>
  <w:style w:type="paragraph" w:styleId="Stopka">
    <w:name w:val="footer"/>
    <w:basedOn w:val="Normalny"/>
    <w:link w:val="StopkaZnak"/>
    <w:uiPriority w:val="99"/>
    <w:semiHidden/>
    <w:rsid w:val="00594F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594F6C"/>
    <w:rPr>
      <w:rFonts w:ascii="Times" w:eastAsia="Times New Roman" w:hAnsi="Times" w:cs="Times New Roman"/>
      <w:kern w:val="1"/>
      <w:sz w:val="20"/>
      <w:szCs w:val="24"/>
      <w:lang w:eastAsia="ar-SA"/>
    </w:rPr>
  </w:style>
  <w:style w:type="table" w:customStyle="1" w:styleId="TABELA1zszablonu">
    <w:name w:val="TABELA 1 z szablonu"/>
    <w:basedOn w:val="Tabela-Siatka"/>
    <w:uiPriority w:val="99"/>
    <w:rsid w:val="00594F6C"/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styleId="Tabela-Siatka">
    <w:name w:val="Table Grid"/>
    <w:basedOn w:val="Standardowy"/>
    <w:uiPriority w:val="39"/>
    <w:rsid w:val="00594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2zszablonu">
    <w:name w:val="TABELA 2 z szablonu"/>
    <w:basedOn w:val="Tabela-Elegancki"/>
    <w:uiPriority w:val="99"/>
    <w:rsid w:val="00594F6C"/>
    <w:pPr>
      <w:jc w:val="both"/>
    </w:pPr>
    <w:rPr>
      <w:rFonts w:ascii="Times" w:eastAsia="Times New Roman" w:hAnsi="Times" w:cs="Times New Roman"/>
      <w:sz w:val="24"/>
      <w:szCs w:val="24"/>
      <w:lang w:eastAsia="pl-PL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uiPriority w:val="99"/>
    <w:semiHidden/>
    <w:unhideWhenUsed/>
    <w:rsid w:val="00594F6C"/>
    <w:pPr>
      <w:widowControl w:val="0"/>
      <w:autoSpaceDE w:val="0"/>
      <w:autoSpaceDN w:val="0"/>
      <w:adjustRightInd w:val="0"/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3zszablonu">
    <w:name w:val="TABELA 3 z szablonu"/>
    <w:basedOn w:val="TABELA2zszablonu"/>
    <w:uiPriority w:val="99"/>
    <w:rsid w:val="00594F6C"/>
    <w:pPr>
      <w:jc w:val="left"/>
    </w:p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594F6C"/>
    <w:rPr>
      <w:color w:val="808080"/>
    </w:r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594F6C"/>
    <w:pPr>
      <w:ind w:left="-510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94F6C"/>
    <w:pPr>
      <w:spacing w:after="0" w:line="360" w:lineRule="auto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594F6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94F6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94F6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594F6C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94F6C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paragraph" w:customStyle="1" w:styleId="TYTTABELItytutabeli">
    <w:name w:val="TYT_TABELI – tytuł tabeli"/>
    <w:basedOn w:val="TYTDZOZNoznaczenietytuulubdziau"/>
    <w:uiPriority w:val="22"/>
    <w:qFormat/>
    <w:rsid w:val="00594F6C"/>
    <w:rPr>
      <w:b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94F6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594F6C"/>
    <w:pPr>
      <w:ind w:left="-51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94F6C"/>
    <w:pPr>
      <w:ind w:left="907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94F6C"/>
    <w:pPr>
      <w:ind w:left="2291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94F6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94F6C"/>
    <w:pPr>
      <w:ind w:left="1304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94F6C"/>
    <w:pPr>
      <w:ind w:left="1021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94F6C"/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Normalny"/>
    <w:uiPriority w:val="75"/>
    <w:qFormat/>
    <w:rsid w:val="00594F6C"/>
    <w:pPr>
      <w:ind w:left="1383" w:firstLine="0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Normalny"/>
    <w:uiPriority w:val="75"/>
    <w:qFormat/>
    <w:rsid w:val="00594F6C"/>
    <w:pPr>
      <w:ind w:left="1894" w:firstLine="0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94F6C"/>
    <w:pPr>
      <w:ind w:left="907" w:firstLine="0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94F6C"/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94F6C"/>
    <w:pPr>
      <w:spacing w:line="360" w:lineRule="auto"/>
      <w:ind w:left="907" w:hanging="397"/>
    </w:pPr>
    <w:rPr>
      <w:sz w:val="24"/>
    </w:r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94F6C"/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94F6C"/>
    <w:pPr>
      <w:ind w:left="510" w:firstLine="0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94F6C"/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94F6C"/>
    <w:pPr>
      <w:ind w:left="1021"/>
    </w:pPr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94F6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94F6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94F6C"/>
    <w:pPr>
      <w:ind w:left="1304"/>
    </w:pPr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94F6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94F6C"/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94F6C"/>
    <w:pPr>
      <w:ind w:left="1497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94F6C"/>
    <w:pPr>
      <w:ind w:left="510"/>
    </w:pPr>
    <w:rPr>
      <w:b w:val="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94F6C"/>
    <w:pPr>
      <w:ind w:firstLine="0"/>
    </w:pPr>
    <w:rPr>
      <w:rFonts w:ascii="Times New Roman" w:hAnsi="Times New Roman"/>
    </w:r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94F6C"/>
    <w:pPr>
      <w:ind w:left="1815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94F6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94F6C"/>
    <w:pPr>
      <w:ind w:left="1304"/>
    </w:p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94F6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94F6C"/>
    <w:pPr>
      <w:ind w:left="1701"/>
    </w:p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94F6C"/>
    <w:pPr>
      <w:ind w:left="510"/>
    </w:pPr>
  </w:style>
  <w:style w:type="paragraph" w:customStyle="1" w:styleId="ZROZDZODDZOZNzmoznrozdzoddzartykuempunktem">
    <w:name w:val="Z/ROZDZ(ODDZ)_OZN – zm. ozn. rozdz. (oddz.) artykułem (punktem)"/>
    <w:next w:val="Normalny"/>
    <w:uiPriority w:val="29"/>
    <w:qFormat/>
    <w:rsid w:val="00594F6C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94F6C"/>
    <w:pPr>
      <w:spacing w:after="120"/>
      <w:ind w:left="510"/>
    </w:pPr>
    <w:rPr>
      <w:b w:val="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94F6C"/>
    <w:pPr>
      <w:ind w:left="1021"/>
    </w:p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94F6C"/>
    <w:pPr>
      <w:ind w:left="90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94F6C"/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94F6C"/>
    <w:pPr>
      <w:ind w:left="1894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Normalny"/>
    <w:uiPriority w:val="28"/>
    <w:qFormat/>
    <w:rsid w:val="00594F6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94F6C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pl-PL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94F6C"/>
    <w:pPr>
      <w:ind w:left="510"/>
    </w:p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94F6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94F6C"/>
    <w:pPr>
      <w:ind w:left="3051"/>
    </w:p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94F6C"/>
    <w:pPr>
      <w:ind w:left="3561"/>
    </w:pPr>
    <w:rPr>
      <w:rFonts w:ascii="Times New Roman" w:hAnsi="Times New Roman"/>
      <w:lang w:val="en-US"/>
    </w:r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94F6C"/>
    <w:pPr>
      <w:ind w:left="2574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94F6C"/>
    <w:pPr>
      <w:ind w:left="2256"/>
    </w:pPr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94F6C"/>
    <w:pPr>
      <w:ind w:left="2290" w:hanging="510"/>
    </w:pPr>
    <w:rPr>
      <w:rFonts w:ascii="Times New Roman" w:hAnsi="Times New Roman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94F6C"/>
    <w:pPr>
      <w:ind w:left="1780" w:firstLine="510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94F6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Normalny"/>
    <w:uiPriority w:val="61"/>
    <w:qFormat/>
    <w:rsid w:val="00594F6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Normalny"/>
    <w:uiPriority w:val="90"/>
    <w:qFormat/>
    <w:rsid w:val="00594F6C"/>
    <w:pPr>
      <w:ind w:left="2291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94F6C"/>
    <w:pPr>
      <w:ind w:left="1780"/>
    </w:pPr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94F6C"/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94F6C"/>
    <w:pPr>
      <w:ind w:left="2654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94F6C"/>
    <w:pPr>
      <w:ind w:left="3164" w:firstLine="0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94F6C"/>
    <w:pPr>
      <w:ind w:left="2177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94F6C"/>
    <w:pPr>
      <w:ind w:left="2767"/>
    </w:pPr>
    <w:rPr>
      <w:rFonts w:ascii="Times New Roman" w:hAnsi="Times New Roman"/>
    </w:r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94F6C"/>
    <w:pPr>
      <w:ind w:left="2291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94F6C"/>
    <w:pPr>
      <w:ind w:left="1780" w:firstLine="0"/>
    </w:pPr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94F6C"/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94F6C"/>
    <w:pPr>
      <w:ind w:left="2257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94F6C"/>
    <w:pPr>
      <w:ind w:left="2654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94F6C"/>
    <w:pPr>
      <w:ind w:left="3164"/>
    </w:pPr>
    <w:rPr>
      <w:rFonts w:ascii="Times New Roman" w:hAnsi="Times New Roman"/>
      <w:lang w:val="en-US"/>
    </w:r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94F6C"/>
    <w:pPr>
      <w:ind w:left="2767" w:firstLine="0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94F6C"/>
    <w:pPr>
      <w:ind w:left="1383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94F6C"/>
    <w:rPr>
      <w:rFonts w:ascii="Times New Roman" w:hAnsi="Times New Roman"/>
    </w:r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94F6C"/>
    <w:pPr>
      <w:ind w:left="1780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94F6C"/>
    <w:pPr>
      <w:ind w:left="2291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94F6C"/>
    <w:pPr>
      <w:ind w:left="2688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94F6C"/>
    <w:pPr>
      <w:ind w:left="3085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Normalny"/>
    <w:uiPriority w:val="45"/>
    <w:qFormat/>
    <w:rsid w:val="00594F6C"/>
    <w:pPr>
      <w:ind w:left="987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Normalny"/>
    <w:uiPriority w:val="54"/>
    <w:qFormat/>
    <w:rsid w:val="00594F6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Normalny"/>
    <w:uiPriority w:val="81"/>
    <w:qFormat/>
    <w:rsid w:val="00594F6C"/>
    <w:pPr>
      <w:ind w:left="1780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Normalny"/>
    <w:uiPriority w:val="45"/>
    <w:qFormat/>
    <w:rsid w:val="00594F6C"/>
    <w:pPr>
      <w:ind w:left="987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94F6C"/>
    <w:pPr>
      <w:ind w:left="1383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94F6C"/>
    <w:pPr>
      <w:ind w:left="1780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94F6C"/>
    <w:pPr>
      <w:ind w:left="2291" w:firstLine="0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594F6C"/>
    <w:pPr>
      <w:ind w:left="2177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94F6C"/>
    <w:pPr>
      <w:ind w:left="1780" w:firstLine="510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Normalny"/>
    <w:uiPriority w:val="53"/>
    <w:qFormat/>
    <w:rsid w:val="00594F6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Normalny"/>
    <w:uiPriority w:val="62"/>
    <w:qFormat/>
    <w:rsid w:val="00594F6C"/>
    <w:pPr>
      <w:ind w:left="1383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94F6C"/>
    <w:pPr>
      <w:ind w:left="1780"/>
    </w:pPr>
  </w:style>
  <w:style w:type="paragraph" w:customStyle="1" w:styleId="ZLIT2TIRzmpodwtirliter">
    <w:name w:val="Z_LIT/2TIR – zm. podw. tir. literą"/>
    <w:basedOn w:val="TIRtiret"/>
    <w:uiPriority w:val="75"/>
    <w:qFormat/>
    <w:rsid w:val="00594F6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94F6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94F6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94F6C"/>
    <w:pPr>
      <w:ind w:left="2767"/>
    </w:pPr>
  </w:style>
  <w:style w:type="paragraph" w:customStyle="1" w:styleId="ZLITUSTzmustliter">
    <w:name w:val="Z_LIT/UST(§) – zm. ust. (§) literą"/>
    <w:basedOn w:val="USTustnpkodeksu"/>
    <w:uiPriority w:val="46"/>
    <w:qFormat/>
    <w:rsid w:val="00594F6C"/>
    <w:pPr>
      <w:ind w:left="987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594F6C"/>
    <w:rPr>
      <w:rFonts w:ascii="Times New Roman" w:hAnsi="Times New Roman"/>
    </w:r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94F6C"/>
    <w:pPr>
      <w:ind w:left="987"/>
    </w:pPr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94F6C"/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94F6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94F6C"/>
    <w:pPr>
      <w:ind w:left="2370" w:firstLine="0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94F6C"/>
    <w:pPr>
      <w:ind w:left="1383" w:firstLine="0"/>
    </w:pPr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94F6C"/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94F6C"/>
    <w:pPr>
      <w:ind w:left="1497"/>
    </w:pPr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94F6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94F6C"/>
    <w:pPr>
      <w:ind w:left="1463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94F6C"/>
    <w:pPr>
      <w:ind w:left="1973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94F6C"/>
    <w:pPr>
      <w:ind w:firstLine="0"/>
    </w:pPr>
    <w:rPr>
      <w:rFonts w:ascii="Times New Roman" w:hAnsi="Times New Roman"/>
    </w:rPr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94F6C"/>
    <w:pPr>
      <w:ind w:left="987"/>
    </w:pPr>
  </w:style>
  <w:style w:type="paragraph" w:customStyle="1" w:styleId="ZLITLITzmlitliter">
    <w:name w:val="Z_LIT/LIT – zm. lit. literą"/>
    <w:basedOn w:val="LITlitera"/>
    <w:uiPriority w:val="48"/>
    <w:qFormat/>
    <w:rsid w:val="00594F6C"/>
    <w:pPr>
      <w:ind w:left="1463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594F6C"/>
    <w:pPr>
      <w:ind w:left="1973"/>
    </w:pPr>
  </w:style>
  <w:style w:type="paragraph" w:customStyle="1" w:styleId="ZLITPKTzmpktliter">
    <w:name w:val="Z_LIT/PKT – zm. pkt literą"/>
    <w:basedOn w:val="PKTpunkt"/>
    <w:uiPriority w:val="47"/>
    <w:qFormat/>
    <w:rsid w:val="00594F6C"/>
    <w:pPr>
      <w:ind w:left="1497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94F6C"/>
    <w:pPr>
      <w:ind w:left="1497"/>
    </w:pPr>
  </w:style>
  <w:style w:type="paragraph" w:customStyle="1" w:styleId="ZLITTIRzmtirliter">
    <w:name w:val="Z_LIT/TIR – zm. tir. literą"/>
    <w:basedOn w:val="TIRtiret"/>
    <w:uiPriority w:val="49"/>
    <w:qFormat/>
    <w:rsid w:val="00594F6C"/>
  </w:style>
  <w:style w:type="paragraph" w:customStyle="1" w:styleId="ZLITTIRwLITzmtirwlitliter">
    <w:name w:val="Z_LIT/TIR_w_LIT – zm. tir. w lit. literą"/>
    <w:basedOn w:val="TIRtiret"/>
    <w:uiPriority w:val="49"/>
    <w:qFormat/>
    <w:rsid w:val="00594F6C"/>
    <w:pPr>
      <w:ind w:left="1860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594F6C"/>
    <w:pPr>
      <w:ind w:left="2370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Normalny"/>
    <w:uiPriority w:val="44"/>
    <w:qFormat/>
    <w:rsid w:val="00594F6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94F6C"/>
    <w:pPr>
      <w:ind w:left="987"/>
    </w:pPr>
  </w:style>
  <w:style w:type="paragraph" w:customStyle="1" w:styleId="ZTIR2TIRzmpodwtirtiret">
    <w:name w:val="Z_TIR/2TIR – zm. podw. tir. tiret"/>
    <w:basedOn w:val="TIRtiret"/>
    <w:uiPriority w:val="78"/>
    <w:qFormat/>
    <w:rsid w:val="00594F6C"/>
    <w:pPr>
      <w:ind w:left="178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94F6C"/>
    <w:pPr>
      <w:ind w:left="2654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94F6C"/>
    <w:pPr>
      <w:ind w:left="3164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94F6C"/>
    <w:pPr>
      <w:ind w:left="2177"/>
    </w:pPr>
  </w:style>
  <w:style w:type="paragraph" w:customStyle="1" w:styleId="ZTIRPKTzmpkttiret">
    <w:name w:val="Z_TIR/PKT – zm. pkt tiret"/>
    <w:basedOn w:val="PKTpunkt"/>
    <w:uiPriority w:val="56"/>
    <w:qFormat/>
    <w:rsid w:val="00594F6C"/>
    <w:pPr>
      <w:ind w:left="1893"/>
    </w:pPr>
  </w:style>
  <w:style w:type="paragraph" w:customStyle="1" w:styleId="ZTIRARTzmarttiret">
    <w:name w:val="Z_TIR/ART(§) – zm. art. (§) tiret"/>
    <w:basedOn w:val="ZTIRPKTzmpkttiret"/>
    <w:uiPriority w:val="55"/>
    <w:qFormat/>
    <w:rsid w:val="00594F6C"/>
    <w:pPr>
      <w:ind w:left="1383" w:firstLine="510"/>
    </w:pPr>
    <w:rPr>
      <w:rFonts w:ascii="Times New Roman" w:hAnsi="Times New Roman"/>
    </w:rPr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94F6C"/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94F6C"/>
    <w:pPr>
      <w:ind w:left="2257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94F6C"/>
    <w:pPr>
      <w:ind w:left="2767" w:firstLine="0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94F6C"/>
    <w:pPr>
      <w:ind w:left="1780"/>
    </w:pPr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94F6C"/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94F6C"/>
    <w:pPr>
      <w:ind w:left="1860"/>
    </w:pPr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94F6C"/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94F6C"/>
    <w:pPr>
      <w:ind w:left="1860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94F6C"/>
    <w:pPr>
      <w:ind w:left="2257"/>
    </w:p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94F6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94F6C"/>
    <w:pPr>
      <w:ind w:left="2336" w:firstLine="0"/>
    </w:pPr>
  </w:style>
  <w:style w:type="paragraph" w:customStyle="1" w:styleId="ZTIRDZOZNzmozndziautiret">
    <w:name w:val="Z_TIR/DZ_OZN – zm. ozn. działu tiret"/>
    <w:basedOn w:val="ZLITTYTDZOZNzmozntytuudziauliter"/>
    <w:next w:val="Normalny"/>
    <w:uiPriority w:val="54"/>
    <w:qFormat/>
    <w:rsid w:val="00594F6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94F6C"/>
    <w:pPr>
      <w:ind w:left="1383"/>
    </w:pPr>
  </w:style>
  <w:style w:type="paragraph" w:customStyle="1" w:styleId="ZTIRLITzmlittiret">
    <w:name w:val="Z_TIR/LIT – zm. lit. tiret"/>
    <w:basedOn w:val="LITlitera"/>
    <w:uiPriority w:val="57"/>
    <w:qFormat/>
    <w:rsid w:val="00594F6C"/>
    <w:pPr>
      <w:ind w:left="1859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594F6C"/>
    <w:pPr>
      <w:ind w:left="2336"/>
    </w:p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94F6C"/>
    <w:pPr>
      <w:ind w:left="1894"/>
    </w:pPr>
  </w:style>
  <w:style w:type="paragraph" w:customStyle="1" w:styleId="ZTIRTIRzmtirtiret">
    <w:name w:val="Z_TIR/TIR – zm. tir. tiret"/>
    <w:basedOn w:val="TIRtiret"/>
    <w:uiPriority w:val="57"/>
    <w:qFormat/>
    <w:rsid w:val="00594F6C"/>
    <w:pPr>
      <w:ind w:left="178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594F6C"/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94F6C"/>
  </w:style>
  <w:style w:type="paragraph" w:customStyle="1" w:styleId="ZZPKTzmianazmpkt">
    <w:name w:val="ZZ/PKT – zmiana zm. pkt"/>
    <w:basedOn w:val="ZPKTzmpktartykuempunktem"/>
    <w:uiPriority w:val="66"/>
    <w:qFormat/>
    <w:rsid w:val="00594F6C"/>
    <w:pPr>
      <w:ind w:left="2404"/>
    </w:pPr>
  </w:style>
  <w:style w:type="paragraph" w:customStyle="1" w:styleId="ZZLITzmianazmlit">
    <w:name w:val="ZZ/LIT – zmiana zm. lit."/>
    <w:basedOn w:val="ZZPKTzmianazmpkt"/>
    <w:uiPriority w:val="67"/>
    <w:qFormat/>
    <w:rsid w:val="00594F6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594F6C"/>
    <w:pPr>
      <w:ind w:left="2291" w:hanging="397"/>
    </w:pPr>
  </w:style>
  <w:style w:type="paragraph" w:customStyle="1" w:styleId="ZZCZWSP2TIRzmianazmczciwsppodwtir">
    <w:name w:val="ZZ/CZ_WSP_2TIR – zmiana zm. części wsp. podw. tir."/>
    <w:basedOn w:val="ZZTIRzmianazmtir"/>
    <w:next w:val="Normalny"/>
    <w:uiPriority w:val="94"/>
    <w:qFormat/>
    <w:rsid w:val="00594F6C"/>
    <w:pPr>
      <w:ind w:left="1894" w:firstLine="0"/>
    </w:pPr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94F6C"/>
    <w:pPr>
      <w:ind w:left="2291" w:hanging="397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94F6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94F6C"/>
    <w:pPr>
      <w:ind w:left="3164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94F6C"/>
    <w:pPr>
      <w:ind w:left="3674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594F6C"/>
    <w:pPr>
      <w:ind w:left="1894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94F6C"/>
    <w:pPr>
      <w:ind w:firstLine="0"/>
    </w:pPr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94F6C"/>
  </w:style>
  <w:style w:type="paragraph" w:customStyle="1" w:styleId="ZZCYTzmianazmcytatunpprzysigi">
    <w:name w:val="ZZ/CYT – zmiana zm. cytatu np. przysięgi"/>
    <w:basedOn w:val="ZZFRAGzmianazmfragmentunpzdania"/>
    <w:next w:val="Normalny"/>
    <w:uiPriority w:val="71"/>
    <w:qFormat/>
    <w:rsid w:val="00594F6C"/>
    <w:pPr>
      <w:ind w:left="2404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94F6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94F6C"/>
    <w:pPr>
      <w:ind w:left="3277" w:firstLine="0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94F6C"/>
    <w:pPr>
      <w:ind w:left="2291" w:firstLine="0"/>
    </w:pPr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94F6C"/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94F6C"/>
    <w:pPr>
      <w:ind w:left="2880"/>
    </w:pPr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94F6C"/>
    <w:pPr>
      <w:ind w:left="2404" w:firstLine="0"/>
    </w:pPr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94F6C"/>
  </w:style>
  <w:style w:type="paragraph" w:customStyle="1" w:styleId="ZZTIRwLITzmianazmtirwlit">
    <w:name w:val="ZZ/TIR_w_LIT – zmiana zm. tir. w lit."/>
    <w:basedOn w:val="ZZTIRzmianazmtir"/>
    <w:uiPriority w:val="67"/>
    <w:qFormat/>
    <w:rsid w:val="00594F6C"/>
    <w:pPr>
      <w:ind w:left="276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94F6C"/>
    <w:pPr>
      <w:ind w:left="237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94F6C"/>
    <w:pPr>
      <w:ind w:left="3277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94F6C"/>
    <w:pPr>
      <w:ind w:left="2880" w:firstLine="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94F6C"/>
    <w:pPr>
      <w:spacing w:before="0"/>
      <w:ind w:left="1894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94F6C"/>
    <w:pPr>
      <w:ind w:left="3198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Normalny"/>
    <w:uiPriority w:val="64"/>
    <w:qFormat/>
    <w:rsid w:val="00594F6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94F6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94F6C"/>
    <w:pPr>
      <w:ind w:left="240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94F6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94F6C"/>
    <w:pPr>
      <w:ind w:left="1894"/>
    </w:pPr>
  </w:style>
  <w:style w:type="paragraph" w:customStyle="1" w:styleId="ZZUSTzmianazmust">
    <w:name w:val="ZZ/UST(§) – zmiana zm. ust. (§)"/>
    <w:basedOn w:val="ZZARTzmianazmart"/>
    <w:uiPriority w:val="65"/>
    <w:qFormat/>
    <w:rsid w:val="00594F6C"/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94F6C"/>
    <w:pPr>
      <w:ind w:left="2404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378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73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73DB"/>
    <w:rPr>
      <w:rFonts w:ascii="Verdana" w:eastAsiaTheme="minorEastAsia" w:hAnsi="Verdana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77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mainpub">
    <w:name w:val="mainpub"/>
    <w:basedOn w:val="Normalny"/>
    <w:rsid w:val="0030779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-disabled">
    <w:name w:val="highlight-disabled"/>
    <w:basedOn w:val="Domylnaczcionkaakapitu"/>
    <w:rsid w:val="0046080A"/>
  </w:style>
  <w:style w:type="character" w:styleId="Odwoaniedelikatne">
    <w:name w:val="Subtle Reference"/>
    <w:basedOn w:val="Domylnaczcionkaakapitu"/>
    <w:uiPriority w:val="31"/>
    <w:qFormat/>
    <w:rsid w:val="00935443"/>
    <w:rPr>
      <w:smallCaps/>
      <w:color w:val="5A5A5A" w:themeColor="text1" w:themeTint="A5"/>
    </w:rPr>
  </w:style>
  <w:style w:type="character" w:customStyle="1" w:styleId="highlight">
    <w:name w:val="highlight"/>
    <w:basedOn w:val="Domylnaczcionkaakapitu"/>
    <w:rsid w:val="00A0090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D016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5BA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5BAC"/>
    <w:rPr>
      <w:rFonts w:ascii="Verdana" w:eastAsiaTheme="minorEastAsia" w:hAnsi="Verdan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5B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358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54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404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73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8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23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39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17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8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19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19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4649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47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3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55891-6930-4901-BB71-9636A74A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2021-03-11T08:29:00Z</dcterms:created>
  <dcterms:modified xsi:type="dcterms:W3CDTF">2021-03-12T09:47:00Z</dcterms:modified>
</cp:coreProperties>
</file>