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19" w14:textId="0ABE01AC" w:rsidR="002D7C70" w:rsidRDefault="00814C9F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1D35B1">
        <w:rPr>
          <w:rFonts w:ascii="Tahoma" w:hAnsi="Tahoma" w:cs="Tahoma"/>
          <w:b/>
          <w:sz w:val="24"/>
          <w:szCs w:val="24"/>
        </w:rPr>
        <w:t>Uzasadnienie</w:t>
      </w:r>
    </w:p>
    <w:p w14:paraId="3652D443" w14:textId="77777777" w:rsidR="001D35B1" w:rsidRPr="001D35B1" w:rsidRDefault="001D35B1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0000001A" w14:textId="77777777" w:rsidR="002D7C70" w:rsidRPr="001D35B1" w:rsidRDefault="00814C9F">
      <w:pPr>
        <w:spacing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1D35B1">
        <w:rPr>
          <w:rFonts w:ascii="Tahoma" w:hAnsi="Tahoma" w:cs="Tahoma"/>
          <w:sz w:val="24"/>
          <w:szCs w:val="24"/>
        </w:rPr>
        <w:tab/>
      </w:r>
      <w:r w:rsidRPr="001D35B1">
        <w:rPr>
          <w:rFonts w:ascii="Tahoma" w:eastAsia="Times New Roman" w:hAnsi="Tahoma" w:cs="Tahoma"/>
          <w:b/>
          <w:sz w:val="24"/>
          <w:szCs w:val="24"/>
        </w:rPr>
        <w:t>1. Cel uchwalenia ustawy</w:t>
      </w:r>
    </w:p>
    <w:p w14:paraId="0000001B" w14:textId="77777777" w:rsidR="002D7C70" w:rsidRPr="001D35B1" w:rsidRDefault="002D7C7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0000001C" w14:textId="45F5028A" w:rsidR="002D7C70" w:rsidRPr="001D35B1" w:rsidRDefault="00814C9F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1D35B1">
        <w:rPr>
          <w:rFonts w:ascii="Tahoma" w:hAnsi="Tahoma" w:cs="Tahoma"/>
          <w:sz w:val="24"/>
          <w:szCs w:val="24"/>
        </w:rPr>
        <w:t>Projektowana ustawa ma na celu częściowe zrekompensowanie pracownikom domów pomocy społecznej ciężkich warunków pracy</w:t>
      </w:r>
      <w:r w:rsidR="001D35B1">
        <w:rPr>
          <w:rFonts w:ascii="Tahoma" w:hAnsi="Tahoma" w:cs="Tahoma"/>
          <w:sz w:val="24"/>
          <w:szCs w:val="24"/>
        </w:rPr>
        <w:t xml:space="preserve"> oraz wypełnienie luki systemowej polegającej na braku uznania pracy pielęgniarkę w domach pomocy społecznej jako wykonywanie zawodu pielęgniarki</w:t>
      </w:r>
      <w:r w:rsidRPr="001D35B1">
        <w:rPr>
          <w:rFonts w:ascii="Tahoma" w:hAnsi="Tahoma" w:cs="Tahoma"/>
          <w:sz w:val="24"/>
          <w:szCs w:val="24"/>
        </w:rPr>
        <w:t xml:space="preserve">. Pandemia SARS-CoV-2 pokazała na jakie zagrożenia i ryzyka wystawieni są pracownicy DPS oraz jak ciężka jest to praca. Projektodawca dostrzega braki w obecnym systemie wynagrodzeń pracowników DPS i do momentu usprawnienia całego systemu wskazuje na konieczność przyjęcia proponowanego dodatku. </w:t>
      </w:r>
    </w:p>
    <w:p w14:paraId="0000001D" w14:textId="77777777" w:rsidR="002D7C70" w:rsidRPr="001D35B1" w:rsidRDefault="002D7C70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</w:p>
    <w:p w14:paraId="0000001E" w14:textId="77777777" w:rsidR="002D7C70" w:rsidRPr="001D35B1" w:rsidRDefault="00814C9F">
      <w:pPr>
        <w:spacing w:after="240" w:line="360" w:lineRule="auto"/>
        <w:ind w:firstLine="72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1D35B1">
        <w:rPr>
          <w:rFonts w:ascii="Tahoma" w:eastAsia="Times New Roman" w:hAnsi="Tahoma" w:cs="Tahoma"/>
          <w:b/>
          <w:sz w:val="24"/>
          <w:szCs w:val="24"/>
        </w:rPr>
        <w:t>2. Proponowane przepisy</w:t>
      </w:r>
    </w:p>
    <w:p w14:paraId="0000001F" w14:textId="77777777" w:rsidR="002D7C70" w:rsidRPr="001D35B1" w:rsidRDefault="00814C9F" w:rsidP="001D35B1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1D35B1">
        <w:rPr>
          <w:rFonts w:ascii="Tahoma" w:eastAsia="Times New Roman" w:hAnsi="Tahoma" w:cs="Tahoma"/>
          <w:sz w:val="24"/>
          <w:szCs w:val="24"/>
        </w:rPr>
        <w:t xml:space="preserve">Projektodawca proponuje dodanie art. 66a w ustawie </w:t>
      </w:r>
      <w:r w:rsidRPr="001D35B1">
        <w:rPr>
          <w:rFonts w:ascii="Tahoma" w:hAnsi="Tahoma" w:cs="Tahoma"/>
          <w:sz w:val="24"/>
          <w:szCs w:val="24"/>
        </w:rPr>
        <w:t>ustawie z dnia 12 marca 2004 r. o pomocy społecznej (Dz.U. z 2020 r. poz. 1876, 2369). Zgodnie z tym przepisem pracownikom domów pomocy społecznej pracującym w trudnych lub uciążliwych warunkach przysługiwać będzie dodatek za warunki pracy. Dodatek ten będzie wynosić 15% wynagrodzenia zasadniczego. Dodatek będzie wypłacany przez prowadzącą lub nadzorującą jednostkę samorządu terytorialnego. Środki finansowe będą pochodzić z dotacji celowej z budżetu państwa, o której mowa w ustawie o dochodach jednostek samorządu terytorialnego.</w:t>
      </w:r>
    </w:p>
    <w:p w14:paraId="00000020" w14:textId="77777777" w:rsidR="002D7C70" w:rsidRPr="001D35B1" w:rsidRDefault="00814C9F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1D35B1">
        <w:rPr>
          <w:rFonts w:ascii="Tahoma" w:hAnsi="Tahoma" w:cs="Tahoma"/>
          <w:sz w:val="24"/>
          <w:szCs w:val="24"/>
        </w:rPr>
        <w:t>W art. 2 proponuje się dodanie ust. 2c w art. 26 ustawy dnia 15 lipca 2011 r. o zawodach pielęgniarki i położnej Dz.U. z 2020 r. poz. 562, 567, 945, 1493, 2401). Zgodnie z proponowanym przepisem pielęgniarki zatrudnione w domach pomocy społecznej, czyli placówkach świadczących usługi bytowe, opiekuńcze, wspomagające i edukacyjne na poziomie obowiązującego standardu, w zakresie i formach wynikających z indywidualnych potrzeb osób w nim przebywających, z punktu widzenia ustawodawcy nadal wykonują zaw</w:t>
      </w:r>
      <w:bookmarkStart w:id="0" w:name="_GoBack"/>
      <w:bookmarkEnd w:id="0"/>
      <w:r w:rsidRPr="001D35B1">
        <w:rPr>
          <w:rFonts w:ascii="Tahoma" w:hAnsi="Tahoma" w:cs="Tahoma"/>
          <w:sz w:val="24"/>
          <w:szCs w:val="24"/>
        </w:rPr>
        <w:t xml:space="preserve">ód pielęgniarki w takim zakresie, w jakim </w:t>
      </w:r>
      <w:r w:rsidRPr="001D35B1">
        <w:rPr>
          <w:rFonts w:ascii="Tahoma" w:hAnsi="Tahoma" w:cs="Tahoma"/>
          <w:sz w:val="24"/>
          <w:szCs w:val="24"/>
        </w:rPr>
        <w:lastRenderedPageBreak/>
        <w:t xml:space="preserve">nie wlicza się do terminu, po upływie którego tracą prawo do wykonywania zawodu w myśl art. 26 ust. 1 zmienianej ustawy. </w:t>
      </w:r>
    </w:p>
    <w:p w14:paraId="00000021" w14:textId="77777777" w:rsidR="002D7C70" w:rsidRPr="001D35B1" w:rsidRDefault="00814C9F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1D35B1">
        <w:rPr>
          <w:rFonts w:ascii="Tahoma" w:hAnsi="Tahoma" w:cs="Tahoma"/>
          <w:sz w:val="24"/>
          <w:szCs w:val="24"/>
        </w:rPr>
        <w:t xml:space="preserve">Proponuje się wejście w życie niniejszej ustawy 1 stycznia 2022 roku, wraz z rozpoczęciem nowego roku budżetowego. </w:t>
      </w:r>
    </w:p>
    <w:p w14:paraId="00000022" w14:textId="77777777" w:rsidR="002D7C70" w:rsidRPr="001D35B1" w:rsidRDefault="002D7C70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00000023" w14:textId="30EA4B3D" w:rsidR="002D7C70" w:rsidRPr="001D35B1" w:rsidRDefault="00814C9F" w:rsidP="001D35B1">
      <w:pPr>
        <w:spacing w:after="240" w:line="360" w:lineRule="auto"/>
        <w:ind w:firstLine="720"/>
        <w:jc w:val="both"/>
        <w:rPr>
          <w:rFonts w:ascii="Tahoma" w:hAnsi="Tahoma" w:cs="Tahoma"/>
          <w:b/>
          <w:sz w:val="24"/>
          <w:szCs w:val="24"/>
        </w:rPr>
      </w:pPr>
      <w:r w:rsidRPr="001D35B1">
        <w:rPr>
          <w:rFonts w:ascii="Tahoma" w:hAnsi="Tahoma" w:cs="Tahoma"/>
          <w:b/>
          <w:sz w:val="24"/>
          <w:szCs w:val="24"/>
        </w:rPr>
        <w:t>3.</w:t>
      </w:r>
      <w:r w:rsidR="001D35B1">
        <w:rPr>
          <w:rFonts w:ascii="Tahoma" w:hAnsi="Tahoma" w:cs="Tahoma"/>
          <w:sz w:val="24"/>
          <w:szCs w:val="24"/>
        </w:rPr>
        <w:t xml:space="preserve"> </w:t>
      </w:r>
      <w:r w:rsidRPr="001D35B1">
        <w:rPr>
          <w:rFonts w:ascii="Tahoma" w:hAnsi="Tahoma" w:cs="Tahoma"/>
          <w:b/>
          <w:sz w:val="24"/>
          <w:szCs w:val="24"/>
        </w:rPr>
        <w:t>Źródła finansowania</w:t>
      </w:r>
    </w:p>
    <w:p w14:paraId="00000024" w14:textId="77777777" w:rsidR="002D7C70" w:rsidRPr="001D35B1" w:rsidRDefault="00814C9F">
      <w:pPr>
        <w:spacing w:before="240" w:after="240" w:line="360" w:lineRule="auto"/>
        <w:jc w:val="both"/>
        <w:rPr>
          <w:rFonts w:ascii="Tahoma" w:hAnsi="Tahoma" w:cs="Tahoma"/>
          <w:sz w:val="24"/>
          <w:szCs w:val="24"/>
        </w:rPr>
      </w:pPr>
      <w:r w:rsidRPr="001D35B1">
        <w:rPr>
          <w:rFonts w:ascii="Tahoma" w:hAnsi="Tahoma" w:cs="Tahoma"/>
          <w:sz w:val="24"/>
          <w:szCs w:val="24"/>
        </w:rPr>
        <w:t>Dodatkowe środki na wynagrodzenia w kwocie ok. 32 400 000 zł będą pochodziły z budżetu państwa z części, której dysponentem jest minister właściwy do spraw zabezpieczenia społecznego</w:t>
      </w:r>
    </w:p>
    <w:p w14:paraId="00000025" w14:textId="0B49880D" w:rsidR="002D7C70" w:rsidRPr="001D35B1" w:rsidRDefault="00814C9F" w:rsidP="001D35B1">
      <w:pPr>
        <w:spacing w:before="240" w:after="240" w:line="360" w:lineRule="auto"/>
        <w:ind w:firstLine="720"/>
        <w:jc w:val="both"/>
        <w:rPr>
          <w:rFonts w:ascii="Tahoma" w:hAnsi="Tahoma" w:cs="Tahoma"/>
          <w:b/>
          <w:sz w:val="24"/>
          <w:szCs w:val="24"/>
        </w:rPr>
      </w:pPr>
      <w:r w:rsidRPr="001D35B1">
        <w:rPr>
          <w:rFonts w:ascii="Tahoma" w:hAnsi="Tahoma" w:cs="Tahoma"/>
          <w:b/>
          <w:sz w:val="24"/>
          <w:szCs w:val="24"/>
        </w:rPr>
        <w:t>4.</w:t>
      </w:r>
      <w:r w:rsidR="001D35B1">
        <w:rPr>
          <w:rFonts w:ascii="Tahoma" w:hAnsi="Tahoma" w:cs="Tahoma"/>
          <w:sz w:val="24"/>
          <w:szCs w:val="24"/>
        </w:rPr>
        <w:t xml:space="preserve"> </w:t>
      </w:r>
      <w:r w:rsidRPr="001D35B1">
        <w:rPr>
          <w:rFonts w:ascii="Tahoma" w:hAnsi="Tahoma" w:cs="Tahoma"/>
          <w:b/>
          <w:sz w:val="24"/>
          <w:szCs w:val="24"/>
        </w:rPr>
        <w:t>Oświadczenie o zgodności projektu ustawy z prawem unii Europejskiej i braku obowiązku przedstawienia projektu instytucjom Unii Europejskiej</w:t>
      </w:r>
    </w:p>
    <w:p w14:paraId="00000026" w14:textId="77777777" w:rsidR="002D7C70" w:rsidRPr="001D35B1" w:rsidRDefault="00814C9F">
      <w:pPr>
        <w:spacing w:before="240" w:after="240" w:line="360" w:lineRule="auto"/>
        <w:jc w:val="both"/>
        <w:rPr>
          <w:rFonts w:ascii="Tahoma" w:hAnsi="Tahoma" w:cs="Tahoma"/>
          <w:sz w:val="24"/>
          <w:szCs w:val="24"/>
        </w:rPr>
      </w:pPr>
      <w:r w:rsidRPr="001D35B1">
        <w:rPr>
          <w:rFonts w:ascii="Tahoma" w:hAnsi="Tahoma" w:cs="Tahoma"/>
          <w:sz w:val="24"/>
          <w:szCs w:val="24"/>
        </w:rPr>
        <w:t>W ocenie projektodawcy przedmiot projektowanej regulacji nie jest objęty prawem Unii Europejskiej.</w:t>
      </w:r>
    </w:p>
    <w:p w14:paraId="00000027" w14:textId="52323563" w:rsidR="002D7C70" w:rsidRPr="001D35B1" w:rsidRDefault="00814C9F" w:rsidP="001D35B1">
      <w:pPr>
        <w:spacing w:before="240" w:after="240" w:line="360" w:lineRule="auto"/>
        <w:ind w:firstLine="720"/>
        <w:jc w:val="both"/>
        <w:rPr>
          <w:rFonts w:ascii="Tahoma" w:hAnsi="Tahoma" w:cs="Tahoma"/>
          <w:b/>
          <w:sz w:val="24"/>
          <w:szCs w:val="24"/>
        </w:rPr>
      </w:pPr>
      <w:r w:rsidRPr="001D35B1">
        <w:rPr>
          <w:rFonts w:ascii="Tahoma" w:hAnsi="Tahoma" w:cs="Tahoma"/>
          <w:b/>
          <w:sz w:val="24"/>
          <w:szCs w:val="24"/>
        </w:rPr>
        <w:t>5.</w:t>
      </w:r>
      <w:r w:rsidR="001D35B1">
        <w:rPr>
          <w:rFonts w:ascii="Tahoma" w:hAnsi="Tahoma" w:cs="Tahoma"/>
          <w:sz w:val="24"/>
          <w:szCs w:val="24"/>
        </w:rPr>
        <w:t xml:space="preserve"> </w:t>
      </w:r>
      <w:r w:rsidRPr="001D35B1">
        <w:rPr>
          <w:rFonts w:ascii="Tahoma" w:hAnsi="Tahoma" w:cs="Tahoma"/>
          <w:b/>
          <w:sz w:val="24"/>
          <w:szCs w:val="24"/>
        </w:rPr>
        <w:t>Oświadczenie o notyfikacji zgodnie z przepisami dotyczącymi funkcjonowania krajowego sytemu notyfikacji norm i aktów prawnych</w:t>
      </w:r>
    </w:p>
    <w:p w14:paraId="00000028" w14:textId="77777777" w:rsidR="002D7C70" w:rsidRPr="001D35B1" w:rsidRDefault="00814C9F">
      <w:pPr>
        <w:spacing w:before="240" w:after="240" w:line="360" w:lineRule="auto"/>
        <w:jc w:val="both"/>
        <w:rPr>
          <w:rFonts w:ascii="Tahoma" w:hAnsi="Tahoma" w:cs="Tahoma"/>
          <w:sz w:val="24"/>
          <w:szCs w:val="24"/>
        </w:rPr>
      </w:pPr>
      <w:r w:rsidRPr="001D35B1">
        <w:rPr>
          <w:rFonts w:ascii="Tahoma" w:hAnsi="Tahoma" w:cs="Tahoma"/>
          <w:sz w:val="24"/>
          <w:szCs w:val="24"/>
        </w:rPr>
        <w:t>Projekt ustawy nie wymaga przedstawienia właściwym organom i instytucjom Unii Europejskiej w tym Europejskiemu Bankowi Centralnemu, w celu uzyskania opinii, dokonania powiadomienia, konsultacji lub uzgodnienia.</w:t>
      </w:r>
    </w:p>
    <w:p w14:paraId="00000029" w14:textId="1E225E0A" w:rsidR="002D7C70" w:rsidRPr="001D35B1" w:rsidRDefault="00814C9F" w:rsidP="001D35B1">
      <w:pPr>
        <w:spacing w:before="240" w:after="240" w:line="360" w:lineRule="auto"/>
        <w:ind w:firstLine="720"/>
        <w:jc w:val="both"/>
        <w:rPr>
          <w:rFonts w:ascii="Tahoma" w:hAnsi="Tahoma" w:cs="Tahoma"/>
          <w:b/>
          <w:sz w:val="24"/>
          <w:szCs w:val="24"/>
        </w:rPr>
      </w:pPr>
      <w:r w:rsidRPr="001D35B1">
        <w:rPr>
          <w:rFonts w:ascii="Tahoma" w:hAnsi="Tahoma" w:cs="Tahoma"/>
          <w:b/>
          <w:sz w:val="24"/>
          <w:szCs w:val="24"/>
        </w:rPr>
        <w:t>6.</w:t>
      </w:r>
      <w:r w:rsidRPr="001D35B1">
        <w:rPr>
          <w:rFonts w:ascii="Tahoma" w:hAnsi="Tahoma" w:cs="Tahoma"/>
          <w:sz w:val="24"/>
          <w:szCs w:val="24"/>
        </w:rPr>
        <w:t xml:space="preserve"> </w:t>
      </w:r>
      <w:r w:rsidRPr="001D35B1">
        <w:rPr>
          <w:rFonts w:ascii="Tahoma" w:hAnsi="Tahoma" w:cs="Tahoma"/>
          <w:b/>
          <w:sz w:val="24"/>
          <w:szCs w:val="24"/>
        </w:rPr>
        <w:t>Konsultacje społeczne</w:t>
      </w:r>
    </w:p>
    <w:p w14:paraId="0000002A" w14:textId="77777777" w:rsidR="002D7C70" w:rsidRPr="001D35B1" w:rsidRDefault="00814C9F">
      <w:pPr>
        <w:spacing w:before="240" w:after="240" w:line="360" w:lineRule="auto"/>
        <w:jc w:val="both"/>
        <w:rPr>
          <w:rFonts w:ascii="Tahoma" w:hAnsi="Tahoma" w:cs="Tahoma"/>
          <w:sz w:val="24"/>
          <w:szCs w:val="24"/>
        </w:rPr>
      </w:pPr>
      <w:r w:rsidRPr="001D35B1">
        <w:rPr>
          <w:rFonts w:ascii="Tahoma" w:hAnsi="Tahoma" w:cs="Tahoma"/>
          <w:sz w:val="24"/>
          <w:szCs w:val="24"/>
        </w:rPr>
        <w:t xml:space="preserve">Projekt ustawy był konsultowany z przedstawicielkami i przedstawicielami dyrekcji domów pomocy społeczny. </w:t>
      </w:r>
    </w:p>
    <w:p w14:paraId="0000002B" w14:textId="77777777" w:rsidR="002D7C70" w:rsidRPr="001D35B1" w:rsidRDefault="00814C9F" w:rsidP="001D35B1">
      <w:pPr>
        <w:spacing w:before="240" w:after="240" w:line="360" w:lineRule="auto"/>
        <w:ind w:firstLine="720"/>
        <w:jc w:val="both"/>
        <w:rPr>
          <w:rFonts w:ascii="Tahoma" w:hAnsi="Tahoma" w:cs="Tahoma"/>
          <w:b/>
          <w:sz w:val="24"/>
          <w:szCs w:val="24"/>
        </w:rPr>
      </w:pPr>
      <w:r w:rsidRPr="001D35B1">
        <w:rPr>
          <w:rFonts w:ascii="Tahoma" w:hAnsi="Tahoma" w:cs="Tahoma"/>
          <w:b/>
          <w:sz w:val="24"/>
          <w:szCs w:val="24"/>
        </w:rPr>
        <w:t>7.</w:t>
      </w:r>
      <w:r w:rsidRPr="001D35B1">
        <w:rPr>
          <w:rFonts w:ascii="Tahoma" w:hAnsi="Tahoma" w:cs="Tahoma"/>
          <w:sz w:val="24"/>
          <w:szCs w:val="24"/>
        </w:rPr>
        <w:t xml:space="preserve"> </w:t>
      </w:r>
      <w:r w:rsidRPr="001D35B1">
        <w:rPr>
          <w:rFonts w:ascii="Tahoma" w:hAnsi="Tahoma" w:cs="Tahoma"/>
          <w:b/>
          <w:sz w:val="24"/>
          <w:szCs w:val="24"/>
        </w:rPr>
        <w:t>Zgodność z Konstytucją RP</w:t>
      </w:r>
    </w:p>
    <w:p w14:paraId="0000002C" w14:textId="77777777" w:rsidR="002D7C70" w:rsidRPr="001D35B1" w:rsidRDefault="00814C9F">
      <w:pPr>
        <w:spacing w:before="240" w:after="240" w:line="360" w:lineRule="auto"/>
        <w:jc w:val="both"/>
        <w:rPr>
          <w:rFonts w:ascii="Tahoma" w:hAnsi="Tahoma" w:cs="Tahoma"/>
          <w:sz w:val="24"/>
          <w:szCs w:val="24"/>
        </w:rPr>
      </w:pPr>
      <w:r w:rsidRPr="001D35B1">
        <w:rPr>
          <w:rFonts w:ascii="Tahoma" w:hAnsi="Tahoma" w:cs="Tahoma"/>
          <w:sz w:val="24"/>
          <w:szCs w:val="24"/>
        </w:rPr>
        <w:t>Projektodawcy oświadczają, iż przedstawiony projekt ustawy jest zgodny z Konstytucją RP.</w:t>
      </w:r>
    </w:p>
    <w:p w14:paraId="0000002D" w14:textId="77777777" w:rsidR="002D7C70" w:rsidRPr="001D35B1" w:rsidRDefault="00814C9F" w:rsidP="001D35B1">
      <w:pPr>
        <w:spacing w:before="240" w:after="240" w:line="360" w:lineRule="auto"/>
        <w:ind w:firstLine="720"/>
        <w:jc w:val="both"/>
        <w:rPr>
          <w:rFonts w:ascii="Tahoma" w:hAnsi="Tahoma" w:cs="Tahoma"/>
          <w:b/>
          <w:sz w:val="24"/>
          <w:szCs w:val="24"/>
        </w:rPr>
      </w:pPr>
      <w:r w:rsidRPr="001D35B1">
        <w:rPr>
          <w:rFonts w:ascii="Tahoma" w:hAnsi="Tahoma" w:cs="Tahoma"/>
          <w:b/>
          <w:sz w:val="24"/>
          <w:szCs w:val="24"/>
        </w:rPr>
        <w:lastRenderedPageBreak/>
        <w:t>8.</w:t>
      </w:r>
      <w:r w:rsidRPr="001D35B1">
        <w:rPr>
          <w:rFonts w:ascii="Tahoma" w:hAnsi="Tahoma" w:cs="Tahoma"/>
          <w:sz w:val="24"/>
          <w:szCs w:val="24"/>
        </w:rPr>
        <w:t xml:space="preserve"> </w:t>
      </w:r>
      <w:r w:rsidRPr="001D35B1">
        <w:rPr>
          <w:rFonts w:ascii="Tahoma" w:hAnsi="Tahoma" w:cs="Tahoma"/>
          <w:b/>
          <w:sz w:val="24"/>
          <w:szCs w:val="24"/>
        </w:rPr>
        <w:t>Założenia projektów aktów wykonawczych</w:t>
      </w:r>
    </w:p>
    <w:p w14:paraId="0000002E" w14:textId="707D404B" w:rsidR="002D7C70" w:rsidRPr="001D35B1" w:rsidRDefault="001D35B1">
      <w:pPr>
        <w:spacing w:line="360" w:lineRule="auto"/>
        <w:ind w:firstLine="720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Rozporządzenie ministra właściwego</w:t>
      </w:r>
      <w:r w:rsidR="00814C9F" w:rsidRPr="001D35B1">
        <w:rPr>
          <w:rFonts w:ascii="Tahoma" w:hAnsi="Tahoma" w:cs="Tahoma"/>
          <w:b/>
          <w:sz w:val="24"/>
          <w:szCs w:val="24"/>
        </w:rPr>
        <w:t xml:space="preserve"> do spraw zabezpieczenia społecznego, w porozumieniu z ministrem właściwym do spraw pracy </w:t>
      </w:r>
      <w:r>
        <w:rPr>
          <w:rFonts w:ascii="Tahoma" w:hAnsi="Tahoma" w:cs="Tahoma"/>
          <w:b/>
          <w:sz w:val="24"/>
          <w:szCs w:val="24"/>
        </w:rPr>
        <w:t xml:space="preserve">wydane </w:t>
      </w:r>
      <w:r w:rsidR="00814C9F" w:rsidRPr="001D35B1">
        <w:rPr>
          <w:rFonts w:ascii="Tahoma" w:hAnsi="Tahoma" w:cs="Tahoma"/>
          <w:b/>
          <w:sz w:val="24"/>
          <w:szCs w:val="24"/>
        </w:rPr>
        <w:t>na podstawie art. 66a ustawy z dnia 12 marca 2004 r. o pomocy społecznej (Dz.U. z 2020 r. poz. 1876, 2369)</w:t>
      </w:r>
    </w:p>
    <w:p w14:paraId="0000002F" w14:textId="77777777" w:rsidR="002D7C70" w:rsidRPr="001D35B1" w:rsidRDefault="00814C9F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1D35B1">
        <w:rPr>
          <w:rFonts w:ascii="Tahoma" w:hAnsi="Tahoma" w:cs="Tahoma"/>
          <w:sz w:val="24"/>
          <w:szCs w:val="24"/>
        </w:rPr>
        <w:t>Minister określi wykaz trudnych i uciążliwych warunków pracy, stanowiących podstawę do przyznania z tego tytułu dodatku, w wysokości 15% wynagrodzenia zasadniczego. Minister weźmie pod uwagę stopień trudności pracy wykonywanej w warunkach trudnych i uciążliwych, w szczególności pracę wymagającą dużego wysiłku fizycznego, pracę w stresie oraz indywidualne usługi świadczone w domu pomocy społecznej.</w:t>
      </w:r>
    </w:p>
    <w:p w14:paraId="00000030" w14:textId="77777777" w:rsidR="002D7C70" w:rsidRPr="001D35B1" w:rsidRDefault="002D7C70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</w:p>
    <w:p w14:paraId="00000031" w14:textId="77777777" w:rsidR="002D7C70" w:rsidRPr="001D35B1" w:rsidRDefault="002D7C70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</w:p>
    <w:p w14:paraId="00000032" w14:textId="77777777" w:rsidR="002D7C70" w:rsidRPr="001D35B1" w:rsidRDefault="002D7C70">
      <w:pPr>
        <w:spacing w:line="360" w:lineRule="auto"/>
        <w:rPr>
          <w:rFonts w:ascii="Tahoma" w:hAnsi="Tahoma" w:cs="Tahoma"/>
          <w:sz w:val="24"/>
          <w:szCs w:val="24"/>
        </w:rPr>
      </w:pPr>
    </w:p>
    <w:sectPr w:rsidR="002D7C70" w:rsidRPr="001D35B1" w:rsidSect="000D5D70">
      <w:footerReference w:type="default" r:id="rId6"/>
      <w:pgSz w:w="11909" w:h="16834"/>
      <w:pgMar w:top="1440" w:right="1440" w:bottom="1843" w:left="1440" w:header="720" w:footer="720" w:gutter="0"/>
      <w:pgNumType w:start="3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708A1E" w14:textId="77777777" w:rsidR="0062552F" w:rsidRDefault="0062552F" w:rsidP="001D35B1">
      <w:pPr>
        <w:spacing w:line="240" w:lineRule="auto"/>
      </w:pPr>
      <w:r>
        <w:separator/>
      </w:r>
    </w:p>
  </w:endnote>
  <w:endnote w:type="continuationSeparator" w:id="0">
    <w:p w14:paraId="46D812F9" w14:textId="77777777" w:rsidR="0062552F" w:rsidRDefault="0062552F" w:rsidP="001D35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ahoma" w:hAnsi="Tahoma" w:cs="Tahoma"/>
        <w:sz w:val="24"/>
        <w:szCs w:val="24"/>
      </w:rPr>
      <w:id w:val="2032686849"/>
      <w:docPartObj>
        <w:docPartGallery w:val="Page Numbers (Bottom of Page)"/>
        <w:docPartUnique/>
      </w:docPartObj>
    </w:sdtPr>
    <w:sdtEndPr/>
    <w:sdtContent>
      <w:p w14:paraId="767A35C0" w14:textId="271D9BEC" w:rsidR="001D35B1" w:rsidRPr="001D35B1" w:rsidRDefault="001D35B1">
        <w:pPr>
          <w:pStyle w:val="Stopka"/>
          <w:jc w:val="center"/>
          <w:rPr>
            <w:rFonts w:ascii="Tahoma" w:hAnsi="Tahoma" w:cs="Tahoma"/>
            <w:sz w:val="24"/>
            <w:szCs w:val="24"/>
          </w:rPr>
        </w:pPr>
        <w:r w:rsidRPr="001D35B1">
          <w:rPr>
            <w:rFonts w:ascii="Tahoma" w:hAnsi="Tahoma" w:cs="Tahoma"/>
            <w:sz w:val="24"/>
            <w:szCs w:val="24"/>
          </w:rPr>
          <w:fldChar w:fldCharType="begin"/>
        </w:r>
        <w:r w:rsidRPr="001D35B1">
          <w:rPr>
            <w:rFonts w:ascii="Tahoma" w:hAnsi="Tahoma" w:cs="Tahoma"/>
            <w:sz w:val="24"/>
            <w:szCs w:val="24"/>
          </w:rPr>
          <w:instrText>PAGE   \* MERGEFORMAT</w:instrText>
        </w:r>
        <w:r w:rsidRPr="001D35B1">
          <w:rPr>
            <w:rFonts w:ascii="Tahoma" w:hAnsi="Tahoma" w:cs="Tahoma"/>
            <w:sz w:val="24"/>
            <w:szCs w:val="24"/>
          </w:rPr>
          <w:fldChar w:fldCharType="separate"/>
        </w:r>
        <w:r w:rsidR="000D5D70" w:rsidRPr="000D5D70">
          <w:rPr>
            <w:rFonts w:ascii="Tahoma" w:hAnsi="Tahoma" w:cs="Tahoma"/>
            <w:noProof/>
            <w:sz w:val="24"/>
            <w:szCs w:val="24"/>
            <w:lang w:val="pl-PL"/>
          </w:rPr>
          <w:t>4</w:t>
        </w:r>
        <w:r w:rsidRPr="001D35B1">
          <w:rPr>
            <w:rFonts w:ascii="Tahoma" w:hAnsi="Tahoma" w:cs="Tahoma"/>
            <w:sz w:val="24"/>
            <w:szCs w:val="24"/>
          </w:rPr>
          <w:fldChar w:fldCharType="end"/>
        </w:r>
      </w:p>
    </w:sdtContent>
  </w:sdt>
  <w:p w14:paraId="796559C3" w14:textId="77777777" w:rsidR="001D35B1" w:rsidRPr="001D35B1" w:rsidRDefault="001D35B1">
    <w:pPr>
      <w:pStyle w:val="Stopka"/>
      <w:rPr>
        <w:rFonts w:ascii="Tahoma" w:hAnsi="Tahoma" w:cs="Tahoma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DDB3C4" w14:textId="77777777" w:rsidR="0062552F" w:rsidRDefault="0062552F" w:rsidP="001D35B1">
      <w:pPr>
        <w:spacing w:line="240" w:lineRule="auto"/>
      </w:pPr>
      <w:r>
        <w:separator/>
      </w:r>
    </w:p>
  </w:footnote>
  <w:footnote w:type="continuationSeparator" w:id="0">
    <w:p w14:paraId="564FE971" w14:textId="77777777" w:rsidR="0062552F" w:rsidRDefault="0062552F" w:rsidP="001D35B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C70"/>
    <w:rsid w:val="00090295"/>
    <w:rsid w:val="000D5D70"/>
    <w:rsid w:val="001D35B1"/>
    <w:rsid w:val="002A7F39"/>
    <w:rsid w:val="002D7C70"/>
    <w:rsid w:val="002E3758"/>
    <w:rsid w:val="0062552F"/>
    <w:rsid w:val="00814C9F"/>
    <w:rsid w:val="00C376C0"/>
    <w:rsid w:val="00CC0276"/>
    <w:rsid w:val="00CF18DE"/>
    <w:rsid w:val="00D4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6F08A4"/>
  <w15:docId w15:val="{42077BFF-924B-4411-8273-A5320688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1D35B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5B1"/>
  </w:style>
  <w:style w:type="paragraph" w:styleId="Stopka">
    <w:name w:val="footer"/>
    <w:basedOn w:val="Normalny"/>
    <w:link w:val="StopkaZnak"/>
    <w:uiPriority w:val="99"/>
    <w:unhideWhenUsed/>
    <w:rsid w:val="001D35B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5B1"/>
  </w:style>
  <w:style w:type="paragraph" w:styleId="Akapitzlist">
    <w:name w:val="List Paragraph"/>
    <w:basedOn w:val="Normalny"/>
    <w:uiPriority w:val="34"/>
    <w:qFormat/>
    <w:rsid w:val="001D35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3709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Standerski</dc:creator>
  <cp:lastModifiedBy>Grzegorz Molesztak</cp:lastModifiedBy>
  <cp:revision>5</cp:revision>
  <cp:lastPrinted>2021-03-16T11:44:00Z</cp:lastPrinted>
  <dcterms:created xsi:type="dcterms:W3CDTF">2021-03-02T08:18:00Z</dcterms:created>
  <dcterms:modified xsi:type="dcterms:W3CDTF">2021-03-16T11:44:00Z</dcterms:modified>
</cp:coreProperties>
</file>