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C25" w:rsidRPr="00261EAE" w:rsidRDefault="00872C25" w:rsidP="00261EAE">
      <w:pPr>
        <w:pStyle w:val="Tytu"/>
        <w:spacing w:before="120" w:line="360" w:lineRule="auto"/>
        <w:rPr>
          <w:b w:val="0"/>
          <w:sz w:val="24"/>
        </w:rPr>
      </w:pPr>
      <w:r w:rsidRPr="00261EAE">
        <w:rPr>
          <w:b w:val="0"/>
          <w:sz w:val="24"/>
        </w:rPr>
        <w:t>UZASADNIENIE</w:t>
      </w:r>
    </w:p>
    <w:p w:rsidR="00872C25" w:rsidRPr="00F55ED4" w:rsidRDefault="00872C25" w:rsidP="00261EAE">
      <w:pPr>
        <w:numPr>
          <w:ilvl w:val="0"/>
          <w:numId w:val="1"/>
        </w:numPr>
        <w:spacing w:before="120" w:line="360" w:lineRule="auto"/>
        <w:ind w:left="426" w:hanging="426"/>
        <w:jc w:val="both"/>
        <w:rPr>
          <w:b/>
        </w:rPr>
      </w:pPr>
      <w:r w:rsidRPr="00F55ED4">
        <w:rPr>
          <w:b/>
        </w:rPr>
        <w:t>Potrzeba i cel związania Rzeczypospolitej Polskiej</w:t>
      </w:r>
      <w:r w:rsidR="00F55ED4">
        <w:rPr>
          <w:b/>
        </w:rPr>
        <w:t xml:space="preserve"> </w:t>
      </w:r>
      <w:r w:rsidRPr="00F55ED4">
        <w:rPr>
          <w:b/>
        </w:rPr>
        <w:t>umową</w:t>
      </w:r>
    </w:p>
    <w:p w:rsidR="00184D4E" w:rsidRPr="00F55ED4" w:rsidRDefault="00872C25" w:rsidP="00261EAE">
      <w:pPr>
        <w:pStyle w:val="trescpisma"/>
        <w:spacing w:before="120"/>
        <w:ind w:firstLine="0"/>
        <w:rPr>
          <w:i/>
          <w:lang w:val="pl-PL"/>
        </w:rPr>
      </w:pPr>
      <w:r w:rsidRPr="00E943D5">
        <w:rPr>
          <w:lang w:val="pl-PL"/>
        </w:rPr>
        <w:t>Zgodnie z art. 128 Porozumienia o Europejskim Obszarze Gospodarczym (dalej: Porozumieni</w:t>
      </w:r>
      <w:r w:rsidR="00E943D5">
        <w:rPr>
          <w:lang w:val="pl-PL"/>
        </w:rPr>
        <w:t>e</w:t>
      </w:r>
      <w:r w:rsidRPr="00E943D5">
        <w:rPr>
          <w:lang w:val="pl-PL"/>
        </w:rPr>
        <w:t xml:space="preserve"> o EOG), Republika </w:t>
      </w:r>
      <w:r w:rsidR="0067357F" w:rsidRPr="00E943D5">
        <w:rPr>
          <w:lang w:val="pl-PL"/>
        </w:rPr>
        <w:t>Chorwacji</w:t>
      </w:r>
      <w:r w:rsidRPr="00E943D5">
        <w:rPr>
          <w:lang w:val="pl-PL"/>
        </w:rPr>
        <w:t xml:space="preserve">, stając się członkiem Unii Europejskiej </w:t>
      </w:r>
      <w:r w:rsidR="00C40F87" w:rsidRPr="00E943D5">
        <w:rPr>
          <w:lang w:val="pl-PL"/>
        </w:rPr>
        <w:t>z </w:t>
      </w:r>
      <w:r w:rsidRPr="00E943D5">
        <w:rPr>
          <w:lang w:val="pl-PL"/>
        </w:rPr>
        <w:t>dniem 1</w:t>
      </w:r>
      <w:r w:rsidR="00302996" w:rsidRPr="00E943D5">
        <w:rPr>
          <w:lang w:val="pl-PL"/>
        </w:rPr>
        <w:t xml:space="preserve"> lipca 2013 r.</w:t>
      </w:r>
      <w:r w:rsidR="00567A36" w:rsidRPr="00E943D5">
        <w:rPr>
          <w:lang w:val="pl-PL"/>
        </w:rPr>
        <w:t>,</w:t>
      </w:r>
      <w:r w:rsidR="00302996" w:rsidRPr="00E943D5">
        <w:rPr>
          <w:lang w:val="pl-PL"/>
        </w:rPr>
        <w:t xml:space="preserve"> </w:t>
      </w:r>
      <w:r w:rsidR="00616A9F" w:rsidRPr="00E943D5">
        <w:rPr>
          <w:lang w:val="pl-PL"/>
        </w:rPr>
        <w:t xml:space="preserve">powinna również stać się stroną Porozumienia o EOG. </w:t>
      </w:r>
      <w:r w:rsidR="00616A9F" w:rsidRPr="00F55ED4">
        <w:rPr>
          <w:lang w:val="pl-PL"/>
        </w:rPr>
        <w:t>Jednak negocjacje Umowy o udziale Republiki Chorwacji w Europejskim Obszarze Gospodarczym i trzech powiązanych umowach</w:t>
      </w:r>
      <w:r w:rsidR="00567A36">
        <w:rPr>
          <w:lang w:val="pl-PL"/>
        </w:rPr>
        <w:t>,</w:t>
      </w:r>
      <w:r w:rsidR="00616A9F" w:rsidRPr="00F55ED4">
        <w:rPr>
          <w:lang w:val="pl-PL"/>
        </w:rPr>
        <w:t xml:space="preserve"> tj. </w:t>
      </w:r>
      <w:r w:rsidR="00697515" w:rsidRPr="00F55ED4">
        <w:rPr>
          <w:lang w:val="pl-PL"/>
        </w:rPr>
        <w:t>w</w:t>
      </w:r>
      <w:r w:rsidR="00184D4E" w:rsidRPr="00F55ED4">
        <w:rPr>
          <w:lang w:val="pl-PL"/>
        </w:rPr>
        <w:t>:</w:t>
      </w:r>
      <w:r w:rsidR="00FE1A60" w:rsidRPr="00F55ED4">
        <w:rPr>
          <w:lang w:val="pl-PL"/>
        </w:rPr>
        <w:t xml:space="preserve"> 1)</w:t>
      </w:r>
      <w:r w:rsidR="00184D4E" w:rsidRPr="00F55ED4">
        <w:rPr>
          <w:lang w:val="pl-PL"/>
        </w:rPr>
        <w:t xml:space="preserve"> Protokole dodatkowy</w:t>
      </w:r>
      <w:r w:rsidR="00FE1A60" w:rsidRPr="00F55ED4">
        <w:rPr>
          <w:lang w:val="pl-PL"/>
        </w:rPr>
        <w:t>m</w:t>
      </w:r>
      <w:r w:rsidR="00184D4E" w:rsidRPr="00F55ED4">
        <w:rPr>
          <w:lang w:val="pl-PL"/>
        </w:rPr>
        <w:t xml:space="preserve"> do Umowy między Królestwem Norwegii a Unią Europejską w sprawie Norweskiego Mechanizmu Finansowego na lata 2009–2014 w związku z udziałem Republiki Chorwacji w Europejskim Obszarze Gospodarczym</w:t>
      </w:r>
      <w:r w:rsidR="00FE1A60" w:rsidRPr="00F55ED4">
        <w:rPr>
          <w:lang w:val="pl-PL"/>
        </w:rPr>
        <w:t>; 2)</w:t>
      </w:r>
      <w:r w:rsidR="00184D4E" w:rsidRPr="00F55ED4">
        <w:rPr>
          <w:lang w:val="pl-PL"/>
        </w:rPr>
        <w:t xml:space="preserve"> Protokole dodatkowym do Umowy między Europejską Wspólnotą Gospodarczą a Islandią w związku </w:t>
      </w:r>
      <w:r w:rsidR="00EB25E1" w:rsidRPr="00F55ED4">
        <w:rPr>
          <w:lang w:val="pl-PL"/>
        </w:rPr>
        <w:t>z</w:t>
      </w:r>
      <w:r w:rsidR="00EB25E1">
        <w:rPr>
          <w:lang w:val="pl-PL"/>
        </w:rPr>
        <w:t> </w:t>
      </w:r>
      <w:r w:rsidR="00184D4E" w:rsidRPr="00F55ED4">
        <w:rPr>
          <w:lang w:val="pl-PL"/>
        </w:rPr>
        <w:t>przystąpieniem Republiki Chorwacji do Unii</w:t>
      </w:r>
      <w:r w:rsidR="00FE1A60" w:rsidRPr="00F55ED4">
        <w:rPr>
          <w:lang w:val="pl-PL"/>
        </w:rPr>
        <w:t xml:space="preserve"> Europejskiej oraz 3)</w:t>
      </w:r>
      <w:r w:rsidR="00184D4E" w:rsidRPr="00F55ED4">
        <w:rPr>
          <w:lang w:val="pl-PL"/>
        </w:rPr>
        <w:t xml:space="preserve"> Protokole dodatkowym do Umowy między Europejską Wspólnotą Gospodarczą a Królestwem Norwegii w związku z przystąpieniem Republiki Chorwacji do Unii Europejskiej zakończyły się w 2014 r</w:t>
      </w:r>
      <w:r w:rsidR="006A2A5C" w:rsidRPr="00F55ED4">
        <w:rPr>
          <w:lang w:val="pl-PL"/>
        </w:rPr>
        <w:t>oku</w:t>
      </w:r>
      <w:r w:rsidR="00184D4E" w:rsidRPr="00F55ED4">
        <w:rPr>
          <w:lang w:val="pl-PL"/>
        </w:rPr>
        <w:t xml:space="preserve">. W dniu 11 kwietnia 2014 r. </w:t>
      </w:r>
      <w:r w:rsidR="00FA161D" w:rsidRPr="00F55ED4">
        <w:rPr>
          <w:lang w:val="pl-PL"/>
        </w:rPr>
        <w:t>Unia Europejska, Islandia, Norwegia, Liechtenstein i Chorwacja podpisały Umowę, która między tymi umawiającymi się stronami jest stosowana tymczasowo od dnia 11 kwietnia 2014 r. na mocy odpowiednich umów zawartych tego dnia w formie wymiany listów. Ww. porozumienia zawarte w formie wymiany listów, a także trzy dwustronne protokoły dodatkowe do umów między Unią Europejską (Europejską Wspólnotą Gospodarczą) a, odpowiednio, Norwegią, Islandią i Liechtensteinem, nie stanowią integralnej części Umowy</w:t>
      </w:r>
      <w:r w:rsidR="00D60D09" w:rsidRPr="00F55ED4">
        <w:rPr>
          <w:lang w:val="pl-PL"/>
        </w:rPr>
        <w:t xml:space="preserve"> i nie będą podpisywane w imieniu Rzeczypospolitej Polskiej wraz z Umową, jednak zostały dołączone do wniosku o udzielenie zgody na podpisanie Umowy ze względu na ich znaczenie dla wejścia w życie i stosowania Umowy (wejście w życie Umowy uzależnione jest od wejścia w życie Protokołów), przy odpowiednim zastosowaniu § 5 ust. 1 pkt 5 rozporzą</w:t>
      </w:r>
      <w:r w:rsidR="00FA1738" w:rsidRPr="00F55ED4">
        <w:rPr>
          <w:lang w:val="pl-PL"/>
        </w:rPr>
        <w:t>dzenia Rady Ministrów z dnia 28</w:t>
      </w:r>
      <w:r w:rsidR="00D60D09" w:rsidRPr="00F55ED4">
        <w:rPr>
          <w:lang w:val="pl-PL"/>
        </w:rPr>
        <w:t xml:space="preserve"> sierpnia 2000 r. </w:t>
      </w:r>
      <w:r w:rsidR="00567A36">
        <w:rPr>
          <w:lang w:val="pl-PL"/>
        </w:rPr>
        <w:t>w sprawie</w:t>
      </w:r>
      <w:r w:rsidR="00D60D09" w:rsidRPr="00F55ED4">
        <w:rPr>
          <w:lang w:val="pl-PL"/>
        </w:rPr>
        <w:t xml:space="preserve"> wykon</w:t>
      </w:r>
      <w:r w:rsidR="00E943D5">
        <w:rPr>
          <w:lang w:val="pl-PL"/>
        </w:rPr>
        <w:t>a</w:t>
      </w:r>
      <w:r w:rsidR="00D60D09" w:rsidRPr="00F55ED4">
        <w:rPr>
          <w:lang w:val="pl-PL"/>
        </w:rPr>
        <w:t>ni</w:t>
      </w:r>
      <w:r w:rsidR="00567A36">
        <w:rPr>
          <w:lang w:val="pl-PL"/>
        </w:rPr>
        <w:t>a</w:t>
      </w:r>
      <w:r w:rsidR="00D60D09" w:rsidRPr="00F55ED4">
        <w:rPr>
          <w:lang w:val="pl-PL"/>
        </w:rPr>
        <w:t xml:space="preserve"> niektórych przepisów ustawy o umowach międzynarodowych</w:t>
      </w:r>
      <w:r w:rsidR="00567A36">
        <w:rPr>
          <w:lang w:val="pl-PL"/>
        </w:rPr>
        <w:t xml:space="preserve"> (Dz. U. poz. 891)</w:t>
      </w:r>
      <w:r w:rsidR="00D60D09" w:rsidRPr="00F55ED4">
        <w:rPr>
          <w:lang w:val="pl-PL"/>
        </w:rPr>
        <w:t>.</w:t>
      </w:r>
    </w:p>
    <w:p w:rsidR="00872C25" w:rsidRPr="00F55ED4" w:rsidRDefault="00872C25" w:rsidP="00261EAE">
      <w:pPr>
        <w:spacing w:before="120" w:line="360" w:lineRule="auto"/>
        <w:jc w:val="both"/>
      </w:pPr>
      <w:r w:rsidRPr="00F55ED4">
        <w:t xml:space="preserve">Polska poparła akcesję Republiki </w:t>
      </w:r>
      <w:r w:rsidR="00F51A89" w:rsidRPr="00F55ED4">
        <w:t>Chorwacji</w:t>
      </w:r>
      <w:r w:rsidRPr="00F55ED4">
        <w:t xml:space="preserve"> do Unii Europejskiej. Konsekwencją tej akcesji jest również uczestnictwo Republiki </w:t>
      </w:r>
      <w:r w:rsidR="00F51A89" w:rsidRPr="00F55ED4">
        <w:t>Chorwacji</w:t>
      </w:r>
      <w:r w:rsidRPr="00F55ED4">
        <w:t xml:space="preserve"> w Europejskim Obszarze Gospodarczym. Popierając akcesję </w:t>
      </w:r>
      <w:r w:rsidR="00F51A89" w:rsidRPr="00F55ED4">
        <w:t>Chorwacji</w:t>
      </w:r>
      <w:r w:rsidRPr="00F55ED4">
        <w:t xml:space="preserve"> do EOG</w:t>
      </w:r>
      <w:r w:rsidR="00FE1A60" w:rsidRPr="00F55ED4">
        <w:t>,</w:t>
      </w:r>
      <w:r w:rsidRPr="00F55ED4">
        <w:t xml:space="preserve"> Polska opiera</w:t>
      </w:r>
      <w:r w:rsidR="00FE1A60" w:rsidRPr="00F55ED4">
        <w:t>ła</w:t>
      </w:r>
      <w:r w:rsidRPr="00F55ED4">
        <w:t xml:space="preserve"> się zarówno na postanowieniach Porozumienia o EOG, ż</w:t>
      </w:r>
      <w:r w:rsidR="00716773">
        <w:t>e</w:t>
      </w:r>
      <w:r w:rsidRPr="00F55ED4">
        <w:t xml:space="preserve"> akcesja do UE powinna nastąpić </w:t>
      </w:r>
      <w:r w:rsidRPr="00F55ED4">
        <w:lastRenderedPageBreak/>
        <w:t>jednocześnie z</w:t>
      </w:r>
      <w:r w:rsidR="00F55ED4">
        <w:t xml:space="preserve"> </w:t>
      </w:r>
      <w:r w:rsidRPr="00F55ED4">
        <w:t>akcesją do EOG, jak i na zasadzie wspólnych korzyści</w:t>
      </w:r>
      <w:r w:rsidR="00FE1A60" w:rsidRPr="00F55ED4">
        <w:t>,</w:t>
      </w:r>
      <w:r w:rsidRPr="00F55ED4">
        <w:t xml:space="preserve"> jakie rozszerzenie EOG przynosi państwom członkowskim</w:t>
      </w:r>
      <w:r w:rsidR="00716773">
        <w:t>,</w:t>
      </w:r>
      <w:r w:rsidRPr="00F55ED4">
        <w:t xml:space="preserve"> np. w kwestii rozszerzenia koncesji unijnych w handlu artykułami rybnymi.</w:t>
      </w:r>
    </w:p>
    <w:p w:rsidR="00B83394" w:rsidRPr="00F55ED4" w:rsidRDefault="00B83394" w:rsidP="00261EAE">
      <w:pPr>
        <w:spacing w:before="120" w:line="360" w:lineRule="auto"/>
        <w:jc w:val="both"/>
      </w:pPr>
      <w:r w:rsidRPr="00F55ED4">
        <w:t>Europejski Obszar Gospodarczy (EOG) został utworzony na mocy Porozumienia EOG, które weszło w życie w 1994 roku. Jego celem jest rozszerzenie rynku wewnętrznego UE na trzy uczestniczące państwa EFTA, tworząc jednorodny Europejski Obszar Gospodarczy. Opiera się to na wspólnych zasadach i równych warunkach konkurencji oraz zapewnia odpowiednie środki egzekwowania na szczeblu sądowym. Porozumienie EOG gwarantuje równe prawa i obowiązki na rynku wewnętrznym dla osób fizycznych oraz podmiotów gospodarczych w EOG. Od 1 lutego 2020 r. EOG obejmuje 27 państw członkowskich UE</w:t>
      </w:r>
      <w:r w:rsidR="00EC73AC" w:rsidRPr="00F55ED4">
        <w:rPr>
          <w:rStyle w:val="Odwoanieprzypisudolnego"/>
        </w:rPr>
        <w:footnoteReference w:id="1"/>
      </w:r>
      <w:r w:rsidR="00F55ED4" w:rsidRPr="00261EAE">
        <w:rPr>
          <w:vertAlign w:val="superscript"/>
        </w:rPr>
        <w:t>)</w:t>
      </w:r>
      <w:r w:rsidRPr="00F55ED4">
        <w:t xml:space="preserve"> oraz trzy państwa EOG EFTA – Islandię, Liechtenstein </w:t>
      </w:r>
      <w:r w:rsidR="003F13CC" w:rsidRPr="00F55ED4">
        <w:t>i</w:t>
      </w:r>
      <w:r w:rsidR="003F13CC">
        <w:t> </w:t>
      </w:r>
      <w:r w:rsidRPr="00F55ED4">
        <w:t>Norwegię.</w:t>
      </w:r>
    </w:p>
    <w:p w:rsidR="00B83394" w:rsidRPr="00F55ED4" w:rsidRDefault="00B83394" w:rsidP="00261EAE">
      <w:pPr>
        <w:spacing w:before="120" w:line="360" w:lineRule="auto"/>
        <w:jc w:val="both"/>
      </w:pPr>
      <w:r w:rsidRPr="00F55ED4">
        <w:t>Całe odpowiednie prawodawstwo dotyczące rynku wewnętrznego jest włączone do Porozumienia EOG, dzięki czemu ma zastosowanie na całym terytorium EOG. Istota tych</w:t>
      </w:r>
      <w:r w:rsidR="00F55ED4">
        <w:t xml:space="preserve"> </w:t>
      </w:r>
      <w:r w:rsidRPr="00F55ED4">
        <w:t>zasad dotyczy swobodnego przepływu towarów, kapitału, usług i osób w 30 państwach EOG. Ponadto Porozumienie EOG obejmuje obszary horyzontalne, takie jak</w:t>
      </w:r>
      <w:r w:rsidR="00716773">
        <w:t>:</w:t>
      </w:r>
      <w:r w:rsidRPr="00F55ED4">
        <w:t xml:space="preserve"> polityka społeczna, ochrona konsumentów, środowisko, prawo spółek, statystyka, turystyka </w:t>
      </w:r>
      <w:r w:rsidR="00EB25E1" w:rsidRPr="00F55ED4">
        <w:t>i</w:t>
      </w:r>
      <w:r w:rsidR="00EB25E1">
        <w:t> </w:t>
      </w:r>
      <w:r w:rsidRPr="00F55ED4">
        <w:t>kultura. W celu</w:t>
      </w:r>
      <w:r w:rsidR="00F55ED4">
        <w:t xml:space="preserve"> </w:t>
      </w:r>
      <w:r w:rsidRPr="00F55ED4">
        <w:t xml:space="preserve">zapewnienia równych warunków konkurencji w całym EOG, Porozumienie EOG odzwierciedla zasady konkurencji i pomocy państwa zawarte </w:t>
      </w:r>
      <w:r w:rsidR="00EB25E1" w:rsidRPr="00F55ED4">
        <w:t>w</w:t>
      </w:r>
      <w:r w:rsidR="00EB25E1">
        <w:t> </w:t>
      </w:r>
      <w:r w:rsidRPr="00F55ED4">
        <w:t>traktatach UE. Przewiduje również udział w programach UE, takich jak programy badawcze i edukacyjne.</w:t>
      </w:r>
    </w:p>
    <w:p w:rsidR="00872C25" w:rsidRPr="00F55ED4" w:rsidRDefault="00872C25" w:rsidP="00261EAE">
      <w:pPr>
        <w:numPr>
          <w:ilvl w:val="0"/>
          <w:numId w:val="1"/>
        </w:numPr>
        <w:spacing w:before="120" w:line="360" w:lineRule="auto"/>
        <w:ind w:left="426" w:hanging="426"/>
        <w:jc w:val="both"/>
        <w:rPr>
          <w:b/>
        </w:rPr>
      </w:pPr>
      <w:r w:rsidRPr="00F55ED4">
        <w:rPr>
          <w:b/>
        </w:rPr>
        <w:t>Różnice między dotychczasowym a projektowanym stanem prawnym</w:t>
      </w:r>
    </w:p>
    <w:p w:rsidR="00872C25" w:rsidRPr="00F55ED4" w:rsidRDefault="00872C25" w:rsidP="00261EAE">
      <w:pPr>
        <w:spacing w:before="120" w:line="360" w:lineRule="auto"/>
        <w:jc w:val="both"/>
      </w:pPr>
      <w:r w:rsidRPr="00F55ED4">
        <w:t xml:space="preserve">Zasadnicza część Umowy o udziale Republiki </w:t>
      </w:r>
      <w:r w:rsidR="00F51A89" w:rsidRPr="00F55ED4">
        <w:t>Chorwacji</w:t>
      </w:r>
      <w:r w:rsidRPr="00F55ED4">
        <w:t xml:space="preserve"> w EOG dostosowuje Porozumienie o EOG do rozszerzenia Europejskiego Obszaru Gospodarczego zgodnie </w:t>
      </w:r>
      <w:r w:rsidR="00EB25E1" w:rsidRPr="00F55ED4">
        <w:t>z</w:t>
      </w:r>
      <w:r w:rsidR="00EB25E1">
        <w:t> </w:t>
      </w:r>
      <w:r w:rsidRPr="00F55ED4">
        <w:t xml:space="preserve">Traktatem o przystąpieniu Republiki </w:t>
      </w:r>
      <w:r w:rsidR="00F51A89" w:rsidRPr="00F55ED4">
        <w:t>Chorwacji</w:t>
      </w:r>
      <w:r w:rsidRPr="00F55ED4">
        <w:t xml:space="preserve"> do Unii Europejskiej. Zmiany mają charakter technicznych adaptacji okresów prze</w:t>
      </w:r>
      <w:r w:rsidR="00B83394" w:rsidRPr="00F55ED4">
        <w:t xml:space="preserve">jściowych, uzgodnionych podczas </w:t>
      </w:r>
      <w:r w:rsidRPr="00F55ED4">
        <w:t xml:space="preserve">negocjacji akcesyjnych </w:t>
      </w:r>
      <w:r w:rsidR="00F51A89" w:rsidRPr="00F55ED4">
        <w:t>Chorwacji</w:t>
      </w:r>
      <w:r w:rsidRPr="00F55ED4">
        <w:t xml:space="preserve"> do UE. </w:t>
      </w:r>
    </w:p>
    <w:p w:rsidR="00872C25" w:rsidRPr="00F55ED4" w:rsidRDefault="00EC6036" w:rsidP="00261EAE">
      <w:pPr>
        <w:spacing w:before="120" w:line="360" w:lineRule="auto"/>
        <w:jc w:val="both"/>
      </w:pPr>
      <w:r w:rsidRPr="00F55ED4">
        <w:t xml:space="preserve">Poza zmianami technicznymi, </w:t>
      </w:r>
      <w:r w:rsidR="00872C25" w:rsidRPr="00F55ED4">
        <w:t xml:space="preserve">w Porozumieniu o udziale Republiki </w:t>
      </w:r>
      <w:r w:rsidR="00F51A89" w:rsidRPr="00F55ED4">
        <w:t>Chorwacji</w:t>
      </w:r>
      <w:r w:rsidR="00872C25" w:rsidRPr="00F55ED4">
        <w:t xml:space="preserve"> w E</w:t>
      </w:r>
      <w:r w:rsidR="00DD6B40" w:rsidRPr="00F55ED4">
        <w:t>OG, państwa EFTA-EOG ustano</w:t>
      </w:r>
      <w:r w:rsidR="00FE1A60" w:rsidRPr="00F55ED4">
        <w:t>wiły</w:t>
      </w:r>
      <w:r w:rsidR="00872C25" w:rsidRPr="00F55ED4">
        <w:t xml:space="preserve"> dla Republiki </w:t>
      </w:r>
      <w:r w:rsidR="00F51A89" w:rsidRPr="00F55ED4">
        <w:t>Chorwacji</w:t>
      </w:r>
      <w:r w:rsidR="00872C25" w:rsidRPr="00F55ED4">
        <w:t xml:space="preserve"> Mechanizm Finansowy EOG</w:t>
      </w:r>
      <w:r w:rsidR="00F55ED4">
        <w:t xml:space="preserve"> </w:t>
      </w:r>
      <w:r w:rsidR="00872C25" w:rsidRPr="00F55ED4">
        <w:lastRenderedPageBreak/>
        <w:t>(</w:t>
      </w:r>
      <w:r w:rsidR="00F51A89" w:rsidRPr="00F55ED4">
        <w:t>5 mln euro</w:t>
      </w:r>
      <w:r w:rsidR="00872C25" w:rsidRPr="00F55ED4">
        <w:t xml:space="preserve">) w okresie </w:t>
      </w:r>
      <w:r w:rsidR="00DF1D4A" w:rsidRPr="00F55ED4">
        <w:t xml:space="preserve">1 lipca 2013 r. do 30 kwietnia </w:t>
      </w:r>
      <w:r w:rsidR="00F51A89" w:rsidRPr="00F55ED4">
        <w:t>2014</w:t>
      </w:r>
      <w:r w:rsidR="00DF1D4A" w:rsidRPr="00F55ED4">
        <w:t xml:space="preserve"> r.</w:t>
      </w:r>
      <w:r w:rsidR="00872C25" w:rsidRPr="00F55ED4">
        <w:t xml:space="preserve"> oraz Norweski Mechanizm Finansowy (</w:t>
      </w:r>
      <w:r w:rsidR="00F51A89" w:rsidRPr="00F55ED4">
        <w:t xml:space="preserve">4,6 mln </w:t>
      </w:r>
      <w:r w:rsidR="00872C25" w:rsidRPr="00F55ED4">
        <w:t>euro</w:t>
      </w:r>
      <w:r w:rsidR="00F51A89" w:rsidRPr="00F55ED4">
        <w:t xml:space="preserve">) </w:t>
      </w:r>
      <w:r w:rsidR="00872C25" w:rsidRPr="00F55ED4">
        <w:t>w tym samym okresie</w:t>
      </w:r>
      <w:r w:rsidR="006A2A5C" w:rsidRPr="00F55ED4">
        <w:t xml:space="preserve">. </w:t>
      </w:r>
      <w:r w:rsidR="00872C25" w:rsidRPr="00F55ED4">
        <w:t xml:space="preserve">W zamian </w:t>
      </w:r>
      <w:r w:rsidR="00F51A89" w:rsidRPr="00F55ED4">
        <w:t xml:space="preserve">Unia </w:t>
      </w:r>
      <w:r w:rsidR="00872C25" w:rsidRPr="00F55ED4">
        <w:t>Europejska udzieli</w:t>
      </w:r>
      <w:r w:rsidR="00FE1A60" w:rsidRPr="00F55ED4">
        <w:t>ła</w:t>
      </w:r>
      <w:r w:rsidR="00872C25" w:rsidRPr="00F55ED4">
        <w:t xml:space="preserve"> Królestwu Norwegii i Republice Islandii koncesji we wzajemnym handlu towarami rybnymi (</w:t>
      </w:r>
      <w:r w:rsidR="00F51A89" w:rsidRPr="00F55ED4">
        <w:t>Unia</w:t>
      </w:r>
      <w:r w:rsidR="00872C25" w:rsidRPr="00F55ED4">
        <w:t xml:space="preserve"> Europejska – Królestwo Norwegii, </w:t>
      </w:r>
      <w:r w:rsidR="00F51A89" w:rsidRPr="00F55ED4">
        <w:t>Unia</w:t>
      </w:r>
      <w:r w:rsidR="00872C25" w:rsidRPr="00F55ED4">
        <w:t xml:space="preserve"> Europejska – Republika Islandii). </w:t>
      </w:r>
      <w:r w:rsidR="006A2A5C" w:rsidRPr="00F55ED4">
        <w:t>W latach 2014–2021 Republika Chorwacji otrzymała 56,8 mln euro w ramach Mechanizmu Finansowego EOG oraz 46,6 mln euro ze środków Norweskiego Mechanizmu Finansowego.</w:t>
      </w:r>
    </w:p>
    <w:p w:rsidR="00872C25" w:rsidRPr="00F55ED4" w:rsidRDefault="00B83394" w:rsidP="00261EAE">
      <w:pPr>
        <w:pStyle w:val="Tekstpodstawowy"/>
        <w:spacing w:before="120" w:line="360" w:lineRule="auto"/>
      </w:pPr>
      <w:r w:rsidRPr="00F55ED4">
        <w:t xml:space="preserve">Ustalenia dotyczące stosowania </w:t>
      </w:r>
      <w:r w:rsidR="00872C25" w:rsidRPr="00F55ED4">
        <w:t>wspól</w:t>
      </w:r>
      <w:r w:rsidRPr="00F55ED4">
        <w:t xml:space="preserve">notowego dorobku prawnego przez </w:t>
      </w:r>
      <w:r w:rsidR="00872C25" w:rsidRPr="00F55ED4">
        <w:t xml:space="preserve">kraje przystępujące do UE od daty przystąpienia, takie jak zmiany techniczne i okresy przejściowe, uzgodnione podczas negocjacji dotyczących rozszerzenia UE, zostały przejęte z aktu przystąpienia do Porozumienia EOG. </w:t>
      </w:r>
    </w:p>
    <w:p w:rsidR="00872C25" w:rsidRPr="00F55ED4" w:rsidRDefault="00F51A89" w:rsidP="00261EAE">
      <w:pPr>
        <w:spacing w:before="120" w:line="360" w:lineRule="auto"/>
        <w:jc w:val="both"/>
      </w:pPr>
      <w:r w:rsidRPr="00F55ED4">
        <w:t xml:space="preserve">Negocjacje przedłużyły się, w związku </w:t>
      </w:r>
      <w:r w:rsidR="00872C25" w:rsidRPr="00F55ED4">
        <w:t>z czym, dla zagwarantowania właściwej realizacji Porozumienia EOG, należało zadbać o to, by umowa o rozszerzeniu EOG weszła w życie jak najszybciej, dlatego też przedstawiono propozycję tymczasowego stosowania tej umowy.</w:t>
      </w:r>
      <w:r w:rsidR="00FE1A60" w:rsidRPr="00F55ED4">
        <w:t xml:space="preserve"> </w:t>
      </w:r>
      <w:r w:rsidR="00B05FBE" w:rsidRPr="00F55ED4">
        <w:t xml:space="preserve">Tym samym </w:t>
      </w:r>
      <w:r w:rsidR="00FE1A60" w:rsidRPr="00F55ED4">
        <w:t>Umowa o</w:t>
      </w:r>
      <w:r w:rsidR="00F55ED4">
        <w:t xml:space="preserve"> </w:t>
      </w:r>
      <w:r w:rsidR="00FE1A60" w:rsidRPr="00F55ED4">
        <w:t>udziale Chorwacji w</w:t>
      </w:r>
      <w:r w:rsidR="00F55ED4">
        <w:t xml:space="preserve"> </w:t>
      </w:r>
      <w:r w:rsidR="00FE1A60" w:rsidRPr="00F55ED4">
        <w:t>EOG jest tymczasowo stosowana od kwietnia 2014</w:t>
      </w:r>
      <w:r w:rsidR="00F55ED4">
        <w:t xml:space="preserve"> </w:t>
      </w:r>
      <w:r w:rsidR="00FE1A60" w:rsidRPr="00F55ED4">
        <w:t>r., a</w:t>
      </w:r>
      <w:r w:rsidR="00F55ED4">
        <w:t xml:space="preserve"> </w:t>
      </w:r>
      <w:r w:rsidR="00FE1A60" w:rsidRPr="00F55ED4">
        <w:t>oficjalnie wejdzie w</w:t>
      </w:r>
      <w:r w:rsidR="00F55ED4">
        <w:t xml:space="preserve"> </w:t>
      </w:r>
      <w:r w:rsidR="00FE1A60" w:rsidRPr="00F55ED4">
        <w:t>życie po zakończeniu jej ratyfikacji przez wszystkie państwa członkowskie.</w:t>
      </w:r>
    </w:p>
    <w:p w:rsidR="00872C25" w:rsidRPr="00F55ED4" w:rsidRDefault="00872C25" w:rsidP="00261EAE">
      <w:pPr>
        <w:numPr>
          <w:ilvl w:val="0"/>
          <w:numId w:val="1"/>
        </w:numPr>
        <w:spacing w:before="120" w:line="360" w:lineRule="auto"/>
        <w:ind w:left="426" w:hanging="426"/>
        <w:jc w:val="both"/>
        <w:rPr>
          <w:b/>
        </w:rPr>
      </w:pPr>
      <w:r w:rsidRPr="00F55ED4">
        <w:rPr>
          <w:b/>
        </w:rPr>
        <w:t>Skutki zawarcia umowy</w:t>
      </w:r>
    </w:p>
    <w:p w:rsidR="00872C25" w:rsidRPr="00F55ED4" w:rsidRDefault="00872C25" w:rsidP="00F55ED4">
      <w:pPr>
        <w:spacing w:before="120" w:line="360" w:lineRule="auto"/>
        <w:jc w:val="both"/>
      </w:pPr>
      <w:r w:rsidRPr="00F55ED4">
        <w:t>Skutkiem zawarcia przedmiotowej umowy będzie uczestnictwo Republiki</w:t>
      </w:r>
      <w:r w:rsidR="00F51A89" w:rsidRPr="00F55ED4">
        <w:t xml:space="preserve"> Chorwacji</w:t>
      </w:r>
      <w:r w:rsidRPr="00F55ED4">
        <w:t xml:space="preserve"> </w:t>
      </w:r>
      <w:r w:rsidR="00EB25E1" w:rsidRPr="00F55ED4">
        <w:t>w</w:t>
      </w:r>
      <w:r w:rsidR="00EB25E1">
        <w:t> </w:t>
      </w:r>
      <w:r w:rsidRPr="00F55ED4">
        <w:t>Europejskim Obszarze Gospodarczym. Zawarcie przedmiotowej umowy nie będzie miało bezpośrednich skutków</w:t>
      </w:r>
      <w:r w:rsidR="00605BA9" w:rsidRPr="00F55ED4">
        <w:t xml:space="preserve"> dla polskiego systemu prawnego.</w:t>
      </w:r>
      <w:r w:rsidRPr="00F55ED4">
        <w:t xml:space="preserve"> </w:t>
      </w:r>
      <w:r w:rsidR="00605BA9" w:rsidRPr="00F55ED4">
        <w:t>N</w:t>
      </w:r>
      <w:r w:rsidRPr="00F55ED4">
        <w:t xml:space="preserve">ie spowoduje też konieczności zmiany polskiego ustawodawstwa. Wejście w życie Umowy </w:t>
      </w:r>
      <w:r w:rsidR="00EB25E1" w:rsidRPr="00F55ED4">
        <w:t>o</w:t>
      </w:r>
      <w:r w:rsidR="00EB25E1">
        <w:t> </w:t>
      </w:r>
      <w:r w:rsidRPr="00F55ED4">
        <w:t xml:space="preserve">uczestnictwie Republiki </w:t>
      </w:r>
      <w:r w:rsidR="00F51A89" w:rsidRPr="00F55ED4">
        <w:t>Chorwacji</w:t>
      </w:r>
      <w:r w:rsidRPr="00F55ED4">
        <w:t xml:space="preserve"> w Europejskim Obszarze Gospodarcz</w:t>
      </w:r>
      <w:r w:rsidR="00377A78" w:rsidRPr="00F55ED4">
        <w:t xml:space="preserve">ym nastąpi po wypełnieniu przez </w:t>
      </w:r>
      <w:r w:rsidRPr="00F55ED4">
        <w:t>wszystkie państwa członkowskie EOG ich wewnętrznych procedur ratyfikacyjnych.</w:t>
      </w:r>
    </w:p>
    <w:p w:rsidR="00DF1D4A" w:rsidRPr="00F55ED4" w:rsidRDefault="00872C25" w:rsidP="00F55ED4">
      <w:pPr>
        <w:spacing w:before="120" w:line="360" w:lineRule="auto"/>
        <w:jc w:val="both"/>
      </w:pPr>
      <w:r w:rsidRPr="00F55ED4">
        <w:t>Przedmiotowa umowa spowoduje wzrost kwot bezcłowych na niektóre towary rybne importowane z Republiki Islandii</w:t>
      </w:r>
      <w:r w:rsidR="00C40F87">
        <w:t>,</w:t>
      </w:r>
      <w:r w:rsidRPr="00F55ED4">
        <w:t xml:space="preserve"> </w:t>
      </w:r>
      <w:r w:rsidR="006A1C6B" w:rsidRPr="00F55ED4">
        <w:t xml:space="preserve">takie jak: zamrożony homarzec – 60 ton rocznie </w:t>
      </w:r>
      <w:bookmarkStart w:id="0" w:name="_GoBack"/>
      <w:bookmarkEnd w:id="0"/>
      <w:r w:rsidR="003F13CC" w:rsidRPr="00F55ED4">
        <w:t>i</w:t>
      </w:r>
      <w:r w:rsidR="003F13CC">
        <w:t> </w:t>
      </w:r>
      <w:r w:rsidR="006A1C6B" w:rsidRPr="00F55ED4">
        <w:t xml:space="preserve">filety z karmazyna </w:t>
      </w:r>
      <w:r w:rsidR="00B05FBE" w:rsidRPr="00F55ED4">
        <w:t>–</w:t>
      </w:r>
      <w:r w:rsidR="006A1C6B" w:rsidRPr="00F55ED4">
        <w:t xml:space="preserve"> 100 ton rocznie oraz z Królestwa Norwegii – śledzie, przyprawiane lub konserwowane octem winnym, w solance – 1400 ton netto po odsączeniu.</w:t>
      </w:r>
    </w:p>
    <w:p w:rsidR="003B4975" w:rsidRPr="00F55ED4" w:rsidRDefault="008A4CAA" w:rsidP="00261EAE">
      <w:pPr>
        <w:spacing w:before="120" w:line="360" w:lineRule="auto"/>
        <w:jc w:val="both"/>
      </w:pPr>
      <w:r w:rsidRPr="00F55ED4">
        <w:t>Z uwagi na niewielki import powyższych produktów w okresie średniorocznym (2713 ton w 2013 r.) p</w:t>
      </w:r>
      <w:r w:rsidR="00872C25" w:rsidRPr="00F55ED4">
        <w:t>rzedmiotowa umowa pomniejszy dochod</w:t>
      </w:r>
      <w:r w:rsidRPr="00F55ED4">
        <w:t>y</w:t>
      </w:r>
      <w:r w:rsidR="00872C25" w:rsidRPr="00F55ED4">
        <w:t xml:space="preserve"> budżetu ogólnego Unii </w:t>
      </w:r>
      <w:r w:rsidR="00872C25" w:rsidRPr="00F55ED4">
        <w:lastRenderedPageBreak/>
        <w:t>Europejskiej z tytułu dodatkowego bezcłowego kontyngentu na wybrane artykuły rybne z Republik</w:t>
      </w:r>
      <w:r w:rsidRPr="00F55ED4">
        <w:t xml:space="preserve">i Islandii i Królestwa Norwegii w stopniu znikomym. </w:t>
      </w:r>
    </w:p>
    <w:p w:rsidR="00B05FBE" w:rsidRPr="00F55ED4" w:rsidRDefault="00872C25" w:rsidP="00261EAE">
      <w:pPr>
        <w:numPr>
          <w:ilvl w:val="0"/>
          <w:numId w:val="1"/>
        </w:numPr>
        <w:spacing w:before="120" w:line="360" w:lineRule="auto"/>
        <w:ind w:left="426" w:hanging="426"/>
        <w:jc w:val="both"/>
        <w:rPr>
          <w:b/>
        </w:rPr>
      </w:pPr>
      <w:r w:rsidRPr="00F55ED4">
        <w:rPr>
          <w:b/>
        </w:rPr>
        <w:t>Tryb związania umową</w:t>
      </w:r>
    </w:p>
    <w:p w:rsidR="00872C25" w:rsidRPr="00F55ED4" w:rsidRDefault="00872C25" w:rsidP="00261EAE">
      <w:pPr>
        <w:pStyle w:val="Tekstpodstawowy"/>
        <w:spacing w:before="120" w:line="360" w:lineRule="auto"/>
      </w:pPr>
      <w:r w:rsidRPr="00F55ED4">
        <w:t>Związanie Rzeczypospolitej Polskiej przedmiotową umową nastąpi przez jej ratyfikację za uprzednią zgodą wyrażoną w ustawie. Umowa spełnia przesłanki obowiązku ratyfikowania umowy międzynarodowej określone w art. 89 ust.</w:t>
      </w:r>
      <w:r w:rsidR="00C40F87">
        <w:t xml:space="preserve"> </w:t>
      </w:r>
      <w:r w:rsidRPr="00F55ED4">
        <w:t xml:space="preserve">1 pkt 5 Konstytucji Rzeczypospolitej Polskiej, gdyż wprowadza zmiany w Porozumieniu o EOG, do którego Rzeczpospolita Polska przystąpiła na mocy Porozumienia o udziale Rzeczypospolitej Polskiej i innych państw w Europejskim Obszarze Gospodarczym (EOG), ratyfikowanym za uprzednią zgodą wyrażoną w ustawie. </w:t>
      </w:r>
    </w:p>
    <w:p w:rsidR="00872C25" w:rsidRPr="00261EAE" w:rsidRDefault="00872C25" w:rsidP="00261EAE">
      <w:pPr>
        <w:spacing w:before="120" w:line="360" w:lineRule="auto"/>
        <w:jc w:val="both"/>
      </w:pPr>
      <w:r w:rsidRPr="00F55ED4">
        <w:t>Umowa nie dotyczy bezpośrednio osób fizycznych ani prawnych. Nie zmienia również spraw uregulowanych w prawie wewnętrznym. W celu realizacji Umowy nie jest wymagane przyjęcie żadnych środków prawnych.</w:t>
      </w:r>
    </w:p>
    <w:sectPr w:rsidR="00872C25" w:rsidRPr="00261EAE" w:rsidSect="00261EAE">
      <w:headerReference w:type="even" r:id="rId8"/>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D4C" w:rsidRDefault="00392D4C">
      <w:r>
        <w:separator/>
      </w:r>
    </w:p>
  </w:endnote>
  <w:endnote w:type="continuationSeparator" w:id="0">
    <w:p w:rsidR="00392D4C" w:rsidRDefault="0039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3AC" w:rsidRDefault="00EC73AC" w:rsidP="00261EAE">
    <w:pPr>
      <w:pStyle w:val="Stopka"/>
      <w:jc w:val="center"/>
    </w:pPr>
    <w:r>
      <w:fldChar w:fldCharType="begin"/>
    </w:r>
    <w:r>
      <w:instrText xml:space="preserve"> PAGE   \* MERGEFORMAT </w:instrText>
    </w:r>
    <w:r>
      <w:fldChar w:fldCharType="separate"/>
    </w:r>
    <w:r w:rsidR="003F13CC">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D4C" w:rsidRDefault="00392D4C">
      <w:r>
        <w:separator/>
      </w:r>
    </w:p>
  </w:footnote>
  <w:footnote w:type="continuationSeparator" w:id="0">
    <w:p w:rsidR="00392D4C" w:rsidRDefault="00392D4C">
      <w:r>
        <w:continuationSeparator/>
      </w:r>
    </w:p>
  </w:footnote>
  <w:footnote w:id="1">
    <w:p w:rsidR="00EC73AC" w:rsidRDefault="00EC73AC" w:rsidP="00261EAE">
      <w:pPr>
        <w:ind w:left="284" w:hanging="284"/>
        <w:jc w:val="both"/>
      </w:pPr>
      <w:r w:rsidRPr="00EC73AC">
        <w:rPr>
          <w:rStyle w:val="Odwoanieprzypisudolnego"/>
          <w:sz w:val="22"/>
          <w:szCs w:val="22"/>
        </w:rPr>
        <w:footnoteRef/>
      </w:r>
      <w:r w:rsidR="00F55ED4" w:rsidRPr="00261EAE">
        <w:rPr>
          <w:sz w:val="22"/>
          <w:szCs w:val="22"/>
          <w:vertAlign w:val="superscript"/>
        </w:rPr>
        <w:t>)</w:t>
      </w:r>
      <w:r w:rsidR="00F55ED4">
        <w:rPr>
          <w:sz w:val="22"/>
          <w:szCs w:val="22"/>
        </w:rPr>
        <w:tab/>
      </w:r>
      <w:r w:rsidRPr="00EC73AC">
        <w:rPr>
          <w:sz w:val="22"/>
          <w:szCs w:val="22"/>
        </w:rPr>
        <w:t>Art. 126 Umowy o wystąpieniu między UE a Wielką Brytanią przewiduje okres przejściowy do 31 grudnia 2020 r., na mocy którego Wielka Brytania będzie nadal traktowana jako państwo EOG. Po zakończeniu okresu przejściowego Wielka Brytania nie będzie już członkiem EOG.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D4A" w:rsidRDefault="00DF1D4A">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F1D4A" w:rsidRDefault="00DF1D4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346067"/>
    <w:multiLevelType w:val="hybridMultilevel"/>
    <w:tmpl w:val="651686A0"/>
    <w:lvl w:ilvl="0" w:tplc="E14E19FC">
      <w:start w:val="1"/>
      <w:numFmt w:val="decimal"/>
      <w:lvlText w:val="%1."/>
      <w:lvlJc w:val="left"/>
      <w:pPr>
        <w:tabs>
          <w:tab w:val="num" w:pos="8724"/>
        </w:tabs>
        <w:ind w:left="8724" w:hanging="360"/>
      </w:pPr>
    </w:lvl>
    <w:lvl w:ilvl="1" w:tplc="305A50FA" w:tentative="1">
      <w:start w:val="1"/>
      <w:numFmt w:val="lowerLetter"/>
      <w:lvlText w:val="%2."/>
      <w:lvlJc w:val="left"/>
      <w:pPr>
        <w:tabs>
          <w:tab w:val="num" w:pos="1440"/>
        </w:tabs>
        <w:ind w:left="1440" w:hanging="360"/>
      </w:pPr>
    </w:lvl>
    <w:lvl w:ilvl="2" w:tplc="13A03824" w:tentative="1">
      <w:start w:val="1"/>
      <w:numFmt w:val="lowerRoman"/>
      <w:lvlText w:val="%3."/>
      <w:lvlJc w:val="right"/>
      <w:pPr>
        <w:tabs>
          <w:tab w:val="num" w:pos="2160"/>
        </w:tabs>
        <w:ind w:left="2160" w:hanging="180"/>
      </w:pPr>
    </w:lvl>
    <w:lvl w:ilvl="3" w:tplc="41EA385E" w:tentative="1">
      <w:start w:val="1"/>
      <w:numFmt w:val="decimal"/>
      <w:lvlText w:val="%4."/>
      <w:lvlJc w:val="left"/>
      <w:pPr>
        <w:tabs>
          <w:tab w:val="num" w:pos="2880"/>
        </w:tabs>
        <w:ind w:left="2880" w:hanging="360"/>
      </w:pPr>
    </w:lvl>
    <w:lvl w:ilvl="4" w:tplc="FB709A7E" w:tentative="1">
      <w:start w:val="1"/>
      <w:numFmt w:val="lowerLetter"/>
      <w:lvlText w:val="%5."/>
      <w:lvlJc w:val="left"/>
      <w:pPr>
        <w:tabs>
          <w:tab w:val="num" w:pos="3600"/>
        </w:tabs>
        <w:ind w:left="3600" w:hanging="360"/>
      </w:pPr>
    </w:lvl>
    <w:lvl w:ilvl="5" w:tplc="47FE651E" w:tentative="1">
      <w:start w:val="1"/>
      <w:numFmt w:val="lowerRoman"/>
      <w:lvlText w:val="%6."/>
      <w:lvlJc w:val="right"/>
      <w:pPr>
        <w:tabs>
          <w:tab w:val="num" w:pos="4320"/>
        </w:tabs>
        <w:ind w:left="4320" w:hanging="180"/>
      </w:pPr>
    </w:lvl>
    <w:lvl w:ilvl="6" w:tplc="A6744D5A" w:tentative="1">
      <w:start w:val="1"/>
      <w:numFmt w:val="decimal"/>
      <w:lvlText w:val="%7."/>
      <w:lvlJc w:val="left"/>
      <w:pPr>
        <w:tabs>
          <w:tab w:val="num" w:pos="5040"/>
        </w:tabs>
        <w:ind w:left="5040" w:hanging="360"/>
      </w:pPr>
    </w:lvl>
    <w:lvl w:ilvl="7" w:tplc="FECA55E6" w:tentative="1">
      <w:start w:val="1"/>
      <w:numFmt w:val="lowerLetter"/>
      <w:lvlText w:val="%8."/>
      <w:lvlJc w:val="left"/>
      <w:pPr>
        <w:tabs>
          <w:tab w:val="num" w:pos="5760"/>
        </w:tabs>
        <w:ind w:left="5760" w:hanging="360"/>
      </w:pPr>
    </w:lvl>
    <w:lvl w:ilvl="8" w:tplc="DD5A80E6" w:tentative="1">
      <w:start w:val="1"/>
      <w:numFmt w:val="lowerRoman"/>
      <w:lvlText w:val="%9."/>
      <w:lvlJc w:val="right"/>
      <w:pPr>
        <w:tabs>
          <w:tab w:val="num" w:pos="6480"/>
        </w:tabs>
        <w:ind w:left="6480" w:hanging="180"/>
      </w:pPr>
    </w:lvl>
  </w:abstractNum>
  <w:abstractNum w:abstractNumId="1" w15:restartNumberingAfterBreak="0">
    <w:nsid w:val="621D447F"/>
    <w:multiLevelType w:val="hybridMultilevel"/>
    <w:tmpl w:val="F7286F82"/>
    <w:lvl w:ilvl="0" w:tplc="08B8B400">
      <w:start w:val="1"/>
      <w:numFmt w:val="lowerLetter"/>
      <w:lvlText w:val="%1)"/>
      <w:lvlJc w:val="left"/>
      <w:pPr>
        <w:tabs>
          <w:tab w:val="num" w:pos="720"/>
        </w:tabs>
        <w:ind w:left="720" w:hanging="360"/>
      </w:pPr>
      <w:rPr>
        <w:rFonts w:hint="default"/>
      </w:rPr>
    </w:lvl>
    <w:lvl w:ilvl="1" w:tplc="F7168C40" w:tentative="1">
      <w:start w:val="1"/>
      <w:numFmt w:val="lowerLetter"/>
      <w:lvlText w:val="%2."/>
      <w:lvlJc w:val="left"/>
      <w:pPr>
        <w:tabs>
          <w:tab w:val="num" w:pos="1440"/>
        </w:tabs>
        <w:ind w:left="1440" w:hanging="360"/>
      </w:pPr>
    </w:lvl>
    <w:lvl w:ilvl="2" w:tplc="1F2E7514" w:tentative="1">
      <w:start w:val="1"/>
      <w:numFmt w:val="lowerRoman"/>
      <w:lvlText w:val="%3."/>
      <w:lvlJc w:val="right"/>
      <w:pPr>
        <w:tabs>
          <w:tab w:val="num" w:pos="2160"/>
        </w:tabs>
        <w:ind w:left="2160" w:hanging="180"/>
      </w:pPr>
    </w:lvl>
    <w:lvl w:ilvl="3" w:tplc="E68C166A" w:tentative="1">
      <w:start w:val="1"/>
      <w:numFmt w:val="decimal"/>
      <w:lvlText w:val="%4."/>
      <w:lvlJc w:val="left"/>
      <w:pPr>
        <w:tabs>
          <w:tab w:val="num" w:pos="2880"/>
        </w:tabs>
        <w:ind w:left="2880" w:hanging="360"/>
      </w:pPr>
    </w:lvl>
    <w:lvl w:ilvl="4" w:tplc="249AA1AA" w:tentative="1">
      <w:start w:val="1"/>
      <w:numFmt w:val="lowerLetter"/>
      <w:lvlText w:val="%5."/>
      <w:lvlJc w:val="left"/>
      <w:pPr>
        <w:tabs>
          <w:tab w:val="num" w:pos="3600"/>
        </w:tabs>
        <w:ind w:left="3600" w:hanging="360"/>
      </w:pPr>
    </w:lvl>
    <w:lvl w:ilvl="5" w:tplc="9334B092" w:tentative="1">
      <w:start w:val="1"/>
      <w:numFmt w:val="lowerRoman"/>
      <w:lvlText w:val="%6."/>
      <w:lvlJc w:val="right"/>
      <w:pPr>
        <w:tabs>
          <w:tab w:val="num" w:pos="4320"/>
        </w:tabs>
        <w:ind w:left="4320" w:hanging="180"/>
      </w:pPr>
    </w:lvl>
    <w:lvl w:ilvl="6" w:tplc="3C3070C2" w:tentative="1">
      <w:start w:val="1"/>
      <w:numFmt w:val="decimal"/>
      <w:lvlText w:val="%7."/>
      <w:lvlJc w:val="left"/>
      <w:pPr>
        <w:tabs>
          <w:tab w:val="num" w:pos="5040"/>
        </w:tabs>
        <w:ind w:left="5040" w:hanging="360"/>
      </w:pPr>
    </w:lvl>
    <w:lvl w:ilvl="7" w:tplc="3062A8CC" w:tentative="1">
      <w:start w:val="1"/>
      <w:numFmt w:val="lowerLetter"/>
      <w:lvlText w:val="%8."/>
      <w:lvlJc w:val="left"/>
      <w:pPr>
        <w:tabs>
          <w:tab w:val="num" w:pos="5760"/>
        </w:tabs>
        <w:ind w:left="5760" w:hanging="360"/>
      </w:pPr>
    </w:lvl>
    <w:lvl w:ilvl="8" w:tplc="069CCAC0" w:tentative="1">
      <w:start w:val="1"/>
      <w:numFmt w:val="lowerRoman"/>
      <w:lvlText w:val="%9."/>
      <w:lvlJc w:val="right"/>
      <w:pPr>
        <w:tabs>
          <w:tab w:val="num" w:pos="6480"/>
        </w:tabs>
        <w:ind w:left="6480" w:hanging="180"/>
      </w:pPr>
    </w:lvl>
  </w:abstractNum>
  <w:abstractNum w:abstractNumId="2" w15:restartNumberingAfterBreak="0">
    <w:nsid w:val="63503B02"/>
    <w:multiLevelType w:val="singleLevel"/>
    <w:tmpl w:val="181AE364"/>
    <w:lvl w:ilvl="0">
      <w:start w:val="1"/>
      <w:numFmt w:val="decimal"/>
      <w:lvlText w:val="%1."/>
      <w:lvlJc w:val="left"/>
      <w:pPr>
        <w:tabs>
          <w:tab w:val="num" w:pos="360"/>
        </w:tabs>
        <w:ind w:left="360" w:hanging="360"/>
      </w:pPr>
      <w:rPr>
        <w:rFonts w:hint="default"/>
        <w:b/>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1E1"/>
    <w:rsid w:val="00090A0F"/>
    <w:rsid w:val="000D1D7F"/>
    <w:rsid w:val="00103857"/>
    <w:rsid w:val="00140CCA"/>
    <w:rsid w:val="00164BE8"/>
    <w:rsid w:val="00184D4E"/>
    <w:rsid w:val="001915C1"/>
    <w:rsid w:val="00261EAE"/>
    <w:rsid w:val="00302996"/>
    <w:rsid w:val="00377A78"/>
    <w:rsid w:val="00392D4C"/>
    <w:rsid w:val="003B4975"/>
    <w:rsid w:val="003F13CC"/>
    <w:rsid w:val="003F28D6"/>
    <w:rsid w:val="004379F8"/>
    <w:rsid w:val="00454B3B"/>
    <w:rsid w:val="00455C63"/>
    <w:rsid w:val="004E51E1"/>
    <w:rsid w:val="00567A36"/>
    <w:rsid w:val="005A7911"/>
    <w:rsid w:val="00605BA9"/>
    <w:rsid w:val="00612A87"/>
    <w:rsid w:val="00616A9F"/>
    <w:rsid w:val="006702DE"/>
    <w:rsid w:val="0067357F"/>
    <w:rsid w:val="00697515"/>
    <w:rsid w:val="006A1C6B"/>
    <w:rsid w:val="006A2A5C"/>
    <w:rsid w:val="006F12BB"/>
    <w:rsid w:val="00716773"/>
    <w:rsid w:val="007B472B"/>
    <w:rsid w:val="00872C25"/>
    <w:rsid w:val="008A4CAA"/>
    <w:rsid w:val="008E3C9F"/>
    <w:rsid w:val="00937EE1"/>
    <w:rsid w:val="0094205E"/>
    <w:rsid w:val="009648D0"/>
    <w:rsid w:val="00A42984"/>
    <w:rsid w:val="00B05FBE"/>
    <w:rsid w:val="00B24661"/>
    <w:rsid w:val="00B83394"/>
    <w:rsid w:val="00BA124E"/>
    <w:rsid w:val="00C038EC"/>
    <w:rsid w:val="00C26A4E"/>
    <w:rsid w:val="00C40F87"/>
    <w:rsid w:val="00D33C12"/>
    <w:rsid w:val="00D40EEA"/>
    <w:rsid w:val="00D60D09"/>
    <w:rsid w:val="00D84CAC"/>
    <w:rsid w:val="00DB484C"/>
    <w:rsid w:val="00DD6B40"/>
    <w:rsid w:val="00DF1D4A"/>
    <w:rsid w:val="00E943D5"/>
    <w:rsid w:val="00EB25E1"/>
    <w:rsid w:val="00EB7867"/>
    <w:rsid w:val="00EC6036"/>
    <w:rsid w:val="00EC73AC"/>
    <w:rsid w:val="00ED1760"/>
    <w:rsid w:val="00F51A89"/>
    <w:rsid w:val="00F55ED4"/>
    <w:rsid w:val="00FA161D"/>
    <w:rsid w:val="00FA1738"/>
    <w:rsid w:val="00FE1A60"/>
    <w:rsid w:val="00FF2429"/>
    <w:rsid w:val="00FF4F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836A1"/>
  <w15:docId w15:val="{9F8F139C-2F45-429D-9E0C-721B1221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jc w:val="center"/>
    </w:pPr>
    <w:rPr>
      <w:b/>
      <w:bCs/>
      <w:sz w:val="28"/>
    </w:rPr>
  </w:style>
  <w:style w:type="paragraph" w:styleId="Tekstpodstawowywcity">
    <w:name w:val="Body Text Indent"/>
    <w:basedOn w:val="Normalny"/>
    <w:pPr>
      <w:ind w:left="708"/>
      <w:jc w:val="both"/>
    </w:pPr>
  </w:style>
  <w:style w:type="paragraph" w:styleId="Tekstpodstawowy">
    <w:name w:val="Body Text"/>
    <w:basedOn w:val="Normalny"/>
    <w:pPr>
      <w:jc w:val="both"/>
    </w:pPr>
  </w:style>
  <w:style w:type="paragraph" w:styleId="Nagwek">
    <w:name w:val="header"/>
    <w:basedOn w:val="Normalny"/>
    <w:pPr>
      <w:tabs>
        <w:tab w:val="center" w:pos="4536"/>
        <w:tab w:val="right" w:pos="9072"/>
      </w:tabs>
    </w:pPr>
  </w:style>
  <w:style w:type="character" w:styleId="Numerstrony">
    <w:name w:val="page number"/>
    <w:basedOn w:val="Domylnaczcionkaakapitu"/>
  </w:style>
  <w:style w:type="paragraph" w:styleId="Tekstpodstawowy2">
    <w:name w:val="Body Text 2"/>
    <w:basedOn w:val="Normalny"/>
    <w:pPr>
      <w:jc w:val="both"/>
    </w:pPr>
  </w:style>
  <w:style w:type="paragraph" w:customStyle="1" w:styleId="trescpisma">
    <w:name w:val="tresc.pisma"/>
    <w:basedOn w:val="Normalny"/>
    <w:qFormat/>
    <w:rsid w:val="00184D4E"/>
    <w:pPr>
      <w:spacing w:line="360" w:lineRule="auto"/>
      <w:ind w:firstLine="709"/>
      <w:jc w:val="both"/>
    </w:pPr>
    <w:rPr>
      <w:rFonts w:eastAsia="Calibri"/>
      <w:lang w:val="en-US"/>
    </w:rPr>
  </w:style>
  <w:style w:type="character" w:styleId="Hipercze">
    <w:name w:val="Hyperlink"/>
    <w:uiPriority w:val="99"/>
    <w:unhideWhenUsed/>
    <w:rsid w:val="00454B3B"/>
    <w:rPr>
      <w:color w:val="0000FF"/>
      <w:u w:val="single"/>
    </w:rPr>
  </w:style>
  <w:style w:type="paragraph" w:styleId="Tekstprzypisudolnego">
    <w:name w:val="footnote text"/>
    <w:basedOn w:val="Normalny"/>
    <w:link w:val="TekstprzypisudolnegoZnak"/>
    <w:rsid w:val="00EC73AC"/>
    <w:rPr>
      <w:sz w:val="20"/>
      <w:szCs w:val="20"/>
    </w:rPr>
  </w:style>
  <w:style w:type="character" w:customStyle="1" w:styleId="TekstprzypisudolnegoZnak">
    <w:name w:val="Tekst przypisu dolnego Znak"/>
    <w:basedOn w:val="Domylnaczcionkaakapitu"/>
    <w:link w:val="Tekstprzypisudolnego"/>
    <w:rsid w:val="00EC73AC"/>
  </w:style>
  <w:style w:type="character" w:styleId="Odwoanieprzypisudolnego">
    <w:name w:val="footnote reference"/>
    <w:rsid w:val="00EC73AC"/>
    <w:rPr>
      <w:vertAlign w:val="superscript"/>
    </w:rPr>
  </w:style>
  <w:style w:type="paragraph" w:styleId="Stopka">
    <w:name w:val="footer"/>
    <w:basedOn w:val="Normalny"/>
    <w:link w:val="StopkaZnak"/>
    <w:uiPriority w:val="99"/>
    <w:rsid w:val="00EC73AC"/>
    <w:pPr>
      <w:tabs>
        <w:tab w:val="center" w:pos="4536"/>
        <w:tab w:val="right" w:pos="9072"/>
      </w:tabs>
    </w:pPr>
  </w:style>
  <w:style w:type="character" w:customStyle="1" w:styleId="StopkaZnak">
    <w:name w:val="Stopka Znak"/>
    <w:link w:val="Stopka"/>
    <w:uiPriority w:val="99"/>
    <w:rsid w:val="00EC73AC"/>
    <w:rPr>
      <w:sz w:val="24"/>
      <w:szCs w:val="24"/>
    </w:rPr>
  </w:style>
  <w:style w:type="paragraph" w:styleId="Tekstdymka">
    <w:name w:val="Balloon Text"/>
    <w:basedOn w:val="Normalny"/>
    <w:link w:val="TekstdymkaZnak"/>
    <w:rsid w:val="00F55ED4"/>
    <w:rPr>
      <w:rFonts w:ascii="Segoe UI" w:hAnsi="Segoe UI" w:cs="Segoe UI"/>
      <w:sz w:val="18"/>
      <w:szCs w:val="18"/>
    </w:rPr>
  </w:style>
  <w:style w:type="character" w:customStyle="1" w:styleId="TekstdymkaZnak">
    <w:name w:val="Tekst dymka Znak"/>
    <w:basedOn w:val="Domylnaczcionkaakapitu"/>
    <w:link w:val="Tekstdymka"/>
    <w:rsid w:val="00F55E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8B007-17DB-4F5F-A62A-A96099150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1068</Words>
  <Characters>6411</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UZASADNIENIE</vt:lpstr>
    </vt:vector>
  </TitlesOfParts>
  <Company>MGiP</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MGiP</dc:creator>
  <cp:lastModifiedBy>Rybkowska Bożena</cp:lastModifiedBy>
  <cp:revision>5</cp:revision>
  <cp:lastPrinted>2007-07-20T11:42:00Z</cp:lastPrinted>
  <dcterms:created xsi:type="dcterms:W3CDTF">2021-02-18T12:57:00Z</dcterms:created>
  <dcterms:modified xsi:type="dcterms:W3CDTF">2021-02-22T12:35:00Z</dcterms:modified>
</cp:coreProperties>
</file>