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1032A" w14:textId="77777777" w:rsidR="00A93E79" w:rsidRPr="009B76D1" w:rsidRDefault="00A93E79" w:rsidP="009B76D1">
      <w:pPr>
        <w:tabs>
          <w:tab w:val="left" w:pos="567"/>
          <w:tab w:val="left" w:pos="2127"/>
        </w:tabs>
        <w:spacing w:before="120" w:line="360" w:lineRule="auto"/>
        <w:jc w:val="center"/>
      </w:pPr>
      <w:r w:rsidRPr="009B76D1">
        <w:t>UZASADNIENIE</w:t>
      </w:r>
    </w:p>
    <w:p w14:paraId="29ECEECF" w14:textId="76211473" w:rsidR="004E629C" w:rsidRPr="009B76D1" w:rsidRDefault="004E629C" w:rsidP="009B76D1">
      <w:pPr>
        <w:pStyle w:val="Tekstpodstawowy"/>
        <w:tabs>
          <w:tab w:val="left" w:pos="9212"/>
        </w:tabs>
        <w:spacing w:before="120" w:after="0" w:line="360" w:lineRule="auto"/>
        <w:ind w:left="426" w:hanging="426"/>
        <w:jc w:val="both"/>
        <w:rPr>
          <w:b/>
        </w:rPr>
      </w:pPr>
      <w:r w:rsidRPr="009B76D1">
        <w:rPr>
          <w:b/>
        </w:rPr>
        <w:t>1.</w:t>
      </w:r>
      <w:r w:rsidR="0074723F" w:rsidRPr="0074723F">
        <w:rPr>
          <w:b/>
        </w:rPr>
        <w:tab/>
      </w:r>
      <w:r w:rsidRPr="009B76D1">
        <w:rPr>
          <w:b/>
        </w:rPr>
        <w:t>Wstęp</w:t>
      </w:r>
    </w:p>
    <w:p w14:paraId="019234D3" w14:textId="2E4BBC20" w:rsidR="00CB11B5" w:rsidRPr="009B76D1" w:rsidRDefault="00CB11B5" w:rsidP="009B76D1">
      <w:pPr>
        <w:pStyle w:val="Tekstpodstawowy"/>
        <w:tabs>
          <w:tab w:val="left" w:pos="460"/>
          <w:tab w:val="left" w:pos="9212"/>
        </w:tabs>
        <w:spacing w:before="120" w:after="0" w:line="360" w:lineRule="auto"/>
        <w:jc w:val="both"/>
      </w:pPr>
      <w:r w:rsidRPr="009B76D1">
        <w:t>Ustawa z dnia 13 czerwca 2019 r. o wykonywaniu działalności gospodarczej w zakresie wytwarzania i</w:t>
      </w:r>
      <w:r w:rsidR="00EC0E4F" w:rsidRPr="0074723F">
        <w:t xml:space="preserve"> </w:t>
      </w:r>
      <w:r w:rsidRPr="009B76D1">
        <w:t xml:space="preserve">obrotu materiałami wybuchowymi, bronią, amunicją oraz wyrobami </w:t>
      </w:r>
      <w:r w:rsidR="000B5105" w:rsidRPr="009B76D1">
        <w:t>i</w:t>
      </w:r>
      <w:r w:rsidR="000B5105">
        <w:t> </w:t>
      </w:r>
      <w:r w:rsidRPr="009B76D1">
        <w:t>technologią o przeznaczeniu wojskowym l</w:t>
      </w:r>
      <w:r w:rsidR="00444F48" w:rsidRPr="009B76D1">
        <w:t xml:space="preserve">ub policyjnym (Dz. U. </w:t>
      </w:r>
      <w:r w:rsidR="005E03DA" w:rsidRPr="009B76D1">
        <w:t xml:space="preserve">z 2020 </w:t>
      </w:r>
      <w:r w:rsidR="003D75DE" w:rsidRPr="009B76D1">
        <w:t xml:space="preserve">r. </w:t>
      </w:r>
      <w:r w:rsidR="005E03DA" w:rsidRPr="009B76D1">
        <w:t>poz. 1545</w:t>
      </w:r>
      <w:r w:rsidRPr="009B76D1">
        <w:t xml:space="preserve">) weszła w życie w dniu 1 sierpnia 2019 r. </w:t>
      </w:r>
    </w:p>
    <w:p w14:paraId="610129EA" w14:textId="77777777" w:rsidR="00CB11B5" w:rsidRPr="009B76D1" w:rsidRDefault="00CB11B5" w:rsidP="009B76D1">
      <w:pPr>
        <w:pStyle w:val="Tekstpodstawowy"/>
        <w:tabs>
          <w:tab w:val="left" w:pos="460"/>
          <w:tab w:val="left" w:pos="9212"/>
        </w:tabs>
        <w:spacing w:before="120" w:after="0" w:line="360" w:lineRule="auto"/>
        <w:jc w:val="both"/>
      </w:pPr>
      <w:r w:rsidRPr="009B76D1">
        <w:t xml:space="preserve">Bardzo krótki okres funkcjonowania tej ustawy nie pozwala na dokonanie jej kompleksowej ewaluacji, zaś proponowane zmiany wynikają z konieczności doprecyzowania tych przepisów, których stosowanie </w:t>
      </w:r>
      <w:r w:rsidR="00C103C3" w:rsidRPr="009B76D1">
        <w:t>spowodowało</w:t>
      </w:r>
      <w:r w:rsidRPr="009B76D1">
        <w:t xml:space="preserve"> konieczność dokonywania </w:t>
      </w:r>
      <w:r w:rsidR="00B876F2" w:rsidRPr="009B76D1">
        <w:t xml:space="preserve">ich bieżącej </w:t>
      </w:r>
      <w:r w:rsidRPr="009B76D1">
        <w:t>interpretacji.</w:t>
      </w:r>
      <w:r w:rsidR="00B876F2" w:rsidRPr="009B76D1">
        <w:t xml:space="preserve"> Dlatego </w:t>
      </w:r>
      <w:r w:rsidR="00680060" w:rsidRPr="009B76D1">
        <w:t>też</w:t>
      </w:r>
      <w:r w:rsidR="00B876F2" w:rsidRPr="009B76D1">
        <w:t xml:space="preserve"> proponowane są przepisy, których nowe brzmienie pozwoli na ich jednoznaczne rozumienie zarówno przez organy administracji, jak i przedsiębiorców, do których są skierowane.</w:t>
      </w:r>
    </w:p>
    <w:p w14:paraId="04B1D6BF" w14:textId="229CF855" w:rsidR="0072227F" w:rsidRPr="009B76D1" w:rsidRDefault="00465D9E" w:rsidP="009B76D1">
      <w:pPr>
        <w:pStyle w:val="Tekstpodstawowy"/>
        <w:tabs>
          <w:tab w:val="left" w:pos="460"/>
          <w:tab w:val="left" w:pos="9212"/>
        </w:tabs>
        <w:spacing w:before="120" w:after="0" w:line="360" w:lineRule="auto"/>
        <w:jc w:val="both"/>
      </w:pPr>
      <w:r w:rsidRPr="009B76D1">
        <w:t>G</w:t>
      </w:r>
      <w:r w:rsidR="00AA479A" w:rsidRPr="009B76D1">
        <w:t xml:space="preserve">łównym celem nowelizacji ustawy jest </w:t>
      </w:r>
      <w:r w:rsidR="0072227F" w:rsidRPr="009B76D1">
        <w:t xml:space="preserve">wdrożenie do polskiego porządku prawnego dwóch aktów prawa europejskiego: dyrektywy wykonawczej Komisji (UE) 2019/68 </w:t>
      </w:r>
      <w:r w:rsidR="000B5105" w:rsidRPr="009B76D1">
        <w:t>z</w:t>
      </w:r>
      <w:r w:rsidR="000B5105">
        <w:t> </w:t>
      </w:r>
      <w:r w:rsidR="0072227F" w:rsidRPr="009B76D1">
        <w:t>dnia 16 stycznia 2019 r. ustanawiającej specyfikacje techniczne dotyczące oznakowani</w:t>
      </w:r>
      <w:r w:rsidR="00C6495B" w:rsidRPr="009B76D1">
        <w:t xml:space="preserve">a broni palnej i jej istotnych </w:t>
      </w:r>
      <w:r w:rsidR="0072227F" w:rsidRPr="009B76D1">
        <w:t xml:space="preserve">komponentów zgodnie z dyrektywą Rady 91/477/EWG </w:t>
      </w:r>
      <w:r w:rsidR="000B5105" w:rsidRPr="009B76D1">
        <w:t>w</w:t>
      </w:r>
      <w:r w:rsidR="000B5105">
        <w:t> </w:t>
      </w:r>
      <w:r w:rsidR="0072227F" w:rsidRPr="009B76D1">
        <w:t xml:space="preserve">sprawie kontroli nabywania i posiadania broni (Dz. Urz. UE L 15 </w:t>
      </w:r>
      <w:r w:rsidR="006C467C" w:rsidRPr="009B76D1">
        <w:t>z</w:t>
      </w:r>
      <w:r w:rsidR="006C467C">
        <w:t> </w:t>
      </w:r>
      <w:r w:rsidR="00DA2CFF" w:rsidRPr="009B76D1">
        <w:t>17.</w:t>
      </w:r>
      <w:r w:rsidR="00AA56A3">
        <w:t>0</w:t>
      </w:r>
      <w:r w:rsidR="00DA2CFF" w:rsidRPr="009B76D1">
        <w:t xml:space="preserve">1.2019, </w:t>
      </w:r>
      <w:r w:rsidR="0072227F" w:rsidRPr="009B76D1">
        <w:t xml:space="preserve">str. 18) oraz dyrektywy wykonawczej Komisji (UE) 2019/69 z dnia 16 stycznia 2019 r. ustanawiającej specyfikacje techniczne dotyczące broni alarmowej </w:t>
      </w:r>
      <w:r w:rsidR="006C467C" w:rsidRPr="009B76D1">
        <w:t>i</w:t>
      </w:r>
      <w:r w:rsidR="006C467C">
        <w:t> </w:t>
      </w:r>
      <w:r w:rsidR="0072227F" w:rsidRPr="009B76D1">
        <w:t xml:space="preserve">sygnałowej zgodnie z dyrektywą Rady 91/477/EWG w sprawie kontroli nabywania </w:t>
      </w:r>
      <w:r w:rsidR="006C467C" w:rsidRPr="009B76D1">
        <w:t>i</w:t>
      </w:r>
      <w:r w:rsidR="006C467C">
        <w:t> </w:t>
      </w:r>
      <w:r w:rsidR="0072227F" w:rsidRPr="009B76D1">
        <w:t>posiadania broni (D</w:t>
      </w:r>
      <w:r w:rsidR="00940EE9" w:rsidRPr="009B76D1">
        <w:t>z</w:t>
      </w:r>
      <w:r w:rsidR="000B5105" w:rsidRPr="009B76D1">
        <w:t>.</w:t>
      </w:r>
      <w:r w:rsidR="000B5105">
        <w:t> </w:t>
      </w:r>
      <w:r w:rsidR="0072227F" w:rsidRPr="009B76D1">
        <w:t>Urz. UE L 15</w:t>
      </w:r>
      <w:r w:rsidR="00DA2CFF" w:rsidRPr="009B76D1">
        <w:t xml:space="preserve"> z 17.</w:t>
      </w:r>
      <w:r w:rsidR="00AA56A3">
        <w:t>0</w:t>
      </w:r>
      <w:r w:rsidR="00DA2CFF" w:rsidRPr="009B76D1">
        <w:t>1.2019,</w:t>
      </w:r>
      <w:r w:rsidR="0072227F" w:rsidRPr="009B76D1">
        <w:t xml:space="preserve"> str. 22).</w:t>
      </w:r>
      <w:r w:rsidR="00CB11B5" w:rsidRPr="009B76D1">
        <w:t xml:space="preserve"> Obie dyrektywy wykonawcze powinny zostać wprowadzone przez </w:t>
      </w:r>
      <w:r w:rsidR="00AA56A3">
        <w:t>p</w:t>
      </w:r>
      <w:r w:rsidR="00CB11B5" w:rsidRPr="009B76D1">
        <w:t xml:space="preserve">aństwa </w:t>
      </w:r>
      <w:r w:rsidR="00AA56A3">
        <w:t>c</w:t>
      </w:r>
      <w:r w:rsidR="00CB11B5" w:rsidRPr="009B76D1">
        <w:t>złonkowskie UE do dnia 17 stycznia 20</w:t>
      </w:r>
      <w:r w:rsidR="00B25ED9" w:rsidRPr="009B76D1">
        <w:t>2</w:t>
      </w:r>
      <w:r w:rsidR="00CB11B5" w:rsidRPr="009B76D1">
        <w:t>0 r.</w:t>
      </w:r>
    </w:p>
    <w:p w14:paraId="35880912" w14:textId="0739EE21" w:rsidR="00E46856" w:rsidRPr="009B76D1" w:rsidRDefault="00E46856" w:rsidP="009B76D1">
      <w:pPr>
        <w:spacing w:before="120" w:line="360" w:lineRule="auto"/>
        <w:jc w:val="both"/>
      </w:pPr>
      <w:r w:rsidRPr="009B76D1">
        <w:t xml:space="preserve">Prace nad </w:t>
      </w:r>
      <w:r w:rsidR="00545844" w:rsidRPr="009B76D1">
        <w:t>stworzeniem</w:t>
      </w:r>
      <w:r w:rsidRPr="009B76D1">
        <w:t xml:space="preserve"> przepisów dotyczących przyjęcia aktów wykonawczych określających specyfikacje techniczne dotyczące oznakowania broni palnej oraz </w:t>
      </w:r>
      <w:r w:rsidR="00545844" w:rsidRPr="009B76D1">
        <w:t xml:space="preserve">specyfikacji dotyczących </w:t>
      </w:r>
      <w:r w:rsidRPr="009B76D1">
        <w:t xml:space="preserve">broni alarmowej </w:t>
      </w:r>
      <w:r w:rsidR="00C103C3" w:rsidRPr="009B76D1">
        <w:t xml:space="preserve">i </w:t>
      </w:r>
      <w:r w:rsidRPr="009B76D1">
        <w:t xml:space="preserve">sygnałowej były prowadzone w ramach prac i posiedzeń </w:t>
      </w:r>
      <w:r w:rsidR="00465D9E" w:rsidRPr="009B76D1">
        <w:t xml:space="preserve">powołanego przez Komisję Europejską </w:t>
      </w:r>
      <w:r w:rsidRPr="009B76D1">
        <w:t>Komitetu ds. Broni Palnej ustanowionego na mocy przepisów dyrektywy 91/477/EWG. Z</w:t>
      </w:r>
      <w:r w:rsidR="00EC0E4F" w:rsidRPr="0074723F">
        <w:t xml:space="preserve"> </w:t>
      </w:r>
      <w:r w:rsidRPr="009B76D1">
        <w:t xml:space="preserve">uwagi na techniczny charakter tych prac, do udziału w nich został delegowany </w:t>
      </w:r>
      <w:r w:rsidR="00C103C3" w:rsidRPr="009B76D1">
        <w:t xml:space="preserve">polski </w:t>
      </w:r>
      <w:r w:rsidRPr="009B76D1">
        <w:t>członek tego Komitetu, pr</w:t>
      </w:r>
      <w:r w:rsidR="00545844" w:rsidRPr="009B76D1">
        <w:t>zedst</w:t>
      </w:r>
      <w:r w:rsidR="00981B11" w:rsidRPr="009B76D1">
        <w:t>a</w:t>
      </w:r>
      <w:r w:rsidR="00545844" w:rsidRPr="009B76D1">
        <w:t>wiciel</w:t>
      </w:r>
      <w:r w:rsidRPr="009B76D1">
        <w:t xml:space="preserve"> Centralnego Laboratorium Kryminalistycznego Policji.</w:t>
      </w:r>
    </w:p>
    <w:p w14:paraId="3ED0CD68" w14:textId="43B3D1C5" w:rsidR="00E46856" w:rsidRPr="009B76D1" w:rsidRDefault="00E46856" w:rsidP="009B76D1">
      <w:pPr>
        <w:spacing w:before="120" w:line="360" w:lineRule="auto"/>
        <w:jc w:val="both"/>
      </w:pPr>
      <w:r w:rsidRPr="009B76D1">
        <w:lastRenderedPageBreak/>
        <w:t>K</w:t>
      </w:r>
      <w:r w:rsidR="00545844" w:rsidRPr="009B76D1">
        <w:t xml:space="preserve">omisja </w:t>
      </w:r>
      <w:r w:rsidRPr="009B76D1">
        <w:t>E</w:t>
      </w:r>
      <w:r w:rsidR="00545844" w:rsidRPr="009B76D1">
        <w:t xml:space="preserve">uropejska </w:t>
      </w:r>
      <w:r w:rsidRPr="009B76D1">
        <w:t>przyjęła, że zakończenie tych prac powinno nast</w:t>
      </w:r>
      <w:r w:rsidR="00981B11" w:rsidRPr="009B76D1">
        <w:t>ąpić przed dniem 14 września</w:t>
      </w:r>
      <w:r w:rsidR="001874C1" w:rsidRPr="009B76D1">
        <w:t xml:space="preserve"> </w:t>
      </w:r>
      <w:r w:rsidR="00981B11" w:rsidRPr="009B76D1">
        <w:t>20</w:t>
      </w:r>
      <w:r w:rsidRPr="009B76D1">
        <w:t>18 r.</w:t>
      </w:r>
      <w:r w:rsidR="00AA56A3">
        <w:t>,</w:t>
      </w:r>
      <w:r w:rsidRPr="009B76D1">
        <w:t xml:space="preserve"> przywołując art. 2 dyrektywy PE i Rady (UE) 2017/853, w którym zawarte zostało zobowiązanie państw członkowskich do wprowadzenia do tego dnia </w:t>
      </w:r>
      <w:r w:rsidR="000B5105" w:rsidRPr="009B76D1">
        <w:t>w</w:t>
      </w:r>
      <w:r w:rsidR="000B5105">
        <w:t> </w:t>
      </w:r>
      <w:r w:rsidRPr="009B76D1">
        <w:t>życie przepisów ustawowych, wykonawczych i administracyjnych niezbędnych do wykonania przepisów tej dyrektywy.</w:t>
      </w:r>
    </w:p>
    <w:p w14:paraId="6B64EEC3" w14:textId="640A2991" w:rsidR="00E46856" w:rsidRPr="009B76D1" w:rsidRDefault="00E46856" w:rsidP="009B76D1">
      <w:pPr>
        <w:spacing w:before="120" w:line="360" w:lineRule="auto"/>
        <w:jc w:val="both"/>
      </w:pPr>
      <w:r w:rsidRPr="009B76D1">
        <w:t>Prace Komitetu nad specyfikacjami dotyczącymi zasad oznakowania broni palnej rozpoczęto na 12</w:t>
      </w:r>
      <w:r w:rsidR="00AA56A3">
        <w:t>.</w:t>
      </w:r>
      <w:r w:rsidR="00EC0E4F" w:rsidRPr="0074723F">
        <w:t xml:space="preserve"> </w:t>
      </w:r>
      <w:r w:rsidRPr="009B76D1">
        <w:t>spotkaniu Komitetu, które odbyło się w dniu 20 lipca 201</w:t>
      </w:r>
      <w:r w:rsidR="00981B11" w:rsidRPr="009B76D1">
        <w:t>7</w:t>
      </w:r>
      <w:r w:rsidRPr="009B76D1">
        <w:t xml:space="preserve"> r. i na 13</w:t>
      </w:r>
      <w:r w:rsidR="00AA56A3">
        <w:t>.</w:t>
      </w:r>
      <w:r w:rsidRPr="009B76D1">
        <w:t xml:space="preserve"> spotkaniu w dniu 28 listopada 2017 r. od dyskusji, w celu zapoznania się ze stanowiskami państw członkowskich w związku z potrzebą realizacji celu wskazanego w dyrektywie 2017/853, tj.: ustalenia na podstawie art. 2a oraz art. 4 dyrektywy specyfikacji technicznych i sposobów ich wdrożenia, które zmniejszą niejednorodność krajowych wymogów dotyczących oznakowania, zapewnią lepszą identyfikowalność broni palnej przez unika</w:t>
      </w:r>
      <w:r w:rsidR="00C103C3" w:rsidRPr="009B76D1">
        <w:t>towe</w:t>
      </w:r>
      <w:r w:rsidRPr="009B76D1">
        <w:t xml:space="preserve"> oznakowanie broni oraz wszystkich jej istotnych części, </w:t>
      </w:r>
      <w:r w:rsidR="006C467C" w:rsidRPr="009B76D1">
        <w:t>a</w:t>
      </w:r>
      <w:r w:rsidR="006C467C">
        <w:t> </w:t>
      </w:r>
      <w:r w:rsidRPr="009B76D1">
        <w:t xml:space="preserve">także utrudnią skuteczne usunięcie takiego oznakowania i zapobiegną nielegalnemu handlowi. </w:t>
      </w:r>
    </w:p>
    <w:p w14:paraId="1A28A2D5" w14:textId="29468003" w:rsidR="00E46856" w:rsidRPr="009B76D1" w:rsidRDefault="00E46856" w:rsidP="009B76D1">
      <w:pPr>
        <w:spacing w:before="120" w:line="360" w:lineRule="auto"/>
        <w:jc w:val="both"/>
      </w:pPr>
      <w:r w:rsidRPr="009B76D1">
        <w:t>Prace Komitetu nad specyfikacjami dotyczącymi broni alarmowej i sygnałowej rozpoczęto na 14</w:t>
      </w:r>
      <w:r w:rsidR="00AA56A3">
        <w:t>.</w:t>
      </w:r>
      <w:r w:rsidR="00EC0E4F" w:rsidRPr="0074723F">
        <w:t xml:space="preserve"> </w:t>
      </w:r>
      <w:r w:rsidRPr="009B76D1">
        <w:t>spotkaniu Komitetu w dniu 28 stycznia 2018 r. Od tej daty Komitet ds. Broni Palnej pracował równolegle nad obydwoma projektami specyfikacji.</w:t>
      </w:r>
    </w:p>
    <w:p w14:paraId="23FB7FC0" w14:textId="20A13DF9" w:rsidR="00E46856" w:rsidRPr="009B76D1" w:rsidRDefault="00E46856" w:rsidP="009B76D1">
      <w:pPr>
        <w:spacing w:before="120" w:line="360" w:lineRule="auto"/>
        <w:jc w:val="both"/>
      </w:pPr>
      <w:r w:rsidRPr="009B76D1">
        <w:t xml:space="preserve">Prace nad opracowaniem specyfikacji dotyczących broni alarmowej i sygnałowej Komitet ds. Broni Palnej prowadził w celu </w:t>
      </w:r>
      <w:r w:rsidR="00C103C3" w:rsidRPr="009B76D1">
        <w:t>wy</w:t>
      </w:r>
      <w:r w:rsidRPr="009B76D1">
        <w:t xml:space="preserve">pełnienia definicji tej broni zawartej </w:t>
      </w:r>
      <w:r w:rsidR="006C467C" w:rsidRPr="009B76D1">
        <w:t>w</w:t>
      </w:r>
      <w:r w:rsidR="006C467C">
        <w:t> </w:t>
      </w:r>
      <w:r w:rsidRPr="009B76D1">
        <w:t>art. 1 pkt 4 dyrektywy 91/477/EWG</w:t>
      </w:r>
      <w:r w:rsidR="00457CF7" w:rsidRPr="009B76D1">
        <w:t xml:space="preserve">, zgodnie z którą </w:t>
      </w:r>
      <w:r w:rsidRPr="009B76D1">
        <w:t>broń ta</w:t>
      </w:r>
      <w:r w:rsidR="00457CF7" w:rsidRPr="009B76D1">
        <w:t>ka</w:t>
      </w:r>
      <w:r w:rsidRPr="009B76D1">
        <w:t xml:space="preserve"> oznacza urządzenia </w:t>
      </w:r>
      <w:r w:rsidR="000B5105" w:rsidRPr="009B76D1">
        <w:t>z</w:t>
      </w:r>
      <w:r w:rsidR="000B5105">
        <w:t> </w:t>
      </w:r>
      <w:r w:rsidRPr="009B76D1">
        <w:t xml:space="preserve">uchwytem na nabój, przeznaczone wyłącznie do strzelania ślepymi nabojami oraz do wystrzeliwania substancji drażniących, innych substancji czynnych lub pirotechnicznych nabojów sygnalizacyjnych i których nie można przerobić tak, aby miotały </w:t>
      </w:r>
      <w:r w:rsidR="00AC0EB3" w:rsidRPr="009B76D1">
        <w:t xml:space="preserve">jakikolwiek </w:t>
      </w:r>
      <w:r w:rsidRPr="009B76D1">
        <w:t>pocisk w wyniku działani</w:t>
      </w:r>
      <w:r w:rsidR="00C05BA8" w:rsidRPr="009B76D1">
        <w:t>a palnego materiału miotającego</w:t>
      </w:r>
      <w:r w:rsidRPr="009B76D1">
        <w:t xml:space="preserve">. </w:t>
      </w:r>
    </w:p>
    <w:p w14:paraId="0260AF56" w14:textId="650353BD" w:rsidR="00E46856" w:rsidRPr="009B76D1" w:rsidRDefault="00E46856" w:rsidP="009B76D1">
      <w:pPr>
        <w:spacing w:before="120" w:line="360" w:lineRule="auto"/>
        <w:jc w:val="both"/>
      </w:pPr>
      <w:r w:rsidRPr="009B76D1">
        <w:t xml:space="preserve">Ponadto prace te zostały ukierunkowane na to, </w:t>
      </w:r>
      <w:r w:rsidR="00C103C3" w:rsidRPr="009B76D1">
        <w:t>a</w:t>
      </w:r>
      <w:r w:rsidRPr="009B76D1">
        <w:t>by określone w specyfikacjach technicznych zasady konstrukcji i wykonanie broni alarmowej i sygnałowej umożliwiały wyłączenie tej broni spod działania dyrektywy 91/477/EWG, jako urządzenia nieuznanego za broń palną przez krajowy podmiot do tego upoważniony</w:t>
      </w:r>
      <w:r w:rsidR="00465D9E" w:rsidRPr="009B76D1">
        <w:t>,</w:t>
      </w:r>
      <w:r w:rsidRPr="009B76D1">
        <w:t xml:space="preserve"> </w:t>
      </w:r>
      <w:r w:rsidR="006C467C" w:rsidRPr="009B76D1">
        <w:t>z</w:t>
      </w:r>
      <w:r w:rsidR="006C467C">
        <w:t> </w:t>
      </w:r>
      <w:r w:rsidRPr="009B76D1">
        <w:t xml:space="preserve">jednoczesnym zapewnieniem kontroli państw członkowskich nad jej wytwarzaniem </w:t>
      </w:r>
      <w:r w:rsidR="006C467C" w:rsidRPr="009B76D1">
        <w:t>i</w:t>
      </w:r>
      <w:r w:rsidR="006C467C">
        <w:t> </w:t>
      </w:r>
      <w:r w:rsidRPr="009B76D1">
        <w:t xml:space="preserve">zapewnieniem wzajemnego przekazywania informacji o wynikach przeprowadzonych kontroli. </w:t>
      </w:r>
    </w:p>
    <w:p w14:paraId="52332DC3" w14:textId="46B7F8B9" w:rsidR="00E46856" w:rsidRPr="009B76D1" w:rsidRDefault="00E46856" w:rsidP="009B76D1">
      <w:pPr>
        <w:spacing w:before="120" w:line="360" w:lineRule="auto"/>
        <w:jc w:val="both"/>
      </w:pPr>
      <w:r w:rsidRPr="009B76D1">
        <w:lastRenderedPageBreak/>
        <w:t>Na 20</w:t>
      </w:r>
      <w:r w:rsidR="00940EE9" w:rsidRPr="009B76D1">
        <w:t>.</w:t>
      </w:r>
      <w:r w:rsidRPr="009B76D1">
        <w:t xml:space="preserve"> spotkaniu w dniu 17 grudnia 2018 r. K</w:t>
      </w:r>
      <w:r w:rsidR="00C103C3" w:rsidRPr="009B76D1">
        <w:t xml:space="preserve">omisja </w:t>
      </w:r>
      <w:r w:rsidRPr="009B76D1">
        <w:t>E</w:t>
      </w:r>
      <w:r w:rsidR="00C103C3" w:rsidRPr="009B76D1">
        <w:t xml:space="preserve">uropejska </w:t>
      </w:r>
      <w:r w:rsidRPr="009B76D1">
        <w:t xml:space="preserve">poinformowała członków Komitetu ds. Broni Palnej, o zakończeniu prac i o uzgodnieniu ostatecznych tekstów obu dyrektyw wykonawczych, które zostały również poddane konsultacjom publicznym i następnie poddane pod głosowanie przez członków Komitetu. </w:t>
      </w:r>
    </w:p>
    <w:p w14:paraId="106F828A" w14:textId="6B96A747" w:rsidR="00E46856" w:rsidRPr="009B76D1" w:rsidRDefault="00E46856" w:rsidP="009B76D1">
      <w:pPr>
        <w:spacing w:before="120" w:line="360" w:lineRule="auto"/>
        <w:jc w:val="both"/>
      </w:pPr>
      <w:r w:rsidRPr="009B76D1">
        <w:t>Należy jednak zauważyć, że nie została rozstrzygnięta</w:t>
      </w:r>
      <w:r w:rsidR="00457CF7" w:rsidRPr="009B76D1">
        <w:t xml:space="preserve"> bardzo istotna </w:t>
      </w:r>
      <w:r w:rsidRPr="009B76D1">
        <w:t xml:space="preserve">kwestia </w:t>
      </w:r>
      <w:r w:rsidR="008941E0" w:rsidRPr="009B76D1">
        <w:t xml:space="preserve">określenia </w:t>
      </w:r>
      <w:r w:rsidRPr="009B76D1">
        <w:t xml:space="preserve">głębokości oznakowania broni palnej. Państwa </w:t>
      </w:r>
      <w:r w:rsidR="00804A45">
        <w:t>c</w:t>
      </w:r>
      <w:r w:rsidRPr="009B76D1">
        <w:t xml:space="preserve">złonkowskie były podzielone w tej kwestii. </w:t>
      </w:r>
      <w:r w:rsidR="00C103C3" w:rsidRPr="009B76D1">
        <w:t>Część</w:t>
      </w:r>
      <w:r w:rsidRPr="009B76D1">
        <w:t xml:space="preserve"> członków Komitetu opowiadała się za minimalną głębokością 0,02 mm, </w:t>
      </w:r>
      <w:r w:rsidR="000B5105" w:rsidRPr="009B76D1">
        <w:t>a</w:t>
      </w:r>
      <w:r w:rsidR="000B5105">
        <w:t> </w:t>
      </w:r>
      <w:r w:rsidR="00C103C3" w:rsidRPr="009B76D1">
        <w:t>pozostali</w:t>
      </w:r>
      <w:r w:rsidRPr="009B76D1">
        <w:t xml:space="preserve"> za minimalną głębokością 0,04 mm. Komisja uzgodniła z Komitetem, aby całkowicie usunąć wymóg dotyczący głębokości oznakowania z dyrektywy wykonawczej i wprowadzić oświadczenie w karcie do głosowania i </w:t>
      </w:r>
      <w:r w:rsidR="008941E0" w:rsidRPr="009B76D1">
        <w:t>do</w:t>
      </w:r>
      <w:r w:rsidRPr="009B76D1">
        <w:t>łączyć ją do protokołu</w:t>
      </w:r>
      <w:r w:rsidR="00C103C3" w:rsidRPr="009B76D1">
        <w:t xml:space="preserve"> posiedzenia</w:t>
      </w:r>
      <w:r w:rsidRPr="009B76D1">
        <w:t xml:space="preserve">, wskazując, że Komitet oceni kwestię głębokości znakowania </w:t>
      </w:r>
      <w:r w:rsidR="000B5105" w:rsidRPr="009B76D1">
        <w:t>w</w:t>
      </w:r>
      <w:r w:rsidR="000B5105">
        <w:t> </w:t>
      </w:r>
      <w:r w:rsidRPr="009B76D1">
        <w:t>ciągu jednego roku od terminu transpozycji z perspektywą wprowadzenia, w razie potrzeby, wymagania tego wymiaru do dyrektywy wykonawczej.</w:t>
      </w:r>
      <w:r w:rsidR="00C103C3" w:rsidRPr="009B76D1">
        <w:t xml:space="preserve"> Nie ulega więc wątpliwości, że załączniki do obu dyrektyw wykonawczych będą podlegały dalszym zmianom, które zostaną wprowadzone po ocenie </w:t>
      </w:r>
      <w:r w:rsidR="00804A45">
        <w:t>liczby</w:t>
      </w:r>
      <w:r w:rsidR="00C103C3" w:rsidRPr="009B76D1">
        <w:t xml:space="preserve"> i wagi problemów, jakie stworzy</w:t>
      </w:r>
      <w:r w:rsidR="00A04B34" w:rsidRPr="009B76D1">
        <w:t>ć może</w:t>
      </w:r>
      <w:r w:rsidR="00C103C3" w:rsidRPr="009B76D1">
        <w:t xml:space="preserve"> stosowanie zawartych w nich wymogów.</w:t>
      </w:r>
    </w:p>
    <w:p w14:paraId="20EF9372" w14:textId="3E2DF9CD" w:rsidR="00C103C3" w:rsidRPr="009B76D1" w:rsidRDefault="00C103C3" w:rsidP="009B76D1">
      <w:pPr>
        <w:spacing w:before="120" w:line="360" w:lineRule="auto"/>
        <w:jc w:val="both"/>
      </w:pPr>
      <w:r w:rsidRPr="009B76D1">
        <w:t>W trakcie głosowania nad przyjęciem projektów obu d</w:t>
      </w:r>
      <w:r w:rsidR="001D7A8C" w:rsidRPr="009B76D1">
        <w:t>y</w:t>
      </w:r>
      <w:r w:rsidRPr="009B76D1">
        <w:t xml:space="preserve">rektyw </w:t>
      </w:r>
      <w:r w:rsidR="001D7A8C" w:rsidRPr="009B76D1">
        <w:t xml:space="preserve">przedstawiciel Polski podnosił, że termin wskazany na ich wdrożenie do prawodawstwa </w:t>
      </w:r>
      <w:r w:rsidR="00804A45">
        <w:t>p</w:t>
      </w:r>
      <w:r w:rsidR="001D7A8C" w:rsidRPr="009B76D1">
        <w:t xml:space="preserve">aństw </w:t>
      </w:r>
      <w:r w:rsidR="00804A45">
        <w:t>c</w:t>
      </w:r>
      <w:r w:rsidR="001D7A8C" w:rsidRPr="009B76D1">
        <w:t xml:space="preserve">złonkowskich jest zbyt krótki, ponieważ w ciągu 12 miesięcy nie jest możliwe rzetelne i pogłębione refleksją przygotowanie przepisów ustawowych, wykonawczych </w:t>
      </w:r>
      <w:r w:rsidR="000B5105" w:rsidRPr="009B76D1">
        <w:t>i</w:t>
      </w:r>
      <w:r w:rsidR="000B5105">
        <w:t> </w:t>
      </w:r>
      <w:r w:rsidR="001D7A8C" w:rsidRPr="009B76D1">
        <w:t xml:space="preserve">administracyjnych, niezbędnych do wykonania tych dyrektyw. Ocena ta znajduje swoje potwierdzenie </w:t>
      </w:r>
      <w:r w:rsidR="00457CF7" w:rsidRPr="009B76D1">
        <w:t>chociażby przez fakt, że do końca paźd</w:t>
      </w:r>
      <w:r w:rsidR="00444F48" w:rsidRPr="009B76D1">
        <w:t>ziernika 2019 r</w:t>
      </w:r>
      <w:r w:rsidR="00CE2590" w:rsidRPr="009B76D1">
        <w:t xml:space="preserve">. </w:t>
      </w:r>
      <w:r w:rsidR="00444F48" w:rsidRPr="009B76D1">
        <w:t>jedynie Litwa</w:t>
      </w:r>
      <w:r w:rsidR="00457CF7" w:rsidRPr="009B76D1">
        <w:t xml:space="preserve"> </w:t>
      </w:r>
      <w:r w:rsidR="000B5105" w:rsidRPr="009B76D1">
        <w:t>i</w:t>
      </w:r>
      <w:r w:rsidR="000B5105">
        <w:t> </w:t>
      </w:r>
      <w:r w:rsidR="00457CF7" w:rsidRPr="009B76D1">
        <w:t>Łotwa, które to kraje nie zaliczają się do grona znaczących producentów broni, wdrożyły do prawodawstwa krajowego przepisy obu dyrektyw.</w:t>
      </w:r>
      <w:r w:rsidR="00D12B98" w:rsidRPr="009B76D1">
        <w:t xml:space="preserve"> Do końca </w:t>
      </w:r>
      <w:r w:rsidR="00CE2590" w:rsidRPr="009B76D1">
        <w:t xml:space="preserve">listopada </w:t>
      </w:r>
      <w:r w:rsidR="00EA0985" w:rsidRPr="009B76D1">
        <w:t>2020</w:t>
      </w:r>
      <w:r w:rsidR="00EA0985">
        <w:t> </w:t>
      </w:r>
      <w:r w:rsidR="00D12B98" w:rsidRPr="009B76D1">
        <w:t>r. obie dyrektywy wdrożone zosta</w:t>
      </w:r>
      <w:r w:rsidR="00CE2590" w:rsidRPr="009B76D1">
        <w:t>ły przez</w:t>
      </w:r>
      <w:r w:rsidR="005B0CFA">
        <w:t>:</w:t>
      </w:r>
      <w:r w:rsidR="00CE2590" w:rsidRPr="009B76D1">
        <w:t xml:space="preserve"> Belgię, Czechy, Niemcy, Estonię, Hiszpanię, Francję, Łotwę, Litwę, Węgry, Maltę, Austrię, Portugalię, Słowację oraz Finlandię,</w:t>
      </w:r>
      <w:r w:rsidR="00D12B98" w:rsidRPr="009B76D1">
        <w:t xml:space="preserve"> co potwierdza pierwotną opinię o zbyt krótkim okresie wyznaczonym przez Komisję na ich implementację do prawa krajowego.</w:t>
      </w:r>
    </w:p>
    <w:p w14:paraId="4940D047" w14:textId="1842A390" w:rsidR="002848A4" w:rsidRPr="009B76D1" w:rsidRDefault="004E629C" w:rsidP="009B76D1">
      <w:pPr>
        <w:spacing w:before="120" w:line="360" w:lineRule="auto"/>
        <w:ind w:left="426" w:hanging="426"/>
        <w:jc w:val="both"/>
        <w:rPr>
          <w:b/>
        </w:rPr>
      </w:pPr>
      <w:r w:rsidRPr="009B76D1">
        <w:rPr>
          <w:b/>
        </w:rPr>
        <w:t>2.</w:t>
      </w:r>
      <w:r w:rsidR="0074723F" w:rsidRPr="0074723F">
        <w:rPr>
          <w:b/>
        </w:rPr>
        <w:tab/>
      </w:r>
      <w:r w:rsidRPr="009B76D1">
        <w:rPr>
          <w:b/>
        </w:rPr>
        <w:t>Przepisy szczegółowe</w:t>
      </w:r>
    </w:p>
    <w:p w14:paraId="7A9269D5" w14:textId="04D50525" w:rsidR="00C53630" w:rsidRPr="009B76D1" w:rsidRDefault="000A0B2F" w:rsidP="009B76D1">
      <w:pPr>
        <w:spacing w:before="120" w:line="360" w:lineRule="auto"/>
        <w:jc w:val="both"/>
        <w:rPr>
          <w:b/>
        </w:rPr>
      </w:pPr>
      <w:r w:rsidRPr="009B76D1">
        <w:t>Z</w:t>
      </w:r>
      <w:r w:rsidR="009C2F5B" w:rsidRPr="009B76D1">
        <w:t xml:space="preserve">miana </w:t>
      </w:r>
      <w:r w:rsidR="00E70A10" w:rsidRPr="009B76D1">
        <w:rPr>
          <w:b/>
        </w:rPr>
        <w:t>art. 1 pkt</w:t>
      </w:r>
      <w:r w:rsidR="009C2F5B" w:rsidRPr="009B76D1">
        <w:rPr>
          <w:b/>
        </w:rPr>
        <w:t xml:space="preserve"> 1</w:t>
      </w:r>
      <w:r w:rsidR="009C2F5B" w:rsidRPr="009B76D1">
        <w:t xml:space="preserve"> </w:t>
      </w:r>
      <w:r w:rsidRPr="009B76D1">
        <w:t xml:space="preserve">(dodanie nowego pkt 1a) </w:t>
      </w:r>
      <w:r w:rsidR="009C2F5B" w:rsidRPr="009B76D1">
        <w:t>wynika z r</w:t>
      </w:r>
      <w:r w:rsidR="007A3513" w:rsidRPr="009B76D1">
        <w:t>ozszer</w:t>
      </w:r>
      <w:r w:rsidR="009C2F5B" w:rsidRPr="009B76D1">
        <w:t>zenia</w:t>
      </w:r>
      <w:r w:rsidR="007A3513" w:rsidRPr="009B76D1">
        <w:t xml:space="preserve"> zakresu regulacji </w:t>
      </w:r>
      <w:r w:rsidR="009C2F5B" w:rsidRPr="009B76D1">
        <w:t>u</w:t>
      </w:r>
      <w:r w:rsidR="002848A4" w:rsidRPr="009B76D1">
        <w:t>stawy z dnia 13 czerwca 2019 r. o</w:t>
      </w:r>
      <w:r w:rsidR="009C2F5B" w:rsidRPr="009B76D1">
        <w:t xml:space="preserve"> </w:t>
      </w:r>
      <w:r w:rsidR="007A3513" w:rsidRPr="009B76D1">
        <w:t>kontrol</w:t>
      </w:r>
      <w:r w:rsidR="009C2F5B" w:rsidRPr="009B76D1">
        <w:t>ę broni alarmowej i sygnałowej,</w:t>
      </w:r>
      <w:r w:rsidR="008B61C8" w:rsidRPr="009B76D1">
        <w:t xml:space="preserve"> dotychczas </w:t>
      </w:r>
      <w:r w:rsidR="008B61C8" w:rsidRPr="009B76D1">
        <w:lastRenderedPageBreak/>
        <w:t>nie</w:t>
      </w:r>
      <w:r w:rsidR="00622214" w:rsidRPr="009B76D1">
        <w:t>regulowanej przedmiotową</w:t>
      </w:r>
      <w:r w:rsidR="009C2F5B" w:rsidRPr="009B76D1">
        <w:t xml:space="preserve"> ustawą. </w:t>
      </w:r>
      <w:r w:rsidRPr="009B76D1">
        <w:t>Obowiązek objęcia tej broni kontrolą wynika wprost z przepisów dyrektywy 2019/69.</w:t>
      </w:r>
      <w:r w:rsidR="007A3513" w:rsidRPr="009B76D1">
        <w:t xml:space="preserve"> </w:t>
      </w:r>
    </w:p>
    <w:p w14:paraId="5DF3179F" w14:textId="7B32FD7B" w:rsidR="00C94254" w:rsidRPr="009B76D1" w:rsidRDefault="00216E53" w:rsidP="009B76D1">
      <w:pPr>
        <w:spacing w:before="120" w:line="360" w:lineRule="auto"/>
        <w:jc w:val="both"/>
      </w:pPr>
      <w:r w:rsidRPr="009B76D1">
        <w:t xml:space="preserve">Projekt ustawy zawiera propozycję doprecyzowania definicji amunicji, zawartej w art. </w:t>
      </w:r>
      <w:r w:rsidRPr="009B76D1">
        <w:rPr>
          <w:b/>
        </w:rPr>
        <w:t>3 ust. 1 pkt 1</w:t>
      </w:r>
      <w:r w:rsidR="005B0CFA">
        <w:rPr>
          <w:b/>
        </w:rPr>
        <w:t>,</w:t>
      </w:r>
      <w:r w:rsidRPr="009B76D1">
        <w:t xml:space="preserve"> przez włączenie w jej zakres korpusów pocisków </w:t>
      </w:r>
      <w:r w:rsidR="00680060" w:rsidRPr="009B76D1">
        <w:t xml:space="preserve">amunicji artyleryjskiej </w:t>
      </w:r>
      <w:r w:rsidR="00EA0985" w:rsidRPr="009B76D1">
        <w:t>i</w:t>
      </w:r>
      <w:r w:rsidR="00EA0985">
        <w:t> </w:t>
      </w:r>
      <w:r w:rsidRPr="009B76D1">
        <w:t>łusek amunicji artyleryjski</w:t>
      </w:r>
      <w:r w:rsidR="002325F9" w:rsidRPr="009B76D1">
        <w:t>ej, kadłubów min, elementów układów napędowych, naprowadzania i sterowania pocisków rakietowych, bomb lotniczych i głębinowych, torped i imitatorów celów.</w:t>
      </w:r>
      <w:r w:rsidRPr="009B76D1">
        <w:t xml:space="preserve"> Celem regulacji jest utrzymanie </w:t>
      </w:r>
      <w:r w:rsidR="00F83F00" w:rsidRPr="009B76D1">
        <w:t xml:space="preserve">dotychczasowej </w:t>
      </w:r>
      <w:r w:rsidRPr="009B76D1">
        <w:t xml:space="preserve">zasady </w:t>
      </w:r>
      <w:r w:rsidR="00F83F00" w:rsidRPr="009B76D1">
        <w:t xml:space="preserve">objęcia koncesjonowaniem wytwarzania i obrotu </w:t>
      </w:r>
      <w:r w:rsidR="00354FC7" w:rsidRPr="009B76D1">
        <w:t>korpusami pocisków</w:t>
      </w:r>
      <w:r w:rsidR="00680060" w:rsidRPr="009B76D1">
        <w:t xml:space="preserve"> amunicji artyleryjskiej i </w:t>
      </w:r>
      <w:r w:rsidR="00354FC7" w:rsidRPr="009B76D1">
        <w:t>łusk</w:t>
      </w:r>
      <w:r w:rsidR="00680060" w:rsidRPr="009B76D1">
        <w:t>ami</w:t>
      </w:r>
      <w:r w:rsidR="00354FC7" w:rsidRPr="009B76D1">
        <w:t xml:space="preserve"> amunicji artyleryjskiej, niezależnie od tego, czy są pokryte </w:t>
      </w:r>
      <w:r w:rsidR="00C94254" w:rsidRPr="009B76D1">
        <w:t xml:space="preserve">lub wypełnione </w:t>
      </w:r>
      <w:r w:rsidR="00354FC7" w:rsidRPr="009B76D1">
        <w:t>materiałem wybuchowym, czy też nie posiadają takiego pokrycia</w:t>
      </w:r>
      <w:r w:rsidR="00C94254" w:rsidRPr="009B76D1">
        <w:t xml:space="preserve"> lub wypełnienia</w:t>
      </w:r>
      <w:r w:rsidR="00354FC7" w:rsidRPr="009B76D1">
        <w:t>. Co</w:t>
      </w:r>
      <w:r w:rsidR="00EC0E4F" w:rsidRPr="0074723F">
        <w:t xml:space="preserve"> </w:t>
      </w:r>
      <w:r w:rsidR="00354FC7" w:rsidRPr="009B76D1">
        <w:t xml:space="preserve">prawda </w:t>
      </w:r>
      <w:r w:rsidR="007D3C8C" w:rsidRPr="009B76D1">
        <w:t xml:space="preserve">rozporządzenie Rady Ministrów </w:t>
      </w:r>
      <w:r w:rsidR="00300C3A" w:rsidRPr="009B76D1">
        <w:t xml:space="preserve">z dnia 17 września 2019 r. </w:t>
      </w:r>
      <w:r w:rsidR="00EA0985" w:rsidRPr="009B76D1">
        <w:t>w</w:t>
      </w:r>
      <w:r w:rsidR="00EA0985">
        <w:t> </w:t>
      </w:r>
      <w:r w:rsidR="007D3C8C" w:rsidRPr="009B76D1">
        <w:t xml:space="preserve">sprawie klasyfikacji rodzajów materiałów wybuchowych, broni, amunicji oraz wyrobów i technologii o przeznaczeniu wojskowym lub policyjnym, na których wytwarzanie lub obrót jest wymagane uzyskanie </w:t>
      </w:r>
      <w:r w:rsidR="00300C3A" w:rsidRPr="009B76D1">
        <w:t>koncesji (Dz.</w:t>
      </w:r>
      <w:r w:rsidR="00500629" w:rsidRPr="009B76D1">
        <w:t xml:space="preserve"> </w:t>
      </w:r>
      <w:r w:rsidR="00300C3A" w:rsidRPr="009B76D1">
        <w:t xml:space="preserve">U. poz. 1888), w </w:t>
      </w:r>
      <w:r w:rsidR="00360E34" w:rsidRPr="009B76D1">
        <w:t>C</w:t>
      </w:r>
      <w:r w:rsidR="00300C3A" w:rsidRPr="009B76D1">
        <w:t xml:space="preserve">zęści III załącznika – Rodzaje broni i amunicji BA w ust. 20 wymienia m.in. korpusy i łuski (pkt 1 i 3) amunicji artyleryjskiej, jednak mając na uwadze treść </w:t>
      </w:r>
      <w:r w:rsidR="00C94254" w:rsidRPr="009B76D1">
        <w:t>definicji ustawowej, należało ją</w:t>
      </w:r>
      <w:r w:rsidR="00300C3A" w:rsidRPr="009B76D1">
        <w:t xml:space="preserve"> doprecyzować w taki sposób, aby z</w:t>
      </w:r>
      <w:r w:rsidR="00EC0E4F" w:rsidRPr="0074723F">
        <w:t xml:space="preserve"> </w:t>
      </w:r>
      <w:r w:rsidR="00300C3A" w:rsidRPr="009B76D1">
        <w:t xml:space="preserve">przepisu jednoznacznie wynikało, że koncesjonowaniem objęte jest wytwarzanie i obrót </w:t>
      </w:r>
      <w:r w:rsidR="004F301A" w:rsidRPr="009B76D1">
        <w:t>wszelkimi korpusami i łuskami amunicji artyleryjskiej niezależnie od tego</w:t>
      </w:r>
      <w:r w:rsidR="00B70182" w:rsidRPr="009B76D1">
        <w:t>,</w:t>
      </w:r>
      <w:r w:rsidR="004F301A" w:rsidRPr="009B76D1">
        <w:t xml:space="preserve"> czy zawierają materiał wybuchowy, czy też nie. Na konieczność uzupełnienia definicji zwracali uwagę przedstawiciele </w:t>
      </w:r>
      <w:r w:rsidR="00843E65">
        <w:t>w</w:t>
      </w:r>
      <w:r w:rsidR="004F301A" w:rsidRPr="009B76D1">
        <w:t>ojska, podnosząc fakt, iż korpusy i łuski amunicji artyleryjskiej wykonywane są według specjalistycznych technologii, dedykowan</w:t>
      </w:r>
      <w:r w:rsidR="00A04B34" w:rsidRPr="009B76D1">
        <w:t>ych</w:t>
      </w:r>
      <w:r w:rsidR="004F301A" w:rsidRPr="009B76D1">
        <w:t xml:space="preserve"> wyłącznie na potrzeby uzbrojenia wojskowego, więc ich wytwarzanie i obrót nimi powinny być ściśle kontrolowane, również z uwagi na konieczność spełnienia wymagań określonych w normach wojskowych.</w:t>
      </w:r>
      <w:r w:rsidR="002325F9" w:rsidRPr="009B76D1">
        <w:t xml:space="preserve"> Uzupełnienie definicji przez dodanie do przepisu kadłubów min, elementów układów napędowych, naprowadzania i sterowania pocisków rakietowych, bomb lotniczych i głębinowych, torped i </w:t>
      </w:r>
      <w:r w:rsidR="00500629" w:rsidRPr="009B76D1">
        <w:t>imitatorów celów wynika również</w:t>
      </w:r>
      <w:r w:rsidR="009A2204" w:rsidRPr="009B76D1">
        <w:t xml:space="preserve"> </w:t>
      </w:r>
      <w:r w:rsidR="00EA0985" w:rsidRPr="009B76D1">
        <w:t>z</w:t>
      </w:r>
      <w:r w:rsidR="00EA0985">
        <w:t> </w:t>
      </w:r>
      <w:r w:rsidR="002325F9" w:rsidRPr="009B76D1">
        <w:t xml:space="preserve">uwzględnienia uwag MON </w:t>
      </w:r>
      <w:r w:rsidR="00FA59DF" w:rsidRPr="009B76D1">
        <w:t xml:space="preserve">i Rady Legislacyjnej, </w:t>
      </w:r>
      <w:r w:rsidR="002325F9" w:rsidRPr="009B76D1">
        <w:t>zgłoszonych w toku opiniowania projektu.</w:t>
      </w:r>
    </w:p>
    <w:p w14:paraId="51DE29B8" w14:textId="58990585" w:rsidR="00CA7016" w:rsidRPr="009B76D1" w:rsidRDefault="00AC0EB3" w:rsidP="009B76D1">
      <w:pPr>
        <w:spacing w:before="120" w:line="360" w:lineRule="auto"/>
        <w:jc w:val="both"/>
      </w:pPr>
      <w:r w:rsidRPr="009B76D1">
        <w:t xml:space="preserve">Konsekwencją wdrożenia do prawa polskiego przepisów dyrektywy wykonawczej Komisji (UE) 2019/69, dotyczących </w:t>
      </w:r>
      <w:r w:rsidR="002542AD" w:rsidRPr="009B76D1">
        <w:t>broni alarmowej i sygnałowej, która nie jest zdolna do miotania pocisku i posiada stosowną ocenę</w:t>
      </w:r>
      <w:r w:rsidR="00E275C4" w:rsidRPr="009B76D1">
        <w:t xml:space="preserve"> w formie świadectwa</w:t>
      </w:r>
      <w:r w:rsidR="002542AD" w:rsidRPr="009B76D1">
        <w:t xml:space="preserve"> wydan</w:t>
      </w:r>
      <w:r w:rsidR="00E275C4" w:rsidRPr="009B76D1">
        <w:t>e</w:t>
      </w:r>
      <w:r w:rsidR="00A04B34" w:rsidRPr="009B76D1">
        <w:t>go</w:t>
      </w:r>
      <w:r w:rsidR="002542AD" w:rsidRPr="009B76D1">
        <w:t xml:space="preserve"> przez podmiot uprawniony do takiej oceny</w:t>
      </w:r>
      <w:r w:rsidR="00A04B34" w:rsidRPr="009B76D1">
        <w:t>,</w:t>
      </w:r>
      <w:r w:rsidR="002542AD" w:rsidRPr="009B76D1">
        <w:t xml:space="preserve"> jest wyłączenie obrotu taką bronią z wymogu </w:t>
      </w:r>
      <w:r w:rsidR="002542AD" w:rsidRPr="009B76D1">
        <w:lastRenderedPageBreak/>
        <w:t xml:space="preserve">uzyskania koncesji – projektowany </w:t>
      </w:r>
      <w:r w:rsidR="002542AD" w:rsidRPr="009B76D1">
        <w:rPr>
          <w:b/>
        </w:rPr>
        <w:t>pkt 3 w art. 7 ust. 2</w:t>
      </w:r>
      <w:r w:rsidR="002542AD" w:rsidRPr="009B76D1">
        <w:t xml:space="preserve"> ustawy. Zgodnie z </w:t>
      </w:r>
      <w:r w:rsidR="00ED6870" w:rsidRPr="009B76D1">
        <w:t xml:space="preserve">art. 7 ust. 2 pkt 2 </w:t>
      </w:r>
      <w:r w:rsidR="002542AD" w:rsidRPr="009B76D1">
        <w:t>ustaw</w:t>
      </w:r>
      <w:r w:rsidR="00ED6870" w:rsidRPr="009B76D1">
        <w:t>y</w:t>
      </w:r>
      <w:r w:rsidR="002542AD" w:rsidRPr="009B76D1">
        <w:t xml:space="preserve"> z dnia </w:t>
      </w:r>
      <w:r w:rsidR="00ED6870" w:rsidRPr="009B76D1">
        <w:t>13 czerwca 2019 r. nie wymaga uzyskania koncesji obrót bronią palną pozbawioną cech użytkowych w rozumieniu ustawy. Broń palna pozbawiona cech użytkowych również nie jest zdolna do miotania pocisku, jeżeli pozbawienie cech użytkowych zostało wykonane zgodnie z wytycznymi określonymi w rozporządzeniu wykonawczym Komisji (UE) 2015/2403 z dnia 15 grudnia 2015 r.</w:t>
      </w:r>
      <w:r w:rsidR="00843E65">
        <w:t xml:space="preserve"> </w:t>
      </w:r>
      <w:r w:rsidR="00CA1E08" w:rsidRPr="00CA1E08">
        <w:t>ustanawiając</w:t>
      </w:r>
      <w:r w:rsidR="00CA1E08">
        <w:t>ym</w:t>
      </w:r>
      <w:r w:rsidR="00CA1E08" w:rsidRPr="00CA1E08">
        <w:t xml:space="preserve"> wspólne wytyczne dotyczące norm i technik pozbawiania broni cech użytkowych </w:t>
      </w:r>
      <w:r w:rsidR="006C467C" w:rsidRPr="00CA1E08">
        <w:t>w</w:t>
      </w:r>
      <w:r w:rsidR="006C467C">
        <w:t> </w:t>
      </w:r>
      <w:r w:rsidR="00CA1E08" w:rsidRPr="00CA1E08">
        <w:t xml:space="preserve">celu zagwarantowania, że broń pozbawiona cech użytkowych trwale nie nadaje się do użytku </w:t>
      </w:r>
      <w:r w:rsidR="00843E65">
        <w:t>(Dz. Urz. UE L 333 z 19.12.2015, str. 62).</w:t>
      </w:r>
      <w:r w:rsidR="00ED6870" w:rsidRPr="009B76D1">
        <w:t xml:space="preserve"> Należy więc stwierdzić, że broń alarmowa i sygnałowa oraz broń palna pozbawiona cech użytkowych, o ile zostały wykonane zgodnie ze specyfikacjami, co zostało potwierdzone przez uprawnione do tego podmioty, nie stwarzają zagrożenia dla bezpieczeństwa i</w:t>
      </w:r>
      <w:r w:rsidR="00EC0E4F" w:rsidRPr="0074723F">
        <w:t xml:space="preserve"> </w:t>
      </w:r>
      <w:r w:rsidR="00ED6870" w:rsidRPr="009B76D1">
        <w:t>porządku publicznego</w:t>
      </w:r>
      <w:r w:rsidR="00CA7016" w:rsidRPr="009B76D1">
        <w:t xml:space="preserve">, mogą więc być przedmiotem niekoncesjonowanego obrotu </w:t>
      </w:r>
      <w:r w:rsidR="00C05BA8" w:rsidRPr="009B76D1">
        <w:t>–</w:t>
      </w:r>
      <w:r w:rsidR="00CA7016" w:rsidRPr="009B76D1">
        <w:t xml:space="preserve"> na zasadach ogólnych</w:t>
      </w:r>
      <w:r w:rsidR="00843E65">
        <w:t>,</w:t>
      </w:r>
      <w:r w:rsidR="00CA7016" w:rsidRPr="009B76D1">
        <w:t xml:space="preserve"> określonych w przepisach dotyczących działalności gospodarczej.</w:t>
      </w:r>
    </w:p>
    <w:p w14:paraId="52F35474" w14:textId="5875C383" w:rsidR="00C94254" w:rsidRPr="009B76D1" w:rsidRDefault="00AC0EB3" w:rsidP="009B76D1">
      <w:pPr>
        <w:spacing w:before="120" w:line="360" w:lineRule="auto"/>
        <w:jc w:val="both"/>
      </w:pPr>
      <w:r w:rsidRPr="009B76D1">
        <w:t>Dyrektywa 2019/69 stanowi, że przedmioty</w:t>
      </w:r>
      <w:r w:rsidR="00B70182" w:rsidRPr="009B76D1">
        <w:t xml:space="preserve"> albo</w:t>
      </w:r>
      <w:r w:rsidR="00E96385" w:rsidRPr="009B76D1">
        <w:t xml:space="preserve"> </w:t>
      </w:r>
      <w:r w:rsidRPr="009B76D1">
        <w:t xml:space="preserve">urządzenia, które odpowiadają definicji broni palnej, a w szczególności mają wygląd broni palnej i mogą zostać przerobione tak, aby miotały pocisk, podlegać mogą wyłączeniu z definicji broni palnej tylko w tym wypadku, jeżeli kontrola (ocena) tej broni wykaże, że zostały wytworzone zgodnie </w:t>
      </w:r>
      <w:r w:rsidR="00EA0985" w:rsidRPr="009B76D1">
        <w:t>z</w:t>
      </w:r>
      <w:r w:rsidR="00EA0985">
        <w:t> </w:t>
      </w:r>
      <w:r w:rsidRPr="009B76D1">
        <w:t>zasadami określonymi w Załączniku do tej dyrektywy. Sposób, w jaki broń sygnałowa i alarmowa została wytworzona</w:t>
      </w:r>
      <w:r w:rsidR="006267BE">
        <w:t>,</w:t>
      </w:r>
      <w:r w:rsidRPr="009B76D1">
        <w:t xml:space="preserve"> ma zapewnić, że urządzenia te w żadnym wypadku nie będą zdolne do miotania pocisku, a będą spełniać wyłącznie swoje podstawowe zadanie, czyli służyć alarmowaniu, sygnalizowaniu lub ratowaniu życia </w:t>
      </w:r>
      <w:r w:rsidR="006C467C" w:rsidRPr="009B76D1">
        <w:t>i</w:t>
      </w:r>
      <w:r w:rsidR="006C467C">
        <w:t> </w:t>
      </w:r>
      <w:r w:rsidRPr="009B76D1">
        <w:t>mogą być wykorzystywane wyłącznie do tych zadeklarowanych celów. Konsekwencją wyłączenia broni alarmowej i sygnałowej z zakresu działania dyrektywy 91/477 jest bezpośrednio wyłączenie tej broni, o ile posiada ocenę, że nie jest zdolna do miotania pocisku w wyniku działania ładunku miotającego, z definicji broni palnej. Warunkiem wyłączenia jest wykonanie udokumentowanych działań kontrolnych przez państwo członkowskie, czego skutkiem jest brak potrzeby śledzenia historii i zdarzeń mających związek z tymi urządzeniami alarmowymi i sygnałowymi</w:t>
      </w:r>
      <w:r w:rsidR="00843E65">
        <w:t>,</w:t>
      </w:r>
      <w:r w:rsidRPr="009B76D1">
        <w:t xml:space="preserve"> pod warunkiem że są one wytwarzane </w:t>
      </w:r>
      <w:r w:rsidR="00EA0985" w:rsidRPr="009B76D1">
        <w:t>w</w:t>
      </w:r>
      <w:r w:rsidR="00EA0985">
        <w:t> </w:t>
      </w:r>
      <w:r w:rsidRPr="009B76D1">
        <w:t>sposób zatwierdzony przez uprawniony do tego podmiot.</w:t>
      </w:r>
    </w:p>
    <w:p w14:paraId="5BFBD376" w14:textId="71554578" w:rsidR="00662797" w:rsidRPr="009B76D1" w:rsidRDefault="00CA7016" w:rsidP="009B76D1">
      <w:pPr>
        <w:spacing w:before="120" w:line="360" w:lineRule="auto"/>
        <w:jc w:val="both"/>
        <w:rPr>
          <w:b/>
        </w:rPr>
      </w:pPr>
      <w:r w:rsidRPr="009B76D1">
        <w:t xml:space="preserve">Kolejna projektowana </w:t>
      </w:r>
      <w:r w:rsidR="00C82F21" w:rsidRPr="009B76D1">
        <w:t xml:space="preserve">zmiana </w:t>
      </w:r>
      <w:r w:rsidRPr="009B76D1">
        <w:t xml:space="preserve">polega na przeniesieniu </w:t>
      </w:r>
      <w:r w:rsidR="00C82F21" w:rsidRPr="009B76D1">
        <w:t>w całości</w:t>
      </w:r>
      <w:r w:rsidR="00500629" w:rsidRPr="009B76D1">
        <w:t xml:space="preserve"> dotychczasowej treści zawartej</w:t>
      </w:r>
      <w:r w:rsidR="00EC0E4F" w:rsidRPr="0074723F">
        <w:t xml:space="preserve"> </w:t>
      </w:r>
      <w:r w:rsidR="00C82F21" w:rsidRPr="009B76D1">
        <w:t>w ust.</w:t>
      </w:r>
      <w:r w:rsidR="00EC0E4F" w:rsidRPr="0074723F">
        <w:t xml:space="preserve"> </w:t>
      </w:r>
      <w:r w:rsidR="00C82F21" w:rsidRPr="009B76D1">
        <w:t xml:space="preserve">3 w art. 107 do </w:t>
      </w:r>
      <w:r w:rsidR="00C82F21" w:rsidRPr="009B76D1">
        <w:rPr>
          <w:b/>
        </w:rPr>
        <w:t>art. 7, jako nowy ust. 4.</w:t>
      </w:r>
      <w:r w:rsidR="00662797" w:rsidRPr="009B76D1">
        <w:rPr>
          <w:b/>
        </w:rPr>
        <w:t xml:space="preserve"> </w:t>
      </w:r>
    </w:p>
    <w:p w14:paraId="66EC303B" w14:textId="55B82BB3" w:rsidR="00A24014" w:rsidRPr="009B76D1" w:rsidRDefault="00662797" w:rsidP="009B76D1">
      <w:pPr>
        <w:spacing w:before="120" w:line="360" w:lineRule="auto"/>
        <w:jc w:val="both"/>
      </w:pPr>
      <w:r w:rsidRPr="009B76D1">
        <w:lastRenderedPageBreak/>
        <w:t xml:space="preserve">W takcie prac w Senacie RP nad projektem ustawy o wykonywaniu </w:t>
      </w:r>
      <w:r w:rsidR="009A2204" w:rsidRPr="009B76D1">
        <w:t>działalności gospodarczej w zakresie wytwarzania i obrotu materiałami wybuchowymi, bronią, amunicją oraz wyrobami i technologią</w:t>
      </w:r>
      <w:r w:rsidR="00940EE9" w:rsidRPr="009B76D1">
        <w:t xml:space="preserve"> </w:t>
      </w:r>
      <w:r w:rsidR="009A2204" w:rsidRPr="009B76D1">
        <w:t>o przeznaczeniu wojskowym lub policyjnym,</w:t>
      </w:r>
      <w:r w:rsidRPr="009B76D1">
        <w:t xml:space="preserve"> </w:t>
      </w:r>
      <w:r w:rsidR="00EA0985" w:rsidRPr="009B76D1">
        <w:t>z</w:t>
      </w:r>
      <w:r w:rsidR="00EA0985">
        <w:t> </w:t>
      </w:r>
      <w:r w:rsidRPr="009B76D1">
        <w:t>uwagi na umiejscowienie treści przepisu (art. 107 ust. 3)</w:t>
      </w:r>
      <w:r w:rsidR="006267BE">
        <w:t>,</w:t>
      </w:r>
      <w:r w:rsidRPr="009B76D1">
        <w:t xml:space="preserve"> uznano, że </w:t>
      </w:r>
      <w:r w:rsidR="009A2204" w:rsidRPr="009B76D1">
        <w:t>z</w:t>
      </w:r>
      <w:r w:rsidRPr="009B76D1">
        <w:t xml:space="preserve">ałącznik do ustawy, określający kategorie i podkategorie strzeleckiej broni palnej wejdzie w życie </w:t>
      </w:r>
      <w:r w:rsidR="00EA0985" w:rsidRPr="009B76D1">
        <w:t>z</w:t>
      </w:r>
      <w:r w:rsidR="00EA0985">
        <w:t> </w:t>
      </w:r>
      <w:r w:rsidRPr="009B76D1">
        <w:t xml:space="preserve">dniem 14 grudnia 2019 r., czyli z przepisami Działu IV dotyczącymi Systemu Rejestracji Broni. Należy jednak mieć na uwadze, że określenie kategorii i podkategorii broni ma znaczenie nie tylko dla SRB. Od dnia wejścia w życie ustawy, tj. od 1 sierpnia 2019 r. obowiązują przepisy, które nie odnoszą się bezpośrednio do </w:t>
      </w:r>
      <w:r w:rsidR="00A24014" w:rsidRPr="009B76D1">
        <w:t>danych, jakie zawierać będą wpisy w SRB, a w szczególności jest to art. 63</w:t>
      </w:r>
      <w:r w:rsidR="00C05BA8" w:rsidRPr="009B76D1">
        <w:t xml:space="preserve"> </w:t>
      </w:r>
      <w:r w:rsidR="00A24014" w:rsidRPr="009B76D1">
        <w:t xml:space="preserve">ust. 2 pkt 4 lit. b, który </w:t>
      </w:r>
      <w:r w:rsidR="00EA0985" w:rsidRPr="009B76D1">
        <w:t>w</w:t>
      </w:r>
      <w:r w:rsidR="00EA0985">
        <w:t> </w:t>
      </w:r>
      <w:r w:rsidR="00A24014" w:rsidRPr="009B76D1">
        <w:t xml:space="preserve">informacjach o dokonanej sprzedaży nakazuje przedsiębiorcom wpisywanie kategorii i podkategorii strzeleckiej broni palnej. </w:t>
      </w:r>
    </w:p>
    <w:p w14:paraId="0E032386" w14:textId="10360BF9" w:rsidR="00B65319" w:rsidRPr="009B76D1" w:rsidRDefault="00A24014" w:rsidP="009B76D1">
      <w:pPr>
        <w:spacing w:before="120" w:line="360" w:lineRule="auto"/>
        <w:jc w:val="both"/>
      </w:pPr>
      <w:r w:rsidRPr="009B76D1">
        <w:t xml:space="preserve">Kategorie i podkategorie strzeleckiej broni palnej powinny być również umieszczane </w:t>
      </w:r>
      <w:r w:rsidR="00EA0985" w:rsidRPr="009B76D1">
        <w:t>w</w:t>
      </w:r>
      <w:r w:rsidR="00EA0985">
        <w:t> </w:t>
      </w:r>
      <w:r w:rsidRPr="009B76D1">
        <w:t>formularzach zgód przewozowych i uprzednich zgód przewozowych w przypadku przemieszczania broni na obszarze UE</w:t>
      </w:r>
      <w:r w:rsidR="00B65319" w:rsidRPr="009B76D1">
        <w:t xml:space="preserve">, jak również w ewidencjach broni wytworzonej lub przeznaczonej do obrotu prowadzonej w sposób dotychczasowy do momentu uruchomienia SRB. Przeniesienie przepisu umożliwi stosowanie kategorii </w:t>
      </w:r>
      <w:r w:rsidR="006C467C" w:rsidRPr="009B76D1">
        <w:t>i</w:t>
      </w:r>
      <w:r w:rsidR="006C467C">
        <w:t> </w:t>
      </w:r>
      <w:r w:rsidR="00B65319" w:rsidRPr="009B76D1">
        <w:t xml:space="preserve">podkategorii broni w ewidencjach i informacjach o sprzedaży, a tym samym sprawowanie kontroli </w:t>
      </w:r>
      <w:r w:rsidR="006267BE">
        <w:t>p</w:t>
      </w:r>
      <w:r w:rsidR="00B65319" w:rsidRPr="009B76D1">
        <w:t>aństwa nad przepływem broni na obszarze kraju.</w:t>
      </w:r>
    </w:p>
    <w:p w14:paraId="4354C38E" w14:textId="19F81163" w:rsidR="0070476F" w:rsidRPr="009B76D1" w:rsidRDefault="0070476F" w:rsidP="009B76D1">
      <w:pPr>
        <w:spacing w:before="120" w:line="360" w:lineRule="auto"/>
        <w:jc w:val="both"/>
      </w:pPr>
      <w:r w:rsidRPr="009B76D1">
        <w:t xml:space="preserve">Zmiana proponowana w </w:t>
      </w:r>
      <w:r w:rsidRPr="009B76D1">
        <w:rPr>
          <w:b/>
        </w:rPr>
        <w:t>art. 1</w:t>
      </w:r>
      <w:r w:rsidR="00AC0EB3" w:rsidRPr="009B76D1">
        <w:rPr>
          <w:b/>
        </w:rPr>
        <w:t>7 ust. 3 pkt 6</w:t>
      </w:r>
      <w:r w:rsidRPr="009B76D1">
        <w:t xml:space="preserve"> ustawy ma na celu określenie terminu ważności orzeczeń lekarskich i psychologicznych składanych na potrzeby postępowania w sprawie udzielenia lub zmiany koncesji. Orzeczenia te</w:t>
      </w:r>
      <w:r w:rsidR="007910E5" w:rsidRPr="009B76D1">
        <w:t xml:space="preserve">, jako dokumenty dołączane do wniosku, </w:t>
      </w:r>
      <w:r w:rsidRPr="009B76D1">
        <w:t>powinny być aktualne i zaświadczać o braku przeciwwskazań do kierowania działalnością objętą koncesjonowaniem</w:t>
      </w:r>
      <w:r w:rsidR="00BD59D8" w:rsidRPr="009B76D1">
        <w:t xml:space="preserve"> przez osoby do tego wyznaczone, a w ocenie projektodawców dochowanie ww</w:t>
      </w:r>
      <w:r w:rsidR="00AF4370">
        <w:t>.</w:t>
      </w:r>
      <w:r w:rsidR="00BD59D8" w:rsidRPr="009B76D1">
        <w:t xml:space="preserve"> terminu nie stanowi nadmiernego obciążenia dla osób zobowiązanych do przedstawienia tego dokumentu. </w:t>
      </w:r>
    </w:p>
    <w:p w14:paraId="25DEF80D" w14:textId="751C692B" w:rsidR="002D369A" w:rsidRPr="009B76D1" w:rsidRDefault="009148F0" w:rsidP="009B76D1">
      <w:pPr>
        <w:spacing w:before="120" w:line="360" w:lineRule="auto"/>
        <w:jc w:val="both"/>
      </w:pPr>
      <w:r w:rsidRPr="009B76D1">
        <w:t xml:space="preserve">Zmiana dotychczasowego </w:t>
      </w:r>
      <w:r w:rsidRPr="009B76D1">
        <w:rPr>
          <w:b/>
        </w:rPr>
        <w:t>art. 24 ust. 1 pkt 4</w:t>
      </w:r>
      <w:r w:rsidRPr="009B76D1">
        <w:t xml:space="preserve"> ustawy ma na celu </w:t>
      </w:r>
      <w:r w:rsidR="0042497D" w:rsidRPr="009B76D1">
        <w:t>skrócenie terminu, po upływie którego</w:t>
      </w:r>
      <w:r w:rsidRPr="009B76D1">
        <w:t xml:space="preserve"> organ koncesyjn</w:t>
      </w:r>
      <w:r w:rsidR="0042497D" w:rsidRPr="009B76D1">
        <w:t xml:space="preserve">y </w:t>
      </w:r>
      <w:r w:rsidR="00BD59D8" w:rsidRPr="009B76D1">
        <w:t>zobowiązany jest</w:t>
      </w:r>
      <w:r w:rsidR="0042497D" w:rsidRPr="009B76D1">
        <w:t xml:space="preserve"> wydać decyzję o </w:t>
      </w:r>
      <w:r w:rsidRPr="009B76D1">
        <w:t>cofnięci</w:t>
      </w:r>
      <w:r w:rsidR="0042497D" w:rsidRPr="009B76D1">
        <w:t>u</w:t>
      </w:r>
      <w:r w:rsidRPr="009B76D1">
        <w:t xml:space="preserve"> koncesji w przypadku</w:t>
      </w:r>
      <w:r w:rsidR="007910E5" w:rsidRPr="009B76D1">
        <w:t xml:space="preserve">, </w:t>
      </w:r>
      <w:r w:rsidRPr="009B76D1">
        <w:t>kiedy przedsiębiorc</w:t>
      </w:r>
      <w:r w:rsidR="004B23C7">
        <w:t>a</w:t>
      </w:r>
      <w:r w:rsidRPr="009B76D1">
        <w:t xml:space="preserve"> będąc</w:t>
      </w:r>
      <w:r w:rsidR="004B23C7">
        <w:t>y</w:t>
      </w:r>
      <w:r w:rsidRPr="009B76D1">
        <w:t xml:space="preserve"> osob</w:t>
      </w:r>
      <w:r w:rsidR="0042497D" w:rsidRPr="009B76D1">
        <w:t>ą</w:t>
      </w:r>
      <w:r w:rsidRPr="009B76D1">
        <w:t xml:space="preserve"> prawną </w:t>
      </w:r>
      <w:r w:rsidR="004B23C7">
        <w:t>nie posiada</w:t>
      </w:r>
      <w:r w:rsidR="007910E5" w:rsidRPr="009B76D1">
        <w:t xml:space="preserve"> </w:t>
      </w:r>
      <w:r w:rsidRPr="009B76D1">
        <w:t>dwóch osób uprawnionych do kierowania działalnością koncesjonowaną.</w:t>
      </w:r>
      <w:r w:rsidR="0042497D" w:rsidRPr="009B76D1">
        <w:t xml:space="preserve"> C</w:t>
      </w:r>
      <w:r w:rsidR="004F4767" w:rsidRPr="009B76D1">
        <w:t>ofni</w:t>
      </w:r>
      <w:r w:rsidR="001C2146" w:rsidRPr="009B76D1">
        <w:t>ę</w:t>
      </w:r>
      <w:r w:rsidR="004F4767" w:rsidRPr="009B76D1">
        <w:t xml:space="preserve">cie koncesji </w:t>
      </w:r>
      <w:r w:rsidR="0042497D" w:rsidRPr="009B76D1">
        <w:t xml:space="preserve">nadal </w:t>
      </w:r>
      <w:r w:rsidR="004F4767" w:rsidRPr="009B76D1">
        <w:t xml:space="preserve">powinno być poprzedzone wezwaniem organu koncesyjnego, </w:t>
      </w:r>
      <w:r w:rsidR="0042497D" w:rsidRPr="009B76D1">
        <w:t xml:space="preserve">w terminie </w:t>
      </w:r>
      <w:r w:rsidR="006C467C" w:rsidRPr="009B76D1">
        <w:t>3</w:t>
      </w:r>
      <w:r w:rsidR="006C467C">
        <w:t> </w:t>
      </w:r>
      <w:r w:rsidR="0042497D" w:rsidRPr="009B76D1">
        <w:t xml:space="preserve">miesięcy, </w:t>
      </w:r>
      <w:r w:rsidR="004F4767" w:rsidRPr="009B76D1">
        <w:t xml:space="preserve">do spełnienia warunków wskazanych </w:t>
      </w:r>
      <w:r w:rsidR="001C2146" w:rsidRPr="009B76D1">
        <w:t xml:space="preserve">w </w:t>
      </w:r>
      <w:r w:rsidR="004F4767" w:rsidRPr="009B76D1">
        <w:t>ww. przepisie</w:t>
      </w:r>
      <w:r w:rsidR="0042497D" w:rsidRPr="009B76D1">
        <w:t xml:space="preserve">. Skrócenie terminu </w:t>
      </w:r>
      <w:r w:rsidR="0042497D" w:rsidRPr="009B76D1">
        <w:lastRenderedPageBreak/>
        <w:t>ma wpłynąć na szybsze podejmowanie decyzji o składzie osobowym reprezentacji przedsiębiorcy, ponieważ przedsiębiorca koncesjonowany, działający w obszarze istotnym dla bezpieczeństwa i obronności państwa</w:t>
      </w:r>
      <w:r w:rsidR="00AF4370">
        <w:t>,</w:t>
      </w:r>
      <w:r w:rsidR="0042497D" w:rsidRPr="009B76D1">
        <w:t xml:space="preserve"> powinien być zdolny do właściwego zarządzania przedsiębiorstwem.</w:t>
      </w:r>
      <w:r w:rsidR="00BD59D8" w:rsidRPr="009B76D1">
        <w:t xml:space="preserve"> Zawarte w projekcie brzmienie przepisu uwzględnia również uwagi Rady Legislacyjnej mające na celu jego doprecyzowanie.</w:t>
      </w:r>
    </w:p>
    <w:p w14:paraId="75DEDFEA" w14:textId="79317344" w:rsidR="002D369A" w:rsidRPr="009B76D1" w:rsidRDefault="00C50213" w:rsidP="009B76D1">
      <w:pPr>
        <w:spacing w:before="120" w:line="360" w:lineRule="auto"/>
        <w:jc w:val="both"/>
      </w:pPr>
      <w:r w:rsidRPr="009B76D1">
        <w:t>Przedmiotowy</w:t>
      </w:r>
      <w:r w:rsidR="002D369A" w:rsidRPr="009B76D1">
        <w:t xml:space="preserve"> projekt ma na celu wdrożenie prawa Unii Europejskiej</w:t>
      </w:r>
      <w:r w:rsidR="006C5DF0" w:rsidRPr="009B76D1">
        <w:t xml:space="preserve"> </w:t>
      </w:r>
      <w:r w:rsidRPr="009B76D1">
        <w:t>–</w:t>
      </w:r>
      <w:r w:rsidR="002D369A" w:rsidRPr="009B76D1">
        <w:t xml:space="preserve"> </w:t>
      </w:r>
      <w:r w:rsidR="00AF4370">
        <w:t>d</w:t>
      </w:r>
      <w:r w:rsidR="002D369A" w:rsidRPr="009B76D1">
        <w:t xml:space="preserve">yrektyw wykonawczych 2019/68 i 2019/69 </w:t>
      </w:r>
      <w:r w:rsidRPr="009B76D1">
        <w:t>–</w:t>
      </w:r>
      <w:r w:rsidR="002D369A" w:rsidRPr="009B76D1">
        <w:t xml:space="preserve"> i jako taki nie powinien obejmować zagadnień, które nie są z tym wdrożeniem związane. Takie zalecenia pochodzą z ustaleń posiedzenia Komitetu do Spraw Europejskich z dnia 29 stycznia 2020 r. w trakcie którego Minister Konrad Szymański zwrócił uwagę, że w celu uniknięcia opóźnień we wdrażaniu prawa UE resorty powinny przygotowywać odrębne proje</w:t>
      </w:r>
      <w:r w:rsidR="00444F48" w:rsidRPr="009B76D1">
        <w:t xml:space="preserve">kty wyłącznie wdrażające prawo </w:t>
      </w:r>
      <w:r w:rsidR="002D369A" w:rsidRPr="009B76D1">
        <w:t>UE i odrębne uwzględniające przepisy o charakterze krajowym.</w:t>
      </w:r>
    </w:p>
    <w:p w14:paraId="02410202" w14:textId="77777777" w:rsidR="002D369A" w:rsidRPr="009B76D1" w:rsidRDefault="002D369A" w:rsidP="009B76D1">
      <w:pPr>
        <w:spacing w:before="120" w:line="360" w:lineRule="auto"/>
        <w:jc w:val="both"/>
      </w:pPr>
      <w:r w:rsidRPr="009B76D1">
        <w:t>W trakcie opiniowania pierwotnej wersji projektu zostały zgłoszone uwagi, które nie miały związku z proponowanymi przepisami i wykraczały poza materię regulacji.</w:t>
      </w:r>
    </w:p>
    <w:p w14:paraId="12F6ACB8" w14:textId="148242C6" w:rsidR="002D369A" w:rsidRPr="009B76D1" w:rsidRDefault="002D369A" w:rsidP="009B76D1">
      <w:pPr>
        <w:spacing w:before="120" w:line="360" w:lineRule="auto"/>
        <w:jc w:val="both"/>
      </w:pPr>
      <w:r w:rsidRPr="009B76D1">
        <w:t>Rozważając wagę i zasadność zgłoszonych propozycji</w:t>
      </w:r>
      <w:r w:rsidR="000500E3">
        <w:t>,</w:t>
      </w:r>
      <w:r w:rsidRPr="009B76D1">
        <w:t xml:space="preserve"> należało uznać konieczność uzupełnienia </w:t>
      </w:r>
      <w:r w:rsidRPr="009B76D1">
        <w:rPr>
          <w:b/>
        </w:rPr>
        <w:t>art.</w:t>
      </w:r>
      <w:r w:rsidR="00EC0E4F" w:rsidRPr="0074723F">
        <w:rPr>
          <w:b/>
        </w:rPr>
        <w:t xml:space="preserve"> </w:t>
      </w:r>
      <w:r w:rsidRPr="009B76D1">
        <w:rPr>
          <w:b/>
        </w:rPr>
        <w:t>33</w:t>
      </w:r>
      <w:r w:rsidR="00500629" w:rsidRPr="009B76D1">
        <w:t xml:space="preserve"> ustawy </w:t>
      </w:r>
      <w:r w:rsidRPr="009B76D1">
        <w:t xml:space="preserve">przez dodanie do niego </w:t>
      </w:r>
      <w:r w:rsidRPr="009B76D1">
        <w:rPr>
          <w:b/>
        </w:rPr>
        <w:t>ust. 3</w:t>
      </w:r>
      <w:r w:rsidR="000231A1" w:rsidRPr="009B76D1">
        <w:rPr>
          <w:b/>
        </w:rPr>
        <w:t>a</w:t>
      </w:r>
      <w:r w:rsidRPr="009B76D1">
        <w:t xml:space="preserve">, zgodnie z którym </w:t>
      </w:r>
      <w:r w:rsidR="006C467C" w:rsidRPr="009B76D1">
        <w:t>w</w:t>
      </w:r>
      <w:r w:rsidR="006C467C">
        <w:t> </w:t>
      </w:r>
      <w:r w:rsidRPr="009B76D1">
        <w:t>obiekcie magazynowym, w którym przechowuje się materiały wybuchowe, broń, amunicj</w:t>
      </w:r>
      <w:r w:rsidR="006C5DF0" w:rsidRPr="009B76D1">
        <w:t>ę</w:t>
      </w:r>
      <w:r w:rsidRPr="009B76D1">
        <w:t xml:space="preserve"> oraz wyroby i technologie o przeznaczeniu wojskowym lub policyjnym, nie prowadzi się innej działalności gospodarczej.</w:t>
      </w:r>
    </w:p>
    <w:p w14:paraId="1C4CC5D9" w14:textId="686B4F67" w:rsidR="00676AD3" w:rsidRPr="009B76D1" w:rsidRDefault="002D369A" w:rsidP="009B76D1">
      <w:pPr>
        <w:spacing w:before="120" w:line="360" w:lineRule="auto"/>
        <w:jc w:val="both"/>
      </w:pPr>
      <w:r w:rsidRPr="009B76D1">
        <w:t xml:space="preserve">Uwzględnienie tej uwagi zgłoszonej przez Ministra Rozwoju wynika wyłącznie z faktu, że jest to przepis istotny dla wykonywania działalności koncesjonowanej, funkcjonuje </w:t>
      </w:r>
      <w:r w:rsidR="00EA0985" w:rsidRPr="009B76D1">
        <w:t>w</w:t>
      </w:r>
      <w:r w:rsidR="00EA0985">
        <w:t> </w:t>
      </w:r>
      <w:r w:rsidRPr="009B76D1">
        <w:t>aktualnie obowiązującym rozporządzeniu Ministra Gospodarki z dnia 27 października 2010 r. w sprawie pomieszczeń magazynowych</w:t>
      </w:r>
      <w:r w:rsidR="00A550C6" w:rsidRPr="009B76D1">
        <w:t xml:space="preserve"> i obiektów do przechowywania materiałów wybuchowych, broni, amunicji oraz wyrobów </w:t>
      </w:r>
      <w:r w:rsidR="006C467C" w:rsidRPr="009B76D1">
        <w:t>o</w:t>
      </w:r>
      <w:r w:rsidR="006C467C">
        <w:t> </w:t>
      </w:r>
      <w:r w:rsidR="00A550C6" w:rsidRPr="009B76D1">
        <w:t>przeznaczeniu wojskowym lub policyjnym</w:t>
      </w:r>
      <w:r w:rsidRPr="009B76D1">
        <w:t xml:space="preserve"> (</w:t>
      </w:r>
      <w:r w:rsidR="00A550C6" w:rsidRPr="009B76D1">
        <w:t>Dz. U. poz. 1451</w:t>
      </w:r>
      <w:r w:rsidRPr="009B76D1">
        <w:t xml:space="preserve">), które </w:t>
      </w:r>
      <w:r w:rsidR="006C5DF0" w:rsidRPr="009B76D1">
        <w:t xml:space="preserve">wkrótce </w:t>
      </w:r>
      <w:r w:rsidRPr="009B76D1">
        <w:t>powinno być zastąpione nowym rozporządzeniem. Prace nad projektem nowego rozporządzenia trwają i w ich trakcie została zidentyfikowana pilna potrzeba uzupełnienia projektu zmiany ustawy o po</w:t>
      </w:r>
      <w:r w:rsidR="00676AD3" w:rsidRPr="009B76D1">
        <w:t>wy</w:t>
      </w:r>
      <w:r w:rsidRPr="009B76D1">
        <w:t>żej wskazany przepis.</w:t>
      </w:r>
      <w:r w:rsidR="00676AD3" w:rsidRPr="009B76D1">
        <w:t xml:space="preserve"> Ma on służyć zapewnieniu bezpieczeństwa przechowywania towarów koncesjonowanych</w:t>
      </w:r>
      <w:r w:rsidR="00000632" w:rsidRPr="009B76D1">
        <w:t>, które ze względu na swoje przeznaczenie i właściwości nie mogą być narażone na oddziaływania</w:t>
      </w:r>
      <w:r w:rsidR="009D2BC7" w:rsidRPr="009B76D1">
        <w:t>, wynikające z prowadzenia innego rodzaju działalności, mogące wpłynąć na ich parametry.</w:t>
      </w:r>
    </w:p>
    <w:p w14:paraId="484EC663" w14:textId="59AE338C" w:rsidR="00BD59D8" w:rsidRPr="009B76D1" w:rsidRDefault="00676AD3" w:rsidP="009B76D1">
      <w:pPr>
        <w:spacing w:before="120" w:line="360" w:lineRule="auto"/>
        <w:jc w:val="both"/>
      </w:pPr>
      <w:r w:rsidRPr="009B76D1">
        <w:lastRenderedPageBreak/>
        <w:t xml:space="preserve">Zmiana dotychczasowego </w:t>
      </w:r>
      <w:r w:rsidRPr="009B76D1">
        <w:rPr>
          <w:b/>
        </w:rPr>
        <w:t>art. 37 ust. 1 pkt 3</w:t>
      </w:r>
      <w:r w:rsidRPr="009B76D1">
        <w:t xml:space="preserve"> ustawy ma na celu uproszczenie przepisu, ponieważ art.</w:t>
      </w:r>
      <w:r w:rsidR="00EC0E4F" w:rsidRPr="0074723F">
        <w:t xml:space="preserve"> </w:t>
      </w:r>
      <w:r w:rsidRPr="009B76D1">
        <w:t>37 ust. 1 określa obowiązki przedsiębiorcy w przypadku wydania ostatecznej decyzji cofającej koncesję. Nie ma więc uzasadnienia pozostawienie przepisu odwołującego się do dnia zakończenia działalności, co j</w:t>
      </w:r>
      <w:r w:rsidR="00512992" w:rsidRPr="009B76D1">
        <w:t>est określeniem nieprecyzyjnym.</w:t>
      </w:r>
      <w:r w:rsidRPr="009B76D1">
        <w:t xml:space="preserve"> Ewidencje, o których mowa w art. 47 ust. 1 i art. 59 ust. 1, przedsiębiorca będzie więc obowiązany przekazać organowi koncesyjnemu </w:t>
      </w:r>
      <w:r w:rsidR="006C467C" w:rsidRPr="009B76D1">
        <w:t>w</w:t>
      </w:r>
      <w:r w:rsidR="006C467C">
        <w:t> </w:t>
      </w:r>
      <w:r w:rsidRPr="009B76D1">
        <w:t>terminie 30 dni od</w:t>
      </w:r>
      <w:r w:rsidR="00512992" w:rsidRPr="009B76D1">
        <w:t xml:space="preserve"> otrzymania</w:t>
      </w:r>
      <w:r w:rsidRPr="009B76D1">
        <w:t xml:space="preserve"> ostatecznej decyzji cofającej koncesję. </w:t>
      </w:r>
    </w:p>
    <w:p w14:paraId="3FE0389E" w14:textId="499D9D50" w:rsidR="00B36593" w:rsidRPr="009B76D1" w:rsidRDefault="00B36593" w:rsidP="009B76D1">
      <w:pPr>
        <w:spacing w:before="120" w:line="360" w:lineRule="auto"/>
        <w:jc w:val="both"/>
      </w:pPr>
      <w:r w:rsidRPr="009B76D1">
        <w:t xml:space="preserve">Zmieniono brzmienie </w:t>
      </w:r>
      <w:r w:rsidRPr="009B76D1">
        <w:rPr>
          <w:b/>
        </w:rPr>
        <w:t>art. 42 ust. 3 i 5</w:t>
      </w:r>
      <w:r w:rsidRPr="009B76D1">
        <w:t xml:space="preserve"> ustawy. Obowiązujące brzmienie ogranicza zakres stosowania obowiązku sporządzania planu postępowania na wypadek zagrożenia, </w:t>
      </w:r>
      <w:r w:rsidR="00EA0985" w:rsidRPr="009B76D1">
        <w:t>o</w:t>
      </w:r>
      <w:r w:rsidR="00EA0985">
        <w:t> </w:t>
      </w:r>
      <w:r w:rsidRPr="009B76D1">
        <w:t>którym mowa w art. 42 ust. 1 ustawy, tylko do przedsiębiorstw państwowych dla których organem założycielskim jest Minister Obrony Narodowej. Wprowadzenie terminu „jednostka organizacyjna podległa lub nadzorowana przez Ministra Obrony Narodowej, wykonująca działalność gospodarczą” stworzy obowiązek opracowania planu postępowania na wypadek zagrożenia przez każdą jednostkę organizacyjną wykonującą działalność gospodarczą w zakresie wymagającym uzyskania</w:t>
      </w:r>
      <w:r w:rsidR="00FD446E" w:rsidRPr="009B76D1">
        <w:t xml:space="preserve"> koncesji ministra właściwego do spraw</w:t>
      </w:r>
      <w:r w:rsidRPr="009B76D1">
        <w:t xml:space="preserve"> wewnętrznych. Nadmienić też należy, że wszystkie przedsiębiorstwa państwowe, dla których organem założycielskim był Minister Obrony Narodowej, zostały skomercjalizowane w latach 2007</w:t>
      </w:r>
      <w:r w:rsidR="00EC0E4F" w:rsidRPr="0074723F">
        <w:t>–</w:t>
      </w:r>
      <w:r w:rsidRPr="009B76D1">
        <w:t xml:space="preserve">2008 </w:t>
      </w:r>
      <w:r w:rsidR="006C467C" w:rsidRPr="009B76D1">
        <w:t>w</w:t>
      </w:r>
      <w:r w:rsidR="006C467C">
        <w:t> </w:t>
      </w:r>
      <w:r w:rsidRPr="009B76D1">
        <w:t>ramach tzw. powszechnej komercjalizacji. W związku z powyższym zachodzi potrzeba dostosowania przepisu (jego aktualizacji), tak aby miał on zastosowanie do jednostek organizacyjnych podległych lub nadzorowanych przez MON, wykonujących działalność gospodarczą.</w:t>
      </w:r>
    </w:p>
    <w:p w14:paraId="111D926B" w14:textId="0C599689" w:rsidR="00816B57" w:rsidRPr="009B76D1" w:rsidRDefault="0070476F" w:rsidP="009B76D1">
      <w:pPr>
        <w:spacing w:before="120" w:line="360" w:lineRule="auto"/>
        <w:jc w:val="both"/>
      </w:pPr>
      <w:r w:rsidRPr="009B76D1">
        <w:t xml:space="preserve">Zmiana w obrębie dotychczasowego </w:t>
      </w:r>
      <w:r w:rsidRPr="009B76D1">
        <w:rPr>
          <w:b/>
        </w:rPr>
        <w:t>art. 44</w:t>
      </w:r>
      <w:r w:rsidRPr="009B76D1">
        <w:t xml:space="preserve"> ustawy jest spowodowana koniecznością implementacji </w:t>
      </w:r>
      <w:r w:rsidR="00816B57" w:rsidRPr="009B76D1">
        <w:t xml:space="preserve">dyrektywy wykonawczej Komisji (UE) 2019/68 z dnia 16 stycznia </w:t>
      </w:r>
      <w:r w:rsidR="00EA0985" w:rsidRPr="009B76D1">
        <w:t>2019</w:t>
      </w:r>
      <w:r w:rsidR="00EA0985">
        <w:t> </w:t>
      </w:r>
      <w:r w:rsidR="00816B57" w:rsidRPr="009B76D1">
        <w:t xml:space="preserve">r. ustanawiającej specyfikacje techniczne dotyczące oznakowania broni palnej i jej istotnych komponentów zgodnie z dyrektywą Rady 91/477/EWG w sprawie kontroli nabywania i posiadania broni. Dyrektywa ta zobowiązuje </w:t>
      </w:r>
      <w:r w:rsidR="00C52C8C">
        <w:t>p</w:t>
      </w:r>
      <w:r w:rsidR="00816B57" w:rsidRPr="009B76D1">
        <w:t xml:space="preserve">aństwa </w:t>
      </w:r>
      <w:r w:rsidR="00C52C8C">
        <w:t>c</w:t>
      </w:r>
      <w:r w:rsidR="00816B57" w:rsidRPr="009B76D1">
        <w:t>złonkowskie (motyw 1) do oznakowywania broni palnej i jej istotnych komponentów (części), niezależnie od tego, czy są częścią broni palnej, czy też są wprowadzane do obrotu oddzielnie.</w:t>
      </w:r>
    </w:p>
    <w:p w14:paraId="3686CD2B" w14:textId="2AF729F9" w:rsidR="000C0FAA" w:rsidRPr="009B76D1" w:rsidRDefault="000C0FAA" w:rsidP="009B76D1">
      <w:pPr>
        <w:spacing w:before="120" w:line="360" w:lineRule="auto"/>
        <w:jc w:val="both"/>
      </w:pPr>
      <w:r w:rsidRPr="009B76D1">
        <w:t xml:space="preserve">Mając na uwadze wątpliwości, jakie </w:t>
      </w:r>
      <w:r w:rsidR="001C2146" w:rsidRPr="009B76D1">
        <w:t>przepis</w:t>
      </w:r>
      <w:r w:rsidRPr="009B76D1">
        <w:t xml:space="preserve"> ten budził wśród przedsiębiorców w trakcie prac sejmowej </w:t>
      </w:r>
      <w:r w:rsidR="001C2146" w:rsidRPr="009B76D1">
        <w:t>K</w:t>
      </w:r>
      <w:r w:rsidRPr="009B76D1">
        <w:t xml:space="preserve">omisji Administracji i Spraw Wewnętrznych nad procedowanym </w:t>
      </w:r>
      <w:r w:rsidRPr="009B76D1">
        <w:lastRenderedPageBreak/>
        <w:t xml:space="preserve">projektem ustawy o wykonywaniu </w:t>
      </w:r>
      <w:r w:rsidR="00A550C6" w:rsidRPr="009B76D1">
        <w:t xml:space="preserve">działalności gospodarczej w zakresie wytwarzania </w:t>
      </w:r>
      <w:r w:rsidR="00EA0985" w:rsidRPr="009B76D1">
        <w:t>i</w:t>
      </w:r>
      <w:r w:rsidR="00EA0985">
        <w:t> </w:t>
      </w:r>
      <w:r w:rsidR="00A550C6" w:rsidRPr="009B76D1">
        <w:t xml:space="preserve">obrotu materiałami wybuchowymi, bronią, amunicją oraz wyrobami i technologią </w:t>
      </w:r>
      <w:r w:rsidR="00EA0985" w:rsidRPr="009B76D1">
        <w:t>o</w:t>
      </w:r>
      <w:r w:rsidR="00EA0985">
        <w:t> </w:t>
      </w:r>
      <w:r w:rsidR="00A550C6" w:rsidRPr="009B76D1">
        <w:t>przeznaczeniu wojskowym lub policyjnym,</w:t>
      </w:r>
      <w:r w:rsidRPr="009B76D1">
        <w:t xml:space="preserve"> w maju 2019 r. – Minister Spraw Wewnętrznych i Administracji wystąpił do Ministerstwa Spraw Zagranicznych </w:t>
      </w:r>
      <w:r w:rsidR="00EA0985" w:rsidRPr="009B76D1">
        <w:t>o</w:t>
      </w:r>
      <w:r w:rsidR="00EA0985">
        <w:t> </w:t>
      </w:r>
      <w:r w:rsidRPr="009B76D1">
        <w:t xml:space="preserve">stanowisko w kwestii obowiązku znakowania broni i jej istotnych części zgodnie </w:t>
      </w:r>
      <w:r w:rsidR="00EA0985" w:rsidRPr="009B76D1">
        <w:t>z</w:t>
      </w:r>
      <w:r w:rsidR="00EA0985">
        <w:t> </w:t>
      </w:r>
      <w:r w:rsidRPr="009B76D1">
        <w:t>dyrektywą 91/477/EWG.</w:t>
      </w:r>
    </w:p>
    <w:p w14:paraId="6C79AA3C" w14:textId="2CC9553D" w:rsidR="000C0FAA" w:rsidRPr="009B76D1" w:rsidRDefault="000C0FAA" w:rsidP="009B76D1">
      <w:pPr>
        <w:spacing w:before="120" w:line="360" w:lineRule="auto"/>
        <w:jc w:val="both"/>
      </w:pPr>
      <w:r w:rsidRPr="009B76D1">
        <w:t>W odpowiedzi na zapytanie, pismem z dnia 13 maja 2019 r. DPUE.929.1433.2017/41/dl</w:t>
      </w:r>
      <w:r w:rsidR="00876141">
        <w:t>,</w:t>
      </w:r>
      <w:r w:rsidRPr="009B76D1">
        <w:t xml:space="preserve"> MSZ przedstawił poniższe stanowisko:</w:t>
      </w:r>
    </w:p>
    <w:p w14:paraId="1284A1CE" w14:textId="78C7F7F6" w:rsidR="00CF5450" w:rsidRPr="009B76D1" w:rsidRDefault="000C0FAA" w:rsidP="009B76D1">
      <w:pPr>
        <w:pStyle w:val="Tekstpodstawowy"/>
        <w:spacing w:before="120" w:after="0" w:line="360" w:lineRule="auto"/>
        <w:jc w:val="both"/>
      </w:pPr>
      <w:r w:rsidRPr="009B76D1">
        <w:t>„</w:t>
      </w:r>
      <w:r w:rsidR="00CF5450" w:rsidRPr="009B76D1">
        <w:t xml:space="preserve">Zgodnie z art. 4 ust. 1 lit. a </w:t>
      </w:r>
      <w:r w:rsidR="00CF5450" w:rsidRPr="009B76D1">
        <w:rPr>
          <w:i/>
        </w:rPr>
        <w:t>dyrektywy Rady 91/477/EWG w sprawie kontroli nabywania i posiadania broni</w:t>
      </w:r>
      <w:r w:rsidR="00CF5450" w:rsidRPr="009B76D1">
        <w:t xml:space="preserve"> państwa członkowskie zapewniają, aby każda broń palna lub każdy istotny komponent wprowadzone do obrotu zostały opatrzone czytelnym, trwałym </w:t>
      </w:r>
      <w:r w:rsidR="00EA0985" w:rsidRPr="009B76D1">
        <w:t>i</w:t>
      </w:r>
      <w:r w:rsidR="00EA0985">
        <w:t> </w:t>
      </w:r>
      <w:r w:rsidR="00CF5450" w:rsidRPr="009B76D1">
        <w:t>niepowtarzalnym oznakowaniem, niezwłocznie po wytworzeniu i najpóźniej przed wprowadzeniem ich do obrotu lub niezwłocznie po przywozie do Unii.</w:t>
      </w:r>
    </w:p>
    <w:p w14:paraId="054025CB" w14:textId="45945015" w:rsidR="00CF5450" w:rsidRPr="009B76D1" w:rsidRDefault="00CF5450" w:rsidP="009B76D1">
      <w:pPr>
        <w:pStyle w:val="Tekstpodstawowy"/>
        <w:spacing w:before="120" w:after="0" w:line="360" w:lineRule="auto"/>
        <w:jc w:val="both"/>
      </w:pPr>
      <w:r w:rsidRPr="009B76D1">
        <w:t xml:space="preserve">Oceniając, czy powyższy przepis wprowadza obowiązek znakowania wszystkich istotnych komponentów w każdym wypadku, czy wyłącznie wtedy, gdy są one wprowadzane na rynek osobno, należy mieć na uwadze, że znakowanie powiązane jest </w:t>
      </w:r>
      <w:r w:rsidR="00EA0985" w:rsidRPr="009B76D1">
        <w:t>z</w:t>
      </w:r>
      <w:r w:rsidR="00EA0985">
        <w:t> </w:t>
      </w:r>
      <w:r w:rsidRPr="009B76D1">
        <w:t xml:space="preserve">wprowadzonym przez dyrektywę obowiązkiem rejestrowania broni i istotnych komponentów w celu ich śledzenia i identyfikacji. Zgodnie z art. 4 ust. 4 lit. b </w:t>
      </w:r>
      <w:r w:rsidR="006C467C" w:rsidRPr="009B76D1">
        <w:t>w</w:t>
      </w:r>
      <w:r w:rsidR="006C467C">
        <w:t> </w:t>
      </w:r>
      <w:r w:rsidRPr="009B76D1">
        <w:t xml:space="preserve">systemie rejestracji zapisuje się m.in. numer seryjny lub niepowtarzalne oznakowanie umieszczone na istotnych komponentach, w przypadku gdy różnią się od oznakowania na szkielecie lub komorze zamkowej broni palnej. </w:t>
      </w:r>
    </w:p>
    <w:p w14:paraId="08F69AF1" w14:textId="3BA14193" w:rsidR="00CF5450" w:rsidRPr="009B76D1" w:rsidRDefault="00CF5450" w:rsidP="009B76D1">
      <w:pPr>
        <w:pStyle w:val="Tekstpodstawowy"/>
        <w:spacing w:before="120" w:after="0" w:line="360" w:lineRule="auto"/>
        <w:jc w:val="both"/>
      </w:pPr>
      <w:r w:rsidRPr="009B76D1">
        <w:t>Biorąc pod uwagę powyższe należy przyjąć, że celem ustawodawcy unijnego było zapewnienie identyfikacji i śledzenia również istotnych komponentów. Taką interpretację potwierdza zawarta w art.</w:t>
      </w:r>
      <w:r w:rsidR="00EC0E4F" w:rsidRPr="0074723F">
        <w:t xml:space="preserve"> </w:t>
      </w:r>
      <w:r w:rsidRPr="009B76D1">
        <w:t xml:space="preserve">1 pkt 13 dyrektywy definicja pojęcia śledzenie: „systematyczne śledzenie losów broni palnej oraz, w miarę możliwości, jej istotnych komponentów </w:t>
      </w:r>
      <w:r w:rsidR="00EA0985" w:rsidRPr="009B76D1">
        <w:t>i</w:t>
      </w:r>
      <w:r w:rsidR="00EA0985">
        <w:t> </w:t>
      </w:r>
      <w:r w:rsidRPr="009B76D1">
        <w:t xml:space="preserve">amunicji od wytwórcy do nabywcy w celu udzielania właściwym organom państw członkowskich pomocy w wykrywaniu, badaniu i analizowaniu procesów nielegalnego wytwarzania i nielegalnego obrotu”. </w:t>
      </w:r>
    </w:p>
    <w:p w14:paraId="77A2B9E2" w14:textId="25A4805E" w:rsidR="00CF5450" w:rsidRPr="009B76D1" w:rsidRDefault="00CF5450" w:rsidP="009B76D1">
      <w:pPr>
        <w:pStyle w:val="Tekstpodstawowy"/>
        <w:spacing w:before="120" w:after="0" w:line="360" w:lineRule="auto"/>
        <w:jc w:val="both"/>
      </w:pPr>
      <w:r w:rsidRPr="009B76D1">
        <w:lastRenderedPageBreak/>
        <w:t xml:space="preserve">Ponadto należy przypomnieć, że obowiązek znakowania i śledzenia broni palnej </w:t>
      </w:r>
      <w:r w:rsidR="00EA0985" w:rsidRPr="009B76D1">
        <w:t>i</w:t>
      </w:r>
      <w:r w:rsidR="00EA0985">
        <w:t> </w:t>
      </w:r>
      <w:r w:rsidRPr="009B76D1">
        <w:t>istotnych komponentów został wprowadzony do dyrektywy nowelizacją z 2008 r.</w:t>
      </w:r>
      <w:r w:rsidRPr="009B76D1">
        <w:rPr>
          <w:rStyle w:val="Odwoanieprzypisudolnego"/>
        </w:rPr>
        <w:footnoteReference w:id="1"/>
      </w:r>
      <w:r w:rsidR="0074723F" w:rsidRPr="0074723F">
        <w:t>)</w:t>
      </w:r>
      <w:r w:rsidRPr="009B76D1">
        <w:t>. Zgodnie z art. 4 ust. 2 dyrektywy 91/477 w brzmieniu nadanym tą dyrektywą oznakowanie umieszczane miało być na jednym z istotnych elementów broni palnej, którego zniszczenie powodowałoby bezużyteczność broni palnej. Zastrzeżenie to zostało usunięte z dyrektywy 91/477 ostatnią dyrektywą nowelizującą 2017/853.</w:t>
      </w:r>
      <w:r w:rsidRPr="009B76D1">
        <w:rPr>
          <w:rStyle w:val="Odwoanieprzypisudolnego"/>
        </w:rPr>
        <w:footnoteReference w:id="2"/>
      </w:r>
      <w:r w:rsidR="0074723F" w:rsidRPr="009B76D1">
        <w:rPr>
          <w:vertAlign w:val="superscript"/>
        </w:rPr>
        <w:t>)</w:t>
      </w:r>
      <w:r w:rsidRPr="009B76D1">
        <w:t xml:space="preserve">, która jest wdrażana przepisami procedowanego w Sejmie projektu ustawy o wykonywaniu działalności gospodarczej w zakresie wytwarzania i obrotu materiałami wybuchowymi, bronią, amunicją oraz wyrobami i technologią o przeznaczeniu wojskowym lub policyjnym. </w:t>
      </w:r>
    </w:p>
    <w:p w14:paraId="38C204FE" w14:textId="62A6D4E2" w:rsidR="00CF5450" w:rsidRPr="009B76D1" w:rsidRDefault="00CF5450" w:rsidP="009B76D1">
      <w:pPr>
        <w:pStyle w:val="Tekstpodstawowy"/>
        <w:spacing w:before="120" w:after="0" w:line="360" w:lineRule="auto"/>
        <w:jc w:val="both"/>
      </w:pPr>
      <w:r w:rsidRPr="009B76D1">
        <w:t xml:space="preserve">Zgodnie z wnioskiem Komisji Europejskiej dotyczącym tej dyrektywy (COM/2015/0750 final) oznakowanie miało być umieszczane na komorze zamkowej broni palnej. W toku prac legislacyjnych zrezygnowano jednak z tego przepisu. </w:t>
      </w:r>
      <w:r w:rsidR="006C467C" w:rsidRPr="009B76D1">
        <w:t>W</w:t>
      </w:r>
      <w:r w:rsidR="006C467C">
        <w:t> </w:t>
      </w:r>
      <w:r w:rsidRPr="009B76D1">
        <w:t>ostatecznym brzmieniu dyrektywy 2017/853, zgodnie z motywem 8, aby zapobiec łatwemu usuwaniu oznakowań oraz sprecyzować, na których istotnych komponentach powinny być umieszczane oznakowania, należy wprowadzić wspólne przepisy unijne dotyczące oznakowania. Motyw ten odnosi się, w mojej opinii, do aktu wykonawczego przyjętego zgodnie z art. 4 ust. 2a dyrektywy 91/477 w nowym brzmieniu.</w:t>
      </w:r>
    </w:p>
    <w:p w14:paraId="064661B6" w14:textId="688F2F63" w:rsidR="00CF5450" w:rsidRPr="009B76D1" w:rsidRDefault="00CF5450" w:rsidP="009B76D1">
      <w:pPr>
        <w:pStyle w:val="Tekstpodstawowy"/>
        <w:spacing w:before="120" w:after="0" w:line="360" w:lineRule="auto"/>
        <w:jc w:val="both"/>
      </w:pPr>
      <w:r w:rsidRPr="009B76D1">
        <w:t xml:space="preserve">Na tej podstawie przyjęta została </w:t>
      </w:r>
      <w:r w:rsidRPr="009B76D1">
        <w:rPr>
          <w:i/>
        </w:rPr>
        <w:t>dyrektywa wykonawcza Komisji (UE) 2019/68 z dnia 16 stycznia 2019</w:t>
      </w:r>
      <w:r w:rsidR="00EC0E4F" w:rsidRPr="0074723F">
        <w:rPr>
          <w:i/>
        </w:rPr>
        <w:t xml:space="preserve"> </w:t>
      </w:r>
      <w:r w:rsidRPr="009B76D1">
        <w:rPr>
          <w:i/>
        </w:rPr>
        <w:t xml:space="preserve">r. ustanawiająca specyfikacje techniczne dotyczące oznakowania broni palnej i jej istotnych komponentów zgodnie z dyrektywą Rady 91/477/EWG </w:t>
      </w:r>
      <w:r w:rsidR="006C467C" w:rsidRPr="009B76D1">
        <w:rPr>
          <w:i/>
        </w:rPr>
        <w:t>w</w:t>
      </w:r>
      <w:r w:rsidR="006C467C">
        <w:rPr>
          <w:i/>
        </w:rPr>
        <w:t> </w:t>
      </w:r>
      <w:r w:rsidRPr="009B76D1">
        <w:rPr>
          <w:i/>
        </w:rPr>
        <w:t>sprawie kontroli nabywania i posiadania broni</w:t>
      </w:r>
      <w:r w:rsidRPr="009B76D1">
        <w:t>. Zgodnie ze zdaniem pierwszym motywu 1 tej dyrektywy „W art.</w:t>
      </w:r>
      <w:r w:rsidR="00EC0E4F" w:rsidRPr="0074723F">
        <w:t xml:space="preserve"> </w:t>
      </w:r>
      <w:r w:rsidRPr="009B76D1">
        <w:t>4 ust.</w:t>
      </w:r>
      <w:r w:rsidR="00EC0E4F" w:rsidRPr="0074723F">
        <w:t xml:space="preserve"> </w:t>
      </w:r>
      <w:r w:rsidRPr="009B76D1">
        <w:t xml:space="preserve">1 dyrektywy 91/477/EWG zobowiązano państwa członkowskie do zapewnienia, aby broń palna i jej istotne komponenty, niezależnie od tego czy są częścią broni palnej, czy też są wprowadzane do obrotu oddzielnie, zostały opatrzone czytelnym, trwałym i niepowtarzalnym oznakowaniem.”. Zdanie to znajdowało się również w projekcie dyrektywy przedstawionym przez Komisję (Ares(2018)5478755). Ponadto, w kontaktach roboczych, przedstawicielka Komisji potwierdziła, że oznakowaniu podlega zarówno broń, jak i jej istotne komponenty. Na </w:t>
      </w:r>
      <w:r w:rsidRPr="009B76D1">
        <w:lastRenderedPageBreak/>
        <w:t xml:space="preserve">marginesie można wspomnieć, że z informacji uzyskanych przez polskie placówki dyplomatyczne, 12 państw członkowskich już wprowadziło albo zamierza wprowadzić obowiązek znakowania wszystkich istotnych komponentów (Portugalia, Grecja, Chorwacja, Litwa, Hiszpania, Czechy, Niemcy, Cypr, Francja, Holandia, Szwecja, Dania). Z pozostałych państw nie udało się uzyskać informacji lub nie przesądziły one jeszcze o kształcie przepisów. </w:t>
      </w:r>
    </w:p>
    <w:p w14:paraId="551F4A00" w14:textId="77777777" w:rsidR="00CF5450" w:rsidRPr="009B76D1" w:rsidRDefault="00CF5450" w:rsidP="009B76D1">
      <w:pPr>
        <w:pStyle w:val="Tekstpodstawowy"/>
        <w:spacing w:before="120" w:after="0" w:line="360" w:lineRule="auto"/>
        <w:jc w:val="both"/>
      </w:pPr>
      <w:r w:rsidRPr="009B76D1">
        <w:t>W związku z powyższym oraz mając na uwadze fakt, że istotne komponenty są osobnymi przedmiotami i mogą być oddzielone od broni palnej, co w przypadku ich nieoznaczenia utrudniłoby realizację celów dyrektywy, wydaje się, że art. 4 ust. 1 lit. a dyrektywy 91/477 należy interpretować jako zobowiązujący państwa członkowskie do znakowania wszystkich istotnych komponentów niezależnie od tego, czy zostały wprowadzone do obrotu osobno, czy jako część broni palnej.</w:t>
      </w:r>
    </w:p>
    <w:p w14:paraId="2C66B566" w14:textId="7299E447" w:rsidR="00CF5450" w:rsidRPr="009B76D1" w:rsidRDefault="00CF5450" w:rsidP="009B76D1">
      <w:pPr>
        <w:pStyle w:val="Tekstpodstawowy"/>
        <w:spacing w:before="120" w:after="0" w:line="360" w:lineRule="auto"/>
        <w:jc w:val="both"/>
      </w:pPr>
      <w:r w:rsidRPr="009B76D1">
        <w:t xml:space="preserve">Zaproponowana wykładnia wydaje się prawidłowa mimo rozbieżności w różnych wersjach językowych przywołanych przepisów dyrektyw. Zgodnie bowiem </w:t>
      </w:r>
      <w:r w:rsidR="00EA0985" w:rsidRPr="009B76D1">
        <w:t>z</w:t>
      </w:r>
      <w:r w:rsidR="00EA0985">
        <w:t> </w:t>
      </w:r>
      <w:r w:rsidRPr="009B76D1">
        <w:t xml:space="preserve">utrwalonym orzecznictwem Trybunału Sprawiedliwości UE, w przypadku różnicy między różnymi wersjami językowymi tekstu prawa Unii, sporny przepis należy interpretować z uwzględnieniem ogólnej systematyki i celu uregulowania, którego stanowi część (wyrok w sprawie C-307/13 </w:t>
      </w:r>
      <w:r w:rsidRPr="009B76D1">
        <w:rPr>
          <w:i/>
        </w:rPr>
        <w:t>Ivansson</w:t>
      </w:r>
      <w:r w:rsidRPr="009B76D1">
        <w:t xml:space="preserve">, pkt 40 i przytoczone tam orzecznictwo). Treści przepisu prawa unijnego, który nie zawiera wyraźnego odesłania do prawa państw członkowskich, dla określenia jego znaczenia i zakresu, należy zwykle nadać w całej Unii autonomiczną i jednolitą wykładnię, którą należy ustalić, uwzględniając kontekst przepisu i cel danego uregulowania (wyrok w sprawie C-426/05 </w:t>
      </w:r>
      <w:r w:rsidRPr="009B76D1">
        <w:rPr>
          <w:i/>
        </w:rPr>
        <w:t>Tele2</w:t>
      </w:r>
      <w:r w:rsidRPr="009B76D1">
        <w:t xml:space="preserve">, pkt 26 i przywołane tam orzecznictwo). Dyrektywa 2017/853 ma na celu usprawnienie niektórych aspektów dyrektywy 91/477/EWG, aby rozwiązać problem niewłaściwego wykorzystywania broni palnej do celów przestępczych, mając na uwadze niedawne akty terrorystyczne (motyw 2). Celowi temu ma służyć śledzenie broni </w:t>
      </w:r>
      <w:r w:rsidR="00EA0985" w:rsidRPr="009B76D1">
        <w:t>i</w:t>
      </w:r>
      <w:r w:rsidR="00EA0985">
        <w:t> </w:t>
      </w:r>
      <w:r w:rsidRPr="009B76D1">
        <w:t xml:space="preserve">istotnych komponentów. Zgodnie natomiast z motywem 6 aby zwiększyć możliwość śledzenia wszelkiej broni palnej i istotnych komponentów, a także ułatwić ich swobodny przepływ, wszelka broń palna i jej istotne komponenty powinny być oznaczone. Zatem obowiązek znakowania wszystkich istotnych komponentów wynika w mojej opinii </w:t>
      </w:r>
      <w:r w:rsidR="00EA0985" w:rsidRPr="009B76D1">
        <w:t>z</w:t>
      </w:r>
      <w:r w:rsidR="00EA0985">
        <w:t> </w:t>
      </w:r>
      <w:r w:rsidRPr="009B76D1">
        <w:t>ogólnego celu dyrektywy i jej systematyki.</w:t>
      </w:r>
      <w:r w:rsidR="00911979" w:rsidRPr="009B76D1">
        <w:t>”</w:t>
      </w:r>
      <w:r w:rsidR="00BC6382" w:rsidRPr="009B76D1">
        <w:t>.</w:t>
      </w:r>
    </w:p>
    <w:p w14:paraId="7B49C3E5" w14:textId="77777777" w:rsidR="00911979" w:rsidRPr="009B76D1" w:rsidRDefault="00911979" w:rsidP="009B76D1">
      <w:pPr>
        <w:pStyle w:val="Tekstpodstawowy"/>
        <w:spacing w:before="120" w:after="0" w:line="360" w:lineRule="auto"/>
        <w:jc w:val="both"/>
      </w:pPr>
      <w:r w:rsidRPr="009B76D1">
        <w:lastRenderedPageBreak/>
        <w:t>W maju 2019 r. za pośrednictwem Stałego Przedstawicielstwa RP uzyskano w trybie roboczym stanowisko Komisji Europejskiej:</w:t>
      </w:r>
    </w:p>
    <w:p w14:paraId="57ED3116" w14:textId="2372E071" w:rsidR="00D837F5" w:rsidRPr="009B76D1" w:rsidRDefault="004F4767" w:rsidP="009B76D1">
      <w:pPr>
        <w:spacing w:before="120" w:line="360" w:lineRule="auto"/>
        <w:ind w:left="426" w:hanging="426"/>
        <w:jc w:val="both"/>
        <w:rPr>
          <w:lang w:val="en-US"/>
        </w:rPr>
      </w:pPr>
      <w:r w:rsidRPr="009B76D1">
        <w:rPr>
          <w:lang w:val="en-US"/>
        </w:rPr>
        <w:t>1.</w:t>
      </w:r>
      <w:r w:rsidR="0074723F" w:rsidRPr="0074723F">
        <w:rPr>
          <w:lang w:val="en-US"/>
        </w:rPr>
        <w:tab/>
      </w:r>
      <w:r w:rsidR="00D837F5" w:rsidRPr="009B76D1">
        <w:rPr>
          <w:lang w:val="en-US"/>
        </w:rPr>
        <w:t xml:space="preserve">Does the legislation of the MS that have already implemented the directive provides for the labeling of only complete weapons and separate essential components </w:t>
      </w:r>
      <w:r w:rsidR="00D837F5" w:rsidRPr="00410B57">
        <w:rPr>
          <w:bCs/>
          <w:lang w:val="en-US"/>
        </w:rPr>
        <w:t>or</w:t>
      </w:r>
      <w:r w:rsidR="00D837F5" w:rsidRPr="009B76D1">
        <w:rPr>
          <w:lang w:val="en-US"/>
        </w:rPr>
        <w:t xml:space="preserve"> also important components placed in arms sold as a complete firearm? </w:t>
      </w:r>
    </w:p>
    <w:p w14:paraId="4180ED70" w14:textId="1C6CF096" w:rsidR="00D837F5" w:rsidRPr="009B76D1" w:rsidRDefault="001B41B1" w:rsidP="009B76D1">
      <w:pPr>
        <w:spacing w:before="120" w:line="360" w:lineRule="auto"/>
        <w:jc w:val="both"/>
        <w:rPr>
          <w:lang w:val="en-US"/>
        </w:rPr>
      </w:pPr>
      <w:r w:rsidRPr="009B76D1">
        <w:rPr>
          <w:lang w:val="en-US"/>
        </w:rPr>
        <w:t>“</w:t>
      </w:r>
      <w:r w:rsidR="00D837F5" w:rsidRPr="009B76D1">
        <w:rPr>
          <w:lang w:val="en-US"/>
        </w:rPr>
        <w:t>We are currently reviewing the legislation of Member States who have notified full transposition to see whether it is line with the amended Firearms Directive. As indicated by recital (1) of the Commission Implementing Directive (EU) 2019/68 of 16 January 2019 concerning the marking of firearms, “</w:t>
      </w:r>
      <w:r w:rsidR="00D837F5" w:rsidRPr="009B76D1">
        <w:rPr>
          <w:i/>
          <w:iCs/>
          <w:lang w:val="en-US"/>
        </w:rPr>
        <w:t xml:space="preserve">Article 4(1) of Directive 91/477/EEC obliges Member States to ensure that firearms and their essential components, whether part of </w:t>
      </w:r>
      <w:r w:rsidR="00EA0985" w:rsidRPr="009B76D1">
        <w:rPr>
          <w:i/>
          <w:iCs/>
          <w:lang w:val="en-US"/>
        </w:rPr>
        <w:t>a</w:t>
      </w:r>
      <w:r w:rsidR="00EA0985">
        <w:rPr>
          <w:i/>
          <w:iCs/>
          <w:lang w:val="en-US"/>
        </w:rPr>
        <w:t> </w:t>
      </w:r>
      <w:r w:rsidR="00D837F5" w:rsidRPr="009B76D1">
        <w:rPr>
          <w:i/>
          <w:iCs/>
          <w:lang w:val="en-US"/>
        </w:rPr>
        <w:t>firearm or placed separately on the market, have a clear, permanent and unique marking applied to them.</w:t>
      </w:r>
      <w:r w:rsidR="00D837F5" w:rsidRPr="009B76D1">
        <w:rPr>
          <w:lang w:val="en-US"/>
        </w:rPr>
        <w:t xml:space="preserve">” </w:t>
      </w:r>
    </w:p>
    <w:p w14:paraId="0A21B05E" w14:textId="02B5C679" w:rsidR="00D837F5" w:rsidRPr="009B76D1" w:rsidRDefault="00D837F5" w:rsidP="009B76D1">
      <w:pPr>
        <w:spacing w:before="120" w:line="360" w:lineRule="auto"/>
        <w:jc w:val="both"/>
        <w:rPr>
          <w:lang w:val="en-US"/>
        </w:rPr>
      </w:pPr>
      <w:r w:rsidRPr="009B76D1">
        <w:rPr>
          <w:lang w:val="en-US"/>
        </w:rPr>
        <w:t>It means that Article 4(1) of the amended Firearms Directive requires that firearms and their essential components, whether sold separately or mounted on an assembled firearm, need to be marked when manufactur</w:t>
      </w:r>
      <w:r w:rsidR="001B41B1" w:rsidRPr="009B76D1">
        <w:rPr>
          <w:lang w:val="en-US"/>
        </w:rPr>
        <w:t>ed or imported into the Union”.</w:t>
      </w:r>
    </w:p>
    <w:p w14:paraId="4977AEFC" w14:textId="4268912D" w:rsidR="00B920A4" w:rsidRPr="009B76D1" w:rsidRDefault="00911979" w:rsidP="009B76D1">
      <w:pPr>
        <w:spacing w:before="120" w:line="360" w:lineRule="auto"/>
        <w:jc w:val="both"/>
      </w:pPr>
      <w:r w:rsidRPr="009B76D1">
        <w:t xml:space="preserve">Przedstawione powyżej stanowiska uzasadniają więc konieczność wprowadzenia do ustawy nowego przepisu, który </w:t>
      </w:r>
      <w:r w:rsidR="00A10C56" w:rsidRPr="009B76D1">
        <w:t>nakazuje stosowanie</w:t>
      </w:r>
      <w:r w:rsidRPr="009B76D1">
        <w:t xml:space="preserve"> w znakowaniu strzeleckiej broni palnej wymogów zawartych w</w:t>
      </w:r>
      <w:r w:rsidR="00EC0E4F" w:rsidRPr="0074723F">
        <w:t xml:space="preserve"> </w:t>
      </w:r>
      <w:r w:rsidRPr="009B76D1">
        <w:t>specyfikacjach technicznych dotyczących oznakowania broni palnej i jej istotnych komponentów</w:t>
      </w:r>
      <w:r w:rsidR="00ED1986" w:rsidRPr="009B76D1">
        <w:t xml:space="preserve">, określonych w załączniku do dyrektywy 2019/68. Załącznik ten określa minimalną wielkość czcionki użytej do oznakowania, sposób oznakowania szkieletów i komór zamkowych wykonanych z materiałów niemetalowych. Państwa </w:t>
      </w:r>
      <w:r w:rsidR="002D35BF">
        <w:t>c</w:t>
      </w:r>
      <w:r w:rsidR="00ED1986" w:rsidRPr="009B76D1">
        <w:t>złonkowskie zyskały swobodę dopuszczenia stosowania innych technik znakowania broni, poza głębokim grawerowaniem laserowym oraz wyboru alfabetu łacińskiego, cyrylicy lub alfabetu greckiego, jak również wyboru systemu liczbowego – arabskiego lub rzymskiego, stosowanych do oznakowywania.</w:t>
      </w:r>
      <w:r w:rsidR="00807DB9" w:rsidRPr="009B76D1">
        <w:t xml:space="preserve"> Projektowane przepisy uzupełniające dotychczasowy art. 44 zapewniają stosowanie tych zasad. </w:t>
      </w:r>
      <w:r w:rsidR="009860D5" w:rsidRPr="009B76D1">
        <w:t>Zgodnie z p</w:t>
      </w:r>
      <w:r w:rsidR="009D2BC7" w:rsidRPr="009B76D1">
        <w:t>lanowan</w:t>
      </w:r>
      <w:r w:rsidR="009860D5" w:rsidRPr="009B76D1">
        <w:t xml:space="preserve">ym uzupełnieniem </w:t>
      </w:r>
      <w:r w:rsidR="00BA50C5" w:rsidRPr="009B76D1">
        <w:rPr>
          <w:b/>
        </w:rPr>
        <w:t>art. 44 o nowe ustępy 2a</w:t>
      </w:r>
      <w:r w:rsidR="00EC0E4F" w:rsidRPr="0074723F">
        <w:rPr>
          <w:b/>
        </w:rPr>
        <w:t>–</w:t>
      </w:r>
      <w:r w:rsidR="00BA50C5" w:rsidRPr="009B76D1">
        <w:rPr>
          <w:b/>
        </w:rPr>
        <w:t>2</w:t>
      </w:r>
      <w:r w:rsidR="00435620" w:rsidRPr="009B76D1">
        <w:rPr>
          <w:b/>
        </w:rPr>
        <w:t>d</w:t>
      </w:r>
      <w:r w:rsidR="009860D5" w:rsidRPr="009B76D1">
        <w:t xml:space="preserve"> określona została minimalna wielkość czcionki</w:t>
      </w:r>
      <w:r w:rsidR="009D2BC7" w:rsidRPr="009B76D1">
        <w:t xml:space="preserve"> </w:t>
      </w:r>
      <w:r w:rsidR="009860D5" w:rsidRPr="009B76D1">
        <w:t xml:space="preserve">użytej do oznakowania, rodzaj alfabetu </w:t>
      </w:r>
      <w:r w:rsidR="006C467C" w:rsidRPr="009B76D1">
        <w:t>i</w:t>
      </w:r>
      <w:r w:rsidR="006C467C">
        <w:t> </w:t>
      </w:r>
      <w:r w:rsidR="00EE3876" w:rsidRPr="009B76D1">
        <w:t xml:space="preserve">systemu liczbowego </w:t>
      </w:r>
      <w:r w:rsidR="009860D5" w:rsidRPr="009B76D1">
        <w:t>stosowanych przy oznakowywaniu wytworzonej przez przedsiębiorców broni, techniki nanoszenia oznakowania oraz rodzaje materiałów niemetalowych i sposób umieszczania na nich oznakowania.</w:t>
      </w:r>
      <w:r w:rsidR="00FA6D14" w:rsidRPr="009B76D1">
        <w:t xml:space="preserve"> </w:t>
      </w:r>
    </w:p>
    <w:p w14:paraId="0F80D32A" w14:textId="7659C8F0" w:rsidR="00BC3265" w:rsidRPr="009B76D1" w:rsidRDefault="00790869" w:rsidP="009B76D1">
      <w:pPr>
        <w:spacing w:before="120" w:line="360" w:lineRule="auto"/>
        <w:jc w:val="both"/>
      </w:pPr>
      <w:r w:rsidRPr="009B76D1">
        <w:lastRenderedPageBreak/>
        <w:t xml:space="preserve">W </w:t>
      </w:r>
      <w:r w:rsidRPr="009B76D1">
        <w:rPr>
          <w:b/>
        </w:rPr>
        <w:t>art. 44</w:t>
      </w:r>
      <w:r w:rsidRPr="009B76D1">
        <w:t xml:space="preserve"> dodany został ponadto </w:t>
      </w:r>
      <w:r w:rsidRPr="009B76D1">
        <w:rPr>
          <w:b/>
        </w:rPr>
        <w:t>ust. 5</w:t>
      </w:r>
      <w:r w:rsidRPr="009B76D1">
        <w:t xml:space="preserve">, który wskazuje przepisy określające sposób znakowania broni </w:t>
      </w:r>
      <w:r w:rsidR="009860D5" w:rsidRPr="009B76D1">
        <w:t>alarmowej</w:t>
      </w:r>
      <w:r w:rsidRPr="009B76D1">
        <w:t xml:space="preserve"> i sygnałowej, przez odesłanie do art. 47e. </w:t>
      </w:r>
    </w:p>
    <w:p w14:paraId="5C31AF06" w14:textId="3BB95CBA" w:rsidR="00BC3265" w:rsidRPr="009B76D1" w:rsidRDefault="00BC3265" w:rsidP="009B76D1">
      <w:pPr>
        <w:spacing w:before="120" w:line="360" w:lineRule="auto"/>
        <w:jc w:val="both"/>
      </w:pPr>
      <w:r w:rsidRPr="009B76D1">
        <w:t xml:space="preserve">Przedstawiany projekt ustawy zawiera grupę przepisów, które wprowadzają do ustawy </w:t>
      </w:r>
      <w:r w:rsidR="00EA0985" w:rsidRPr="009B76D1">
        <w:t>z</w:t>
      </w:r>
      <w:r w:rsidR="00EA0985">
        <w:t> </w:t>
      </w:r>
      <w:r w:rsidRPr="009B76D1">
        <w:t xml:space="preserve">dnia 13 czerwca 2019 r. o wykonywaniu </w:t>
      </w:r>
      <w:r w:rsidR="00D2785A" w:rsidRPr="009B76D1">
        <w:t xml:space="preserve">działalności gospodarczej w zakresie wytwarzania i obrotu materiałami wybuchowymi, bronią, amunicją oraz wyrobami </w:t>
      </w:r>
      <w:r w:rsidR="00EA0985" w:rsidRPr="009B76D1">
        <w:t>i</w:t>
      </w:r>
      <w:r w:rsidR="00EA0985">
        <w:t> </w:t>
      </w:r>
      <w:r w:rsidR="00D2785A" w:rsidRPr="009B76D1">
        <w:t>technologią o przeznaczeniu wojskowym lub policyjnym,</w:t>
      </w:r>
      <w:r w:rsidRPr="009B76D1">
        <w:t xml:space="preserve"> przepisy dyrektywy wykonawczej Komisji (UE) 2019/69 z dnia 16 stycznia 2019 r. ustanawiającej specyfikacje techniczne dotyczące broni alarmowej i sygnałowej zgodnie z dyrektywą Rady 91/477/EWG w sprawie kontroli </w:t>
      </w:r>
      <w:r w:rsidR="00B12DFB" w:rsidRPr="009B76D1">
        <w:t>nabywania i posiadania broni</w:t>
      </w:r>
      <w:r w:rsidRPr="009B76D1">
        <w:t>.</w:t>
      </w:r>
      <w:r w:rsidR="00A10C56" w:rsidRPr="009B76D1">
        <w:t xml:space="preserve"> Przepisy te planuje się wprowadzić w nowym </w:t>
      </w:r>
      <w:r w:rsidR="00F766DF" w:rsidRPr="009B76D1">
        <w:rPr>
          <w:b/>
        </w:rPr>
        <w:t>O</w:t>
      </w:r>
      <w:r w:rsidR="001C2146" w:rsidRPr="009B76D1">
        <w:rPr>
          <w:b/>
        </w:rPr>
        <w:t>ddziale 1</w:t>
      </w:r>
      <w:r w:rsidR="00A10C56" w:rsidRPr="009B76D1">
        <w:rPr>
          <w:b/>
        </w:rPr>
        <w:t>a</w:t>
      </w:r>
      <w:r w:rsidR="00F766DF" w:rsidRPr="009B76D1">
        <w:rPr>
          <w:b/>
        </w:rPr>
        <w:t xml:space="preserve"> Broń alarmowa i sygnałowa</w:t>
      </w:r>
      <w:r w:rsidR="00A10C56" w:rsidRPr="009B76D1">
        <w:rPr>
          <w:b/>
        </w:rPr>
        <w:t xml:space="preserve">, </w:t>
      </w:r>
      <w:r w:rsidR="006C467C" w:rsidRPr="009B76D1">
        <w:rPr>
          <w:b/>
        </w:rPr>
        <w:t>w</w:t>
      </w:r>
      <w:r w:rsidR="006C467C">
        <w:rPr>
          <w:b/>
        </w:rPr>
        <w:t> </w:t>
      </w:r>
      <w:r w:rsidR="00A10C56" w:rsidRPr="009B76D1">
        <w:rPr>
          <w:b/>
        </w:rPr>
        <w:t xml:space="preserve">rozdziale </w:t>
      </w:r>
      <w:r w:rsidR="00EA0985" w:rsidRPr="009B76D1">
        <w:rPr>
          <w:b/>
        </w:rPr>
        <w:t>2</w:t>
      </w:r>
      <w:r w:rsidR="00EA0985">
        <w:rPr>
          <w:b/>
        </w:rPr>
        <w:t> </w:t>
      </w:r>
      <w:r w:rsidR="00A10C56" w:rsidRPr="009B76D1">
        <w:rPr>
          <w:b/>
        </w:rPr>
        <w:t>działu</w:t>
      </w:r>
      <w:r w:rsidR="00A10C56" w:rsidRPr="009B76D1">
        <w:t xml:space="preserve"> </w:t>
      </w:r>
      <w:r w:rsidR="00A10C56" w:rsidRPr="009B76D1">
        <w:rPr>
          <w:b/>
        </w:rPr>
        <w:t>III</w:t>
      </w:r>
      <w:r w:rsidR="00A10C56" w:rsidRPr="009B76D1">
        <w:t xml:space="preserve">, w taki sposób, aby przedsiębiorcy w praktycznie jednym miejscu ustawy znaleźli większość przepisów dotyczących broni </w:t>
      </w:r>
      <w:r w:rsidR="00790869" w:rsidRPr="009B76D1">
        <w:t xml:space="preserve">alarmowej </w:t>
      </w:r>
      <w:r w:rsidR="006C467C" w:rsidRPr="009B76D1">
        <w:t>i</w:t>
      </w:r>
      <w:r w:rsidR="006C467C">
        <w:t> </w:t>
      </w:r>
      <w:r w:rsidR="00A10C56" w:rsidRPr="009B76D1">
        <w:t>s</w:t>
      </w:r>
      <w:r w:rsidR="00790869" w:rsidRPr="009B76D1">
        <w:t>ygnałowej</w:t>
      </w:r>
      <w:r w:rsidR="00A10C56" w:rsidRPr="009B76D1">
        <w:t>, co ułatwi ich stosowanie.</w:t>
      </w:r>
    </w:p>
    <w:p w14:paraId="79145EEE" w14:textId="608F1816" w:rsidR="004A0AC6" w:rsidRPr="009B76D1" w:rsidRDefault="00790869" w:rsidP="009B76D1">
      <w:pPr>
        <w:spacing w:before="120" w:line="360" w:lineRule="auto"/>
        <w:jc w:val="both"/>
      </w:pPr>
      <w:r w:rsidRPr="009B76D1">
        <w:rPr>
          <w:b/>
        </w:rPr>
        <w:t>Art. 47a</w:t>
      </w:r>
      <w:r w:rsidRPr="009B76D1">
        <w:t xml:space="preserve"> </w:t>
      </w:r>
      <w:r w:rsidR="00E951FB" w:rsidRPr="009B76D1">
        <w:t xml:space="preserve">definiuje bron alarmową i sygnałową przez </w:t>
      </w:r>
      <w:r w:rsidRPr="009B76D1">
        <w:t>określ</w:t>
      </w:r>
      <w:r w:rsidR="00E951FB" w:rsidRPr="009B76D1">
        <w:t xml:space="preserve">enie </w:t>
      </w:r>
      <w:r w:rsidRPr="009B76D1">
        <w:t>podstawow</w:t>
      </w:r>
      <w:r w:rsidR="00E951FB" w:rsidRPr="009B76D1">
        <w:t>ych</w:t>
      </w:r>
      <w:r w:rsidRPr="009B76D1">
        <w:t xml:space="preserve"> właściwości i cech</w:t>
      </w:r>
      <w:r w:rsidR="00E951FB" w:rsidRPr="009B76D1">
        <w:t xml:space="preserve"> tej broni </w:t>
      </w:r>
      <w:r w:rsidRPr="009B76D1">
        <w:t xml:space="preserve">oraz zawiera </w:t>
      </w:r>
      <w:r w:rsidR="004A0AC6" w:rsidRPr="009B76D1">
        <w:t xml:space="preserve">upoważnienie </w:t>
      </w:r>
      <w:r w:rsidRPr="009B76D1">
        <w:t xml:space="preserve">do wydania rozporządzenia, </w:t>
      </w:r>
      <w:r w:rsidR="00EA0985" w:rsidRPr="009B76D1">
        <w:t>w</w:t>
      </w:r>
      <w:r w:rsidR="00EA0985">
        <w:t> </w:t>
      </w:r>
      <w:r w:rsidRPr="009B76D1">
        <w:t>którym zawarte zostaną specyfikacje techniczne</w:t>
      </w:r>
      <w:r w:rsidR="004A0AC6" w:rsidRPr="009B76D1">
        <w:t xml:space="preserve"> których spełnienie spowoduje, że urządzenia te nie będą uznawane za strzelecką broń palną. Rozporządzenie, które zostanie wydane na podstawie tego upoważnienia, zawierać będzie przeniesiony załącznik do dyrektywy 2019/69 – Specyfikacj</w:t>
      </w:r>
      <w:r w:rsidR="00444F48" w:rsidRPr="009B76D1">
        <w:t xml:space="preserve">e techniczne dotyczące urządzeń, </w:t>
      </w:r>
      <w:r w:rsidR="006C467C" w:rsidRPr="009B76D1">
        <w:t>o</w:t>
      </w:r>
      <w:r w:rsidR="006C467C">
        <w:t> </w:t>
      </w:r>
      <w:r w:rsidR="004A0AC6" w:rsidRPr="009B76D1">
        <w:t xml:space="preserve">których mowa </w:t>
      </w:r>
      <w:r w:rsidR="00EA0985" w:rsidRPr="009B76D1">
        <w:t>w</w:t>
      </w:r>
      <w:r w:rsidR="00EA0985">
        <w:t> </w:t>
      </w:r>
      <w:r w:rsidR="004A0AC6" w:rsidRPr="009B76D1">
        <w:t>dyrektywie.</w:t>
      </w:r>
    </w:p>
    <w:p w14:paraId="1D8AC3EE" w14:textId="20A0A00F" w:rsidR="001B41B1" w:rsidRPr="009B76D1" w:rsidRDefault="001B41B1" w:rsidP="009B76D1">
      <w:pPr>
        <w:spacing w:before="120" w:line="360" w:lineRule="auto"/>
        <w:jc w:val="both"/>
        <w:rPr>
          <w:b/>
        </w:rPr>
      </w:pPr>
      <w:r w:rsidRPr="009B76D1">
        <w:t>Za broń sygnałową i alar</w:t>
      </w:r>
      <w:r w:rsidR="00EE3876" w:rsidRPr="009B76D1">
        <w:t>mową może być uznana tylko taka</w:t>
      </w:r>
      <w:r w:rsidR="00790869" w:rsidRPr="009B76D1">
        <w:t xml:space="preserve"> </w:t>
      </w:r>
      <w:r w:rsidRPr="009B76D1">
        <w:t xml:space="preserve">broń, która została wytworzona zgodnie ze specyfikacjami technicznymi zawartymi w </w:t>
      </w:r>
      <w:r w:rsidR="00D2785A" w:rsidRPr="009B76D1">
        <w:t>z</w:t>
      </w:r>
      <w:r w:rsidRPr="009B76D1">
        <w:t xml:space="preserve">ałączniku do </w:t>
      </w:r>
      <w:r w:rsidR="00B70182" w:rsidRPr="009B76D1">
        <w:t>tej</w:t>
      </w:r>
      <w:r w:rsidRPr="009B76D1">
        <w:t xml:space="preserve"> dyrektywy. Podstawową cechą broni alarmowej i sygnałowej jest zapewniony przez specjalną budowę brak zdolności do miotania </w:t>
      </w:r>
      <w:r w:rsidR="00790869" w:rsidRPr="009B76D1">
        <w:t xml:space="preserve">jakiegokolwiek </w:t>
      </w:r>
      <w:r w:rsidRPr="009B76D1">
        <w:t xml:space="preserve">pocisku przy użyciu ładunku miotającego. Taka broń jest wyłączona z zakresu działania dyrektywy </w:t>
      </w:r>
      <w:r w:rsidR="00A10C56" w:rsidRPr="009B76D1">
        <w:t>91/</w:t>
      </w:r>
      <w:r w:rsidRPr="009B76D1">
        <w:t>477/</w:t>
      </w:r>
      <w:r w:rsidR="00A10C56" w:rsidRPr="009B76D1">
        <w:t>EWG</w:t>
      </w:r>
      <w:r w:rsidRPr="009B76D1">
        <w:t>, ale tylko po przeprowadzeniu kontroli</w:t>
      </w:r>
      <w:r w:rsidR="00EE3876" w:rsidRPr="009B76D1">
        <w:t xml:space="preserve"> (weryfikacji)</w:t>
      </w:r>
      <w:r w:rsidRPr="009B76D1">
        <w:t>, która wykaże, że broń została wyprodukowana zgodnie</w:t>
      </w:r>
      <w:r w:rsidR="004A0AC6" w:rsidRPr="009B76D1">
        <w:t xml:space="preserve"> ze specyf</w:t>
      </w:r>
      <w:r w:rsidR="001C6260" w:rsidRPr="009B76D1">
        <w:t>ikacjami technicznymi. Podmiot</w:t>
      </w:r>
      <w:r w:rsidR="004A0AC6" w:rsidRPr="009B76D1">
        <w:t xml:space="preserve"> uprawniony do weryfikacji sposobu wykonania broni alarmowej i sygnałowej i wydania stosownego świadectwa potwierdzającego </w:t>
      </w:r>
      <w:r w:rsidR="001C6260" w:rsidRPr="009B76D1">
        <w:t>zgodność ze specyfikacjami technicznymi powinien posiadać specjalistyczną wiedzę i doświadczenie w tej dziedzinie</w:t>
      </w:r>
      <w:r w:rsidR="004A0AC6" w:rsidRPr="009B76D1">
        <w:t xml:space="preserve"> </w:t>
      </w:r>
      <w:r w:rsidR="004A0AC6" w:rsidRPr="009B76D1">
        <w:rPr>
          <w:b/>
        </w:rPr>
        <w:t xml:space="preserve">(art. 47b). </w:t>
      </w:r>
    </w:p>
    <w:p w14:paraId="6F8B317D" w14:textId="0EFA8388" w:rsidR="001C6260" w:rsidRPr="009B76D1" w:rsidRDefault="001B41B1" w:rsidP="009B76D1">
      <w:pPr>
        <w:spacing w:before="120" w:line="360" w:lineRule="auto"/>
        <w:jc w:val="both"/>
      </w:pPr>
      <w:r w:rsidRPr="009B76D1">
        <w:t>W ocenie projektodawcy kontrola taka</w:t>
      </w:r>
      <w:r w:rsidR="001C6260" w:rsidRPr="009B76D1">
        <w:t xml:space="preserve"> (weryfikacja) </w:t>
      </w:r>
      <w:r w:rsidRPr="009B76D1">
        <w:t xml:space="preserve">powinna kończyć się wydaniem stosownego dokumentu – świadectwa, które potwierdzi, że broń sygnałowa i alarmowa </w:t>
      </w:r>
      <w:r w:rsidR="00EA0985" w:rsidRPr="009B76D1">
        <w:lastRenderedPageBreak/>
        <w:t>z</w:t>
      </w:r>
      <w:r w:rsidR="00EA0985">
        <w:t> </w:t>
      </w:r>
      <w:r w:rsidRPr="009B76D1">
        <w:t>uwagi na wytworzenie jej zgodnie ze specyfikacjami technicznymi nie jest uznawana za strzeleck</w:t>
      </w:r>
      <w:r w:rsidR="001C6260" w:rsidRPr="009B76D1">
        <w:t>ą</w:t>
      </w:r>
      <w:r w:rsidRPr="009B76D1">
        <w:t xml:space="preserve"> broń palną</w:t>
      </w:r>
      <w:r w:rsidR="001C6260" w:rsidRPr="009B76D1">
        <w:t xml:space="preserve"> </w:t>
      </w:r>
      <w:r w:rsidR="001C6260" w:rsidRPr="009B76D1">
        <w:rPr>
          <w:b/>
        </w:rPr>
        <w:t>(art. 47c)</w:t>
      </w:r>
      <w:r w:rsidRPr="009B76D1">
        <w:rPr>
          <w:b/>
        </w:rPr>
        <w:t>.</w:t>
      </w:r>
      <w:r w:rsidR="00D3297C" w:rsidRPr="009B76D1">
        <w:t xml:space="preserve"> </w:t>
      </w:r>
      <w:r w:rsidR="001C6260" w:rsidRPr="009B76D1">
        <w:t xml:space="preserve">Urządzenia, które nie zostały wykonane zgodnie ze specyfikacjami technicznymi (np. są zdolne do miotania jakichkolwiek pocisków) i nie uzyskały świadectwa, będą traktowane jak strzelecka broń palna </w:t>
      </w:r>
      <w:r w:rsidR="001C6260" w:rsidRPr="009B76D1">
        <w:rPr>
          <w:b/>
        </w:rPr>
        <w:t>(art. 47c ust. 2).</w:t>
      </w:r>
      <w:r w:rsidR="00500629" w:rsidRPr="009B76D1">
        <w:rPr>
          <w:b/>
        </w:rPr>
        <w:t xml:space="preserve"> </w:t>
      </w:r>
      <w:r w:rsidR="00353465" w:rsidRPr="009B76D1">
        <w:t xml:space="preserve">Każda zmiana dokumentacji technicznej wytwarzanej już broni alarmowej </w:t>
      </w:r>
      <w:r w:rsidR="006C467C" w:rsidRPr="009B76D1">
        <w:t>i</w:t>
      </w:r>
      <w:r w:rsidR="006C467C">
        <w:t> </w:t>
      </w:r>
      <w:r w:rsidR="00353465" w:rsidRPr="009B76D1">
        <w:t>sygnałowej, jak również zmiana technologii jej wytwarzania</w:t>
      </w:r>
      <w:r w:rsidR="001C4613" w:rsidRPr="009B76D1">
        <w:t>,</w:t>
      </w:r>
      <w:r w:rsidR="00353465" w:rsidRPr="009B76D1">
        <w:t xml:space="preserve"> powodować będzie konieczność ponownej weryfikacji i wydania nowego świadectwa </w:t>
      </w:r>
      <w:r w:rsidR="001C4613" w:rsidRPr="009B76D1">
        <w:rPr>
          <w:b/>
        </w:rPr>
        <w:t>(art. 47</w:t>
      </w:r>
      <w:r w:rsidR="00353465" w:rsidRPr="009B76D1">
        <w:rPr>
          <w:b/>
        </w:rPr>
        <w:t xml:space="preserve">c ust. 3). </w:t>
      </w:r>
    </w:p>
    <w:p w14:paraId="49F672CF" w14:textId="2D2017CD" w:rsidR="00353465" w:rsidRPr="009B76D1" w:rsidRDefault="00353465" w:rsidP="009B76D1">
      <w:pPr>
        <w:spacing w:before="120" w:line="360" w:lineRule="auto"/>
        <w:jc w:val="both"/>
        <w:rPr>
          <w:b/>
        </w:rPr>
      </w:pPr>
      <w:r w:rsidRPr="009B76D1">
        <w:t xml:space="preserve">Weryfikacja oraz wydanie świadectwa będzie podlegać opłacie, której wysokość ustalono w kwocie wysokości przeciętnego wynagrodzenia </w:t>
      </w:r>
      <w:r w:rsidR="001C4613" w:rsidRPr="009B76D1">
        <w:rPr>
          <w:b/>
        </w:rPr>
        <w:t>(art. 47</w:t>
      </w:r>
      <w:r w:rsidRPr="009B76D1">
        <w:rPr>
          <w:b/>
        </w:rPr>
        <w:t xml:space="preserve">c ust. 4). </w:t>
      </w:r>
      <w:r w:rsidRPr="009B76D1">
        <w:t>Należy mieć na uwadze, że opłata ta dotyczy weryfikacji i wydania świadectwa, które dotyczyć będą broni alarmowej i sygnałowej wytwarzanej seryjnie przez przedsiębiorców, wi</w:t>
      </w:r>
      <w:r w:rsidR="001D140B">
        <w:t>ę</w:t>
      </w:r>
      <w:r w:rsidRPr="009B76D1">
        <w:t xml:space="preserve">c koszt jednostkowy przypadający na pojedynczy egzemplarz nie będzie istotnie wpływał na jego cenę. Świadectwa wydawane przez organ uprawniony </w:t>
      </w:r>
      <w:r w:rsidR="00F3116D" w:rsidRPr="009B76D1">
        <w:t xml:space="preserve">będą przez niego przechowywane przez okres 20 lat od daty wydania, a kopie świadectwa </w:t>
      </w:r>
      <w:r w:rsidRPr="009B76D1">
        <w:t>przekazywane będą Komendantowi Głównemu Policji, pełniącemu funkcję Punktu Kontaktowego dla broni alarmowej i sygnałowej</w:t>
      </w:r>
      <w:r w:rsidR="00F3116D" w:rsidRPr="009B76D1">
        <w:t xml:space="preserve"> </w:t>
      </w:r>
      <w:r w:rsidR="00F3116D" w:rsidRPr="009B76D1">
        <w:rPr>
          <w:b/>
        </w:rPr>
        <w:t>(art. 47c ust. 5 i 6)</w:t>
      </w:r>
      <w:r w:rsidRPr="009B76D1">
        <w:rPr>
          <w:b/>
        </w:rPr>
        <w:t>.</w:t>
      </w:r>
    </w:p>
    <w:p w14:paraId="0E9F4658" w14:textId="77777777" w:rsidR="00F3116D" w:rsidRPr="009B76D1" w:rsidRDefault="00F3116D" w:rsidP="009B76D1">
      <w:pPr>
        <w:spacing w:before="120" w:line="360" w:lineRule="auto"/>
        <w:jc w:val="both"/>
      </w:pPr>
      <w:r w:rsidRPr="009B76D1">
        <w:t xml:space="preserve">Zgodnie z projektowanym </w:t>
      </w:r>
      <w:r w:rsidRPr="009B76D1">
        <w:rPr>
          <w:b/>
        </w:rPr>
        <w:t xml:space="preserve">art. 47d </w:t>
      </w:r>
      <w:r w:rsidRPr="009B76D1">
        <w:t>do obrotu na terytorium RP będą mogły być wprowadzane urządzenia wytworzone w państwie członkowskim UE,</w:t>
      </w:r>
      <w:r w:rsidR="00D86EF2" w:rsidRPr="009B76D1">
        <w:t xml:space="preserve"> EOG, Konfederacji Szwajcarskiej</w:t>
      </w:r>
      <w:r w:rsidRPr="009B76D1">
        <w:t xml:space="preserve"> lub kraju trzecim, jeżeli wydane zostało dla nich przez organy uprawnione państw członkowskich UE świadectwo o nieuznaniu ich za strzelecką broń palną </w:t>
      </w:r>
      <w:r w:rsidRPr="009B76D1">
        <w:rPr>
          <w:b/>
        </w:rPr>
        <w:t>(art. 47d).</w:t>
      </w:r>
      <w:r w:rsidRPr="009B76D1">
        <w:t xml:space="preserve"> Projektowany przepis pozwoli na swobodny obrót na obszarze UE bronią sygnałową i alarmową pod warunkiem wydania dla tej broni stosownego świadectwa lub jego odpowiednika przez organy uprawnione UE.</w:t>
      </w:r>
    </w:p>
    <w:p w14:paraId="0F5A5AF7" w14:textId="433DE405" w:rsidR="001B41B1" w:rsidRPr="009B76D1" w:rsidRDefault="00D3297C" w:rsidP="009B76D1">
      <w:pPr>
        <w:spacing w:before="120" w:line="360" w:lineRule="auto"/>
        <w:jc w:val="both"/>
      </w:pPr>
      <w:r w:rsidRPr="009B76D1">
        <w:t xml:space="preserve">Broń </w:t>
      </w:r>
      <w:r w:rsidR="00F3116D" w:rsidRPr="009B76D1">
        <w:t xml:space="preserve">alarmowa i sygnałowa </w:t>
      </w:r>
      <w:r w:rsidRPr="009B76D1">
        <w:t>powinna również posiadać oznakowanie, które przez umieszczenie symbolu literowego jednoznacznie wskaże, że dany egzemplarz broni nie jest zaliczany do strzeleckiej broni palnej</w:t>
      </w:r>
      <w:r w:rsidR="00CC4453" w:rsidRPr="009B76D1">
        <w:t>, oraz oznakowanie pozwalające na jednoznaczną identyfikację egzemplarza broni</w:t>
      </w:r>
      <w:r w:rsidR="00F3116D" w:rsidRPr="009B76D1">
        <w:t xml:space="preserve"> </w:t>
      </w:r>
      <w:r w:rsidR="00F3116D" w:rsidRPr="009B76D1">
        <w:rPr>
          <w:b/>
        </w:rPr>
        <w:t>(art.</w:t>
      </w:r>
      <w:r w:rsidR="00EC0E4F" w:rsidRPr="0074723F">
        <w:rPr>
          <w:b/>
        </w:rPr>
        <w:t xml:space="preserve"> </w:t>
      </w:r>
      <w:r w:rsidR="00F3116D" w:rsidRPr="009B76D1">
        <w:rPr>
          <w:b/>
        </w:rPr>
        <w:t>47e)</w:t>
      </w:r>
      <w:r w:rsidRPr="009B76D1">
        <w:rPr>
          <w:b/>
        </w:rPr>
        <w:t>.</w:t>
      </w:r>
      <w:r w:rsidRPr="009B76D1">
        <w:t xml:space="preserve"> Oznakowanie broni alarmowej i sygnałowej będzie nanoszone przez przedsiębiorców posiadających koncesję na wytwarzanie danego rodzaju broni (art. 57 ust. 1 ustawy), po</w:t>
      </w:r>
      <w:r w:rsidR="00CC4453" w:rsidRPr="009B76D1">
        <w:t>d</w:t>
      </w:r>
      <w:r w:rsidRPr="009B76D1">
        <w:t xml:space="preserve"> warunkiem że broń ta nie została uznana za strzelecką broń palną, czego potwierdzeniem będzie stosowne świadectwo wydane przez podmiot uprawniony lub równorzędny dokument wydany przez podmiot uprawniony w tym zakresie przez państwo członkowskie UE.</w:t>
      </w:r>
    </w:p>
    <w:p w14:paraId="186063AA" w14:textId="21DFFD03" w:rsidR="00CC4453" w:rsidRPr="009B76D1" w:rsidRDefault="00CC4453" w:rsidP="009B76D1">
      <w:pPr>
        <w:spacing w:before="120" w:line="360" w:lineRule="auto"/>
        <w:jc w:val="both"/>
      </w:pPr>
      <w:r w:rsidRPr="009B76D1">
        <w:lastRenderedPageBreak/>
        <w:t>W ocenie projektodawców przedsiębiorca wytwarzający broń alarmową i sygnałową powinien ją ewidencjonować</w:t>
      </w:r>
      <w:r w:rsidR="00E46AAA" w:rsidRPr="009B76D1">
        <w:t>, a przepis określa dane, które zawierać będzie ewidencja, formę jej prowadzenia</w:t>
      </w:r>
      <w:r w:rsidR="00EC7D45" w:rsidRPr="009B76D1">
        <w:t xml:space="preserve"> oraz zobowiązuje przedsiębiorcę do przechowywania dokumentacji technicznej na podstawie które</w:t>
      </w:r>
      <w:r w:rsidR="00923ABF" w:rsidRPr="009B76D1">
        <w:t>j</w:t>
      </w:r>
      <w:r w:rsidR="00EC7D45" w:rsidRPr="009B76D1">
        <w:t xml:space="preserve"> wytworzył</w:t>
      </w:r>
      <w:r w:rsidR="00E46AAA" w:rsidRPr="009B76D1">
        <w:t xml:space="preserve"> </w:t>
      </w:r>
      <w:r w:rsidR="00F32E28" w:rsidRPr="009B76D1">
        <w:t xml:space="preserve">broń alarmową i sygnałową oraz świadectwa wydane dla tej broni </w:t>
      </w:r>
      <w:r w:rsidRPr="009B76D1">
        <w:rPr>
          <w:b/>
        </w:rPr>
        <w:t>(art. 47f).</w:t>
      </w:r>
    </w:p>
    <w:p w14:paraId="44DC317F" w14:textId="28FA1F74" w:rsidR="00F56E7F" w:rsidRPr="009B76D1" w:rsidRDefault="00F56E7F" w:rsidP="009B76D1">
      <w:pPr>
        <w:spacing w:before="120" w:line="360" w:lineRule="auto"/>
        <w:jc w:val="both"/>
      </w:pPr>
      <w:r w:rsidRPr="009B76D1">
        <w:t>Wprowadzany w projekcie obowiązek ewidencjonowa</w:t>
      </w:r>
      <w:r w:rsidR="00500629" w:rsidRPr="009B76D1">
        <w:t>nia wytworzonej broni alarmowej</w:t>
      </w:r>
      <w:r w:rsidR="00EC0E4F" w:rsidRPr="0074723F">
        <w:t xml:space="preserve"> </w:t>
      </w:r>
      <w:r w:rsidRPr="009B76D1">
        <w:t>i sygnałowej jest niezbędny z uwagi na konieczność prawidłowej identyfikacji</w:t>
      </w:r>
      <w:r w:rsidR="00680060" w:rsidRPr="009B76D1">
        <w:t xml:space="preserve"> tej </w:t>
      </w:r>
      <w:r w:rsidRPr="009B76D1">
        <w:t xml:space="preserve">broni. </w:t>
      </w:r>
    </w:p>
    <w:p w14:paraId="4E63AC94" w14:textId="52D52EAE" w:rsidR="00F56E7F" w:rsidRPr="009B76D1" w:rsidRDefault="00F56E7F" w:rsidP="009B76D1">
      <w:pPr>
        <w:spacing w:before="120" w:line="360" w:lineRule="auto"/>
        <w:jc w:val="both"/>
      </w:pPr>
      <w:r w:rsidRPr="009B76D1">
        <w:t xml:space="preserve">W przypadku broni alarmowej i sygnałowej, jeżeli posiada </w:t>
      </w:r>
      <w:r w:rsidR="001C4613" w:rsidRPr="009B76D1">
        <w:t>on</w:t>
      </w:r>
      <w:r w:rsidR="00987890" w:rsidRPr="009B76D1">
        <w:t>a</w:t>
      </w:r>
      <w:r w:rsidR="001C4613" w:rsidRPr="009B76D1">
        <w:t xml:space="preserve"> </w:t>
      </w:r>
      <w:r w:rsidRPr="009B76D1">
        <w:t xml:space="preserve">świadectwo </w:t>
      </w:r>
      <w:r w:rsidR="006C467C" w:rsidRPr="009B76D1">
        <w:t>o</w:t>
      </w:r>
      <w:r w:rsidR="006C467C">
        <w:t> </w:t>
      </w:r>
      <w:r w:rsidRPr="009B76D1">
        <w:t xml:space="preserve">nieuznaniu jej za strzelecką broń palną, jej ewidencjonowanie jest również zasadne, gdyż pozwala na identyfikację wytworzonego urządzenia m.in. przez powiązanie go </w:t>
      </w:r>
      <w:r w:rsidR="006C467C" w:rsidRPr="009B76D1">
        <w:t>z</w:t>
      </w:r>
      <w:r w:rsidR="006C467C">
        <w:t> </w:t>
      </w:r>
      <w:r w:rsidRPr="009B76D1">
        <w:t xml:space="preserve">wydanym dla niego świadectwem. Taki mechanizm pozwala na jednoznaczną </w:t>
      </w:r>
      <w:r w:rsidR="006C467C" w:rsidRPr="009B76D1">
        <w:t>i</w:t>
      </w:r>
      <w:r w:rsidR="006C467C">
        <w:t> </w:t>
      </w:r>
      <w:r w:rsidRPr="009B76D1">
        <w:t>niebudzącą wątpliwości identyfikację broni alarmowej i sygnałowej, która nie podlega przepisom dyrektywy 91/477. Ewidencjonowanie broni sygnałowej i alarmowej służy ponadto realizacji celu zawartego w dyrektywie – kontroli tych urządzeń.</w:t>
      </w:r>
    </w:p>
    <w:p w14:paraId="60E082A1" w14:textId="0F64EAB7" w:rsidR="00E0241C" w:rsidRPr="009B76D1" w:rsidRDefault="00F56E7F" w:rsidP="009B76D1">
      <w:pPr>
        <w:spacing w:before="120" w:line="360" w:lineRule="auto"/>
        <w:jc w:val="both"/>
      </w:pPr>
      <w:r w:rsidRPr="009B76D1">
        <w:rPr>
          <w:b/>
        </w:rPr>
        <w:t>Art. 47g</w:t>
      </w:r>
      <w:r w:rsidRPr="009B76D1">
        <w:t xml:space="preserve"> projektu nakłada na przedsiębiorcę dokonującego sprzedaży broni alarmowej </w:t>
      </w:r>
      <w:r w:rsidR="00EA0985" w:rsidRPr="009B76D1">
        <w:t>i</w:t>
      </w:r>
      <w:r w:rsidR="00EA0985">
        <w:t> </w:t>
      </w:r>
      <w:r w:rsidRPr="009B76D1">
        <w:t xml:space="preserve">sygnałowej obowiązek </w:t>
      </w:r>
      <w:r w:rsidR="00E72D58" w:rsidRPr="009B76D1">
        <w:t>wydania</w:t>
      </w:r>
      <w:r w:rsidRPr="009B76D1">
        <w:t xml:space="preserve"> nabywcy kopii świadectwa</w:t>
      </w:r>
      <w:r w:rsidR="00C044EE" w:rsidRPr="009B76D1">
        <w:t xml:space="preserve"> zawierającego oznaczenie przedsiębiorcy dokonującego sprzedaży oraz numer seryjny broni alarmowo-sygnałowej</w:t>
      </w:r>
      <w:r w:rsidRPr="009B76D1">
        <w:t xml:space="preserve"> o nieuznaniu t</w:t>
      </w:r>
      <w:r w:rsidR="00E0241C" w:rsidRPr="009B76D1">
        <w:t xml:space="preserve">ej broni za strzelecką broń palną. Jeżeli broń alarmowa </w:t>
      </w:r>
      <w:r w:rsidR="006C467C" w:rsidRPr="009B76D1">
        <w:t>i</w:t>
      </w:r>
      <w:r w:rsidR="006C467C">
        <w:t> </w:t>
      </w:r>
      <w:r w:rsidR="00E0241C" w:rsidRPr="009B76D1">
        <w:t>sygnałowa nie posiada takiego świadectwa –</w:t>
      </w:r>
      <w:r w:rsidR="00444F48" w:rsidRPr="009B76D1">
        <w:t xml:space="preserve"> </w:t>
      </w:r>
      <w:r w:rsidR="00E0241C" w:rsidRPr="009B76D1">
        <w:t xml:space="preserve">należy ją traktować jak strzelecką broń palną zgodnie </w:t>
      </w:r>
      <w:r w:rsidR="00EA0985" w:rsidRPr="009B76D1">
        <w:t>z</w:t>
      </w:r>
      <w:r w:rsidR="00EA0985">
        <w:t> </w:t>
      </w:r>
      <w:r w:rsidR="00E0241C" w:rsidRPr="009B76D1">
        <w:t>projektowanym art. 47c ust. 2.</w:t>
      </w:r>
    </w:p>
    <w:p w14:paraId="200044AA" w14:textId="728B05D2" w:rsidR="00A36712" w:rsidRPr="009B76D1" w:rsidRDefault="00E0241C" w:rsidP="009B76D1">
      <w:pPr>
        <w:spacing w:before="120" w:line="360" w:lineRule="auto"/>
        <w:jc w:val="both"/>
      </w:pPr>
      <w:r w:rsidRPr="009B76D1">
        <w:rPr>
          <w:b/>
        </w:rPr>
        <w:t>Art. 47h</w:t>
      </w:r>
      <w:r w:rsidRPr="009B76D1">
        <w:t xml:space="preserve"> projektu jest upoważnieniem dla ministra właściwego do spraw wewnętrznych do wydania rozporządzenia, które określi podmiot uprawniony do weryfikacji </w:t>
      </w:r>
      <w:r w:rsidR="00EA0985" w:rsidRPr="009B76D1">
        <w:t>i</w:t>
      </w:r>
      <w:r w:rsidR="00EA0985">
        <w:t> </w:t>
      </w:r>
      <w:r w:rsidRPr="009B76D1">
        <w:t>wydawania świadectwa, że broń alarmowa i sygnałowa została wytworzona zgodnie ze specyfikacjami technicznymi, dokumenty wchodzące w skład dokumentacji technicznej, sposób i tryb przeprowadzania weryfikacji, wysokość opłaty za weryfikację i wydanie świadectwa oraz wzór świadectwa.</w:t>
      </w:r>
      <w:r w:rsidR="00A36712" w:rsidRPr="009B76D1">
        <w:t xml:space="preserve"> Podmiot uprawniony do weryfikacji </w:t>
      </w:r>
      <w:r w:rsidR="006C467C" w:rsidRPr="009B76D1">
        <w:t>i</w:t>
      </w:r>
      <w:r w:rsidR="006C467C">
        <w:t> </w:t>
      </w:r>
      <w:r w:rsidR="00A36712" w:rsidRPr="009B76D1">
        <w:t xml:space="preserve">wydawania świadectw broni alarmowej i sygnałowej powinien posiadać status instytutu badawczego, którego praca jest ukierunkowana na badanie broni, jej sposobu działania, określania zdatności urządzeń do miotania pocisku albo do przerobienia </w:t>
      </w:r>
      <w:r w:rsidR="006C467C" w:rsidRPr="009B76D1">
        <w:t>w</w:t>
      </w:r>
      <w:r w:rsidR="006C467C">
        <w:t> </w:t>
      </w:r>
      <w:r w:rsidR="00A36712" w:rsidRPr="009B76D1">
        <w:t xml:space="preserve">takim celu. Podmiot ten powinien mieć wyposażenie i doświadczenie w badaniu urządzeń miotających oraz broni palnej produkcji przemysłowej i samodziałowej oraz w zakresie mechanoskopii, metaloznawstwa, chemii itp. Działania tego podmiotu </w:t>
      </w:r>
      <w:r w:rsidR="00A36712" w:rsidRPr="009B76D1">
        <w:lastRenderedPageBreak/>
        <w:t xml:space="preserve">powinny bazować na zdobytym już doświadczeniu i nie mogą być prowadzone wyłącznie na zasadach rynkowych. Wszystkie ww. atrybuty posiada Centralne Laboratorium Kryminalistyczne Policji (CLKP). Wojskowy Instytut Techniczny Uzbrojenia (WITU), który wskazywany był </w:t>
      </w:r>
      <w:r w:rsidR="00EA0985" w:rsidRPr="009B76D1">
        <w:t>w</w:t>
      </w:r>
      <w:r w:rsidR="00EA0985">
        <w:t> </w:t>
      </w:r>
      <w:r w:rsidR="00A36712" w:rsidRPr="009B76D1">
        <w:t>uzgodnieniach przez stronę społeczną, zajmuje się głównie</w:t>
      </w:r>
      <w:r w:rsidR="00444F48" w:rsidRPr="009B76D1">
        <w:t xml:space="preserve"> uzbrojeniem wojskowym </w:t>
      </w:r>
      <w:r w:rsidR="00EA0985" w:rsidRPr="009B76D1">
        <w:t>i</w:t>
      </w:r>
      <w:r w:rsidR="00EA0985">
        <w:t> </w:t>
      </w:r>
      <w:r w:rsidR="00444F48" w:rsidRPr="009B76D1">
        <w:t>nie po</w:t>
      </w:r>
      <w:r w:rsidR="00A36712" w:rsidRPr="009B76D1">
        <w:t xml:space="preserve">siada doświadczenia w badaniu broni do użytku cywilnego, możliwości jej przerobienia albo ukrycia jej pochodzenia. Instytut Mechaniki Precyzyjnej (IMP) – nie posiada ww. doświadczenia oraz nie podjął się pełnienia </w:t>
      </w:r>
      <w:r w:rsidR="00CC4B23" w:rsidRPr="009B76D1">
        <w:t xml:space="preserve">funkcji </w:t>
      </w:r>
      <w:r w:rsidR="00A36712" w:rsidRPr="009B76D1">
        <w:t xml:space="preserve">podmiotu uprawnionego do oceny i wydawania świadectw strzeleckiej broni palnej pozbawionej cech użytkowych, należało więc uznać, że nie będzie zainteresowany pełnieniem </w:t>
      </w:r>
      <w:r w:rsidR="00CC4B23" w:rsidRPr="009B76D1">
        <w:t>funkcj</w:t>
      </w:r>
      <w:r w:rsidR="00A36712" w:rsidRPr="009B76D1">
        <w:t>i</w:t>
      </w:r>
      <w:r w:rsidR="00EC37D3" w:rsidRPr="009B76D1">
        <w:t xml:space="preserve"> podmiotu uprawnionego</w:t>
      </w:r>
      <w:r w:rsidR="00A36712" w:rsidRPr="009B76D1">
        <w:t>.</w:t>
      </w:r>
    </w:p>
    <w:p w14:paraId="4556EFFF" w14:textId="1ACFEF3D" w:rsidR="00FE7E2F" w:rsidRPr="009B76D1" w:rsidRDefault="00C73ECA" w:rsidP="009B76D1">
      <w:pPr>
        <w:spacing w:before="120" w:line="360" w:lineRule="auto"/>
        <w:jc w:val="both"/>
        <w:rPr>
          <w:bCs/>
        </w:rPr>
      </w:pPr>
      <w:r w:rsidRPr="009B76D1">
        <w:t xml:space="preserve">Dyrektywa 2019/69 zobowiązuje państwa członkowskie do objęcia kontrolą każdej </w:t>
      </w:r>
      <w:r w:rsidR="00CE2A77" w:rsidRPr="009B76D1">
        <w:t xml:space="preserve">jednostki </w:t>
      </w:r>
      <w:r w:rsidRPr="009B76D1">
        <w:t>broni alarmowej i sygnałowej. W ocenie projektodawcy objęcie kontrolą broni alarmowej i sygnałowej będącej w posiadaniu przedsiębiorc</w:t>
      </w:r>
      <w:r w:rsidR="002E0AFA" w:rsidRPr="009B76D1">
        <w:t>y</w:t>
      </w:r>
      <w:r w:rsidRPr="009B76D1">
        <w:t xml:space="preserve"> dokonującego jej wyt</w:t>
      </w:r>
      <w:r w:rsidR="00CE2A77" w:rsidRPr="009B76D1">
        <w:t>w</w:t>
      </w:r>
      <w:r w:rsidRPr="009B76D1">
        <w:t xml:space="preserve">arzania </w:t>
      </w:r>
      <w:r w:rsidR="00880917" w:rsidRPr="009B76D1">
        <w:t>lub sprowadzenia</w:t>
      </w:r>
      <w:r w:rsidR="00F14AF0" w:rsidRPr="009B76D1">
        <w:t xml:space="preserve"> na terytorium Rzeczypospolitej Polskiej spoza terytorium Unii Europejskiej, państwa członkowskiego Europejskiego Porozumienia </w:t>
      </w:r>
      <w:r w:rsidR="006C467C" w:rsidRPr="009B76D1">
        <w:t>o</w:t>
      </w:r>
      <w:r w:rsidR="006C467C">
        <w:t> </w:t>
      </w:r>
      <w:r w:rsidR="00F14AF0" w:rsidRPr="009B76D1">
        <w:t>Wolnym Handlu (EFTA) – strony umowy o Europejskim Obszarze Gospodarczym, Konfederacji Szwajcarskiej lub kraju trzeciego</w:t>
      </w:r>
      <w:r w:rsidR="00880917" w:rsidRPr="009B76D1">
        <w:t xml:space="preserve">, </w:t>
      </w:r>
      <w:r w:rsidRPr="009B76D1">
        <w:t>zapewnia wdrożenie przepisów ww</w:t>
      </w:r>
      <w:r w:rsidR="00BB5449">
        <w:t>.</w:t>
      </w:r>
      <w:r w:rsidRPr="009B76D1">
        <w:t xml:space="preserve"> dyrektywy </w:t>
      </w:r>
      <w:r w:rsidR="00EA0985" w:rsidRPr="009B76D1">
        <w:t>w</w:t>
      </w:r>
      <w:r w:rsidR="00EA0985">
        <w:t> </w:t>
      </w:r>
      <w:r w:rsidRPr="009B76D1">
        <w:t>przedmiotowym zakresie,</w:t>
      </w:r>
      <w:r w:rsidR="00CD3A6C" w:rsidRPr="009B76D1">
        <w:t xml:space="preserve"> ponieważ</w:t>
      </w:r>
      <w:r w:rsidR="004B289A" w:rsidRPr="009B76D1">
        <w:t xml:space="preserve"> gwarantuje</w:t>
      </w:r>
      <w:r w:rsidR="00880917" w:rsidRPr="009B76D1">
        <w:t xml:space="preserve"> kontrolę już na etapie wytworzenia lub importu broni alarmowej i sygnałowej, tj. przed wprowadzeniem do obrotu.</w:t>
      </w:r>
      <w:r w:rsidR="004B289A" w:rsidRPr="009B76D1">
        <w:t xml:space="preserve"> Przyjęty mechanizm kontroli umożliwia wyłączenie z regla</w:t>
      </w:r>
      <w:r w:rsidR="009F0EAF" w:rsidRPr="009B76D1">
        <w:t>mentacji obro</w:t>
      </w:r>
      <w:r w:rsidR="004B289A" w:rsidRPr="009B76D1">
        <w:t>t</w:t>
      </w:r>
      <w:r w:rsidR="009F0EAF" w:rsidRPr="009B76D1">
        <w:t>u</w:t>
      </w:r>
      <w:r w:rsidR="00CE2A77" w:rsidRPr="009B76D1">
        <w:t xml:space="preserve"> bronią alarmową </w:t>
      </w:r>
      <w:r w:rsidR="00EA0985" w:rsidRPr="009B76D1">
        <w:t>i</w:t>
      </w:r>
      <w:r w:rsidR="00EA0985">
        <w:t> </w:t>
      </w:r>
      <w:r w:rsidR="00CE2A77" w:rsidRPr="009B76D1">
        <w:t>sygnałową</w:t>
      </w:r>
      <w:r w:rsidR="004B289A" w:rsidRPr="009B76D1">
        <w:t xml:space="preserve"> </w:t>
      </w:r>
      <w:r w:rsidRPr="009B76D1">
        <w:t>oraz nie wymaga wprowadzania odrębnych regulacji dotyczących kontroli broni alarmowej i sygnałowej będącej w posiadaniu osób fizycznych</w:t>
      </w:r>
      <w:r w:rsidR="004B289A" w:rsidRPr="009B76D1">
        <w:t xml:space="preserve">, ponieważ urządzenie takie, nie </w:t>
      </w:r>
      <w:r w:rsidR="00CE2A77" w:rsidRPr="009B76D1">
        <w:t>jest</w:t>
      </w:r>
      <w:r w:rsidR="004B289A" w:rsidRPr="009B76D1">
        <w:t xml:space="preserve"> strzeleck</w:t>
      </w:r>
      <w:r w:rsidR="00CE2A77" w:rsidRPr="009B76D1">
        <w:t>ą bronią palną</w:t>
      </w:r>
      <w:r w:rsidR="004B289A" w:rsidRPr="009B76D1">
        <w:t>,</w:t>
      </w:r>
      <w:r w:rsidR="008A7C45" w:rsidRPr="009B76D1">
        <w:t xml:space="preserve"> a tym samym posiadanie jej nie </w:t>
      </w:r>
      <w:r w:rsidR="00CE2A77" w:rsidRPr="009B76D1">
        <w:t xml:space="preserve">powinno być powiązane z </w:t>
      </w:r>
      <w:r w:rsidR="008A7C45" w:rsidRPr="009B76D1">
        <w:t>wym</w:t>
      </w:r>
      <w:r w:rsidR="00CE2A77" w:rsidRPr="009B76D1">
        <w:t>ogiem</w:t>
      </w:r>
      <w:r w:rsidR="008A7C45" w:rsidRPr="009B76D1">
        <w:t xml:space="preserve"> uzyskania pozwolenia</w:t>
      </w:r>
      <w:r w:rsidRPr="009B76D1">
        <w:t xml:space="preserve">. </w:t>
      </w:r>
      <w:r w:rsidR="00A36712" w:rsidRPr="009B76D1">
        <w:t xml:space="preserve">Zgodnie </w:t>
      </w:r>
      <w:r w:rsidR="00A36712" w:rsidRPr="009B76D1">
        <w:rPr>
          <w:b/>
        </w:rPr>
        <w:t>z</w:t>
      </w:r>
      <w:r w:rsidR="00EC0E4F" w:rsidRPr="0074723F">
        <w:rPr>
          <w:b/>
        </w:rPr>
        <w:t xml:space="preserve"> </w:t>
      </w:r>
      <w:r w:rsidR="00A36712" w:rsidRPr="009B76D1">
        <w:rPr>
          <w:b/>
        </w:rPr>
        <w:t xml:space="preserve">art. </w:t>
      </w:r>
      <w:r w:rsidR="00EC37D3" w:rsidRPr="009B76D1">
        <w:rPr>
          <w:b/>
        </w:rPr>
        <w:t>4</w:t>
      </w:r>
      <w:r w:rsidR="00A36712" w:rsidRPr="009B76D1">
        <w:rPr>
          <w:b/>
        </w:rPr>
        <w:t>7i</w:t>
      </w:r>
      <w:r w:rsidR="00EC0E4F" w:rsidRPr="0074723F">
        <w:rPr>
          <w:b/>
        </w:rPr>
        <w:t>–</w:t>
      </w:r>
      <w:r w:rsidR="002B0890" w:rsidRPr="009B76D1">
        <w:rPr>
          <w:b/>
        </w:rPr>
        <w:t xml:space="preserve">47k </w:t>
      </w:r>
      <w:r w:rsidR="00EC37D3" w:rsidRPr="009B76D1">
        <w:t>podmiot uprawniony będzie upoważniony do kontroli wytworzonych</w:t>
      </w:r>
      <w:r w:rsidR="00DC6D7C" w:rsidRPr="009B76D1">
        <w:t xml:space="preserve"> </w:t>
      </w:r>
      <w:r w:rsidR="006C467C" w:rsidRPr="009B76D1">
        <w:t>i</w:t>
      </w:r>
      <w:r w:rsidR="006C467C">
        <w:t> </w:t>
      </w:r>
      <w:r w:rsidR="00EC37D3" w:rsidRPr="009B76D1">
        <w:t>sprowadzonych na terytorium RP urządzeń (broni alarmowej i sygnałowej)</w:t>
      </w:r>
      <w:r w:rsidR="00C87CFA" w:rsidRPr="009B76D1">
        <w:t>. Kontrola może być przeprowadzona wspó</w:t>
      </w:r>
      <w:r w:rsidR="006B6360" w:rsidRPr="009B76D1">
        <w:t>lnie z odpow</w:t>
      </w:r>
      <w:r w:rsidR="00C87CFA" w:rsidRPr="009B76D1">
        <w:t xml:space="preserve">iednimi organami </w:t>
      </w:r>
      <w:r w:rsidR="0020504C" w:rsidRPr="009B76D1">
        <w:t>innych państw członkowskich UE</w:t>
      </w:r>
      <w:r w:rsidR="00BC6382" w:rsidRPr="009B76D1">
        <w:t>, EOG lub Konfederacji Szwajcarskiej</w:t>
      </w:r>
      <w:r w:rsidR="0020504C" w:rsidRPr="009B76D1">
        <w:t>,</w:t>
      </w:r>
      <w:r w:rsidR="006B6360" w:rsidRPr="009B76D1">
        <w:t xml:space="preserve"> </w:t>
      </w:r>
      <w:r w:rsidR="00C87CFA" w:rsidRPr="009B76D1">
        <w:t xml:space="preserve">a </w:t>
      </w:r>
      <w:r w:rsidR="00EC37D3" w:rsidRPr="009B76D1">
        <w:t xml:space="preserve">celem tej kontroli będzie weryfikacja, czy zostały </w:t>
      </w:r>
      <w:r w:rsidR="006B6360" w:rsidRPr="009B76D1">
        <w:t xml:space="preserve">one </w:t>
      </w:r>
      <w:r w:rsidR="00EC37D3" w:rsidRPr="009B76D1">
        <w:t>wytworzone zgodnie ze specyfikacjami technicznymi</w:t>
      </w:r>
      <w:r w:rsidR="00C87CFA" w:rsidRPr="009B76D1">
        <w:t xml:space="preserve"> zawartymi w dyrektywie 2019/69</w:t>
      </w:r>
      <w:r w:rsidR="00EC37D3" w:rsidRPr="009B76D1">
        <w:t>, przez co nie będą traktowane jako strzelecka broń palna.</w:t>
      </w:r>
      <w:r w:rsidRPr="009B76D1">
        <w:t xml:space="preserve"> </w:t>
      </w:r>
      <w:r w:rsidR="00FE7E2F" w:rsidRPr="009B76D1">
        <w:t>K</w:t>
      </w:r>
      <w:r w:rsidR="00FB7433" w:rsidRPr="009B76D1">
        <w:t>ontroli</w:t>
      </w:r>
      <w:r w:rsidRPr="009B76D1">
        <w:t xml:space="preserve"> nie będzie</w:t>
      </w:r>
      <w:r w:rsidR="00C87CFA" w:rsidRPr="009B76D1">
        <w:t xml:space="preserve"> </w:t>
      </w:r>
      <w:r w:rsidR="00FE7E2F" w:rsidRPr="009B76D1">
        <w:t xml:space="preserve">podlegał </w:t>
      </w:r>
      <w:r w:rsidR="00C87CFA" w:rsidRPr="009B76D1">
        <w:t>przedsiębiorca</w:t>
      </w:r>
      <w:r w:rsidR="008A7C45" w:rsidRPr="009B76D1">
        <w:t xml:space="preserve"> </w:t>
      </w:r>
      <w:r w:rsidR="00FE7E2F" w:rsidRPr="009B76D1">
        <w:t>lub</w:t>
      </w:r>
      <w:r w:rsidR="008A7C45" w:rsidRPr="009B76D1">
        <w:t xml:space="preserve"> osoba fizyczna</w:t>
      </w:r>
      <w:r w:rsidRPr="009B76D1">
        <w:t>,</w:t>
      </w:r>
      <w:r w:rsidR="00C87CFA" w:rsidRPr="009B76D1">
        <w:t xml:space="preserve"> lecz</w:t>
      </w:r>
      <w:r w:rsidR="00FB7433" w:rsidRPr="009B76D1">
        <w:t xml:space="preserve"> ko</w:t>
      </w:r>
      <w:r w:rsidR="0020504C" w:rsidRPr="009B76D1">
        <w:t>nkretny egzemplarz broni</w:t>
      </w:r>
      <w:r w:rsidR="00BC6382" w:rsidRPr="009B76D1">
        <w:t xml:space="preserve">, </w:t>
      </w:r>
      <w:r w:rsidR="00EA0985" w:rsidRPr="009B76D1">
        <w:t>w</w:t>
      </w:r>
      <w:r w:rsidR="00EA0985">
        <w:t> </w:t>
      </w:r>
      <w:r w:rsidR="00BC6382" w:rsidRPr="009B76D1">
        <w:t>szczególności</w:t>
      </w:r>
      <w:r w:rsidR="0020504C" w:rsidRPr="009B76D1">
        <w:t xml:space="preserve"> będący </w:t>
      </w:r>
      <w:r w:rsidR="00FB7433" w:rsidRPr="009B76D1">
        <w:t>w posiadaniu przedsiębiorcy</w:t>
      </w:r>
      <w:r w:rsidR="00903BC4" w:rsidRPr="009B76D1">
        <w:t xml:space="preserve"> lub przekazany </w:t>
      </w:r>
      <w:r w:rsidR="00903BC4" w:rsidRPr="009B76D1">
        <w:lastRenderedPageBreak/>
        <w:t>przez służby bezpieczeństwa i porządku publicznego</w:t>
      </w:r>
      <w:r w:rsidR="008A7C45" w:rsidRPr="009B76D1">
        <w:t xml:space="preserve">, </w:t>
      </w:r>
      <w:r w:rsidR="008A7C45" w:rsidRPr="009B76D1">
        <w:rPr>
          <w:bCs/>
        </w:rPr>
        <w:t xml:space="preserve">których zadania obejmują zwalczanie przestępstw związanych z nielegalnym wytwarzaniem i posiadaniem broni. </w:t>
      </w:r>
    </w:p>
    <w:p w14:paraId="3341D2FE" w14:textId="6A8BFBF5" w:rsidR="00FE7E2F" w:rsidRPr="009B76D1" w:rsidRDefault="00FE7E2F" w:rsidP="009B76D1">
      <w:pPr>
        <w:spacing w:before="120" w:line="360" w:lineRule="auto"/>
        <w:jc w:val="both"/>
        <w:rPr>
          <w:bCs/>
        </w:rPr>
      </w:pPr>
      <w:r w:rsidRPr="009B76D1">
        <w:rPr>
          <w:bCs/>
        </w:rPr>
        <w:t xml:space="preserve">Podmiot uprawniony uzyska możliwość przeprowadzenia kontroli broni alarmowej </w:t>
      </w:r>
      <w:r w:rsidR="00EA0985" w:rsidRPr="009B76D1">
        <w:rPr>
          <w:bCs/>
        </w:rPr>
        <w:t>i</w:t>
      </w:r>
      <w:r w:rsidR="00EA0985">
        <w:rPr>
          <w:bCs/>
        </w:rPr>
        <w:t> </w:t>
      </w:r>
      <w:r w:rsidRPr="009B76D1">
        <w:rPr>
          <w:bCs/>
        </w:rPr>
        <w:t xml:space="preserve">sygnałowej </w:t>
      </w:r>
      <w:r w:rsidR="00622214" w:rsidRPr="009B76D1">
        <w:rPr>
          <w:bCs/>
        </w:rPr>
        <w:t>także z własnej inicjatywy, np.</w:t>
      </w:r>
      <w:r w:rsidRPr="009B76D1">
        <w:rPr>
          <w:bCs/>
        </w:rPr>
        <w:t xml:space="preserve"> w związku z prowadzonymi pracami badawczymi dotyczącymi tego rodzaju urządzeń. </w:t>
      </w:r>
      <w:r w:rsidR="00BD313D" w:rsidRPr="009B76D1">
        <w:rPr>
          <w:bCs/>
        </w:rPr>
        <w:t>Dlatego też</w:t>
      </w:r>
      <w:r w:rsidRPr="009B76D1">
        <w:rPr>
          <w:bCs/>
        </w:rPr>
        <w:t xml:space="preserve"> podmiotem uprawnionym powinien być taki podmiot, który posiada odpowiedni potencjał naukowy, specjalistyczną wiedzę i doświadczenia oraz prowadzący badania urządzeń miotających produkcji przemysłowej i samodziałowej. </w:t>
      </w:r>
    </w:p>
    <w:p w14:paraId="7F482D71" w14:textId="77777777" w:rsidR="00F96F38" w:rsidRPr="009B76D1" w:rsidRDefault="00C73ECA" w:rsidP="009B76D1">
      <w:pPr>
        <w:spacing w:before="120" w:line="360" w:lineRule="auto"/>
        <w:jc w:val="both"/>
      </w:pPr>
      <w:r w:rsidRPr="009B76D1">
        <w:t xml:space="preserve">Wyniki kontroli będą przekazywane Komendantowi Głównemu Policji wykonującemu rolę Punktu Kontaktowego, a wyniki kontroli stwierdzające niespełnienie przez urządzenie wymogów również organowi koncesyjnemu, który decyzją administracyjną może cofnąć koncesję, z uwagi na rażące naruszenie warunków wykonywania działalności koncesjonowanej. </w:t>
      </w:r>
    </w:p>
    <w:p w14:paraId="0F0439B8" w14:textId="413309BB" w:rsidR="00A81134" w:rsidRPr="009B76D1" w:rsidRDefault="004025A6" w:rsidP="009B76D1">
      <w:pPr>
        <w:spacing w:before="120" w:line="360" w:lineRule="auto"/>
        <w:jc w:val="both"/>
      </w:pPr>
      <w:r w:rsidRPr="009B76D1">
        <w:t>Zgodnie z</w:t>
      </w:r>
      <w:r w:rsidR="00052059" w:rsidRPr="009B76D1">
        <w:t xml:space="preserve"> projektowanym</w:t>
      </w:r>
      <w:r w:rsidRPr="009B76D1">
        <w:t xml:space="preserve"> art. </w:t>
      </w:r>
      <w:r w:rsidR="00052059" w:rsidRPr="009B76D1">
        <w:t>47</w:t>
      </w:r>
      <w:r w:rsidR="00B6379C" w:rsidRPr="009B76D1">
        <w:t>c</w:t>
      </w:r>
      <w:r w:rsidR="00052059" w:rsidRPr="009B76D1">
        <w:t xml:space="preserve"> ust. 2 </w:t>
      </w:r>
      <w:r w:rsidR="00042BE8" w:rsidRPr="009B76D1">
        <w:t xml:space="preserve">do </w:t>
      </w:r>
      <w:r w:rsidR="00A81134" w:rsidRPr="009B76D1">
        <w:t>urządze</w:t>
      </w:r>
      <w:r w:rsidR="00042BE8" w:rsidRPr="009B76D1">
        <w:t>ń</w:t>
      </w:r>
      <w:r w:rsidR="00052059" w:rsidRPr="009B76D1">
        <w:t>, które nie spełniają wymogów określonych</w:t>
      </w:r>
      <w:r w:rsidR="00DF5EA6" w:rsidRPr="009B76D1">
        <w:t xml:space="preserve"> </w:t>
      </w:r>
      <w:r w:rsidR="00052059" w:rsidRPr="009B76D1">
        <w:t>w</w:t>
      </w:r>
      <w:r w:rsidR="00EC0E4F" w:rsidRPr="0074723F">
        <w:t xml:space="preserve"> </w:t>
      </w:r>
      <w:r w:rsidR="00052059" w:rsidRPr="009B76D1">
        <w:t>art.</w:t>
      </w:r>
      <w:r w:rsidR="00EC0E4F" w:rsidRPr="0074723F">
        <w:t xml:space="preserve"> </w:t>
      </w:r>
      <w:r w:rsidR="00052059" w:rsidRPr="009B76D1">
        <w:t>47a i</w:t>
      </w:r>
      <w:r w:rsidR="00EC0E4F" w:rsidRPr="0074723F">
        <w:t xml:space="preserve"> </w:t>
      </w:r>
      <w:r w:rsidR="00052059" w:rsidRPr="009B76D1">
        <w:t xml:space="preserve">dla których nie wydano świadectwa broni alarmowej </w:t>
      </w:r>
      <w:r w:rsidR="00EA0985" w:rsidRPr="009B76D1">
        <w:t>i</w:t>
      </w:r>
      <w:r w:rsidR="00EA0985">
        <w:t> </w:t>
      </w:r>
      <w:r w:rsidR="00052059" w:rsidRPr="009B76D1">
        <w:t>sygnałowej, stosuje się przepisy dotyczące strzeleckiej broni palnej. Tym samy</w:t>
      </w:r>
      <w:r w:rsidR="00042BE8" w:rsidRPr="009B76D1">
        <w:t>m</w:t>
      </w:r>
      <w:r w:rsidR="00B631E9" w:rsidRPr="009B76D1">
        <w:t xml:space="preserve"> wykonywanie działalności gospodarczej w zakresie obrotu urządzeniami </w:t>
      </w:r>
      <w:r w:rsidR="007A7309" w:rsidRPr="009B76D1">
        <w:t xml:space="preserve">dla których nie wydano świadectwa broni alarmowej i sygnałowej </w:t>
      </w:r>
      <w:r w:rsidR="00042BE8" w:rsidRPr="009B76D1">
        <w:t>i nie spełniają wymogów określonych w specyfikacjach technicznych</w:t>
      </w:r>
      <w:r w:rsidR="007A7309" w:rsidRPr="009B76D1">
        <w:t>, wymaga posiadania koncesji ministra wła</w:t>
      </w:r>
      <w:r w:rsidR="00500F6B" w:rsidRPr="009B76D1">
        <w:t>ściwego do spraw wewnętrznych w zakresie</w:t>
      </w:r>
      <w:r w:rsidR="007A7309" w:rsidRPr="009B76D1">
        <w:t xml:space="preserve"> obr</w:t>
      </w:r>
      <w:r w:rsidR="00042BE8" w:rsidRPr="009B76D1">
        <w:t>o</w:t>
      </w:r>
      <w:r w:rsidR="007A7309" w:rsidRPr="009B76D1">
        <w:t>t</w:t>
      </w:r>
      <w:r w:rsidR="00500F6B" w:rsidRPr="009B76D1">
        <w:t>u</w:t>
      </w:r>
      <w:r w:rsidR="007A7309" w:rsidRPr="009B76D1">
        <w:t xml:space="preserve"> strzelecką bronią palną</w:t>
      </w:r>
      <w:r w:rsidR="00042BE8" w:rsidRPr="009B76D1">
        <w:t xml:space="preserve">. Brak stosownej koncesji </w:t>
      </w:r>
      <w:r w:rsidR="008B4131" w:rsidRPr="009B76D1">
        <w:t>podlega penalizacji zgodnie z art. 133 ustawy.</w:t>
      </w:r>
    </w:p>
    <w:p w14:paraId="30271073" w14:textId="775675C9" w:rsidR="007A7309" w:rsidRPr="009B76D1" w:rsidRDefault="00DF5EA6" w:rsidP="009B76D1">
      <w:pPr>
        <w:spacing w:before="120" w:line="360" w:lineRule="auto"/>
        <w:jc w:val="both"/>
      </w:pPr>
      <w:r w:rsidRPr="009B76D1">
        <w:t>Odnosząc się natomiast</w:t>
      </w:r>
      <w:r w:rsidR="00A81134" w:rsidRPr="009B76D1">
        <w:t xml:space="preserve"> do kwestii</w:t>
      </w:r>
      <w:r w:rsidRPr="009B76D1">
        <w:t xml:space="preserve"> osób fizycznych</w:t>
      </w:r>
      <w:r w:rsidR="00A81134" w:rsidRPr="009B76D1">
        <w:t>,</w:t>
      </w:r>
      <w:r w:rsidRPr="009B76D1">
        <w:t xml:space="preserve"> należy podnieść, że</w:t>
      </w:r>
      <w:r w:rsidR="002200AE" w:rsidRPr="009B76D1">
        <w:t xml:space="preserve"> </w:t>
      </w:r>
      <w:r w:rsidR="00551D1F" w:rsidRPr="009B76D1">
        <w:t>sprzedaż</w:t>
      </w:r>
      <w:r w:rsidR="00BD313D" w:rsidRPr="009B76D1">
        <w:t xml:space="preserve"> albo </w:t>
      </w:r>
      <w:r w:rsidR="00A81134" w:rsidRPr="009B76D1">
        <w:t>nabycie</w:t>
      </w:r>
      <w:r w:rsidR="002200AE" w:rsidRPr="009B76D1">
        <w:t xml:space="preserve"> </w:t>
      </w:r>
      <w:r w:rsidRPr="009B76D1">
        <w:t>urzą</w:t>
      </w:r>
      <w:r w:rsidR="002200AE" w:rsidRPr="009B76D1">
        <w:t>dzeń, które nie spełniają wymogów i dla których nie wydano świadectwa broni alarmowej i sygnałowej</w:t>
      </w:r>
      <w:r w:rsidR="00A81134" w:rsidRPr="009B76D1">
        <w:t>, wymaga</w:t>
      </w:r>
      <w:r w:rsidR="008B4131" w:rsidRPr="009B76D1">
        <w:t xml:space="preserve"> uzyskania</w:t>
      </w:r>
      <w:r w:rsidR="00A81134" w:rsidRPr="009B76D1">
        <w:t xml:space="preserve"> pozwolenia na strzelecką broń palną</w:t>
      </w:r>
      <w:r w:rsidR="00B6379C" w:rsidRPr="009B76D1">
        <w:t xml:space="preserve">, którego brak </w:t>
      </w:r>
      <w:r w:rsidR="00A81134" w:rsidRPr="009B76D1">
        <w:t xml:space="preserve">pociąga za sobą sankcje przewidziane </w:t>
      </w:r>
      <w:r w:rsidR="00551D1F" w:rsidRPr="009B76D1">
        <w:t>dla</w:t>
      </w:r>
      <w:r w:rsidR="002200AE" w:rsidRPr="009B76D1">
        <w:t xml:space="preserve"> </w:t>
      </w:r>
      <w:r w:rsidR="00551D1F" w:rsidRPr="009B76D1">
        <w:t xml:space="preserve">nielegalnej sprzedaży, </w:t>
      </w:r>
      <w:r w:rsidR="00A81134" w:rsidRPr="009B76D1">
        <w:t>nabywania i posiadania broni palnej</w:t>
      </w:r>
      <w:r w:rsidR="00514D85" w:rsidRPr="009B76D1">
        <w:t xml:space="preserve">. </w:t>
      </w:r>
    </w:p>
    <w:p w14:paraId="65AEE5FD" w14:textId="6AC07495" w:rsidR="00020B90" w:rsidRPr="009B76D1" w:rsidRDefault="00F96F38" w:rsidP="009B76D1">
      <w:pPr>
        <w:spacing w:before="120" w:line="360" w:lineRule="auto"/>
        <w:jc w:val="both"/>
      </w:pPr>
      <w:r w:rsidRPr="009B76D1">
        <w:rPr>
          <w:b/>
        </w:rPr>
        <w:t>Art. 47k</w:t>
      </w:r>
      <w:r w:rsidRPr="009B76D1">
        <w:t xml:space="preserve"> </w:t>
      </w:r>
      <w:r w:rsidR="00E70A10" w:rsidRPr="009B76D1">
        <w:t>ust. 1</w:t>
      </w:r>
      <w:r w:rsidR="00EC0E4F" w:rsidRPr="0074723F">
        <w:t>–</w:t>
      </w:r>
      <w:r w:rsidR="00E70A10" w:rsidRPr="009B76D1">
        <w:t>4</w:t>
      </w:r>
      <w:r w:rsidR="00BD313D" w:rsidRPr="009B76D1">
        <w:t xml:space="preserve"> </w:t>
      </w:r>
      <w:r w:rsidRPr="009B76D1">
        <w:t xml:space="preserve">zawiera katalog uprawnień przedsiębiorcy, przysługujących </w:t>
      </w:r>
      <w:r w:rsidR="00EA0985" w:rsidRPr="009B76D1">
        <w:t>w</w:t>
      </w:r>
      <w:r w:rsidR="00EA0985">
        <w:t> </w:t>
      </w:r>
      <w:r w:rsidRPr="009B76D1">
        <w:t>przypadku, gdy przedmiotem kontroli jest broń alarmowa</w:t>
      </w:r>
      <w:r w:rsidR="005355E5" w:rsidRPr="009B76D1">
        <w:t xml:space="preserve"> i sygnałowa</w:t>
      </w:r>
      <w:r w:rsidRPr="009B76D1">
        <w:t xml:space="preserve"> będąca </w:t>
      </w:r>
      <w:r w:rsidR="00EA0985" w:rsidRPr="009B76D1">
        <w:t>w</w:t>
      </w:r>
      <w:r w:rsidR="00EA0985">
        <w:t> </w:t>
      </w:r>
      <w:r w:rsidRPr="009B76D1">
        <w:t xml:space="preserve">posiadaniu przedsiębiorcy wykonującego działalność gospodarczą w zakresie wytwarzania i obrotu materiałami wybuchowymi, bronią, amunicją oraz wyrobami </w:t>
      </w:r>
      <w:r w:rsidR="00EA0985" w:rsidRPr="009B76D1">
        <w:t>i</w:t>
      </w:r>
      <w:r w:rsidR="00EA0985">
        <w:t> </w:t>
      </w:r>
      <w:r w:rsidRPr="009B76D1">
        <w:t xml:space="preserve">technologią o przeznaczeniu wojskowym lub policyjnym. W takim przypadku za zasadne uznano określenie na poziomie ustawowym niektórych uprawień posiadacza </w:t>
      </w:r>
      <w:r w:rsidRPr="009B76D1">
        <w:lastRenderedPageBreak/>
        <w:t xml:space="preserve">kontrolowanej broni, o charakterze gwarancyjnym. Przepis reguluje kwestie zawiadamiania o kontroli broni, warunkach przesyłania kontrolowanej broni oraz uprawnieniach podmiotu kontrolującego do żądania wyjaśnień i udostępniania dokumentacji. Przewiduje się również, że podmiot kontrolujący może wezwać przedsiębiorcę posiadającego broń do usunięcia nieprawidłowości w zakresie spełniania przez broń wymogów </w:t>
      </w:r>
      <w:r w:rsidR="00366EEA" w:rsidRPr="009B76D1">
        <w:t xml:space="preserve">do </w:t>
      </w:r>
      <w:r w:rsidRPr="009B76D1">
        <w:t xml:space="preserve">uznania </w:t>
      </w:r>
      <w:r w:rsidR="00366EEA" w:rsidRPr="009B76D1">
        <w:t xml:space="preserve">jej </w:t>
      </w:r>
      <w:r w:rsidRPr="009B76D1">
        <w:t>za broń alarmową</w:t>
      </w:r>
      <w:r w:rsidR="005355E5" w:rsidRPr="009B76D1">
        <w:t xml:space="preserve"> i sygnałową</w:t>
      </w:r>
      <w:r w:rsidRPr="009B76D1">
        <w:t xml:space="preserve">. </w:t>
      </w:r>
      <w:r w:rsidR="00C73ECA" w:rsidRPr="009B76D1">
        <w:t xml:space="preserve">Do </w:t>
      </w:r>
      <w:r w:rsidR="00366EEA" w:rsidRPr="009B76D1">
        <w:t xml:space="preserve">takiej </w:t>
      </w:r>
      <w:r w:rsidR="00D71509" w:rsidRPr="009B76D1">
        <w:t xml:space="preserve">kontroli nie </w:t>
      </w:r>
      <w:r w:rsidR="005E5828" w:rsidRPr="009B76D1">
        <w:t>będą miał</w:t>
      </w:r>
      <w:r w:rsidR="00366EEA" w:rsidRPr="009B76D1">
        <w:t>y</w:t>
      </w:r>
      <w:r w:rsidR="00D71509" w:rsidRPr="009B76D1">
        <w:t xml:space="preserve"> </w:t>
      </w:r>
      <w:r w:rsidR="00246EFF" w:rsidRPr="009B76D1">
        <w:t>zasto</w:t>
      </w:r>
      <w:r w:rsidR="006B6360" w:rsidRPr="009B76D1">
        <w:t>so</w:t>
      </w:r>
      <w:r w:rsidR="00246EFF" w:rsidRPr="009B76D1">
        <w:t>wania przepisy</w:t>
      </w:r>
      <w:r w:rsidR="00D71509" w:rsidRPr="009B76D1">
        <w:t xml:space="preserve"> działu </w:t>
      </w:r>
      <w:r w:rsidR="006B6360" w:rsidRPr="009B76D1">
        <w:t>V us</w:t>
      </w:r>
      <w:r w:rsidR="00D71509" w:rsidRPr="009B76D1">
        <w:t>t</w:t>
      </w:r>
      <w:r w:rsidR="006B6360" w:rsidRPr="009B76D1">
        <w:t>awy zmienianej</w:t>
      </w:r>
      <w:r w:rsidR="00C73ECA" w:rsidRPr="009B76D1">
        <w:t>.</w:t>
      </w:r>
      <w:r w:rsidRPr="009B76D1">
        <w:t xml:space="preserve"> Nie przewiduje się również trybu odwoławczego, gdyż jak wskazywano</w:t>
      </w:r>
      <w:r w:rsidR="00366EEA" w:rsidRPr="009B76D1">
        <w:t>,</w:t>
      </w:r>
      <w:r w:rsidRPr="009B76D1">
        <w:t xml:space="preserve"> kontrola dotyczy broni, </w:t>
      </w:r>
      <w:r w:rsidR="00EA0985" w:rsidRPr="009B76D1">
        <w:t>a</w:t>
      </w:r>
      <w:r w:rsidR="00EA0985">
        <w:t> </w:t>
      </w:r>
      <w:r w:rsidRPr="009B76D1">
        <w:t>przedsiębiorca będący w posiadaniu broni nie jest stroną postępowania kontrolnego. Wyniki kontroli nie wpływają bezpośrednio na sytuację prawną przedsiębiorcy i nie są dla niego źródłem obowiązków. Kwestionowanie wyników kontroli będzie mogło nastąpić np. w postępowaniu odwoławczym w przypadku wydania przez organ koncesyjny decyzji dotyczącej koncesji, w związku z wynikami (np. negatywnymi) kontroli.</w:t>
      </w:r>
    </w:p>
    <w:p w14:paraId="01BA0F6E" w14:textId="4CB25EF8" w:rsidR="00BD313D" w:rsidRPr="009B76D1" w:rsidRDefault="00BD313D" w:rsidP="009B76D1">
      <w:pPr>
        <w:spacing w:before="120" w:line="360" w:lineRule="auto"/>
        <w:jc w:val="both"/>
      </w:pPr>
      <w:r w:rsidRPr="009B76D1">
        <w:t>W art. 47k us</w:t>
      </w:r>
      <w:r w:rsidR="00E70A10" w:rsidRPr="009B76D1">
        <w:t>t. 5</w:t>
      </w:r>
      <w:r w:rsidRPr="009B76D1">
        <w:t xml:space="preserve"> przewidziano odpowiednie stosowanie niektórych uprawnień </w:t>
      </w:r>
      <w:r w:rsidR="00EA0985" w:rsidRPr="009B76D1">
        <w:t>w</w:t>
      </w:r>
      <w:r w:rsidR="00EA0985">
        <w:t> </w:t>
      </w:r>
      <w:r w:rsidRPr="009B76D1">
        <w:t>odniesieniu do kontroli wykonywanej na wniosek służb bezpieczeństwa i porządku publicznego.</w:t>
      </w:r>
    </w:p>
    <w:p w14:paraId="59EE8D61" w14:textId="1FF18860" w:rsidR="00366EEA" w:rsidRPr="009B76D1" w:rsidRDefault="00366EEA" w:rsidP="009B76D1">
      <w:pPr>
        <w:spacing w:before="120" w:line="360" w:lineRule="auto"/>
        <w:jc w:val="both"/>
      </w:pPr>
      <w:r w:rsidRPr="009B76D1">
        <w:rPr>
          <w:b/>
        </w:rPr>
        <w:t>Art. 47l</w:t>
      </w:r>
      <w:r w:rsidRPr="009B76D1">
        <w:t xml:space="preserve"> przewiduje utworzenie rejestru broni alarmowej i sygnałowej, który będzie prowadzony przez Komendanta Głównego Policji. Rejestr gromadził będzie informacje o wydanych świadectwach dla broni alarmowej i sygnałowej (ważnych i wycofanych) wydane zarówno dla broni wytworzonej w Polsce, jak również w rejestrze gromadzone będą informacje o świadectwach lub równoważnych im dokume</w:t>
      </w:r>
      <w:r w:rsidR="00131FA5" w:rsidRPr="009B76D1">
        <w:t>n</w:t>
      </w:r>
      <w:r w:rsidRPr="009B76D1">
        <w:t xml:space="preserve">tach wydanych </w:t>
      </w:r>
      <w:r w:rsidR="00EA0985" w:rsidRPr="009B76D1">
        <w:t>w</w:t>
      </w:r>
      <w:r w:rsidR="00EA0985">
        <w:t> </w:t>
      </w:r>
      <w:r w:rsidRPr="009B76D1">
        <w:t>inny</w:t>
      </w:r>
      <w:r w:rsidR="00131FA5" w:rsidRPr="009B76D1">
        <w:t xml:space="preserve">ch </w:t>
      </w:r>
      <w:r w:rsidR="00A87D77">
        <w:t>p</w:t>
      </w:r>
      <w:r w:rsidR="00131FA5" w:rsidRPr="009B76D1">
        <w:t xml:space="preserve">aństwach </w:t>
      </w:r>
      <w:r w:rsidR="00A87D77">
        <w:t>c</w:t>
      </w:r>
      <w:r w:rsidR="00131FA5" w:rsidRPr="009B76D1">
        <w:t xml:space="preserve">złonkowskich UE. Tym samym zostanie stworzona baza danych </w:t>
      </w:r>
      <w:r w:rsidR="006C467C" w:rsidRPr="009B76D1">
        <w:t>o</w:t>
      </w:r>
      <w:r w:rsidR="006C467C">
        <w:t> </w:t>
      </w:r>
      <w:r w:rsidR="00131FA5" w:rsidRPr="009B76D1">
        <w:t>modelach lub typach broni alarmowej i sygnałowej, spełniającej wymagania określone w specyfikacjach technicznych.</w:t>
      </w:r>
    </w:p>
    <w:p w14:paraId="2FB2B8B4" w14:textId="35FA16D1" w:rsidR="00C23902" w:rsidRPr="009B76D1" w:rsidRDefault="0092001A" w:rsidP="009B76D1">
      <w:pPr>
        <w:spacing w:before="120" w:line="360" w:lineRule="auto"/>
        <w:jc w:val="both"/>
      </w:pPr>
      <w:r w:rsidRPr="009B76D1">
        <w:t xml:space="preserve">Celem utworzenia Krajowego Punktu Kontaktowego ds. Broni </w:t>
      </w:r>
      <w:r w:rsidR="00EC37D3" w:rsidRPr="009B76D1">
        <w:t xml:space="preserve">Alarmowej i Sygnałowej </w:t>
      </w:r>
      <w:r w:rsidR="00F148AB" w:rsidRPr="009B76D1">
        <w:rPr>
          <w:b/>
        </w:rPr>
        <w:t>(art. 47</w:t>
      </w:r>
      <w:r w:rsidR="002B0890" w:rsidRPr="009B76D1">
        <w:rPr>
          <w:b/>
        </w:rPr>
        <w:t>m</w:t>
      </w:r>
      <w:r w:rsidR="00EC37D3" w:rsidRPr="009B76D1">
        <w:rPr>
          <w:b/>
        </w:rPr>
        <w:t>)</w:t>
      </w:r>
      <w:r w:rsidR="00EC37D3" w:rsidRPr="009B76D1">
        <w:t xml:space="preserve"> </w:t>
      </w:r>
      <w:r w:rsidRPr="009B76D1">
        <w:t>jest gromadzenie i wymiana informacji o broni alarmowej i sygna</w:t>
      </w:r>
      <w:r w:rsidR="00B6379C" w:rsidRPr="009B76D1">
        <w:t>łowej dla której odpowiednie św</w:t>
      </w:r>
      <w:r w:rsidR="00622214" w:rsidRPr="009B76D1">
        <w:t>i</w:t>
      </w:r>
      <w:r w:rsidRPr="009B76D1">
        <w:t>adectwo wydał polski podmiot uprawniony lub jego odpowiednik w państwie członkowskim UE, jak również informacji</w:t>
      </w:r>
      <w:r w:rsidR="00444F48" w:rsidRPr="009B76D1">
        <w:t xml:space="preserve"> o broni sygnałowej i alarmowej, </w:t>
      </w:r>
      <w:r w:rsidRPr="009B76D1">
        <w:t>która nie została pozytywnie zweryfikowana i w związku z tym</w:t>
      </w:r>
      <w:r w:rsidR="00EE3876" w:rsidRPr="009B76D1">
        <w:t xml:space="preserve"> </w:t>
      </w:r>
      <w:r w:rsidR="00444F48" w:rsidRPr="009B76D1">
        <w:t xml:space="preserve">należy uważać ją za broń palną. </w:t>
      </w:r>
      <w:r w:rsidR="002325F9" w:rsidRPr="009B76D1">
        <w:t xml:space="preserve">Dyrektywa 2019/69 zobowiązuje państwa członkowskie do objęcia kontrolą broni alarmowej i sygnałowej na etapie jej wytwarzania oraz importu </w:t>
      </w:r>
      <w:r w:rsidR="006C467C" w:rsidRPr="009B76D1">
        <w:lastRenderedPageBreak/>
        <w:t>z</w:t>
      </w:r>
      <w:r w:rsidR="006C467C">
        <w:t> </w:t>
      </w:r>
      <w:r w:rsidR="002325F9" w:rsidRPr="009B76D1">
        <w:t xml:space="preserve">państw trzecich lub nabycia w innych państwach członkowskich UE. W związku </w:t>
      </w:r>
      <w:r w:rsidR="006C467C" w:rsidRPr="009B76D1">
        <w:t>z</w:t>
      </w:r>
      <w:r w:rsidR="006C467C">
        <w:t> </w:t>
      </w:r>
      <w:r w:rsidR="002325F9" w:rsidRPr="009B76D1">
        <w:t>tym państwa członkowskie muszą zobowiązać się do wzajemnej współpracy i kontroli wytwarzanej broni alarmowej i sygnałowej na terenie UE. Wyniki państwowych kontroli mogą być udostępniane innym państwom członkowskim na ich prośbę. Stałe wykonywanie obowiązków przez Punkt Kontaktowy oraz jego współpraca z punktami innych państw dotyczy spraw wewnętrznych, więc nadzór nad ich realizacją powinien być prowadzony przez ministra w</w:t>
      </w:r>
      <w:r w:rsidR="00C23902" w:rsidRPr="009B76D1">
        <w:t xml:space="preserve">łaściwego do spraw wewnętrznych, działającego </w:t>
      </w:r>
      <w:r w:rsidR="006C467C" w:rsidRPr="009B76D1">
        <w:t>w</w:t>
      </w:r>
      <w:r w:rsidR="006C467C">
        <w:t> </w:t>
      </w:r>
      <w:r w:rsidR="00C23902" w:rsidRPr="009B76D1">
        <w:t>tym zakresie przez Komendanta Głównego Policji.</w:t>
      </w:r>
    </w:p>
    <w:p w14:paraId="7664A289" w14:textId="544928A6" w:rsidR="0092001A" w:rsidRPr="009B76D1" w:rsidRDefault="00831624" w:rsidP="009B76D1">
      <w:pPr>
        <w:spacing w:before="120" w:line="360" w:lineRule="auto"/>
        <w:jc w:val="both"/>
      </w:pPr>
      <w:r w:rsidRPr="009B76D1">
        <w:t xml:space="preserve">Zadania Komendanta Głównego Policji w zakresie broni alarmowej i sygnałowej oraz zadania Punktu Kontaktowego określa </w:t>
      </w:r>
      <w:r w:rsidR="003F117A" w:rsidRPr="009B76D1">
        <w:rPr>
          <w:b/>
        </w:rPr>
        <w:t>art. 47</w:t>
      </w:r>
      <w:r w:rsidR="002B0890" w:rsidRPr="009B76D1">
        <w:rPr>
          <w:b/>
        </w:rPr>
        <w:t>m</w:t>
      </w:r>
      <w:r w:rsidRPr="009B76D1">
        <w:t xml:space="preserve"> projektu.</w:t>
      </w:r>
    </w:p>
    <w:p w14:paraId="0DBC571C" w14:textId="5C7DCAFB" w:rsidR="00EC37D3" w:rsidRPr="009B76D1" w:rsidRDefault="00EC37D3" w:rsidP="009B76D1">
      <w:pPr>
        <w:spacing w:before="120" w:line="360" w:lineRule="auto"/>
        <w:jc w:val="both"/>
      </w:pPr>
      <w:r w:rsidRPr="009B76D1">
        <w:t xml:space="preserve">W celu zapewnienia </w:t>
      </w:r>
      <w:r w:rsidR="00131FA5" w:rsidRPr="009B76D1">
        <w:t xml:space="preserve">ciągłości </w:t>
      </w:r>
      <w:r w:rsidRPr="009B76D1">
        <w:t>kontroli państwa na</w:t>
      </w:r>
      <w:r w:rsidR="00444F48" w:rsidRPr="009B76D1">
        <w:t xml:space="preserve">d wytwarzaną na terytorium RP </w:t>
      </w:r>
      <w:r w:rsidRPr="009B76D1">
        <w:t xml:space="preserve">bronią alarmową i sygnałową </w:t>
      </w:r>
      <w:r w:rsidR="002E73FE" w:rsidRPr="009B76D1">
        <w:rPr>
          <w:b/>
        </w:rPr>
        <w:t>art. 47</w:t>
      </w:r>
      <w:r w:rsidR="002B0890" w:rsidRPr="009B76D1">
        <w:rPr>
          <w:b/>
        </w:rPr>
        <w:t>n</w:t>
      </w:r>
      <w:r w:rsidRPr="009B76D1">
        <w:rPr>
          <w:b/>
        </w:rPr>
        <w:t xml:space="preserve"> </w:t>
      </w:r>
      <w:r w:rsidRPr="009B76D1">
        <w:t>projektu nakł</w:t>
      </w:r>
      <w:r w:rsidR="00831624" w:rsidRPr="009B76D1">
        <w:t>a</w:t>
      </w:r>
      <w:r w:rsidRPr="009B76D1">
        <w:t>da obowiązek</w:t>
      </w:r>
      <w:r w:rsidR="00831624" w:rsidRPr="009B76D1">
        <w:t xml:space="preserve"> corocznego składania przez przedsiębiorców oświadczenia o spełnianiu przez wytwarzane przez nich urządzenia wymagań określonych w specyfikacjach technicznych oraz o liczbie wytworzonych </w:t>
      </w:r>
      <w:r w:rsidR="00EA0985" w:rsidRPr="009B76D1">
        <w:t>i</w:t>
      </w:r>
      <w:r w:rsidR="00EA0985">
        <w:t> </w:t>
      </w:r>
      <w:r w:rsidR="00831624" w:rsidRPr="009B76D1">
        <w:t>wprowadzonych do obrotu egzemplarzy broni alarmowej i sygnałowej.</w:t>
      </w:r>
    </w:p>
    <w:p w14:paraId="0D669209" w14:textId="577FFFF8" w:rsidR="0038218B" w:rsidRPr="009B76D1" w:rsidRDefault="00F65626" w:rsidP="009B76D1">
      <w:pPr>
        <w:spacing w:before="120" w:line="360" w:lineRule="auto"/>
        <w:jc w:val="both"/>
      </w:pPr>
      <w:r w:rsidRPr="009B76D1">
        <w:t xml:space="preserve">Zmiana w </w:t>
      </w:r>
      <w:r w:rsidRPr="009B76D1">
        <w:rPr>
          <w:b/>
        </w:rPr>
        <w:t>art. 56</w:t>
      </w:r>
      <w:r w:rsidRPr="009B76D1">
        <w:t xml:space="preserve"> ma na celu doprecyzowanie dotychczasowego przepisu w taki sposób,</w:t>
      </w:r>
      <w:r w:rsidR="00D45574" w:rsidRPr="009B76D1">
        <w:t xml:space="preserve"> </w:t>
      </w:r>
      <w:r w:rsidR="00F766DF" w:rsidRPr="009B76D1">
        <w:t xml:space="preserve">aby </w:t>
      </w:r>
      <w:r w:rsidR="00D45574" w:rsidRPr="009B76D1">
        <w:t>możliwa była</w:t>
      </w:r>
      <w:r w:rsidR="00E24C4F" w:rsidRPr="009B76D1">
        <w:t xml:space="preserve"> –</w:t>
      </w:r>
      <w:r w:rsidR="00D45574" w:rsidRPr="009B76D1">
        <w:t xml:space="preserve"> przez dodatkowe oznakowanie </w:t>
      </w:r>
      <w:r w:rsidR="00EC0E4F" w:rsidRPr="0074723F">
        <w:t>–</w:t>
      </w:r>
      <w:r w:rsidR="00F766DF" w:rsidRPr="009B76D1">
        <w:t xml:space="preserve"> </w:t>
      </w:r>
      <w:r w:rsidRPr="009B76D1">
        <w:t>identyfikacj</w:t>
      </w:r>
      <w:r w:rsidR="00D45574" w:rsidRPr="009B76D1">
        <w:t>a</w:t>
      </w:r>
      <w:r w:rsidRPr="009B76D1">
        <w:t xml:space="preserve"> formacji uzbrojonej przekazującej broń ze swoich zapasów na rynek cywilny.</w:t>
      </w:r>
      <w:r w:rsidR="00831624" w:rsidRPr="009B76D1">
        <w:t xml:space="preserve"> Dodatkowo dodanie nowego </w:t>
      </w:r>
      <w:r w:rsidR="00831624" w:rsidRPr="009B76D1">
        <w:rPr>
          <w:b/>
        </w:rPr>
        <w:t>ust. 4</w:t>
      </w:r>
      <w:r w:rsidR="00831624" w:rsidRPr="009B76D1">
        <w:t xml:space="preserve"> umożliwia wprowadzenie do obrotu strzeleckiej broni palnej oznakowanej cyrylicą</w:t>
      </w:r>
      <w:r w:rsidR="00E72D58" w:rsidRPr="009B76D1">
        <w:t xml:space="preserve"> lub alfabetem greckim</w:t>
      </w:r>
      <w:r w:rsidR="00FB7F43" w:rsidRPr="0074723F">
        <w:t xml:space="preserve"> </w:t>
      </w:r>
      <w:r w:rsidR="00FB7F43" w:rsidRPr="009B76D1">
        <w:t>oraz rzymskim systemem liczbowym</w:t>
      </w:r>
      <w:r w:rsidR="00831624" w:rsidRPr="009B76D1">
        <w:t xml:space="preserve">, o ile oznakowanie to zostanie uzupełnione </w:t>
      </w:r>
      <w:r w:rsidR="00444F48" w:rsidRPr="009B76D1">
        <w:t>zgodnie z wymogami</w:t>
      </w:r>
      <w:r w:rsidR="00831624" w:rsidRPr="009B76D1">
        <w:t xml:space="preserve"> z art. 44.</w:t>
      </w:r>
    </w:p>
    <w:p w14:paraId="32FD13F9" w14:textId="55733E67" w:rsidR="0038218B" w:rsidRPr="009B76D1" w:rsidRDefault="00F65626" w:rsidP="009B76D1">
      <w:pPr>
        <w:spacing w:before="120" w:line="360" w:lineRule="auto"/>
        <w:jc w:val="both"/>
      </w:pPr>
      <w:r w:rsidRPr="009B76D1">
        <w:rPr>
          <w:b/>
        </w:rPr>
        <w:t>W art. 61</w:t>
      </w:r>
      <w:r w:rsidRPr="009B76D1">
        <w:t xml:space="preserve"> dodaje się nowy przepis, który umożliwi zakup amunicji ślepej posiadaczom broni uzna</w:t>
      </w:r>
      <w:r w:rsidR="0038218B" w:rsidRPr="009B76D1">
        <w:t>n</w:t>
      </w:r>
      <w:r w:rsidRPr="009B76D1">
        <w:t>ej za bro</w:t>
      </w:r>
      <w:r w:rsidR="0038218B" w:rsidRPr="009B76D1">
        <w:t>ń</w:t>
      </w:r>
      <w:r w:rsidRPr="009B76D1">
        <w:t xml:space="preserve"> alarmow</w:t>
      </w:r>
      <w:r w:rsidR="0038218B" w:rsidRPr="009B76D1">
        <w:t xml:space="preserve">ą i sygnałową. Wskazać należy, że </w:t>
      </w:r>
      <w:r w:rsidR="00A90767" w:rsidRPr="009B76D1">
        <w:t>z</w:t>
      </w:r>
      <w:r w:rsidR="0038218B" w:rsidRPr="009B76D1">
        <w:t>ałącznik do dyrektywy 2019/69 w pkt 1 lit. c określa amunicję</w:t>
      </w:r>
      <w:r w:rsidR="00C23902" w:rsidRPr="009B76D1">
        <w:t>,</w:t>
      </w:r>
      <w:r w:rsidR="0038218B" w:rsidRPr="009B76D1">
        <w:t xml:space="preserve"> która może być stosowana w broni alarmowej </w:t>
      </w:r>
      <w:r w:rsidR="00EA0985" w:rsidRPr="009B76D1">
        <w:t>i</w:t>
      </w:r>
      <w:r w:rsidR="00EA0985">
        <w:t> </w:t>
      </w:r>
      <w:r w:rsidR="0038218B" w:rsidRPr="009B76D1">
        <w:t xml:space="preserve">sygnałowej, a która znajduje się w wykazie w Tabeli VIII tabel wymiarów nabojów </w:t>
      </w:r>
      <w:r w:rsidR="00EA0985" w:rsidRPr="009B76D1">
        <w:t>i</w:t>
      </w:r>
      <w:r w:rsidR="00EA0985">
        <w:t> </w:t>
      </w:r>
      <w:r w:rsidR="0038218B" w:rsidRPr="009B76D1">
        <w:t>komór TDCC ustanowionych przez CIP. Tabela ta jest na bieżąco aktualizowana.</w:t>
      </w:r>
    </w:p>
    <w:p w14:paraId="31F413D8" w14:textId="4DD32B3A" w:rsidR="006A4E2E" w:rsidRPr="009B76D1" w:rsidRDefault="0038218B" w:rsidP="009B76D1">
      <w:pPr>
        <w:spacing w:before="120" w:line="360" w:lineRule="auto"/>
        <w:jc w:val="both"/>
      </w:pPr>
      <w:r w:rsidRPr="009B76D1">
        <w:t xml:space="preserve">W </w:t>
      </w:r>
      <w:r w:rsidRPr="009B76D1">
        <w:rPr>
          <w:b/>
        </w:rPr>
        <w:t>art. 63 ust. 2 pkt 5 lit. b</w:t>
      </w:r>
      <w:r w:rsidRPr="009B76D1">
        <w:t xml:space="preserve"> proponuje się wykreślenie tiret piątego z uwagi na fakt, że broń palna inna niż strzelecka broń palna nie jest klasyfikowana według kategorii </w:t>
      </w:r>
      <w:r w:rsidR="00EA0985" w:rsidRPr="009B76D1">
        <w:t>i</w:t>
      </w:r>
      <w:r w:rsidR="00EA0985">
        <w:t> </w:t>
      </w:r>
      <w:r w:rsidRPr="009B76D1">
        <w:t>podkategorii.</w:t>
      </w:r>
    </w:p>
    <w:p w14:paraId="7BAA1DE1" w14:textId="358872EA" w:rsidR="00280474" w:rsidRPr="009B76D1" w:rsidRDefault="00D43A2C" w:rsidP="009B76D1">
      <w:pPr>
        <w:spacing w:before="120" w:line="360" w:lineRule="auto"/>
        <w:jc w:val="both"/>
      </w:pPr>
      <w:r w:rsidRPr="009B76D1">
        <w:t xml:space="preserve">Zmiana w </w:t>
      </w:r>
      <w:r w:rsidRPr="009B76D1">
        <w:rPr>
          <w:b/>
        </w:rPr>
        <w:t xml:space="preserve">art. </w:t>
      </w:r>
      <w:r w:rsidR="0069489B" w:rsidRPr="009B76D1">
        <w:rPr>
          <w:b/>
        </w:rPr>
        <w:t>94</w:t>
      </w:r>
      <w:r w:rsidR="0069489B" w:rsidRPr="009B76D1">
        <w:t xml:space="preserve"> – dodanie nowego </w:t>
      </w:r>
      <w:r w:rsidR="0069489B" w:rsidRPr="009B76D1">
        <w:rPr>
          <w:b/>
        </w:rPr>
        <w:t>ust. 4</w:t>
      </w:r>
      <w:r w:rsidR="00CC4B23" w:rsidRPr="009B76D1">
        <w:rPr>
          <w:b/>
        </w:rPr>
        <w:t xml:space="preserve"> –</w:t>
      </w:r>
      <w:r w:rsidR="0069489B" w:rsidRPr="009B76D1">
        <w:t xml:space="preserve"> </w:t>
      </w:r>
      <w:r w:rsidRPr="009B76D1">
        <w:t xml:space="preserve">wynika z konieczności jednoznacznego </w:t>
      </w:r>
      <w:r w:rsidR="00EA0985" w:rsidRPr="009B76D1">
        <w:t>i</w:t>
      </w:r>
      <w:r w:rsidR="00EA0985">
        <w:t> </w:t>
      </w:r>
      <w:r w:rsidR="00E25785" w:rsidRPr="009B76D1">
        <w:t>nie</w:t>
      </w:r>
      <w:r w:rsidRPr="009B76D1">
        <w:t xml:space="preserve">budzącego wątpliwości powiązania postępowania w sprawach o wydanie </w:t>
      </w:r>
      <w:r w:rsidRPr="009B76D1">
        <w:lastRenderedPageBreak/>
        <w:t xml:space="preserve">certyfikatu importowego lub poświadczenia oświadczenia końcowego użytkownika </w:t>
      </w:r>
      <w:r w:rsidR="006C467C" w:rsidRPr="009B76D1">
        <w:t>z</w:t>
      </w:r>
      <w:r w:rsidR="006C467C">
        <w:t> </w:t>
      </w:r>
      <w:r w:rsidRPr="009B76D1">
        <w:t xml:space="preserve">przepisami </w:t>
      </w:r>
      <w:r w:rsidR="00E25785" w:rsidRPr="009B76D1">
        <w:t>K</w:t>
      </w:r>
      <w:r w:rsidRPr="009B76D1">
        <w:t>odeksu postępowania administracyjnego, co jest korzystne dla wnioskodawców z uwagi na możliwość, w przypadku decyzji negatywnej, występowania z wnioskiem o ponowne rozpatrzenie sprawy lub ze skarg</w:t>
      </w:r>
      <w:r w:rsidR="00F766DF" w:rsidRPr="009B76D1">
        <w:t>ą</w:t>
      </w:r>
      <w:r w:rsidRPr="009B76D1">
        <w:t xml:space="preserve"> do sądów administracyjnych.</w:t>
      </w:r>
    </w:p>
    <w:p w14:paraId="48494DD4" w14:textId="1BA5BCBC" w:rsidR="00280474" w:rsidRPr="009B76D1" w:rsidRDefault="00D43A2C" w:rsidP="009B76D1">
      <w:pPr>
        <w:spacing w:before="120" w:line="360" w:lineRule="auto"/>
        <w:jc w:val="both"/>
      </w:pPr>
      <w:r w:rsidRPr="009B76D1">
        <w:t xml:space="preserve">Wykreślany </w:t>
      </w:r>
      <w:r w:rsidRPr="009B76D1">
        <w:rPr>
          <w:b/>
        </w:rPr>
        <w:t>ust. 3</w:t>
      </w:r>
      <w:r w:rsidRPr="009B76D1">
        <w:t xml:space="preserve"> w </w:t>
      </w:r>
      <w:r w:rsidRPr="009B76D1">
        <w:rPr>
          <w:b/>
        </w:rPr>
        <w:t>art. 107</w:t>
      </w:r>
      <w:r w:rsidRPr="009B76D1">
        <w:t xml:space="preserve"> jest przenoszony do art.</w:t>
      </w:r>
      <w:r w:rsidR="005202C4" w:rsidRPr="009B76D1">
        <w:t xml:space="preserve"> 7 jako nowy ust. 4</w:t>
      </w:r>
      <w:r w:rsidR="0069489B" w:rsidRPr="009B76D1">
        <w:t xml:space="preserve">, z uwagi na fakt, że załącznik do ustawy określający kategorie i podkategorie </w:t>
      </w:r>
      <w:r w:rsidR="006627E6" w:rsidRPr="009B76D1">
        <w:t xml:space="preserve">strzeleckiej </w:t>
      </w:r>
      <w:r w:rsidR="0069489B" w:rsidRPr="009B76D1">
        <w:t>broni</w:t>
      </w:r>
      <w:r w:rsidR="006627E6" w:rsidRPr="009B76D1">
        <w:t xml:space="preserve"> palnej </w:t>
      </w:r>
      <w:r w:rsidR="0069489B" w:rsidRPr="009B76D1">
        <w:t xml:space="preserve">ma zastosowanie do przepisów ustawy odnoszących się do </w:t>
      </w:r>
      <w:r w:rsidR="006627E6" w:rsidRPr="009B76D1">
        <w:t>tej broni</w:t>
      </w:r>
      <w:r w:rsidR="0069489B" w:rsidRPr="009B76D1">
        <w:t>, które nie mają bezpośredniego związku z Systemem Rejestracji Broni (SRB).</w:t>
      </w:r>
    </w:p>
    <w:p w14:paraId="3F3B990E" w14:textId="165337AD" w:rsidR="0069489B" w:rsidRPr="009B76D1" w:rsidRDefault="00D43A2C" w:rsidP="009B76D1">
      <w:pPr>
        <w:spacing w:before="120" w:line="360" w:lineRule="auto"/>
        <w:jc w:val="both"/>
      </w:pPr>
      <w:r w:rsidRPr="009B76D1">
        <w:t xml:space="preserve">Dodanie nowego przepisu karnego w projektowanym </w:t>
      </w:r>
      <w:r w:rsidR="009B3B65" w:rsidRPr="009B76D1">
        <w:rPr>
          <w:b/>
        </w:rPr>
        <w:t>art. 136</w:t>
      </w:r>
      <w:r w:rsidRPr="009B76D1">
        <w:rPr>
          <w:b/>
        </w:rPr>
        <w:t>a</w:t>
      </w:r>
      <w:r w:rsidRPr="009B76D1">
        <w:t xml:space="preserve"> ma na celu penalizowanie przypadków sprzedaży broni alarmowej i sygnałowej bez dołączenia </w:t>
      </w:r>
      <w:r w:rsidR="00F148AB" w:rsidRPr="009B76D1">
        <w:t xml:space="preserve">kopii </w:t>
      </w:r>
      <w:r w:rsidRPr="009B76D1">
        <w:t xml:space="preserve">świadectwa </w:t>
      </w:r>
      <w:r w:rsidR="00EA0985" w:rsidRPr="009B76D1">
        <w:t>o</w:t>
      </w:r>
      <w:r w:rsidR="00EA0985">
        <w:t> </w:t>
      </w:r>
      <w:r w:rsidRPr="009B76D1">
        <w:t>nieuznaniu jej za broń palną.</w:t>
      </w:r>
      <w:r w:rsidR="008C1E1D" w:rsidRPr="009B76D1">
        <w:t xml:space="preserve"> B</w:t>
      </w:r>
      <w:r w:rsidR="00E25785" w:rsidRPr="009B76D1">
        <w:t>rak takiego świadectwa powoduje</w:t>
      </w:r>
      <w:r w:rsidR="008C1E1D" w:rsidRPr="009B76D1">
        <w:t>, że broń taka jest uznawana za strzelecką broń palną w rozumieniu ustawy, zaś obrót strzelecką bronią palną bez wymaganej koncesji lub jej sprzedaż osobom, które nie posiadają pozwolenia na broń są zagrożone sankcj</w:t>
      </w:r>
      <w:r w:rsidR="00E25785" w:rsidRPr="009B76D1">
        <w:t>ą</w:t>
      </w:r>
      <w:r w:rsidR="008C1E1D" w:rsidRPr="009B76D1">
        <w:t xml:space="preserve"> karną.</w:t>
      </w:r>
    </w:p>
    <w:p w14:paraId="6C6B7C29" w14:textId="205D0BED" w:rsidR="008C1E1D" w:rsidRPr="009B76D1" w:rsidRDefault="008C1E1D" w:rsidP="009B76D1">
      <w:pPr>
        <w:spacing w:before="120" w:line="360" w:lineRule="auto"/>
        <w:jc w:val="both"/>
      </w:pPr>
      <w:r w:rsidRPr="009B76D1">
        <w:t xml:space="preserve">Zmiany </w:t>
      </w:r>
      <w:r w:rsidRPr="009B76D1">
        <w:rPr>
          <w:b/>
        </w:rPr>
        <w:t xml:space="preserve">w </w:t>
      </w:r>
      <w:r w:rsidR="00A90767" w:rsidRPr="009B76D1">
        <w:rPr>
          <w:b/>
        </w:rPr>
        <w:t>z</w:t>
      </w:r>
      <w:r w:rsidRPr="009B76D1">
        <w:rPr>
          <w:b/>
        </w:rPr>
        <w:t>ałączniku</w:t>
      </w:r>
      <w:r w:rsidRPr="009B76D1">
        <w:t xml:space="preserve"> do ustawy określającym kategorie i podkategorie strzeleckiej broni palnej polegają na wprowadzeniu do tekstu załącznika nowego brzmienia określonych </w:t>
      </w:r>
      <w:r w:rsidR="00EA0985" w:rsidRPr="009B76D1">
        <w:t>w</w:t>
      </w:r>
      <w:r w:rsidR="00EA0985">
        <w:t> </w:t>
      </w:r>
      <w:r w:rsidRPr="009B76D1">
        <w:t xml:space="preserve">projekcie definicji oraz kategorii z uwagi na </w:t>
      </w:r>
      <w:r w:rsidR="0069489B" w:rsidRPr="009B76D1">
        <w:t xml:space="preserve">zakończenie prac nad </w:t>
      </w:r>
      <w:r w:rsidRPr="009B76D1">
        <w:t>sprostowani</w:t>
      </w:r>
      <w:r w:rsidR="0069489B" w:rsidRPr="009B76D1">
        <w:t xml:space="preserve">em dla wersji polskiej </w:t>
      </w:r>
      <w:r w:rsidRPr="009B76D1">
        <w:t xml:space="preserve">do </w:t>
      </w:r>
      <w:r w:rsidR="00A90767" w:rsidRPr="009B76D1">
        <w:t>z</w:t>
      </w:r>
      <w:r w:rsidRPr="009B76D1">
        <w:t xml:space="preserve">ałącznika </w:t>
      </w:r>
      <w:r w:rsidR="00A676FF" w:rsidRPr="009B76D1">
        <w:t>I do dyrektywy 91/477.</w:t>
      </w:r>
    </w:p>
    <w:p w14:paraId="72871512" w14:textId="2CB22669" w:rsidR="0077279C" w:rsidRPr="009B76D1" w:rsidRDefault="0077279C" w:rsidP="009B76D1">
      <w:pPr>
        <w:spacing w:before="120" w:line="360" w:lineRule="auto"/>
        <w:jc w:val="both"/>
      </w:pPr>
      <w:r w:rsidRPr="009B76D1">
        <w:t>W załączniku do ustawy wprowadzono zmiany wynikające wyłącznie ze Sprostowania do dyrektywy Rady 91/477/EWG z dnia 18 czerwca 1991 r. w sprawie kontroli nabywania i posiadania broni (Dz. Urz. UE L 274 z 28.10.2019, s. 19</w:t>
      </w:r>
      <w:r w:rsidR="00EC0E4F" w:rsidRPr="0074723F">
        <w:t>–</w:t>
      </w:r>
      <w:r w:rsidRPr="009B76D1">
        <w:t xml:space="preserve">20). Terminy (definicje) zawarte w załączniku do ustawy są dedykowane „do celów niniejszego załącznika”. Polscy przedsiębiorcy działający w obszarze obrotu specjalnego nie ograniczają swej działalności do terytorium Rzeczypospolitej Polskiej, przeprowadzają również transakcje z kontrahentami zagranicznymi. Z uwagi na to, iż w zakresie słownictwa specjalistycznego zdarzają się problemy z tłumaczeniem na inny język, </w:t>
      </w:r>
      <w:r w:rsidR="00EA0985" w:rsidRPr="009B76D1">
        <w:t>w</w:t>
      </w:r>
      <w:r w:rsidR="00EA0985">
        <w:t> </w:t>
      </w:r>
      <w:r w:rsidRPr="009B76D1">
        <w:t>niektórych sytuacjach wskazane jest podanie odpowiedniego określenia w języku angielskim, co dopełni prawidłowość interpretacji tekstu. Taki zabieg został kilkukrotnie zastosowany w sprostowaniu do polskiej wersji językowej dyrektywy 91/477/EWG.</w:t>
      </w:r>
    </w:p>
    <w:p w14:paraId="43404E32" w14:textId="2C39DD38" w:rsidR="0077279C" w:rsidRPr="009B76D1" w:rsidRDefault="00323B50" w:rsidP="009B76D1">
      <w:pPr>
        <w:spacing w:before="120" w:line="360" w:lineRule="auto"/>
        <w:jc w:val="both"/>
      </w:pPr>
      <w:r w:rsidRPr="009B76D1">
        <w:rPr>
          <w:b/>
        </w:rPr>
        <w:lastRenderedPageBreak/>
        <w:t>Art. 2</w:t>
      </w:r>
      <w:r w:rsidRPr="009B76D1">
        <w:t xml:space="preserve"> ustawy zawiera regulacje przejściowe. Ze względu na to, że projektowana zmiana art. 24 ust. 1 pkt 4 ustawy zmienianej wpływa na dotychczasową sytuację przedsiębiorcy, gdyż skraca termin spełnienia przez niego warunków określonych w art. 10 ust. 1 pkt 2 ustawy zmienianej z 6 do 3</w:t>
      </w:r>
      <w:r w:rsidR="001C4613" w:rsidRPr="009B76D1">
        <w:t xml:space="preserve"> miesięcy</w:t>
      </w:r>
      <w:r w:rsidRPr="009B76D1">
        <w:t>, wprowadzony przepis stanowi, że w przypadku wezwania do spełnienia warunków dokonanego przed wejściem w życie ustawy projektowanej, stosuje się przepisy dotychczasowe.</w:t>
      </w:r>
    </w:p>
    <w:p w14:paraId="565DD389" w14:textId="05901D16" w:rsidR="003D75DE" w:rsidRPr="009B76D1" w:rsidRDefault="00862215" w:rsidP="009B76D1">
      <w:pPr>
        <w:spacing w:before="120" w:line="360" w:lineRule="auto"/>
        <w:jc w:val="both"/>
      </w:pPr>
      <w:r w:rsidRPr="009B76D1">
        <w:t>Analiza aktów wykonawczych wskazuje, że akty wykonawcze do ustawy z</w:t>
      </w:r>
      <w:r w:rsidR="00EC0E4F" w:rsidRPr="0074723F">
        <w:t xml:space="preserve"> </w:t>
      </w:r>
      <w:r w:rsidRPr="009B76D1">
        <w:t>dnia 13</w:t>
      </w:r>
      <w:r w:rsidR="00EC0E4F" w:rsidRPr="0074723F">
        <w:t xml:space="preserve"> </w:t>
      </w:r>
      <w:r w:rsidRPr="009B76D1">
        <w:t>czerwca 2019</w:t>
      </w:r>
      <w:r w:rsidR="00EC0E4F" w:rsidRPr="0074723F">
        <w:t xml:space="preserve"> </w:t>
      </w:r>
      <w:r w:rsidRPr="009B76D1">
        <w:t>r. o</w:t>
      </w:r>
      <w:r w:rsidR="00EC0E4F" w:rsidRPr="0074723F">
        <w:t xml:space="preserve"> </w:t>
      </w:r>
      <w:r w:rsidRPr="009B76D1">
        <w:t>wykonywaniu działalności gospodarczej w</w:t>
      </w:r>
      <w:r w:rsidR="00EC0E4F" w:rsidRPr="0074723F">
        <w:t xml:space="preserve"> </w:t>
      </w:r>
      <w:r w:rsidRPr="009B76D1">
        <w:t xml:space="preserve">zakresie wytwarzania </w:t>
      </w:r>
      <w:r w:rsidR="00EA0985" w:rsidRPr="009B76D1">
        <w:t>i</w:t>
      </w:r>
      <w:r w:rsidR="00EA0985">
        <w:t> </w:t>
      </w:r>
      <w:r w:rsidRPr="009B76D1">
        <w:t>obrotu materiałami wybuchowymi, bronią, amunicją oraz wyrobami i</w:t>
      </w:r>
      <w:r w:rsidR="00EC0E4F" w:rsidRPr="0074723F">
        <w:t xml:space="preserve"> </w:t>
      </w:r>
      <w:r w:rsidRPr="009B76D1">
        <w:t xml:space="preserve">technologią </w:t>
      </w:r>
      <w:r w:rsidR="00EA0985" w:rsidRPr="009B76D1">
        <w:t>o</w:t>
      </w:r>
      <w:r w:rsidR="00EA0985">
        <w:t> </w:t>
      </w:r>
      <w:r w:rsidRPr="009B76D1">
        <w:t>przeznaczeniu wojskowym lub policyjnym co do zasady nie utracą mocy na skutek pośredniego uchylenia w związku ze zmianą przepisów ustawy. W przypadku poniższych aktów wykonawczych nie jest konieczne zamieszczanie w</w:t>
      </w:r>
      <w:r w:rsidR="00EC0E4F" w:rsidRPr="0074723F">
        <w:t xml:space="preserve"> </w:t>
      </w:r>
      <w:r w:rsidRPr="009B76D1">
        <w:t xml:space="preserve">ustawie przepisów </w:t>
      </w:r>
      <w:r w:rsidR="00EA0985" w:rsidRPr="009B76D1">
        <w:t>o</w:t>
      </w:r>
      <w:r w:rsidR="00EA0985">
        <w:t> </w:t>
      </w:r>
      <w:r w:rsidRPr="009B76D1">
        <w:t>utrzymaniu w mocy aktów</w:t>
      </w:r>
      <w:r w:rsidR="003D75DE" w:rsidRPr="009B76D1">
        <w:t xml:space="preserve"> wykonawczych, ani też ponowne ich wydawanie</w:t>
      </w:r>
      <w:r w:rsidRPr="009B76D1">
        <w:t xml:space="preserve">. </w:t>
      </w:r>
    </w:p>
    <w:p w14:paraId="32BEAD3D" w14:textId="68890935" w:rsidR="00862215" w:rsidRPr="009B76D1" w:rsidRDefault="00862215" w:rsidP="009B76D1">
      <w:pPr>
        <w:spacing w:before="120" w:line="360" w:lineRule="auto"/>
        <w:jc w:val="both"/>
      </w:pPr>
      <w:r w:rsidRPr="009B76D1">
        <w:t>W szczególności należy wskazać, że:</w:t>
      </w:r>
    </w:p>
    <w:p w14:paraId="5808CED5" w14:textId="63149E9D" w:rsidR="00862215" w:rsidRPr="009B76D1" w:rsidRDefault="00862215" w:rsidP="009B76D1">
      <w:pPr>
        <w:numPr>
          <w:ilvl w:val="0"/>
          <w:numId w:val="11"/>
        </w:numPr>
        <w:spacing w:before="120" w:line="360" w:lineRule="auto"/>
        <w:ind w:left="426" w:hanging="426"/>
        <w:jc w:val="both"/>
      </w:pPr>
      <w:r w:rsidRPr="009B76D1">
        <w:t xml:space="preserve">rozporządzenie Rady Ministrów z dnia 17 września 2019 r. w sprawie klasyfikacji rodzajów materiałów wybuchowych, broni, amunicji oraz wyrobów i technologii </w:t>
      </w:r>
      <w:r w:rsidR="00EA0985" w:rsidRPr="009B76D1">
        <w:t>o</w:t>
      </w:r>
      <w:r w:rsidR="00EA0985">
        <w:t> </w:t>
      </w:r>
      <w:r w:rsidRPr="009B76D1">
        <w:t>przeznaczeniu wojskowym lub policyjnym, na których wytwarzanie lub obrót jest wymagane uzyskanie koncesji (Dz. U. poz. 1888), wydawane na podstawie art. 7 ust. 3 ustawy, zachowuje moc obowiązującą. Zmiany ustawowe polegają jedynie na korekcie tłumaczenia nazw niektórych rodzajów towarów koncesjonowanych, jednakże bez merytorycznej zmiany zakresu koncesjonowania. Korekta wprowadzona sprostowaniem do dyrektywy Rady 91/477/EWG z dnia 18 czerwca 1991 r. w sprawie kontroli nabywania i</w:t>
      </w:r>
      <w:r w:rsidR="00EC0E4F" w:rsidRPr="0074723F">
        <w:t xml:space="preserve"> </w:t>
      </w:r>
      <w:r w:rsidRPr="009B76D1">
        <w:t>posiadania broni ma charakter wyłącznie językowy. Wprowadzenie w załączniku do ustawy prawidłowego nazewnictwa nie wpływa na zakres koncesjonowania wskazanych tam towarów.</w:t>
      </w:r>
    </w:p>
    <w:p w14:paraId="64F39AC4" w14:textId="2939D497" w:rsidR="00862215" w:rsidRPr="009B76D1" w:rsidRDefault="003D75DE" w:rsidP="009B76D1">
      <w:pPr>
        <w:numPr>
          <w:ilvl w:val="0"/>
          <w:numId w:val="11"/>
        </w:numPr>
        <w:spacing w:before="120" w:line="360" w:lineRule="auto"/>
        <w:ind w:left="426" w:hanging="426"/>
        <w:jc w:val="both"/>
      </w:pPr>
      <w:r w:rsidRPr="009B76D1">
        <w:t>r</w:t>
      </w:r>
      <w:r w:rsidR="00862215" w:rsidRPr="009B76D1">
        <w:t>ozporządzenie Rady Ministrów z dnia 28 grudnia 2020 r. w sprawie wymagań, jakim powinien odpowiadać plan postępowania na wypadek zagrożenia życia lub zdrowia ludzi, mienia oraz środowiska (Dz. U. z 2021 r. poz. 70), wydawane na podstawie art. 42 ust. 8, zachowuje moc obowiązującą. Należy wskazać, że przedmiotowe rozporządzenie zawiera jedynie odesłanie dynamiczne do art. 42 ust. 3</w:t>
      </w:r>
      <w:r w:rsidR="00EC0E4F" w:rsidRPr="0074723F">
        <w:t>–</w:t>
      </w:r>
      <w:r w:rsidR="00862215" w:rsidRPr="009B76D1">
        <w:t xml:space="preserve">5 do ustawy, wskazując w § 3 ust. 1, że „środki komunikacji elektronicznej mogą </w:t>
      </w:r>
      <w:r w:rsidR="00862215" w:rsidRPr="009B76D1">
        <w:lastRenderedPageBreak/>
        <w:t>być wykorzystane przy uzgadnianiu planu postępowania z organami, o</w:t>
      </w:r>
      <w:r w:rsidR="00EC0E4F" w:rsidRPr="0074723F">
        <w:t xml:space="preserve"> </w:t>
      </w:r>
      <w:r w:rsidR="00862215" w:rsidRPr="009B76D1">
        <w:t>których mowa w art. 42 ust. 3</w:t>
      </w:r>
      <w:r w:rsidR="00EC0E4F" w:rsidRPr="0074723F">
        <w:t>–</w:t>
      </w:r>
      <w:r w:rsidR="00862215" w:rsidRPr="009B76D1">
        <w:t>5 ustawy z dnia 13 czerwca 2019 r. o wykonywaniu działalności gospodarczej w zakresie wytwarzania i obrotu materiałami wybuchowymi, bronią, amunicją oraz wyrobami i technologią o przeznaczeniu wojskowym lub policyjnym”. Dokonana w</w:t>
      </w:r>
      <w:r w:rsidR="00EC0E4F" w:rsidRPr="0074723F">
        <w:t xml:space="preserve"> </w:t>
      </w:r>
      <w:r w:rsidR="00862215" w:rsidRPr="009B76D1">
        <w:t>ustawie zmiana zakresu podmiotowego ww. organów nie wpły</w:t>
      </w:r>
      <w:r w:rsidRPr="009B76D1">
        <w:t xml:space="preserve">wa na ważność rozporządzenia, </w:t>
      </w:r>
      <w:r w:rsidR="00862215" w:rsidRPr="009B76D1">
        <w:t>gdyż brzmienie odesł</w:t>
      </w:r>
      <w:r w:rsidRPr="009B76D1">
        <w:t>ania pozostanie aktualne, a będzie</w:t>
      </w:r>
      <w:r w:rsidR="00862215" w:rsidRPr="009B76D1">
        <w:t xml:space="preserve"> odnosić się do częściowo innych organów. </w:t>
      </w:r>
      <w:r w:rsidR="00EA0985" w:rsidRPr="009B76D1">
        <w:t>W</w:t>
      </w:r>
      <w:r w:rsidR="00EA0985">
        <w:t> </w:t>
      </w:r>
      <w:r w:rsidR="00862215" w:rsidRPr="009B76D1">
        <w:t>pozostałym zakresie zmiana w art. 42 ustawy nie wpływa na treść rozporządzenia.</w:t>
      </w:r>
    </w:p>
    <w:p w14:paraId="4E905452" w14:textId="683BA9C9" w:rsidR="00862215" w:rsidRPr="009B76D1" w:rsidRDefault="003D75DE" w:rsidP="009B76D1">
      <w:pPr>
        <w:numPr>
          <w:ilvl w:val="0"/>
          <w:numId w:val="11"/>
        </w:numPr>
        <w:spacing w:before="120" w:line="360" w:lineRule="auto"/>
        <w:ind w:left="426" w:hanging="426"/>
        <w:jc w:val="both"/>
      </w:pPr>
      <w:r w:rsidRPr="009B76D1">
        <w:t>r</w:t>
      </w:r>
      <w:r w:rsidR="00862215" w:rsidRPr="009B76D1">
        <w:t xml:space="preserve">ozporządzenie Ministra Przedsiębiorczości i Technologii z dnia 16 lipca 2019 r. </w:t>
      </w:r>
      <w:r w:rsidR="000E4B95" w:rsidRPr="009B76D1">
        <w:t>w</w:t>
      </w:r>
      <w:r w:rsidR="000E4B95">
        <w:t> </w:t>
      </w:r>
      <w:r w:rsidR="00862215" w:rsidRPr="009B76D1">
        <w:t>sprawie wzoru wniosku o wydanie certyfikatu importowego lub poświadczenie oświadczenia końcowego użytkownika (Dz. U. poz. 1386), wydawane na podstawie art. 95 ust. 9 us</w:t>
      </w:r>
      <w:r w:rsidRPr="009B76D1">
        <w:t>tawy, jak również rozporządzenie</w:t>
      </w:r>
      <w:r w:rsidR="00862215" w:rsidRPr="009B76D1">
        <w:t xml:space="preserve"> Ministra Przedsiębiorczości </w:t>
      </w:r>
      <w:r w:rsidR="000E4B95" w:rsidRPr="009B76D1">
        <w:t>i</w:t>
      </w:r>
      <w:r w:rsidR="000E4B95">
        <w:t> </w:t>
      </w:r>
      <w:r w:rsidR="00862215" w:rsidRPr="009B76D1">
        <w:t>Technologii z dnia 1</w:t>
      </w:r>
      <w:r w:rsidR="00BA1F1D">
        <w:t>6</w:t>
      </w:r>
      <w:r w:rsidR="00862215" w:rsidRPr="009B76D1">
        <w:t xml:space="preserve"> </w:t>
      </w:r>
      <w:r w:rsidR="00BA1F1D">
        <w:t>lipca</w:t>
      </w:r>
      <w:r w:rsidR="00862215" w:rsidRPr="009B76D1">
        <w:t xml:space="preserve"> 2019 r. w</w:t>
      </w:r>
      <w:r w:rsidR="00EC0E4F" w:rsidRPr="0074723F">
        <w:t xml:space="preserve"> </w:t>
      </w:r>
      <w:r w:rsidR="00862215" w:rsidRPr="009B76D1">
        <w:t>sprawie wzoru certyfikatu importowego (Dz. U. poz. 1404) zachowują moc obowiązującą. Ustawa wprowadza zmianę jedynie w zasadach wydawania certyfikatu importowego lub poświadczenia oświadczenia końcowego użytkownika, wskazując</w:t>
      </w:r>
      <w:r w:rsidR="00BA1F1D">
        <w:t>,</w:t>
      </w:r>
      <w:r w:rsidR="00862215" w:rsidRPr="009B76D1">
        <w:t xml:space="preserve"> że stosuje do nich odpowiednio przepisy dotyczące decyzji administracyj</w:t>
      </w:r>
      <w:r w:rsidRPr="009B76D1">
        <w:t>nej. Powyższe nie wpływa na ww. wzory</w:t>
      </w:r>
      <w:r w:rsidR="00862215" w:rsidRPr="009B76D1">
        <w:t xml:space="preserve">, m.in. nie ulega zmianie zakres danych zamieszczanych we wniosku, ani </w:t>
      </w:r>
      <w:r w:rsidR="000E4B95" w:rsidRPr="009B76D1">
        <w:t>w</w:t>
      </w:r>
      <w:r w:rsidR="000E4B95">
        <w:t> </w:t>
      </w:r>
      <w:r w:rsidR="00862215" w:rsidRPr="009B76D1">
        <w:t>certyfikacie lub poświadczeniu. Tym samym nie zachodzi konieczność nowelizacji ww. rozporządzeń.</w:t>
      </w:r>
    </w:p>
    <w:p w14:paraId="1504BB58" w14:textId="78ECBFD8" w:rsidR="00DB2CBA" w:rsidRPr="009B76D1" w:rsidRDefault="00862215" w:rsidP="009B76D1">
      <w:pPr>
        <w:spacing w:before="120" w:line="360" w:lineRule="auto"/>
        <w:jc w:val="both"/>
      </w:pPr>
      <w:r w:rsidRPr="009B76D1">
        <w:t>W przypadku jednego z aktów wykonawczych, tj. rozporządzenia Ministra Spraw Wewnętrznych i</w:t>
      </w:r>
      <w:r w:rsidR="00EC0E4F" w:rsidRPr="0074723F">
        <w:t xml:space="preserve"> </w:t>
      </w:r>
      <w:r w:rsidRPr="009B76D1">
        <w:t>Administracji z dnia 14 sierpnia 2019 r.</w:t>
      </w:r>
      <w:r w:rsidR="000373DC" w:rsidRPr="009B76D1">
        <w:t xml:space="preserve"> w</w:t>
      </w:r>
      <w:r w:rsidRPr="009B76D1">
        <w:t xml:space="preserve"> sprawie wzoru informacji </w:t>
      </w:r>
      <w:r w:rsidR="000E4B95" w:rsidRPr="009B76D1">
        <w:t>o</w:t>
      </w:r>
      <w:r w:rsidR="000E4B95">
        <w:t> </w:t>
      </w:r>
      <w:r w:rsidRPr="009B76D1">
        <w:t>sprzedaży materiałów wybuchowych, broni palnej innej niż strzelecka broń palna, na posiadanie której jest wymagane pozwolenie oraz strzeleckiej broni palnej i istotnych części (Dz. U. poz. 1577), wydawanego na podstawie art. 64 ustawy zmienianej, zasadne jest znowelizowanie bądź ponowne wydanie rozporządzenia, z uwagi na zmianę w art. 63 ust. 2 pkt 5 lit. b tiret piąte ustawy, polegającą na wykreśleniu z wzoru informacji miejsca na wskazanie kategorii lub podkategorii broni innej niż strzelecka broń palna. Już w obecnym stanie prawnym w ustawie zmienianej broń taka nie ma przypisanych kategorii. Zmiana ustawy ma charakter porządkujący i</w:t>
      </w:r>
      <w:r w:rsidR="00EC0E4F" w:rsidRPr="0074723F">
        <w:t xml:space="preserve"> </w:t>
      </w:r>
      <w:r w:rsidRPr="009B76D1">
        <w:t xml:space="preserve">konieczne jest dostosowanie aktu wykonawczego do poprawionego brzmienia art. 63 ust. 2 pkt 5 lit. b tiret piąte ustawy. Stosowny przepis przejściowy zawarto w </w:t>
      </w:r>
      <w:r w:rsidRPr="009B76D1">
        <w:rPr>
          <w:b/>
        </w:rPr>
        <w:t>art. 3</w:t>
      </w:r>
      <w:r w:rsidRPr="009B76D1">
        <w:t xml:space="preserve"> projektu.</w:t>
      </w:r>
    </w:p>
    <w:p w14:paraId="7193D703" w14:textId="27772DE0" w:rsidR="009B3B65" w:rsidRPr="009B76D1" w:rsidRDefault="009B3B65" w:rsidP="009B76D1">
      <w:pPr>
        <w:spacing w:before="120" w:line="360" w:lineRule="auto"/>
        <w:jc w:val="both"/>
      </w:pPr>
      <w:r w:rsidRPr="009B76D1">
        <w:lastRenderedPageBreak/>
        <w:t xml:space="preserve">Projekt </w:t>
      </w:r>
      <w:r w:rsidR="00E25785" w:rsidRPr="009B76D1">
        <w:t>ustawy</w:t>
      </w:r>
      <w:r w:rsidR="00C553A1" w:rsidRPr="009B76D1">
        <w:t xml:space="preserve"> został</w:t>
      </w:r>
      <w:r w:rsidRPr="009B76D1">
        <w:t xml:space="preserve"> zamieszczony, stosownie do wymogów art. 5 ustawy z dnia 7</w:t>
      </w:r>
      <w:r w:rsidR="00EC0E4F" w:rsidRPr="0074723F">
        <w:t xml:space="preserve"> </w:t>
      </w:r>
      <w:r w:rsidRPr="009B76D1">
        <w:t xml:space="preserve">lipca 2005 r. o działalności lobbingowej w procesie stanowienia prawa (Dz. U. z 2017 r. poz. 248) oraz zgodnie z § 52 ust. 1 uchwały Rady Ministrów z dnia 29 października 2013 r. – Regulamin pracy Rady Ministrów (M.P. z 2016 r. poz. 1006, z późn. zm.) </w:t>
      </w:r>
      <w:bookmarkStart w:id="0" w:name="_GoBack"/>
      <w:bookmarkEnd w:id="0"/>
      <w:r w:rsidR="006C467C" w:rsidRPr="009B76D1">
        <w:t>w</w:t>
      </w:r>
      <w:r w:rsidR="006C467C">
        <w:t> </w:t>
      </w:r>
      <w:r w:rsidRPr="009B76D1">
        <w:t>Biuletynie Informacji Publicznej Rządowego Centrum Legislacji.</w:t>
      </w:r>
      <w:r w:rsidR="00444F48" w:rsidRPr="009B76D1">
        <w:t xml:space="preserve"> W trybie ww. ustawy nie odnotowano zgłoszeń zainteresowanych podmiotów. </w:t>
      </w:r>
    </w:p>
    <w:p w14:paraId="4FAC8932" w14:textId="5E386925" w:rsidR="009B3B65" w:rsidRPr="009B76D1" w:rsidRDefault="009B3B65" w:rsidP="009B76D1">
      <w:pPr>
        <w:spacing w:before="120" w:line="360" w:lineRule="auto"/>
        <w:jc w:val="both"/>
      </w:pPr>
      <w:r w:rsidRPr="009B76D1">
        <w:t>Projekt nie podlegał dokonaniu oceny OSR przez koordynatora OSR w trybie § 32 uchwały nr</w:t>
      </w:r>
      <w:r w:rsidR="00EC0E4F" w:rsidRPr="0074723F">
        <w:t xml:space="preserve"> </w:t>
      </w:r>
      <w:r w:rsidRPr="009B76D1">
        <w:t>190 Rady Ministrów z dnia 29 października 2013 r. – Regulamin pracy Rady Ministrów.</w:t>
      </w:r>
    </w:p>
    <w:p w14:paraId="29182DCA" w14:textId="7AE0E775" w:rsidR="009B3B65" w:rsidRPr="009B76D1" w:rsidRDefault="009B3B65" w:rsidP="009B76D1">
      <w:pPr>
        <w:spacing w:before="120" w:line="360" w:lineRule="auto"/>
        <w:jc w:val="both"/>
      </w:pPr>
      <w:r w:rsidRPr="009B76D1">
        <w:t>Projekt nie wymaga uzyskania opinii, konsultacji albo uzgodnień z właściwymi organami i</w:t>
      </w:r>
      <w:r w:rsidR="00EC0E4F" w:rsidRPr="0074723F">
        <w:t xml:space="preserve"> </w:t>
      </w:r>
      <w:r w:rsidRPr="009B76D1">
        <w:t>instytucjami Unii Europejskiej, w tym Europejskim Bankiem Centralnym</w:t>
      </w:r>
      <w:r w:rsidR="00D43706">
        <w:t>,</w:t>
      </w:r>
      <w:r w:rsidRPr="009B76D1">
        <w:t xml:space="preserve"> oraz nie wymaga powiadamiania tych organów i instytucji. </w:t>
      </w:r>
    </w:p>
    <w:p w14:paraId="1FA16412" w14:textId="2792E448" w:rsidR="009B3B65" w:rsidRPr="009B76D1" w:rsidRDefault="009B3B65" w:rsidP="009B76D1">
      <w:pPr>
        <w:spacing w:before="120" w:line="360" w:lineRule="auto"/>
        <w:jc w:val="both"/>
      </w:pPr>
      <w:r w:rsidRPr="009B76D1">
        <w:t xml:space="preserve">Przedkładany projekt </w:t>
      </w:r>
      <w:r w:rsidR="00E25785" w:rsidRPr="009B76D1">
        <w:t>ustawy</w:t>
      </w:r>
      <w:r w:rsidRPr="009B76D1">
        <w:t xml:space="preserve"> jest zgodny z prawem Unii Europejskiej.</w:t>
      </w:r>
    </w:p>
    <w:p w14:paraId="0D88B72C" w14:textId="24A5B670" w:rsidR="009B3B65" w:rsidRPr="009B76D1" w:rsidRDefault="009B3B65" w:rsidP="009B76D1">
      <w:pPr>
        <w:spacing w:before="120" w:line="360" w:lineRule="auto"/>
        <w:jc w:val="both"/>
      </w:pPr>
      <w:r w:rsidRPr="009B76D1">
        <w:t xml:space="preserve">Projekt </w:t>
      </w:r>
      <w:r w:rsidR="00E25785" w:rsidRPr="009B76D1">
        <w:t>ustawy</w:t>
      </w:r>
      <w:r w:rsidRPr="009B76D1">
        <w:t xml:space="preserve"> nie podlega procedurze notyfikacji w rozumieniu przepisów rozporządzenia Rady Ministrów z dnia 23 grudnia 2002 r. w sprawie sposobu funkcjonowania krajowego systemu notyfikacji norm </w:t>
      </w:r>
      <w:r w:rsidR="002035D8" w:rsidRPr="009B76D1">
        <w:t xml:space="preserve">i </w:t>
      </w:r>
      <w:r w:rsidRPr="009B76D1">
        <w:t>aktów prawnych (Dz. U. poz. 2039, z późn. zm.).</w:t>
      </w:r>
    </w:p>
    <w:p w14:paraId="660BD62B" w14:textId="77777777" w:rsidR="00CF5450" w:rsidRPr="009B76D1" w:rsidRDefault="00CF5450" w:rsidP="009B76D1">
      <w:pPr>
        <w:spacing w:before="120" w:line="360" w:lineRule="auto"/>
        <w:jc w:val="both"/>
      </w:pPr>
    </w:p>
    <w:sectPr w:rsidR="00CF5450" w:rsidRPr="009B76D1" w:rsidSect="009B76D1">
      <w:headerReference w:type="default"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85630" w14:textId="77777777" w:rsidR="00182E07" w:rsidRDefault="00182E07">
      <w:r>
        <w:separator/>
      </w:r>
    </w:p>
  </w:endnote>
  <w:endnote w:type="continuationSeparator" w:id="0">
    <w:p w14:paraId="155B7CFF" w14:textId="77777777" w:rsidR="00182E07" w:rsidRDefault="0018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altName w:val="Arial"/>
    <w:panose1 w:val="00000000000000000000"/>
    <w:charset w:val="EE"/>
    <w:family w:val="swiss"/>
    <w:notTrueType/>
    <w:pitch w:val="variable"/>
    <w:sig w:usb0="00000007"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950542"/>
      <w:docPartObj>
        <w:docPartGallery w:val="Page Numbers (Bottom of Page)"/>
        <w:docPartUnique/>
      </w:docPartObj>
    </w:sdtPr>
    <w:sdtEndPr/>
    <w:sdtContent>
      <w:p w14:paraId="050D986D" w14:textId="43568466" w:rsidR="00042BE8" w:rsidRDefault="00EC0E4F" w:rsidP="009B76D1">
        <w:pPr>
          <w:pStyle w:val="Stopka"/>
          <w:jc w:val="center"/>
        </w:pPr>
        <w:r>
          <w:fldChar w:fldCharType="begin"/>
        </w:r>
        <w:r>
          <w:instrText>PAGE   \* MERGEFORMAT</w:instrText>
        </w:r>
        <w:r>
          <w:fldChar w:fldCharType="separate"/>
        </w:r>
        <w:r w:rsidR="006C467C">
          <w:rPr>
            <w:noProof/>
          </w:rPr>
          <w:t>23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173ED" w14:textId="77777777" w:rsidR="00182E07" w:rsidRDefault="00182E07">
      <w:r>
        <w:separator/>
      </w:r>
    </w:p>
  </w:footnote>
  <w:footnote w:type="continuationSeparator" w:id="0">
    <w:p w14:paraId="4AF20315" w14:textId="77777777" w:rsidR="00182E07" w:rsidRDefault="00182E07">
      <w:r>
        <w:continuationSeparator/>
      </w:r>
    </w:p>
  </w:footnote>
  <w:footnote w:id="1">
    <w:p w14:paraId="664E15B4" w14:textId="38B52E8D" w:rsidR="00042BE8" w:rsidRDefault="00042BE8" w:rsidP="0074723F">
      <w:pPr>
        <w:pStyle w:val="Tekstprzypisudolnego"/>
        <w:ind w:left="284" w:hanging="284"/>
        <w:jc w:val="both"/>
      </w:pPr>
      <w:r>
        <w:rPr>
          <w:rStyle w:val="Odwoanieprzypisudolnego"/>
        </w:rPr>
        <w:footnoteRef/>
      </w:r>
      <w:r w:rsidR="0074723F" w:rsidRPr="009B76D1">
        <w:rPr>
          <w:vertAlign w:val="superscript"/>
        </w:rPr>
        <w:t>)</w:t>
      </w:r>
      <w:r w:rsidR="0074723F">
        <w:tab/>
      </w:r>
      <w:r>
        <w:t>D</w:t>
      </w:r>
      <w:r w:rsidRPr="001F2C2B">
        <w:t>yrektywa Parlamentu Europejskiego i Rady 2008/51/WE</w:t>
      </w:r>
      <w:r w:rsidR="009044D6" w:rsidRPr="001F2C2B">
        <w:t>/</w:t>
      </w:r>
      <w:r w:rsidR="009044D6">
        <w:t xml:space="preserve"> z dnia 21 maja 2008 r.</w:t>
      </w:r>
      <w:r w:rsidRPr="001F2C2B">
        <w:t xml:space="preserve"> zmieniająca dyrektywę Rady 91/477/EWG w sprawie kontroli nabywania i posiadania broni</w:t>
      </w:r>
      <w:r w:rsidR="001E2C9E">
        <w:t xml:space="preserve"> (Dz. Urz. </w:t>
      </w:r>
      <w:r w:rsidR="00876141">
        <w:t xml:space="preserve">UE </w:t>
      </w:r>
      <w:r w:rsidR="001E2C9E">
        <w:t>L</w:t>
      </w:r>
      <w:r w:rsidR="009044D6">
        <w:t xml:space="preserve"> </w:t>
      </w:r>
      <w:r w:rsidR="001E2C9E">
        <w:t xml:space="preserve">179 </w:t>
      </w:r>
      <w:r w:rsidR="006C467C">
        <w:t>z</w:t>
      </w:r>
      <w:r w:rsidR="006C467C">
        <w:t> </w:t>
      </w:r>
      <w:r w:rsidR="001E2C9E">
        <w:t>08.07.2008, str. 5)</w:t>
      </w:r>
      <w:r>
        <w:t>.</w:t>
      </w:r>
    </w:p>
  </w:footnote>
  <w:footnote w:id="2">
    <w:p w14:paraId="5CA375A7" w14:textId="4674F4FC" w:rsidR="00042BE8" w:rsidRDefault="00042BE8" w:rsidP="009B76D1">
      <w:pPr>
        <w:pStyle w:val="Tekstprzypisudolnego"/>
        <w:ind w:left="284" w:hanging="284"/>
        <w:jc w:val="both"/>
      </w:pPr>
      <w:r>
        <w:rPr>
          <w:rStyle w:val="Odwoanieprzypisudolnego"/>
        </w:rPr>
        <w:footnoteRef/>
      </w:r>
      <w:r w:rsidR="0074723F" w:rsidRPr="009B76D1">
        <w:rPr>
          <w:vertAlign w:val="superscript"/>
        </w:rPr>
        <w:t>)</w:t>
      </w:r>
      <w:r w:rsidR="0074723F">
        <w:tab/>
      </w:r>
      <w:r>
        <w:t>D</w:t>
      </w:r>
      <w:r w:rsidRPr="001F2C2B">
        <w:t xml:space="preserve">yrektywa Parlamentu Europejskiego i Rady (UE) 2017/853 </w:t>
      </w:r>
      <w:r w:rsidR="009044D6">
        <w:t xml:space="preserve">z dnia 17 maja 2017 r. </w:t>
      </w:r>
      <w:r w:rsidRPr="001F2C2B">
        <w:t>zmieniająca dyrektywę Rady 91/477 w sprawie kontroli nabywania i posiadania broni</w:t>
      </w:r>
      <w:r w:rsidR="001E2C9E">
        <w:t xml:space="preserve"> (Dz. Urz. UE L 137 </w:t>
      </w:r>
      <w:r w:rsidR="006C467C">
        <w:t>z</w:t>
      </w:r>
      <w:r w:rsidR="006C467C">
        <w:t> </w:t>
      </w:r>
      <w:r w:rsidR="001E2C9E">
        <w:t>24.05.2017, str. 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FA5E0" w14:textId="576B0E02" w:rsidR="00042BE8" w:rsidRPr="00C05BA8" w:rsidRDefault="00042BE8" w:rsidP="00F33B3C">
    <w:pPr>
      <w:spacing w:line="360" w:lineRule="auto"/>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91E"/>
    <w:multiLevelType w:val="hybridMultilevel"/>
    <w:tmpl w:val="E52663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F96912"/>
    <w:multiLevelType w:val="hybridMultilevel"/>
    <w:tmpl w:val="5CDA70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4F0302"/>
    <w:multiLevelType w:val="hybridMultilevel"/>
    <w:tmpl w:val="0B3A0F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3A8116AB"/>
    <w:multiLevelType w:val="hybridMultilevel"/>
    <w:tmpl w:val="BF6E6E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C9609E7"/>
    <w:multiLevelType w:val="hybridMultilevel"/>
    <w:tmpl w:val="21DA2326"/>
    <w:lvl w:ilvl="0" w:tplc="04150017">
      <w:start w:val="1"/>
      <w:numFmt w:val="lowerLetter"/>
      <w:lvlText w:val="%1)"/>
      <w:lvlJc w:val="left"/>
      <w:pPr>
        <w:ind w:left="720" w:hanging="360"/>
      </w:pPr>
      <w:rPr>
        <w:rFonts w:hint="default"/>
        <w:b w:val="0"/>
        <w:color w:val="auto"/>
      </w:rPr>
    </w:lvl>
    <w:lvl w:ilvl="1" w:tplc="04150017">
      <w:start w:val="1"/>
      <w:numFmt w:val="lowerLetter"/>
      <w:lvlText w:val="%2)"/>
      <w:lvlJc w:val="left"/>
      <w:pPr>
        <w:ind w:left="1440" w:hanging="360"/>
      </w:pPr>
      <w:rPr>
        <w:rFonts w:hint="default"/>
        <w:b w:val="0"/>
        <w:color w:val="auto"/>
      </w:rPr>
    </w:lvl>
    <w:lvl w:ilvl="2" w:tplc="E3CA5B50">
      <w:start w:val="1"/>
      <w:numFmt w:val="decimal"/>
      <w:lvlText w:val="%3)"/>
      <w:lvlJc w:val="left"/>
      <w:pPr>
        <w:ind w:left="2340" w:hanging="360"/>
      </w:pPr>
      <w:rPr>
        <w:rFonts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011093"/>
    <w:multiLevelType w:val="multilevel"/>
    <w:tmpl w:val="FA205D9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46346D12"/>
    <w:multiLevelType w:val="hybridMultilevel"/>
    <w:tmpl w:val="8FC29EF0"/>
    <w:lvl w:ilvl="0" w:tplc="D578FF4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D111236"/>
    <w:multiLevelType w:val="hybridMultilevel"/>
    <w:tmpl w:val="528066F0"/>
    <w:lvl w:ilvl="0" w:tplc="8F9E3B46">
      <w:start w:val="1"/>
      <w:numFmt w:val="lowerLetter"/>
      <w:lvlText w:val="%1)"/>
      <w:lvlJc w:val="left"/>
      <w:pPr>
        <w:ind w:left="502" w:hanging="360"/>
      </w:pPr>
      <w:rPr>
        <w:rFonts w:asciiTheme="minorHAnsi" w:eastAsia="Times New Roman" w:hAnsiTheme="minorHAnsi" w:cs="Times New Roman"/>
      </w:rPr>
    </w:lvl>
    <w:lvl w:ilvl="1" w:tplc="04150003" w:tentative="1">
      <w:start w:val="1"/>
      <w:numFmt w:val="bullet"/>
      <w:lvlText w:val="o"/>
      <w:lvlJc w:val="left"/>
      <w:pPr>
        <w:ind w:left="2567" w:hanging="360"/>
      </w:pPr>
      <w:rPr>
        <w:rFonts w:ascii="Courier New" w:hAnsi="Courier New" w:cs="Courier New" w:hint="default"/>
      </w:rPr>
    </w:lvl>
    <w:lvl w:ilvl="2" w:tplc="04150005" w:tentative="1">
      <w:start w:val="1"/>
      <w:numFmt w:val="bullet"/>
      <w:lvlText w:val=""/>
      <w:lvlJc w:val="left"/>
      <w:pPr>
        <w:ind w:left="3287" w:hanging="360"/>
      </w:pPr>
      <w:rPr>
        <w:rFonts w:ascii="Wingdings" w:hAnsi="Wingdings" w:hint="default"/>
      </w:rPr>
    </w:lvl>
    <w:lvl w:ilvl="3" w:tplc="04150001" w:tentative="1">
      <w:start w:val="1"/>
      <w:numFmt w:val="bullet"/>
      <w:lvlText w:val=""/>
      <w:lvlJc w:val="left"/>
      <w:pPr>
        <w:ind w:left="4007" w:hanging="360"/>
      </w:pPr>
      <w:rPr>
        <w:rFonts w:ascii="Symbol" w:hAnsi="Symbol" w:hint="default"/>
      </w:rPr>
    </w:lvl>
    <w:lvl w:ilvl="4" w:tplc="04150003" w:tentative="1">
      <w:start w:val="1"/>
      <w:numFmt w:val="bullet"/>
      <w:lvlText w:val="o"/>
      <w:lvlJc w:val="left"/>
      <w:pPr>
        <w:ind w:left="4727" w:hanging="360"/>
      </w:pPr>
      <w:rPr>
        <w:rFonts w:ascii="Courier New" w:hAnsi="Courier New" w:cs="Courier New" w:hint="default"/>
      </w:rPr>
    </w:lvl>
    <w:lvl w:ilvl="5" w:tplc="04150005" w:tentative="1">
      <w:start w:val="1"/>
      <w:numFmt w:val="bullet"/>
      <w:lvlText w:val=""/>
      <w:lvlJc w:val="left"/>
      <w:pPr>
        <w:ind w:left="5447" w:hanging="360"/>
      </w:pPr>
      <w:rPr>
        <w:rFonts w:ascii="Wingdings" w:hAnsi="Wingdings" w:hint="default"/>
      </w:rPr>
    </w:lvl>
    <w:lvl w:ilvl="6" w:tplc="04150001" w:tentative="1">
      <w:start w:val="1"/>
      <w:numFmt w:val="bullet"/>
      <w:lvlText w:val=""/>
      <w:lvlJc w:val="left"/>
      <w:pPr>
        <w:ind w:left="6167" w:hanging="360"/>
      </w:pPr>
      <w:rPr>
        <w:rFonts w:ascii="Symbol" w:hAnsi="Symbol" w:hint="default"/>
      </w:rPr>
    </w:lvl>
    <w:lvl w:ilvl="7" w:tplc="04150003" w:tentative="1">
      <w:start w:val="1"/>
      <w:numFmt w:val="bullet"/>
      <w:lvlText w:val="o"/>
      <w:lvlJc w:val="left"/>
      <w:pPr>
        <w:ind w:left="6887" w:hanging="360"/>
      </w:pPr>
      <w:rPr>
        <w:rFonts w:ascii="Courier New" w:hAnsi="Courier New" w:cs="Courier New" w:hint="default"/>
      </w:rPr>
    </w:lvl>
    <w:lvl w:ilvl="8" w:tplc="04150005" w:tentative="1">
      <w:start w:val="1"/>
      <w:numFmt w:val="bullet"/>
      <w:lvlText w:val=""/>
      <w:lvlJc w:val="left"/>
      <w:pPr>
        <w:ind w:left="7607" w:hanging="360"/>
      </w:pPr>
      <w:rPr>
        <w:rFonts w:ascii="Wingdings" w:hAnsi="Wingdings" w:hint="default"/>
      </w:rPr>
    </w:lvl>
  </w:abstractNum>
  <w:abstractNum w:abstractNumId="8" w15:restartNumberingAfterBreak="0">
    <w:nsid w:val="6C105D6C"/>
    <w:multiLevelType w:val="hybridMultilevel"/>
    <w:tmpl w:val="9F8A0C84"/>
    <w:lvl w:ilvl="0" w:tplc="04150011">
      <w:start w:val="1"/>
      <w:numFmt w:val="decimal"/>
      <w:lvlText w:val="%1)"/>
      <w:lvlJc w:val="left"/>
      <w:pPr>
        <w:ind w:left="1080" w:hanging="360"/>
      </w:pPr>
      <w:rPr>
        <w:rFonts w:hint="default"/>
        <w:b w:val="0"/>
        <w:color w:val="auto"/>
      </w:rPr>
    </w:lvl>
    <w:lvl w:ilvl="1" w:tplc="7C2E5062">
      <w:start w:val="1"/>
      <w:numFmt w:val="lowerLetter"/>
      <w:lvlText w:val="%2)"/>
      <w:lvlJc w:val="left"/>
      <w:pPr>
        <w:ind w:left="1800" w:hanging="360"/>
      </w:pPr>
      <w:rPr>
        <w:rFont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70FB2CE0"/>
    <w:multiLevelType w:val="hybridMultilevel"/>
    <w:tmpl w:val="AA34429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7F652837"/>
    <w:multiLevelType w:val="hybridMultilevel"/>
    <w:tmpl w:val="087CE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8"/>
  </w:num>
  <w:num w:numId="3">
    <w:abstractNumId w:val="4"/>
  </w:num>
  <w:num w:numId="4">
    <w:abstractNumId w:val="7"/>
  </w:num>
  <w:num w:numId="5">
    <w:abstractNumId w:val="0"/>
  </w:num>
  <w:num w:numId="6">
    <w:abstractNumId w:val="5"/>
  </w:num>
  <w:num w:numId="7">
    <w:abstractNumId w:val="9"/>
  </w:num>
  <w:num w:numId="8">
    <w:abstractNumId w:val="2"/>
  </w:num>
  <w:num w:numId="9">
    <w:abstractNumId w:val="3"/>
  </w:num>
  <w:num w:numId="10">
    <w:abstractNumId w:val="6"/>
  </w:num>
  <w:num w:numId="1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E79"/>
    <w:rsid w:val="00000632"/>
    <w:rsid w:val="000155D0"/>
    <w:rsid w:val="00016F33"/>
    <w:rsid w:val="00020B90"/>
    <w:rsid w:val="000231A1"/>
    <w:rsid w:val="0002459E"/>
    <w:rsid w:val="000279A7"/>
    <w:rsid w:val="000373DC"/>
    <w:rsid w:val="000404CA"/>
    <w:rsid w:val="00042BE8"/>
    <w:rsid w:val="00043950"/>
    <w:rsid w:val="000448EF"/>
    <w:rsid w:val="000500E3"/>
    <w:rsid w:val="000512CE"/>
    <w:rsid w:val="00052059"/>
    <w:rsid w:val="00055919"/>
    <w:rsid w:val="00067A29"/>
    <w:rsid w:val="00073236"/>
    <w:rsid w:val="00083D0A"/>
    <w:rsid w:val="0008546A"/>
    <w:rsid w:val="00085E48"/>
    <w:rsid w:val="000865F6"/>
    <w:rsid w:val="000920A4"/>
    <w:rsid w:val="000929D8"/>
    <w:rsid w:val="0009363A"/>
    <w:rsid w:val="00094FC9"/>
    <w:rsid w:val="000950DA"/>
    <w:rsid w:val="000A0B2F"/>
    <w:rsid w:val="000A1601"/>
    <w:rsid w:val="000A3A5C"/>
    <w:rsid w:val="000A5428"/>
    <w:rsid w:val="000A6448"/>
    <w:rsid w:val="000A740F"/>
    <w:rsid w:val="000B052B"/>
    <w:rsid w:val="000B17E7"/>
    <w:rsid w:val="000B2AF9"/>
    <w:rsid w:val="000B332E"/>
    <w:rsid w:val="000B5105"/>
    <w:rsid w:val="000C0FAA"/>
    <w:rsid w:val="000C3B72"/>
    <w:rsid w:val="000C5545"/>
    <w:rsid w:val="000D1101"/>
    <w:rsid w:val="000D34BB"/>
    <w:rsid w:val="000D46EC"/>
    <w:rsid w:val="000E4674"/>
    <w:rsid w:val="000E4B95"/>
    <w:rsid w:val="000F4DFD"/>
    <w:rsid w:val="00102C2E"/>
    <w:rsid w:val="00104A5F"/>
    <w:rsid w:val="001067CD"/>
    <w:rsid w:val="001165DD"/>
    <w:rsid w:val="0012685B"/>
    <w:rsid w:val="0012784D"/>
    <w:rsid w:val="00131FA5"/>
    <w:rsid w:val="00140A68"/>
    <w:rsid w:val="001445C1"/>
    <w:rsid w:val="001476FB"/>
    <w:rsid w:val="00150049"/>
    <w:rsid w:val="00150E06"/>
    <w:rsid w:val="00151136"/>
    <w:rsid w:val="00155890"/>
    <w:rsid w:val="001679E3"/>
    <w:rsid w:val="0017742A"/>
    <w:rsid w:val="0018033E"/>
    <w:rsid w:val="00182E07"/>
    <w:rsid w:val="001871E3"/>
    <w:rsid w:val="00187207"/>
    <w:rsid w:val="001874C1"/>
    <w:rsid w:val="00192B5B"/>
    <w:rsid w:val="00196855"/>
    <w:rsid w:val="001A7464"/>
    <w:rsid w:val="001B41B1"/>
    <w:rsid w:val="001C0467"/>
    <w:rsid w:val="001C146C"/>
    <w:rsid w:val="001C2146"/>
    <w:rsid w:val="001C4613"/>
    <w:rsid w:val="001C6260"/>
    <w:rsid w:val="001D140B"/>
    <w:rsid w:val="001D2325"/>
    <w:rsid w:val="001D37FB"/>
    <w:rsid w:val="001D4968"/>
    <w:rsid w:val="001D7A8C"/>
    <w:rsid w:val="001E1CB5"/>
    <w:rsid w:val="001E2C9E"/>
    <w:rsid w:val="001F07BD"/>
    <w:rsid w:val="001F6F42"/>
    <w:rsid w:val="001F6F92"/>
    <w:rsid w:val="0020233C"/>
    <w:rsid w:val="002035D8"/>
    <w:rsid w:val="0020504C"/>
    <w:rsid w:val="00215552"/>
    <w:rsid w:val="00216E53"/>
    <w:rsid w:val="00216E61"/>
    <w:rsid w:val="00217572"/>
    <w:rsid w:val="002200AE"/>
    <w:rsid w:val="002214E7"/>
    <w:rsid w:val="002232F1"/>
    <w:rsid w:val="002325F9"/>
    <w:rsid w:val="00234452"/>
    <w:rsid w:val="002346B8"/>
    <w:rsid w:val="00241C98"/>
    <w:rsid w:val="00246EFF"/>
    <w:rsid w:val="002479DC"/>
    <w:rsid w:val="002525E3"/>
    <w:rsid w:val="002535AB"/>
    <w:rsid w:val="002542AD"/>
    <w:rsid w:val="002577F0"/>
    <w:rsid w:val="00257F82"/>
    <w:rsid w:val="00260A1C"/>
    <w:rsid w:val="0026169C"/>
    <w:rsid w:val="00263146"/>
    <w:rsid w:val="00263746"/>
    <w:rsid w:val="002707FD"/>
    <w:rsid w:val="00272349"/>
    <w:rsid w:val="00273AEE"/>
    <w:rsid w:val="002776C0"/>
    <w:rsid w:val="00280474"/>
    <w:rsid w:val="00284254"/>
    <w:rsid w:val="002848A4"/>
    <w:rsid w:val="0028758A"/>
    <w:rsid w:val="00294125"/>
    <w:rsid w:val="00294761"/>
    <w:rsid w:val="002967C6"/>
    <w:rsid w:val="002A28BE"/>
    <w:rsid w:val="002A52D1"/>
    <w:rsid w:val="002A6931"/>
    <w:rsid w:val="002B0890"/>
    <w:rsid w:val="002B0D7B"/>
    <w:rsid w:val="002B2122"/>
    <w:rsid w:val="002C1935"/>
    <w:rsid w:val="002C1B30"/>
    <w:rsid w:val="002C28A6"/>
    <w:rsid w:val="002C3702"/>
    <w:rsid w:val="002D2140"/>
    <w:rsid w:val="002D35BF"/>
    <w:rsid w:val="002D369A"/>
    <w:rsid w:val="002E0AFA"/>
    <w:rsid w:val="002E73FE"/>
    <w:rsid w:val="002F343D"/>
    <w:rsid w:val="002F377C"/>
    <w:rsid w:val="002F3D7E"/>
    <w:rsid w:val="002F533D"/>
    <w:rsid w:val="00300C3A"/>
    <w:rsid w:val="00301ECA"/>
    <w:rsid w:val="00304EEB"/>
    <w:rsid w:val="003069C9"/>
    <w:rsid w:val="00306DAB"/>
    <w:rsid w:val="00307FF2"/>
    <w:rsid w:val="003144B5"/>
    <w:rsid w:val="00315342"/>
    <w:rsid w:val="0032289E"/>
    <w:rsid w:val="00323B50"/>
    <w:rsid w:val="003259D7"/>
    <w:rsid w:val="00327339"/>
    <w:rsid w:val="00327E57"/>
    <w:rsid w:val="0033604A"/>
    <w:rsid w:val="003371AE"/>
    <w:rsid w:val="0034419F"/>
    <w:rsid w:val="003459D9"/>
    <w:rsid w:val="00353465"/>
    <w:rsid w:val="00353CEA"/>
    <w:rsid w:val="00354FC7"/>
    <w:rsid w:val="00360E34"/>
    <w:rsid w:val="00366EEA"/>
    <w:rsid w:val="003775AE"/>
    <w:rsid w:val="0038218B"/>
    <w:rsid w:val="0039603C"/>
    <w:rsid w:val="003A44A0"/>
    <w:rsid w:val="003A549F"/>
    <w:rsid w:val="003B16E9"/>
    <w:rsid w:val="003B5D69"/>
    <w:rsid w:val="003C02CB"/>
    <w:rsid w:val="003C19E1"/>
    <w:rsid w:val="003D75DE"/>
    <w:rsid w:val="003E711F"/>
    <w:rsid w:val="003F117A"/>
    <w:rsid w:val="003F3C05"/>
    <w:rsid w:val="004025A6"/>
    <w:rsid w:val="0040315B"/>
    <w:rsid w:val="0040742F"/>
    <w:rsid w:val="00410B57"/>
    <w:rsid w:val="004116A3"/>
    <w:rsid w:val="00413B1C"/>
    <w:rsid w:val="00414F89"/>
    <w:rsid w:val="0042497D"/>
    <w:rsid w:val="00430BF1"/>
    <w:rsid w:val="00435620"/>
    <w:rsid w:val="00441BB9"/>
    <w:rsid w:val="0044458C"/>
    <w:rsid w:val="00444F48"/>
    <w:rsid w:val="00451C22"/>
    <w:rsid w:val="00457CF7"/>
    <w:rsid w:val="004638FB"/>
    <w:rsid w:val="00465D9E"/>
    <w:rsid w:val="00467B79"/>
    <w:rsid w:val="00471B4C"/>
    <w:rsid w:val="00471C90"/>
    <w:rsid w:val="00475C68"/>
    <w:rsid w:val="00477435"/>
    <w:rsid w:val="00481DF1"/>
    <w:rsid w:val="004844E6"/>
    <w:rsid w:val="004933D1"/>
    <w:rsid w:val="004934D9"/>
    <w:rsid w:val="00497BB8"/>
    <w:rsid w:val="004A0AC6"/>
    <w:rsid w:val="004A2BB5"/>
    <w:rsid w:val="004A37B1"/>
    <w:rsid w:val="004A78DE"/>
    <w:rsid w:val="004B0F66"/>
    <w:rsid w:val="004B1FAC"/>
    <w:rsid w:val="004B23C7"/>
    <w:rsid w:val="004B289A"/>
    <w:rsid w:val="004B3745"/>
    <w:rsid w:val="004B74EE"/>
    <w:rsid w:val="004C00A1"/>
    <w:rsid w:val="004C3117"/>
    <w:rsid w:val="004C4AA8"/>
    <w:rsid w:val="004D15D6"/>
    <w:rsid w:val="004D5EF1"/>
    <w:rsid w:val="004E4775"/>
    <w:rsid w:val="004E50F0"/>
    <w:rsid w:val="004E5486"/>
    <w:rsid w:val="004E5CAA"/>
    <w:rsid w:val="004E629C"/>
    <w:rsid w:val="004F2969"/>
    <w:rsid w:val="004F2DA3"/>
    <w:rsid w:val="004F301A"/>
    <w:rsid w:val="004F30B2"/>
    <w:rsid w:val="004F4767"/>
    <w:rsid w:val="004F7C2A"/>
    <w:rsid w:val="00500629"/>
    <w:rsid w:val="00500F6B"/>
    <w:rsid w:val="005105F9"/>
    <w:rsid w:val="0051152D"/>
    <w:rsid w:val="00511D71"/>
    <w:rsid w:val="00512992"/>
    <w:rsid w:val="00514D85"/>
    <w:rsid w:val="00517C27"/>
    <w:rsid w:val="005202C4"/>
    <w:rsid w:val="005355E5"/>
    <w:rsid w:val="005420BE"/>
    <w:rsid w:val="00545844"/>
    <w:rsid w:val="00551D1F"/>
    <w:rsid w:val="00555110"/>
    <w:rsid w:val="00555900"/>
    <w:rsid w:val="005568A8"/>
    <w:rsid w:val="00560358"/>
    <w:rsid w:val="005631DB"/>
    <w:rsid w:val="00565801"/>
    <w:rsid w:val="00575150"/>
    <w:rsid w:val="005805CB"/>
    <w:rsid w:val="00594A35"/>
    <w:rsid w:val="00596CE6"/>
    <w:rsid w:val="005A1AC2"/>
    <w:rsid w:val="005A3EB4"/>
    <w:rsid w:val="005A7FE8"/>
    <w:rsid w:val="005B09B8"/>
    <w:rsid w:val="005B0CFA"/>
    <w:rsid w:val="005B17B4"/>
    <w:rsid w:val="005B2708"/>
    <w:rsid w:val="005B5BF7"/>
    <w:rsid w:val="005B6749"/>
    <w:rsid w:val="005C4479"/>
    <w:rsid w:val="005C4CB6"/>
    <w:rsid w:val="005D28CE"/>
    <w:rsid w:val="005E03DA"/>
    <w:rsid w:val="005E0BD7"/>
    <w:rsid w:val="005E1791"/>
    <w:rsid w:val="005E4294"/>
    <w:rsid w:val="005E5828"/>
    <w:rsid w:val="005E5D2D"/>
    <w:rsid w:val="005F1CAB"/>
    <w:rsid w:val="005F203F"/>
    <w:rsid w:val="005F49F6"/>
    <w:rsid w:val="005F6B24"/>
    <w:rsid w:val="0060448D"/>
    <w:rsid w:val="00610BAF"/>
    <w:rsid w:val="0061162C"/>
    <w:rsid w:val="0061321F"/>
    <w:rsid w:val="0062007B"/>
    <w:rsid w:val="0062182D"/>
    <w:rsid w:val="00622214"/>
    <w:rsid w:val="006267BE"/>
    <w:rsid w:val="00627901"/>
    <w:rsid w:val="00631349"/>
    <w:rsid w:val="00633B1C"/>
    <w:rsid w:val="006413D3"/>
    <w:rsid w:val="00662797"/>
    <w:rsid w:val="006627E6"/>
    <w:rsid w:val="00665951"/>
    <w:rsid w:val="00670D00"/>
    <w:rsid w:val="00671D82"/>
    <w:rsid w:val="00674361"/>
    <w:rsid w:val="00676AD3"/>
    <w:rsid w:val="00680060"/>
    <w:rsid w:val="00682EB5"/>
    <w:rsid w:val="006839C5"/>
    <w:rsid w:val="00685F99"/>
    <w:rsid w:val="006866CE"/>
    <w:rsid w:val="00691518"/>
    <w:rsid w:val="00691A95"/>
    <w:rsid w:val="0069489B"/>
    <w:rsid w:val="0069545D"/>
    <w:rsid w:val="006969ED"/>
    <w:rsid w:val="00697916"/>
    <w:rsid w:val="00697D77"/>
    <w:rsid w:val="006A1F88"/>
    <w:rsid w:val="006A3350"/>
    <w:rsid w:val="006A3561"/>
    <w:rsid w:val="006A4E2E"/>
    <w:rsid w:val="006A7E4B"/>
    <w:rsid w:val="006B6360"/>
    <w:rsid w:val="006C29B8"/>
    <w:rsid w:val="006C467C"/>
    <w:rsid w:val="006C5DF0"/>
    <w:rsid w:val="006D5AB2"/>
    <w:rsid w:val="006E580C"/>
    <w:rsid w:val="006F4DA8"/>
    <w:rsid w:val="006F7660"/>
    <w:rsid w:val="0070476F"/>
    <w:rsid w:val="00706B56"/>
    <w:rsid w:val="0072227F"/>
    <w:rsid w:val="007315EC"/>
    <w:rsid w:val="0073576D"/>
    <w:rsid w:val="00747048"/>
    <w:rsid w:val="0074723F"/>
    <w:rsid w:val="00750154"/>
    <w:rsid w:val="007514B9"/>
    <w:rsid w:val="007623F3"/>
    <w:rsid w:val="00762C44"/>
    <w:rsid w:val="00763BA2"/>
    <w:rsid w:val="0076478A"/>
    <w:rsid w:val="00766A68"/>
    <w:rsid w:val="0077279C"/>
    <w:rsid w:val="00772D78"/>
    <w:rsid w:val="00776043"/>
    <w:rsid w:val="007837F2"/>
    <w:rsid w:val="00784DF0"/>
    <w:rsid w:val="0078647C"/>
    <w:rsid w:val="00790869"/>
    <w:rsid w:val="007910E5"/>
    <w:rsid w:val="007A032B"/>
    <w:rsid w:val="007A173A"/>
    <w:rsid w:val="007A3513"/>
    <w:rsid w:val="007A405B"/>
    <w:rsid w:val="007A7309"/>
    <w:rsid w:val="007B5290"/>
    <w:rsid w:val="007C206C"/>
    <w:rsid w:val="007C719C"/>
    <w:rsid w:val="007D3C8C"/>
    <w:rsid w:val="007D6F65"/>
    <w:rsid w:val="007D7B06"/>
    <w:rsid w:val="007E4A20"/>
    <w:rsid w:val="007F18B1"/>
    <w:rsid w:val="008010BC"/>
    <w:rsid w:val="00801CA1"/>
    <w:rsid w:val="00804A45"/>
    <w:rsid w:val="00804FF6"/>
    <w:rsid w:val="00807DB9"/>
    <w:rsid w:val="008105D8"/>
    <w:rsid w:val="0081159A"/>
    <w:rsid w:val="00816B57"/>
    <w:rsid w:val="00821F8E"/>
    <w:rsid w:val="008220BC"/>
    <w:rsid w:val="00824FFB"/>
    <w:rsid w:val="00826692"/>
    <w:rsid w:val="00831624"/>
    <w:rsid w:val="00834F1B"/>
    <w:rsid w:val="0083640B"/>
    <w:rsid w:val="00843E65"/>
    <w:rsid w:val="00843EDD"/>
    <w:rsid w:val="00854AF6"/>
    <w:rsid w:val="00857170"/>
    <w:rsid w:val="008571B4"/>
    <w:rsid w:val="00862215"/>
    <w:rsid w:val="008624B9"/>
    <w:rsid w:val="0086330D"/>
    <w:rsid w:val="00864D36"/>
    <w:rsid w:val="00865D62"/>
    <w:rsid w:val="00866430"/>
    <w:rsid w:val="00872FAB"/>
    <w:rsid w:val="00873B07"/>
    <w:rsid w:val="00874059"/>
    <w:rsid w:val="0087585A"/>
    <w:rsid w:val="00876141"/>
    <w:rsid w:val="00876CA3"/>
    <w:rsid w:val="00880917"/>
    <w:rsid w:val="00881841"/>
    <w:rsid w:val="00885190"/>
    <w:rsid w:val="0089262B"/>
    <w:rsid w:val="008941E0"/>
    <w:rsid w:val="0089794A"/>
    <w:rsid w:val="008A7C45"/>
    <w:rsid w:val="008B1619"/>
    <w:rsid w:val="008B4131"/>
    <w:rsid w:val="008B51C9"/>
    <w:rsid w:val="008B61C8"/>
    <w:rsid w:val="008B64E1"/>
    <w:rsid w:val="008B71FA"/>
    <w:rsid w:val="008C1E1D"/>
    <w:rsid w:val="008D15C7"/>
    <w:rsid w:val="008D205A"/>
    <w:rsid w:val="008D4CFA"/>
    <w:rsid w:val="008D57A2"/>
    <w:rsid w:val="008E27F8"/>
    <w:rsid w:val="008E3022"/>
    <w:rsid w:val="008E5666"/>
    <w:rsid w:val="008E5F02"/>
    <w:rsid w:val="008E6E46"/>
    <w:rsid w:val="008F5822"/>
    <w:rsid w:val="00900FB2"/>
    <w:rsid w:val="00903BC4"/>
    <w:rsid w:val="009044D6"/>
    <w:rsid w:val="00905AC1"/>
    <w:rsid w:val="00910397"/>
    <w:rsid w:val="00911979"/>
    <w:rsid w:val="009148F0"/>
    <w:rsid w:val="009168FC"/>
    <w:rsid w:val="00916CAA"/>
    <w:rsid w:val="00917233"/>
    <w:rsid w:val="0092001A"/>
    <w:rsid w:val="009217FA"/>
    <w:rsid w:val="00923ABF"/>
    <w:rsid w:val="00924B31"/>
    <w:rsid w:val="00924E68"/>
    <w:rsid w:val="009259E8"/>
    <w:rsid w:val="00926397"/>
    <w:rsid w:val="009266DA"/>
    <w:rsid w:val="00932F37"/>
    <w:rsid w:val="00934B42"/>
    <w:rsid w:val="00940EE9"/>
    <w:rsid w:val="0094412E"/>
    <w:rsid w:val="009545EE"/>
    <w:rsid w:val="00954B9C"/>
    <w:rsid w:val="00956A29"/>
    <w:rsid w:val="00970AC4"/>
    <w:rsid w:val="00970FE0"/>
    <w:rsid w:val="00971443"/>
    <w:rsid w:val="00980B08"/>
    <w:rsid w:val="00980C58"/>
    <w:rsid w:val="00981B11"/>
    <w:rsid w:val="009856CE"/>
    <w:rsid w:val="009860D5"/>
    <w:rsid w:val="00986D36"/>
    <w:rsid w:val="00987890"/>
    <w:rsid w:val="0099286B"/>
    <w:rsid w:val="009A0EBD"/>
    <w:rsid w:val="009A2204"/>
    <w:rsid w:val="009A43EF"/>
    <w:rsid w:val="009B3B65"/>
    <w:rsid w:val="009B76D1"/>
    <w:rsid w:val="009B7BBC"/>
    <w:rsid w:val="009C2F5B"/>
    <w:rsid w:val="009C47BA"/>
    <w:rsid w:val="009D29E4"/>
    <w:rsid w:val="009D2BC7"/>
    <w:rsid w:val="009D3F18"/>
    <w:rsid w:val="009E36B9"/>
    <w:rsid w:val="009E70B4"/>
    <w:rsid w:val="009E70DD"/>
    <w:rsid w:val="009F0EAF"/>
    <w:rsid w:val="009F1CA8"/>
    <w:rsid w:val="009F3F21"/>
    <w:rsid w:val="009F5DD1"/>
    <w:rsid w:val="00A01855"/>
    <w:rsid w:val="00A04B34"/>
    <w:rsid w:val="00A0696D"/>
    <w:rsid w:val="00A075C4"/>
    <w:rsid w:val="00A10C56"/>
    <w:rsid w:val="00A120E5"/>
    <w:rsid w:val="00A14058"/>
    <w:rsid w:val="00A24014"/>
    <w:rsid w:val="00A256CF"/>
    <w:rsid w:val="00A277AB"/>
    <w:rsid w:val="00A31148"/>
    <w:rsid w:val="00A33C15"/>
    <w:rsid w:val="00A35F30"/>
    <w:rsid w:val="00A36712"/>
    <w:rsid w:val="00A3674C"/>
    <w:rsid w:val="00A42610"/>
    <w:rsid w:val="00A550C6"/>
    <w:rsid w:val="00A62A79"/>
    <w:rsid w:val="00A647FE"/>
    <w:rsid w:val="00A64EE0"/>
    <w:rsid w:val="00A676FF"/>
    <w:rsid w:val="00A74BAE"/>
    <w:rsid w:val="00A76162"/>
    <w:rsid w:val="00A76A3D"/>
    <w:rsid w:val="00A81134"/>
    <w:rsid w:val="00A84B62"/>
    <w:rsid w:val="00A87618"/>
    <w:rsid w:val="00A87D77"/>
    <w:rsid w:val="00A906D3"/>
    <w:rsid w:val="00A90767"/>
    <w:rsid w:val="00A93E79"/>
    <w:rsid w:val="00A94C93"/>
    <w:rsid w:val="00A96EA1"/>
    <w:rsid w:val="00AA1275"/>
    <w:rsid w:val="00AA479A"/>
    <w:rsid w:val="00AA56A3"/>
    <w:rsid w:val="00AB049D"/>
    <w:rsid w:val="00AB2240"/>
    <w:rsid w:val="00AB6C70"/>
    <w:rsid w:val="00AC0EB3"/>
    <w:rsid w:val="00AC23B2"/>
    <w:rsid w:val="00AC3268"/>
    <w:rsid w:val="00AC5D4A"/>
    <w:rsid w:val="00AD2DDD"/>
    <w:rsid w:val="00AD4ACF"/>
    <w:rsid w:val="00AE012D"/>
    <w:rsid w:val="00AF14BC"/>
    <w:rsid w:val="00AF3600"/>
    <w:rsid w:val="00AF3ADD"/>
    <w:rsid w:val="00AF4370"/>
    <w:rsid w:val="00AF639C"/>
    <w:rsid w:val="00B01075"/>
    <w:rsid w:val="00B01D05"/>
    <w:rsid w:val="00B04D53"/>
    <w:rsid w:val="00B10DBA"/>
    <w:rsid w:val="00B12DFB"/>
    <w:rsid w:val="00B14689"/>
    <w:rsid w:val="00B14EE0"/>
    <w:rsid w:val="00B17391"/>
    <w:rsid w:val="00B20271"/>
    <w:rsid w:val="00B23004"/>
    <w:rsid w:val="00B25ED9"/>
    <w:rsid w:val="00B270CB"/>
    <w:rsid w:val="00B27804"/>
    <w:rsid w:val="00B326D7"/>
    <w:rsid w:val="00B36593"/>
    <w:rsid w:val="00B47682"/>
    <w:rsid w:val="00B47AFE"/>
    <w:rsid w:val="00B50558"/>
    <w:rsid w:val="00B52A71"/>
    <w:rsid w:val="00B631E9"/>
    <w:rsid w:val="00B6379C"/>
    <w:rsid w:val="00B65319"/>
    <w:rsid w:val="00B70182"/>
    <w:rsid w:val="00B74487"/>
    <w:rsid w:val="00B748A8"/>
    <w:rsid w:val="00B804F4"/>
    <w:rsid w:val="00B82C40"/>
    <w:rsid w:val="00B846F3"/>
    <w:rsid w:val="00B84F83"/>
    <w:rsid w:val="00B85400"/>
    <w:rsid w:val="00B876F2"/>
    <w:rsid w:val="00B920A4"/>
    <w:rsid w:val="00B93724"/>
    <w:rsid w:val="00B94E5E"/>
    <w:rsid w:val="00BA02D8"/>
    <w:rsid w:val="00BA1F1D"/>
    <w:rsid w:val="00BA247F"/>
    <w:rsid w:val="00BA2642"/>
    <w:rsid w:val="00BA2ACA"/>
    <w:rsid w:val="00BA50C5"/>
    <w:rsid w:val="00BB5449"/>
    <w:rsid w:val="00BB5F65"/>
    <w:rsid w:val="00BB70BB"/>
    <w:rsid w:val="00BC258B"/>
    <w:rsid w:val="00BC28F2"/>
    <w:rsid w:val="00BC3265"/>
    <w:rsid w:val="00BC3F33"/>
    <w:rsid w:val="00BC6382"/>
    <w:rsid w:val="00BD1AB3"/>
    <w:rsid w:val="00BD313D"/>
    <w:rsid w:val="00BD59D8"/>
    <w:rsid w:val="00BE2FA5"/>
    <w:rsid w:val="00BE3A80"/>
    <w:rsid w:val="00BE7F18"/>
    <w:rsid w:val="00BF2F40"/>
    <w:rsid w:val="00BF5222"/>
    <w:rsid w:val="00BF5630"/>
    <w:rsid w:val="00BF745E"/>
    <w:rsid w:val="00C014B5"/>
    <w:rsid w:val="00C0245C"/>
    <w:rsid w:val="00C044EE"/>
    <w:rsid w:val="00C05BA8"/>
    <w:rsid w:val="00C103C3"/>
    <w:rsid w:val="00C114B9"/>
    <w:rsid w:val="00C11A80"/>
    <w:rsid w:val="00C13AFA"/>
    <w:rsid w:val="00C15DA1"/>
    <w:rsid w:val="00C15F52"/>
    <w:rsid w:val="00C1676D"/>
    <w:rsid w:val="00C168C8"/>
    <w:rsid w:val="00C20385"/>
    <w:rsid w:val="00C23902"/>
    <w:rsid w:val="00C25089"/>
    <w:rsid w:val="00C32B4F"/>
    <w:rsid w:val="00C40E5E"/>
    <w:rsid w:val="00C412FE"/>
    <w:rsid w:val="00C413BD"/>
    <w:rsid w:val="00C50213"/>
    <w:rsid w:val="00C5264B"/>
    <w:rsid w:val="00C52C8C"/>
    <w:rsid w:val="00C5348E"/>
    <w:rsid w:val="00C53630"/>
    <w:rsid w:val="00C53D3F"/>
    <w:rsid w:val="00C5510B"/>
    <w:rsid w:val="00C553A1"/>
    <w:rsid w:val="00C55A00"/>
    <w:rsid w:val="00C55D9E"/>
    <w:rsid w:val="00C63998"/>
    <w:rsid w:val="00C6495B"/>
    <w:rsid w:val="00C67557"/>
    <w:rsid w:val="00C73ECA"/>
    <w:rsid w:val="00C8254F"/>
    <w:rsid w:val="00C82F21"/>
    <w:rsid w:val="00C83B9B"/>
    <w:rsid w:val="00C87CFA"/>
    <w:rsid w:val="00C94254"/>
    <w:rsid w:val="00C966C0"/>
    <w:rsid w:val="00CA1D26"/>
    <w:rsid w:val="00CA1E08"/>
    <w:rsid w:val="00CA32BE"/>
    <w:rsid w:val="00CA7016"/>
    <w:rsid w:val="00CB11B5"/>
    <w:rsid w:val="00CB4594"/>
    <w:rsid w:val="00CB5F61"/>
    <w:rsid w:val="00CB7A2C"/>
    <w:rsid w:val="00CC4453"/>
    <w:rsid w:val="00CC4B23"/>
    <w:rsid w:val="00CC7D8F"/>
    <w:rsid w:val="00CD26A4"/>
    <w:rsid w:val="00CD3A6C"/>
    <w:rsid w:val="00CD3E3E"/>
    <w:rsid w:val="00CE171E"/>
    <w:rsid w:val="00CE2590"/>
    <w:rsid w:val="00CE2A77"/>
    <w:rsid w:val="00CE4B34"/>
    <w:rsid w:val="00CF46AE"/>
    <w:rsid w:val="00CF5450"/>
    <w:rsid w:val="00D04D6F"/>
    <w:rsid w:val="00D108B6"/>
    <w:rsid w:val="00D12B98"/>
    <w:rsid w:val="00D1535E"/>
    <w:rsid w:val="00D21973"/>
    <w:rsid w:val="00D22CB0"/>
    <w:rsid w:val="00D26096"/>
    <w:rsid w:val="00D2785A"/>
    <w:rsid w:val="00D27939"/>
    <w:rsid w:val="00D27CA2"/>
    <w:rsid w:val="00D3297C"/>
    <w:rsid w:val="00D37389"/>
    <w:rsid w:val="00D40E92"/>
    <w:rsid w:val="00D410C5"/>
    <w:rsid w:val="00D43706"/>
    <w:rsid w:val="00D43A2C"/>
    <w:rsid w:val="00D45574"/>
    <w:rsid w:val="00D52B1D"/>
    <w:rsid w:val="00D5561C"/>
    <w:rsid w:val="00D60915"/>
    <w:rsid w:val="00D71509"/>
    <w:rsid w:val="00D72D7B"/>
    <w:rsid w:val="00D837F5"/>
    <w:rsid w:val="00D86EF2"/>
    <w:rsid w:val="00DA2CFF"/>
    <w:rsid w:val="00DA35B2"/>
    <w:rsid w:val="00DA3BF7"/>
    <w:rsid w:val="00DA5175"/>
    <w:rsid w:val="00DB01F5"/>
    <w:rsid w:val="00DB0FCD"/>
    <w:rsid w:val="00DB180C"/>
    <w:rsid w:val="00DB2176"/>
    <w:rsid w:val="00DB2CBA"/>
    <w:rsid w:val="00DB54B7"/>
    <w:rsid w:val="00DC12B4"/>
    <w:rsid w:val="00DC37F0"/>
    <w:rsid w:val="00DC6D7C"/>
    <w:rsid w:val="00DE23FE"/>
    <w:rsid w:val="00DE39CF"/>
    <w:rsid w:val="00DE4CB3"/>
    <w:rsid w:val="00DF4337"/>
    <w:rsid w:val="00DF5EA6"/>
    <w:rsid w:val="00DF6232"/>
    <w:rsid w:val="00DF7A62"/>
    <w:rsid w:val="00E0241C"/>
    <w:rsid w:val="00E05535"/>
    <w:rsid w:val="00E0614E"/>
    <w:rsid w:val="00E12E0E"/>
    <w:rsid w:val="00E136FB"/>
    <w:rsid w:val="00E154FB"/>
    <w:rsid w:val="00E15C19"/>
    <w:rsid w:val="00E15EEE"/>
    <w:rsid w:val="00E2081B"/>
    <w:rsid w:val="00E245E2"/>
    <w:rsid w:val="00E24C4F"/>
    <w:rsid w:val="00E25785"/>
    <w:rsid w:val="00E25F8D"/>
    <w:rsid w:val="00E271ED"/>
    <w:rsid w:val="00E275C4"/>
    <w:rsid w:val="00E31B99"/>
    <w:rsid w:val="00E324F6"/>
    <w:rsid w:val="00E32C93"/>
    <w:rsid w:val="00E33C8D"/>
    <w:rsid w:val="00E34196"/>
    <w:rsid w:val="00E407C7"/>
    <w:rsid w:val="00E46856"/>
    <w:rsid w:val="00E46AAA"/>
    <w:rsid w:val="00E50D96"/>
    <w:rsid w:val="00E52095"/>
    <w:rsid w:val="00E53934"/>
    <w:rsid w:val="00E5568E"/>
    <w:rsid w:val="00E57F46"/>
    <w:rsid w:val="00E62942"/>
    <w:rsid w:val="00E6429A"/>
    <w:rsid w:val="00E65DC1"/>
    <w:rsid w:val="00E70406"/>
    <w:rsid w:val="00E70A10"/>
    <w:rsid w:val="00E71B72"/>
    <w:rsid w:val="00E72D58"/>
    <w:rsid w:val="00E810AA"/>
    <w:rsid w:val="00E81F1A"/>
    <w:rsid w:val="00E82D95"/>
    <w:rsid w:val="00E951FB"/>
    <w:rsid w:val="00E96385"/>
    <w:rsid w:val="00EA0985"/>
    <w:rsid w:val="00EA4984"/>
    <w:rsid w:val="00EA72FC"/>
    <w:rsid w:val="00EA7D53"/>
    <w:rsid w:val="00EB4A9C"/>
    <w:rsid w:val="00EB7237"/>
    <w:rsid w:val="00EC0E4F"/>
    <w:rsid w:val="00EC1F4E"/>
    <w:rsid w:val="00EC2571"/>
    <w:rsid w:val="00EC37D3"/>
    <w:rsid w:val="00EC5C6B"/>
    <w:rsid w:val="00EC7D45"/>
    <w:rsid w:val="00ED1986"/>
    <w:rsid w:val="00ED25CE"/>
    <w:rsid w:val="00ED6870"/>
    <w:rsid w:val="00EE06B1"/>
    <w:rsid w:val="00EE3876"/>
    <w:rsid w:val="00EE4399"/>
    <w:rsid w:val="00EE6E1E"/>
    <w:rsid w:val="00EF0C47"/>
    <w:rsid w:val="00EF103F"/>
    <w:rsid w:val="00EF33DD"/>
    <w:rsid w:val="00EF3BFF"/>
    <w:rsid w:val="00EF6102"/>
    <w:rsid w:val="00F0061F"/>
    <w:rsid w:val="00F02ADA"/>
    <w:rsid w:val="00F03E1A"/>
    <w:rsid w:val="00F0490E"/>
    <w:rsid w:val="00F061DC"/>
    <w:rsid w:val="00F148AB"/>
    <w:rsid w:val="00F14AF0"/>
    <w:rsid w:val="00F16393"/>
    <w:rsid w:val="00F2539E"/>
    <w:rsid w:val="00F3116D"/>
    <w:rsid w:val="00F31AD0"/>
    <w:rsid w:val="00F32E28"/>
    <w:rsid w:val="00F33B3C"/>
    <w:rsid w:val="00F34AEC"/>
    <w:rsid w:val="00F36AF4"/>
    <w:rsid w:val="00F407D2"/>
    <w:rsid w:val="00F415A5"/>
    <w:rsid w:val="00F44569"/>
    <w:rsid w:val="00F44BD8"/>
    <w:rsid w:val="00F451E2"/>
    <w:rsid w:val="00F46EA5"/>
    <w:rsid w:val="00F475D0"/>
    <w:rsid w:val="00F537CB"/>
    <w:rsid w:val="00F53D09"/>
    <w:rsid w:val="00F5574D"/>
    <w:rsid w:val="00F56E7F"/>
    <w:rsid w:val="00F60F28"/>
    <w:rsid w:val="00F65626"/>
    <w:rsid w:val="00F74F46"/>
    <w:rsid w:val="00F766DF"/>
    <w:rsid w:val="00F83F00"/>
    <w:rsid w:val="00F85E9D"/>
    <w:rsid w:val="00F86D85"/>
    <w:rsid w:val="00F9556A"/>
    <w:rsid w:val="00F96DC6"/>
    <w:rsid w:val="00F96F38"/>
    <w:rsid w:val="00F97025"/>
    <w:rsid w:val="00FA59DF"/>
    <w:rsid w:val="00FA6D14"/>
    <w:rsid w:val="00FA71C8"/>
    <w:rsid w:val="00FB23DE"/>
    <w:rsid w:val="00FB3CA9"/>
    <w:rsid w:val="00FB7433"/>
    <w:rsid w:val="00FB7F43"/>
    <w:rsid w:val="00FC228F"/>
    <w:rsid w:val="00FC40A3"/>
    <w:rsid w:val="00FC5211"/>
    <w:rsid w:val="00FD446E"/>
    <w:rsid w:val="00FE08A4"/>
    <w:rsid w:val="00FE1319"/>
    <w:rsid w:val="00FE13C0"/>
    <w:rsid w:val="00FE7E2F"/>
    <w:rsid w:val="00FF6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933B"/>
  <w15:docId w15:val="{A14AE0FC-FDAA-4325-85CA-D1BF2C2A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3E7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93E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semiHidden/>
    <w:unhideWhenUsed/>
    <w:qFormat/>
    <w:rsid w:val="00A93E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semiHidden/>
    <w:unhideWhenUsed/>
    <w:qFormat/>
    <w:rsid w:val="00A93E79"/>
    <w:pPr>
      <w:keepNext/>
      <w:keepLines/>
      <w:spacing w:before="20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93E79"/>
    <w:rPr>
      <w:rFonts w:asciiTheme="majorHAnsi" w:eastAsiaTheme="majorEastAsia" w:hAnsiTheme="majorHAnsi" w:cstheme="majorBidi"/>
      <w:color w:val="2E74B5" w:themeColor="accent1" w:themeShade="BF"/>
      <w:sz w:val="32"/>
      <w:szCs w:val="32"/>
      <w:lang w:eastAsia="pl-PL"/>
    </w:rPr>
  </w:style>
  <w:style w:type="character" w:customStyle="1" w:styleId="Nagwek2Znak">
    <w:name w:val="Nagłówek 2 Znak"/>
    <w:basedOn w:val="Domylnaczcionkaakapitu"/>
    <w:link w:val="Nagwek2"/>
    <w:semiHidden/>
    <w:rsid w:val="00A93E79"/>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semiHidden/>
    <w:rsid w:val="00A93E79"/>
    <w:rPr>
      <w:rFonts w:asciiTheme="majorHAnsi" w:eastAsiaTheme="majorEastAsia" w:hAnsiTheme="majorHAnsi" w:cstheme="majorBidi"/>
      <w:b/>
      <w:bCs/>
      <w:color w:val="5B9BD5" w:themeColor="accent1"/>
      <w:sz w:val="24"/>
      <w:szCs w:val="24"/>
      <w:lang w:eastAsia="pl-PL"/>
    </w:rPr>
  </w:style>
  <w:style w:type="paragraph" w:styleId="Akapitzlist">
    <w:name w:val="List Paragraph"/>
    <w:basedOn w:val="Normalny"/>
    <w:uiPriority w:val="34"/>
    <w:qFormat/>
    <w:rsid w:val="00A93E79"/>
    <w:pPr>
      <w:spacing w:after="120"/>
      <w:ind w:left="720"/>
      <w:contextualSpacing/>
      <w:jc w:val="both"/>
    </w:pPr>
  </w:style>
  <w:style w:type="paragraph" w:customStyle="1" w:styleId="CM1">
    <w:name w:val="CM1"/>
    <w:basedOn w:val="Normalny"/>
    <w:next w:val="Normalny"/>
    <w:uiPriority w:val="99"/>
    <w:rsid w:val="00A93E79"/>
    <w:pPr>
      <w:autoSpaceDE w:val="0"/>
      <w:autoSpaceDN w:val="0"/>
      <w:adjustRightInd w:val="0"/>
    </w:pPr>
    <w:rPr>
      <w:rFonts w:ascii="EUAlbertina" w:hAnsi="EUAlbertina"/>
    </w:rPr>
  </w:style>
  <w:style w:type="paragraph" w:customStyle="1" w:styleId="CM3">
    <w:name w:val="CM3"/>
    <w:basedOn w:val="Normalny"/>
    <w:next w:val="Normalny"/>
    <w:uiPriority w:val="99"/>
    <w:rsid w:val="00A93E79"/>
    <w:pPr>
      <w:autoSpaceDE w:val="0"/>
      <w:autoSpaceDN w:val="0"/>
      <w:adjustRightInd w:val="0"/>
    </w:pPr>
    <w:rPr>
      <w:rFonts w:ascii="EUAlbertina" w:hAnsi="EUAlbertina"/>
    </w:rPr>
  </w:style>
  <w:style w:type="paragraph" w:customStyle="1" w:styleId="CM4">
    <w:name w:val="CM4"/>
    <w:basedOn w:val="Normalny"/>
    <w:next w:val="Normalny"/>
    <w:uiPriority w:val="99"/>
    <w:rsid w:val="00A93E79"/>
    <w:pPr>
      <w:autoSpaceDE w:val="0"/>
      <w:autoSpaceDN w:val="0"/>
      <w:adjustRightInd w:val="0"/>
    </w:pPr>
    <w:rPr>
      <w:rFonts w:ascii="EUAlbertina" w:hAnsi="EUAlbertina"/>
    </w:rPr>
  </w:style>
  <w:style w:type="paragraph" w:customStyle="1" w:styleId="Default">
    <w:name w:val="Default"/>
    <w:rsid w:val="00A93E79"/>
    <w:pPr>
      <w:autoSpaceDE w:val="0"/>
      <w:autoSpaceDN w:val="0"/>
      <w:adjustRightInd w:val="0"/>
      <w:spacing w:after="0" w:line="240" w:lineRule="auto"/>
    </w:pPr>
    <w:rPr>
      <w:rFonts w:ascii="EUAlbertina" w:eastAsia="Times New Roman" w:hAnsi="EUAlbertina" w:cs="EUAlbertina"/>
      <w:color w:val="000000"/>
      <w:sz w:val="24"/>
      <w:szCs w:val="24"/>
      <w:lang w:eastAsia="pl-PL"/>
    </w:rPr>
  </w:style>
  <w:style w:type="paragraph" w:styleId="Tekstpodstawowywcity2">
    <w:name w:val="Body Text Indent 2"/>
    <w:basedOn w:val="Normalny"/>
    <w:link w:val="Tekstpodstawowywcity2Znak1"/>
    <w:rsid w:val="00A93E79"/>
    <w:pPr>
      <w:autoSpaceDE w:val="0"/>
      <w:autoSpaceDN w:val="0"/>
      <w:spacing w:before="120" w:after="120"/>
      <w:ind w:firstLine="340"/>
      <w:jc w:val="both"/>
    </w:pPr>
    <w:rPr>
      <w:rFonts w:ascii="Univers" w:hAnsi="Univers"/>
      <w:b/>
      <w:bCs/>
      <w:kern w:val="18"/>
      <w:sz w:val="20"/>
      <w:szCs w:val="20"/>
    </w:rPr>
  </w:style>
  <w:style w:type="character" w:customStyle="1" w:styleId="Tekstpodstawowywcity2Znak">
    <w:name w:val="Tekst podstawowy wcięty 2 Znak"/>
    <w:basedOn w:val="Domylnaczcionkaakapitu"/>
    <w:rsid w:val="00A93E79"/>
    <w:rPr>
      <w:rFonts w:ascii="Times New Roman" w:eastAsia="Times New Roman" w:hAnsi="Times New Roman" w:cs="Times New Roman"/>
      <w:sz w:val="24"/>
      <w:szCs w:val="24"/>
      <w:lang w:eastAsia="pl-PL"/>
    </w:rPr>
  </w:style>
  <w:style w:type="character" w:customStyle="1" w:styleId="Tekstpodstawowywcity2Znak1">
    <w:name w:val="Tekst podstawowy wcięty 2 Znak1"/>
    <w:link w:val="Tekstpodstawowywcity2"/>
    <w:locked/>
    <w:rsid w:val="00A93E79"/>
    <w:rPr>
      <w:rFonts w:ascii="Univers" w:eastAsia="Times New Roman" w:hAnsi="Univers" w:cs="Times New Roman"/>
      <w:b/>
      <w:bCs/>
      <w:kern w:val="18"/>
      <w:sz w:val="20"/>
      <w:szCs w:val="20"/>
      <w:lang w:eastAsia="pl-PL"/>
    </w:rPr>
  </w:style>
  <w:style w:type="paragraph" w:styleId="Nagwek">
    <w:name w:val="header"/>
    <w:basedOn w:val="Normalny"/>
    <w:link w:val="NagwekZnak"/>
    <w:rsid w:val="00A93E79"/>
    <w:pPr>
      <w:tabs>
        <w:tab w:val="center" w:pos="4536"/>
        <w:tab w:val="right" w:pos="9072"/>
      </w:tabs>
    </w:pPr>
  </w:style>
  <w:style w:type="character" w:customStyle="1" w:styleId="NagwekZnak">
    <w:name w:val="Nagłówek Znak"/>
    <w:basedOn w:val="Domylnaczcionkaakapitu"/>
    <w:link w:val="Nagwek"/>
    <w:rsid w:val="00A93E79"/>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93E79"/>
    <w:pPr>
      <w:tabs>
        <w:tab w:val="center" w:pos="4536"/>
        <w:tab w:val="right" w:pos="9072"/>
      </w:tabs>
    </w:pPr>
  </w:style>
  <w:style w:type="character" w:customStyle="1" w:styleId="StopkaZnak">
    <w:name w:val="Stopka Znak"/>
    <w:basedOn w:val="Domylnaczcionkaakapitu"/>
    <w:link w:val="Stopka"/>
    <w:uiPriority w:val="99"/>
    <w:rsid w:val="00A93E79"/>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1"/>
    <w:uiPriority w:val="99"/>
    <w:rsid w:val="00A93E79"/>
    <w:rPr>
      <w:sz w:val="20"/>
      <w:szCs w:val="20"/>
    </w:rPr>
  </w:style>
  <w:style w:type="character" w:customStyle="1" w:styleId="TekstkomentarzaZnak">
    <w:name w:val="Tekst komentarza Znak"/>
    <w:basedOn w:val="Domylnaczcionkaakapitu"/>
    <w:uiPriority w:val="99"/>
    <w:rsid w:val="00A93E79"/>
    <w:rPr>
      <w:rFonts w:ascii="Times New Roman" w:eastAsia="Times New Roman" w:hAnsi="Times New Roman" w:cs="Times New Roman"/>
      <w:sz w:val="20"/>
      <w:szCs w:val="20"/>
      <w:lang w:eastAsia="pl-PL"/>
    </w:rPr>
  </w:style>
  <w:style w:type="character" w:customStyle="1" w:styleId="TekstkomentarzaZnak1">
    <w:name w:val="Tekst komentarza Znak1"/>
    <w:link w:val="Tekstkomentarza"/>
    <w:uiPriority w:val="99"/>
    <w:rsid w:val="00A93E79"/>
    <w:rPr>
      <w:rFonts w:ascii="Times New Roman" w:eastAsia="Times New Roman" w:hAnsi="Times New Roman" w:cs="Times New Roman"/>
      <w:sz w:val="20"/>
      <w:szCs w:val="20"/>
      <w:lang w:eastAsia="pl-PL"/>
    </w:rPr>
  </w:style>
  <w:style w:type="paragraph" w:styleId="Spistreci1">
    <w:name w:val="toc 1"/>
    <w:basedOn w:val="Normalny"/>
    <w:next w:val="Normalny"/>
    <w:autoRedefine/>
    <w:rsid w:val="00A93E79"/>
    <w:pPr>
      <w:keepNext/>
      <w:tabs>
        <w:tab w:val="right" w:leader="dot" w:pos="9060"/>
      </w:tabs>
      <w:spacing w:after="60"/>
      <w:outlineLvl w:val="2"/>
    </w:pPr>
    <w:rPr>
      <w:b/>
      <w:sz w:val="22"/>
      <w:szCs w:val="20"/>
    </w:rPr>
  </w:style>
  <w:style w:type="character" w:customStyle="1" w:styleId="st1">
    <w:name w:val="st1"/>
    <w:basedOn w:val="Domylnaczcionkaakapitu"/>
    <w:rsid w:val="00A93E79"/>
  </w:style>
  <w:style w:type="paragraph" w:customStyle="1" w:styleId="LITlitera">
    <w:name w:val="LIT – litera"/>
    <w:basedOn w:val="Normalny"/>
    <w:uiPriority w:val="14"/>
    <w:qFormat/>
    <w:rsid w:val="00A93E79"/>
    <w:pPr>
      <w:spacing w:line="360" w:lineRule="auto"/>
      <w:ind w:left="986" w:hanging="476"/>
      <w:jc w:val="both"/>
    </w:pPr>
    <w:rPr>
      <w:rFonts w:ascii="Times" w:eastAsiaTheme="minorEastAsia" w:hAnsi="Times" w:cs="Arial"/>
      <w:bCs/>
      <w:szCs w:val="20"/>
    </w:rPr>
  </w:style>
  <w:style w:type="paragraph" w:customStyle="1" w:styleId="ZLITUSTzmustliter">
    <w:name w:val="Z_LIT/UST(§) – zm. ust. (§) literą"/>
    <w:basedOn w:val="Normalny"/>
    <w:uiPriority w:val="46"/>
    <w:qFormat/>
    <w:rsid w:val="00A93E79"/>
    <w:pPr>
      <w:suppressAutoHyphens/>
      <w:autoSpaceDE w:val="0"/>
      <w:autoSpaceDN w:val="0"/>
      <w:adjustRightInd w:val="0"/>
      <w:spacing w:line="360" w:lineRule="auto"/>
      <w:ind w:left="987" w:firstLine="510"/>
      <w:jc w:val="both"/>
    </w:pPr>
    <w:rPr>
      <w:rFonts w:ascii="Times" w:eastAsiaTheme="minorEastAsia" w:hAnsi="Times" w:cs="Arial"/>
      <w:bCs/>
      <w:szCs w:val="20"/>
    </w:rPr>
  </w:style>
  <w:style w:type="paragraph" w:customStyle="1" w:styleId="ZLITPKTzmpktliter">
    <w:name w:val="Z_LIT/PKT – zm. pkt literą"/>
    <w:basedOn w:val="Normalny"/>
    <w:uiPriority w:val="47"/>
    <w:qFormat/>
    <w:rsid w:val="00A93E79"/>
    <w:pPr>
      <w:spacing w:line="360" w:lineRule="auto"/>
      <w:ind w:left="1497" w:hanging="510"/>
      <w:jc w:val="both"/>
    </w:pPr>
    <w:rPr>
      <w:rFonts w:ascii="Times" w:eastAsiaTheme="minorEastAsia" w:hAnsi="Times" w:cs="Arial"/>
      <w:bCs/>
      <w:szCs w:val="20"/>
    </w:rPr>
  </w:style>
  <w:style w:type="paragraph" w:customStyle="1" w:styleId="ZLITLITwPKTzmlitwpktliter">
    <w:name w:val="Z_LIT/LIT_w_PKT – zm. lit. w pkt literą"/>
    <w:basedOn w:val="LITlitera"/>
    <w:uiPriority w:val="48"/>
    <w:qFormat/>
    <w:rsid w:val="00A93E79"/>
    <w:pPr>
      <w:ind w:left="1973"/>
    </w:pPr>
  </w:style>
  <w:style w:type="character" w:styleId="Odwoaniedokomentarza">
    <w:name w:val="annotation reference"/>
    <w:basedOn w:val="Domylnaczcionkaakapitu"/>
    <w:rsid w:val="00A93E79"/>
    <w:rPr>
      <w:sz w:val="16"/>
      <w:szCs w:val="16"/>
    </w:rPr>
  </w:style>
  <w:style w:type="paragraph" w:styleId="Tematkomentarza">
    <w:name w:val="annotation subject"/>
    <w:basedOn w:val="Tekstkomentarza"/>
    <w:next w:val="Tekstkomentarza"/>
    <w:link w:val="TematkomentarzaZnak"/>
    <w:rsid w:val="00A93E79"/>
    <w:rPr>
      <w:b/>
      <w:bCs/>
    </w:rPr>
  </w:style>
  <w:style w:type="character" w:customStyle="1" w:styleId="TematkomentarzaZnak">
    <w:name w:val="Temat komentarza Znak"/>
    <w:basedOn w:val="TekstkomentarzaZnak"/>
    <w:link w:val="Tematkomentarza"/>
    <w:rsid w:val="00A93E79"/>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A93E79"/>
    <w:rPr>
      <w:rFonts w:ascii="Tahoma" w:hAnsi="Tahoma" w:cs="Tahoma"/>
      <w:sz w:val="16"/>
      <w:szCs w:val="16"/>
    </w:rPr>
  </w:style>
  <w:style w:type="character" w:customStyle="1" w:styleId="TekstdymkaZnak">
    <w:name w:val="Tekst dymka Znak"/>
    <w:basedOn w:val="Domylnaczcionkaakapitu"/>
    <w:link w:val="Tekstdymka"/>
    <w:rsid w:val="00A93E79"/>
    <w:rPr>
      <w:rFonts w:ascii="Tahoma" w:eastAsia="Times New Roman" w:hAnsi="Tahoma" w:cs="Tahoma"/>
      <w:sz w:val="16"/>
      <w:szCs w:val="16"/>
      <w:lang w:eastAsia="pl-PL"/>
    </w:rPr>
  </w:style>
  <w:style w:type="paragraph" w:customStyle="1" w:styleId="BasicParagraph">
    <w:name w:val="[Basic Paragraph]"/>
    <w:basedOn w:val="Normalny"/>
    <w:rsid w:val="00A93E79"/>
    <w:pPr>
      <w:autoSpaceDE w:val="0"/>
      <w:autoSpaceDN w:val="0"/>
      <w:adjustRightInd w:val="0"/>
      <w:spacing w:line="288" w:lineRule="auto"/>
      <w:textAlignment w:val="center"/>
    </w:pPr>
    <w:rPr>
      <w:rFonts w:ascii="Calibri" w:eastAsia="Calibri" w:hAnsi="Calibri"/>
      <w:color w:val="000000"/>
      <w:lang w:val="en-GB" w:eastAsia="en-US"/>
    </w:rPr>
  </w:style>
  <w:style w:type="paragraph" w:styleId="Tekstprzypisudolnego">
    <w:name w:val="footnote text"/>
    <w:basedOn w:val="Normalny"/>
    <w:link w:val="TekstprzypisudolnegoZnak"/>
    <w:rsid w:val="00A93E79"/>
    <w:rPr>
      <w:sz w:val="20"/>
      <w:szCs w:val="20"/>
    </w:rPr>
  </w:style>
  <w:style w:type="character" w:customStyle="1" w:styleId="TekstprzypisudolnegoZnak">
    <w:name w:val="Tekst przypisu dolnego Znak"/>
    <w:basedOn w:val="Domylnaczcionkaakapitu"/>
    <w:link w:val="Tekstprzypisudolnego"/>
    <w:rsid w:val="00A93E79"/>
    <w:rPr>
      <w:rFonts w:ascii="Times New Roman" w:eastAsia="Times New Roman" w:hAnsi="Times New Roman" w:cs="Times New Roman"/>
      <w:sz w:val="20"/>
      <w:szCs w:val="20"/>
      <w:lang w:eastAsia="pl-PL"/>
    </w:rPr>
  </w:style>
  <w:style w:type="character" w:styleId="Odwoanieprzypisudolnego">
    <w:name w:val="footnote reference"/>
    <w:aliases w:val="Footnote Reference Superscript,BVI fnr,Footnote symbol,16 Point,Superscript 6 Point,Footnote Reference Number,Footnote Reference_LVL6,Footnote Reference_LVL61,Footnote Reference_LVL62,Footnote Reference_LVL63"/>
    <w:basedOn w:val="Domylnaczcionkaakapitu"/>
    <w:rsid w:val="00A93E79"/>
    <w:rPr>
      <w:vertAlign w:val="superscript"/>
    </w:rPr>
  </w:style>
  <w:style w:type="character" w:styleId="Pogrubienie">
    <w:name w:val="Strong"/>
    <w:uiPriority w:val="22"/>
    <w:qFormat/>
    <w:rsid w:val="00A93E79"/>
    <w:rPr>
      <w:b/>
      <w:bCs/>
    </w:rPr>
  </w:style>
  <w:style w:type="paragraph" w:styleId="NormalnyWeb">
    <w:name w:val="Normal (Web)"/>
    <w:basedOn w:val="Normalny"/>
    <w:rsid w:val="00A93E79"/>
    <w:pPr>
      <w:spacing w:before="100" w:beforeAutospacing="1" w:after="100" w:afterAutospacing="1"/>
    </w:pPr>
  </w:style>
  <w:style w:type="paragraph" w:styleId="Tekstpodstawowy">
    <w:name w:val="Body Text"/>
    <w:basedOn w:val="Normalny"/>
    <w:link w:val="TekstpodstawowyZnak"/>
    <w:rsid w:val="00A93E79"/>
    <w:pPr>
      <w:spacing w:after="120"/>
    </w:pPr>
  </w:style>
  <w:style w:type="character" w:customStyle="1" w:styleId="TekstpodstawowyZnak">
    <w:name w:val="Tekst podstawowy Znak"/>
    <w:basedOn w:val="Domylnaczcionkaakapitu"/>
    <w:link w:val="Tekstpodstawowy"/>
    <w:rsid w:val="00A93E79"/>
    <w:rPr>
      <w:rFonts w:ascii="Times New Roman" w:eastAsia="Times New Roman" w:hAnsi="Times New Roman" w:cs="Times New Roman"/>
      <w:sz w:val="24"/>
      <w:szCs w:val="24"/>
      <w:lang w:eastAsia="pl-PL"/>
    </w:rPr>
  </w:style>
  <w:style w:type="paragraph" w:customStyle="1" w:styleId="ARTartustawynprozporzdzenia">
    <w:name w:val="ART(§) – art. ustawy (§ np. rozporządzenia)"/>
    <w:link w:val="ARTartustawynprozporzdzeniaZnak"/>
    <w:uiPriority w:val="11"/>
    <w:qFormat/>
    <w:rsid w:val="00A93E79"/>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ARTartustawynprozporzdzeniaZnak">
    <w:name w:val="ART(§) – art. ustawy (§ np. rozporządzenia) Znak"/>
    <w:link w:val="ARTartustawynprozporzdzenia"/>
    <w:uiPriority w:val="11"/>
    <w:locked/>
    <w:rsid w:val="00A93E79"/>
    <w:rPr>
      <w:rFonts w:ascii="Times" w:eastAsia="Times New Roman" w:hAnsi="Times" w:cs="Arial"/>
      <w:sz w:val="24"/>
      <w:szCs w:val="20"/>
      <w:lang w:eastAsia="pl-PL"/>
    </w:rPr>
  </w:style>
  <w:style w:type="paragraph" w:styleId="Tekstprzypisukocowego">
    <w:name w:val="endnote text"/>
    <w:basedOn w:val="Normalny"/>
    <w:link w:val="TekstprzypisukocowegoZnak"/>
    <w:rsid w:val="00A93E79"/>
    <w:rPr>
      <w:sz w:val="20"/>
      <w:szCs w:val="20"/>
    </w:rPr>
  </w:style>
  <w:style w:type="character" w:customStyle="1" w:styleId="TekstprzypisukocowegoZnak">
    <w:name w:val="Tekst przypisu końcowego Znak"/>
    <w:basedOn w:val="Domylnaczcionkaakapitu"/>
    <w:link w:val="Tekstprzypisukocowego"/>
    <w:rsid w:val="00A93E79"/>
    <w:rPr>
      <w:rFonts w:ascii="Times New Roman" w:eastAsia="Times New Roman" w:hAnsi="Times New Roman" w:cs="Times New Roman"/>
      <w:sz w:val="20"/>
      <w:szCs w:val="20"/>
      <w:lang w:eastAsia="pl-PL"/>
    </w:rPr>
  </w:style>
  <w:style w:type="character" w:styleId="Odwoanieprzypisukocowego">
    <w:name w:val="endnote reference"/>
    <w:basedOn w:val="Domylnaczcionkaakapitu"/>
    <w:rsid w:val="00A93E79"/>
    <w:rPr>
      <w:vertAlign w:val="superscript"/>
    </w:rPr>
  </w:style>
  <w:style w:type="paragraph" w:customStyle="1" w:styleId="USTustnpkodeksu">
    <w:name w:val="UST(§) – ust. (§ np. kodeksu)"/>
    <w:basedOn w:val="ARTartustawynprozporzdzenia"/>
    <w:uiPriority w:val="12"/>
    <w:qFormat/>
    <w:rsid w:val="00A93E79"/>
    <w:pPr>
      <w:spacing w:before="0"/>
    </w:pPr>
    <w:rPr>
      <w:rFonts w:eastAsiaTheme="minorEastAsia"/>
      <w:bCs/>
    </w:rPr>
  </w:style>
  <w:style w:type="paragraph" w:customStyle="1" w:styleId="PKTpunkt">
    <w:name w:val="PKT – punkt"/>
    <w:uiPriority w:val="13"/>
    <w:qFormat/>
    <w:rsid w:val="00A93E79"/>
    <w:pPr>
      <w:spacing w:after="0" w:line="360" w:lineRule="auto"/>
      <w:ind w:left="510" w:hanging="510"/>
      <w:jc w:val="both"/>
    </w:pPr>
    <w:rPr>
      <w:rFonts w:ascii="Times" w:eastAsiaTheme="minorEastAsia" w:hAnsi="Times" w:cs="Arial"/>
      <w:bCs/>
      <w:sz w:val="24"/>
      <w:szCs w:val="20"/>
      <w:lang w:eastAsia="pl-PL"/>
    </w:rPr>
  </w:style>
  <w:style w:type="paragraph" w:customStyle="1" w:styleId="TYTDZPRZEDMprzedmiotregulacjitytuulubdziau">
    <w:name w:val="TYT(DZ)_PRZEDM – przedmiot regulacji tytułu lub działu"/>
    <w:next w:val="ARTartustawynprozporzdzenia"/>
    <w:uiPriority w:val="99"/>
    <w:qFormat/>
    <w:rsid w:val="00A93E7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A93E7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99"/>
    <w:qFormat/>
    <w:rsid w:val="00A93E7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ManualConsidrant">
    <w:name w:val="Manual Considérant"/>
    <w:basedOn w:val="Normalny"/>
    <w:link w:val="ManualConsidrantChar"/>
    <w:rsid w:val="00A93E79"/>
    <w:pPr>
      <w:spacing w:before="120"/>
      <w:ind w:left="850" w:hanging="850"/>
      <w:jc w:val="both"/>
    </w:pPr>
    <w:rPr>
      <w:szCs w:val="20"/>
      <w:lang w:bidi="pl-PL"/>
    </w:rPr>
  </w:style>
  <w:style w:type="character" w:customStyle="1" w:styleId="ManualConsidrantChar">
    <w:name w:val="Manual Considérant Char"/>
    <w:link w:val="ManualConsidrant"/>
    <w:locked/>
    <w:rsid w:val="00A93E79"/>
    <w:rPr>
      <w:rFonts w:ascii="Times New Roman" w:eastAsia="Times New Roman" w:hAnsi="Times New Roman" w:cs="Times New Roman"/>
      <w:sz w:val="24"/>
      <w:szCs w:val="20"/>
      <w:lang w:eastAsia="pl-PL" w:bidi="pl-PL"/>
    </w:rPr>
  </w:style>
  <w:style w:type="paragraph" w:customStyle="1" w:styleId="Point1">
    <w:name w:val="Point 1"/>
    <w:basedOn w:val="Normalny"/>
    <w:rsid w:val="00A93E79"/>
    <w:pPr>
      <w:spacing w:before="120"/>
      <w:ind w:left="1417" w:hanging="567"/>
      <w:jc w:val="both"/>
    </w:pPr>
    <w:rPr>
      <w:szCs w:val="20"/>
      <w:lang w:val="en-GB" w:eastAsia="en-US"/>
    </w:rPr>
  </w:style>
  <w:style w:type="paragraph" w:customStyle="1" w:styleId="Point0letter">
    <w:name w:val="Point 0 (letter)"/>
    <w:basedOn w:val="Normalny"/>
    <w:rsid w:val="00A93E79"/>
    <w:pPr>
      <w:numPr>
        <w:ilvl w:val="1"/>
        <w:numId w:val="6"/>
      </w:numPr>
      <w:spacing w:before="120"/>
      <w:jc w:val="both"/>
    </w:pPr>
    <w:rPr>
      <w:lang w:val="en-GB" w:eastAsia="en-US"/>
    </w:rPr>
  </w:style>
  <w:style w:type="paragraph" w:customStyle="1" w:styleId="Point0number">
    <w:name w:val="Point 0 (number)"/>
    <w:basedOn w:val="Normalny"/>
    <w:rsid w:val="00A93E79"/>
    <w:pPr>
      <w:numPr>
        <w:numId w:val="6"/>
      </w:numPr>
      <w:spacing w:before="120"/>
      <w:jc w:val="both"/>
    </w:pPr>
    <w:rPr>
      <w:lang w:val="en-GB" w:eastAsia="en-US"/>
    </w:rPr>
  </w:style>
  <w:style w:type="paragraph" w:customStyle="1" w:styleId="Point1letter">
    <w:name w:val="Point 1 (letter)"/>
    <w:basedOn w:val="Normalny"/>
    <w:rsid w:val="00A93E79"/>
    <w:pPr>
      <w:numPr>
        <w:ilvl w:val="3"/>
        <w:numId w:val="6"/>
      </w:numPr>
      <w:spacing w:before="120"/>
      <w:jc w:val="both"/>
    </w:pPr>
    <w:rPr>
      <w:lang w:val="en-GB" w:eastAsia="en-US"/>
    </w:rPr>
  </w:style>
  <w:style w:type="paragraph" w:customStyle="1" w:styleId="Point1number">
    <w:name w:val="Point 1 (number)"/>
    <w:basedOn w:val="Normalny"/>
    <w:rsid w:val="00A93E79"/>
    <w:pPr>
      <w:numPr>
        <w:ilvl w:val="2"/>
        <w:numId w:val="6"/>
      </w:numPr>
      <w:spacing w:before="120"/>
      <w:jc w:val="both"/>
    </w:pPr>
    <w:rPr>
      <w:lang w:val="en-GB" w:eastAsia="en-US"/>
    </w:rPr>
  </w:style>
  <w:style w:type="paragraph" w:customStyle="1" w:styleId="Point2letter">
    <w:name w:val="Point 2 (letter)"/>
    <w:basedOn w:val="Normalny"/>
    <w:rsid w:val="00A93E79"/>
    <w:pPr>
      <w:numPr>
        <w:ilvl w:val="5"/>
        <w:numId w:val="6"/>
      </w:numPr>
      <w:spacing w:before="120"/>
      <w:jc w:val="both"/>
    </w:pPr>
    <w:rPr>
      <w:lang w:val="en-GB" w:eastAsia="en-US"/>
    </w:rPr>
  </w:style>
  <w:style w:type="paragraph" w:customStyle="1" w:styleId="Point2number">
    <w:name w:val="Point 2 (number)"/>
    <w:basedOn w:val="Normalny"/>
    <w:rsid w:val="00A93E79"/>
    <w:pPr>
      <w:numPr>
        <w:ilvl w:val="4"/>
        <w:numId w:val="6"/>
      </w:numPr>
      <w:spacing w:before="120"/>
      <w:jc w:val="both"/>
    </w:pPr>
    <w:rPr>
      <w:lang w:val="en-GB" w:eastAsia="en-US"/>
    </w:rPr>
  </w:style>
  <w:style w:type="paragraph" w:customStyle="1" w:styleId="Point3letter">
    <w:name w:val="Point 3 (letter)"/>
    <w:basedOn w:val="Normalny"/>
    <w:rsid w:val="00A93E79"/>
    <w:pPr>
      <w:numPr>
        <w:ilvl w:val="7"/>
        <w:numId w:val="6"/>
      </w:numPr>
      <w:spacing w:before="120"/>
      <w:jc w:val="both"/>
    </w:pPr>
    <w:rPr>
      <w:lang w:val="en-GB" w:eastAsia="en-US"/>
    </w:rPr>
  </w:style>
  <w:style w:type="paragraph" w:customStyle="1" w:styleId="Point3number">
    <w:name w:val="Point 3 (number)"/>
    <w:basedOn w:val="Normalny"/>
    <w:rsid w:val="00A93E79"/>
    <w:pPr>
      <w:numPr>
        <w:ilvl w:val="6"/>
        <w:numId w:val="6"/>
      </w:numPr>
      <w:spacing w:before="120"/>
      <w:jc w:val="both"/>
    </w:pPr>
    <w:rPr>
      <w:lang w:val="en-GB" w:eastAsia="en-US"/>
    </w:rPr>
  </w:style>
  <w:style w:type="paragraph" w:customStyle="1" w:styleId="Point4letter">
    <w:name w:val="Point 4 (letter)"/>
    <w:basedOn w:val="Normalny"/>
    <w:rsid w:val="00A93E79"/>
    <w:pPr>
      <w:numPr>
        <w:ilvl w:val="8"/>
        <w:numId w:val="6"/>
      </w:numPr>
      <w:spacing w:before="120"/>
      <w:jc w:val="both"/>
    </w:pPr>
    <w:rPr>
      <w:lang w:val="en-GB" w:eastAsia="en-US"/>
    </w:rPr>
  </w:style>
  <w:style w:type="paragraph" w:customStyle="1" w:styleId="Text2">
    <w:name w:val="Text 2"/>
    <w:basedOn w:val="Normalny"/>
    <w:rsid w:val="00A93E79"/>
    <w:pPr>
      <w:spacing w:before="120"/>
      <w:ind w:left="1417"/>
      <w:jc w:val="both"/>
    </w:pPr>
    <w:rPr>
      <w:lang w:bidi="pl-PL"/>
    </w:rPr>
  </w:style>
  <w:style w:type="paragraph" w:customStyle="1" w:styleId="Text1">
    <w:name w:val="Text 1"/>
    <w:basedOn w:val="Normalny"/>
    <w:link w:val="Text1Char"/>
    <w:rsid w:val="00A93E79"/>
    <w:pPr>
      <w:spacing w:before="120" w:after="120" w:line="360" w:lineRule="auto"/>
      <w:ind w:left="850"/>
    </w:pPr>
    <w:rPr>
      <w:szCs w:val="20"/>
      <w:lang w:bidi="pl-PL"/>
    </w:rPr>
  </w:style>
  <w:style w:type="character" w:customStyle="1" w:styleId="Text1Char">
    <w:name w:val="Text 1 Char"/>
    <w:link w:val="Text1"/>
    <w:rsid w:val="00A93E79"/>
    <w:rPr>
      <w:rFonts w:ascii="Times New Roman" w:eastAsia="Times New Roman" w:hAnsi="Times New Roman" w:cs="Times New Roman"/>
      <w:sz w:val="24"/>
      <w:szCs w:val="20"/>
      <w:lang w:eastAsia="pl-PL" w:bidi="pl-PL"/>
    </w:rPr>
  </w:style>
  <w:style w:type="paragraph" w:styleId="Tekstpodstawowy2">
    <w:name w:val="Body Text 2"/>
    <w:basedOn w:val="Normalny"/>
    <w:link w:val="Tekstpodstawowy2Znak"/>
    <w:uiPriority w:val="99"/>
    <w:unhideWhenUsed/>
    <w:rsid w:val="00A93E79"/>
    <w:pPr>
      <w:spacing w:after="120" w:line="480" w:lineRule="auto"/>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uiPriority w:val="99"/>
    <w:rsid w:val="00A93E79"/>
    <w:rPr>
      <w:rFonts w:ascii="Calibri" w:eastAsia="Calibri" w:hAnsi="Calibri" w:cs="Times New Roman"/>
    </w:rPr>
  </w:style>
  <w:style w:type="paragraph" w:styleId="Bezodstpw">
    <w:name w:val="No Spacing"/>
    <w:uiPriority w:val="1"/>
    <w:qFormat/>
    <w:rsid w:val="00A93E79"/>
    <w:pPr>
      <w:spacing w:after="0" w:line="240" w:lineRule="auto"/>
    </w:pPr>
    <w:rPr>
      <w:rFonts w:ascii="Calibri" w:eastAsia="Calibri" w:hAnsi="Calibri" w:cs="Times New Roman"/>
    </w:rPr>
  </w:style>
  <w:style w:type="paragraph" w:customStyle="1" w:styleId="ZLITTIRwLITzmtirwlitliter">
    <w:name w:val="Z_LIT/TIR_w_LIT – zm. tir. w lit. literą"/>
    <w:basedOn w:val="Normalny"/>
    <w:uiPriority w:val="99"/>
    <w:rsid w:val="00A93E79"/>
    <w:pPr>
      <w:spacing w:line="360" w:lineRule="auto"/>
      <w:ind w:left="1860" w:hanging="397"/>
      <w:jc w:val="both"/>
    </w:pPr>
    <w:rPr>
      <w:rFonts w:ascii="Times" w:hAnsi="Times" w:cs="Times"/>
    </w:rPr>
  </w:style>
  <w:style w:type="paragraph" w:customStyle="1" w:styleId="TYTDZOZNoznaczenietytuulubdziau">
    <w:name w:val="TYT(DZ)_OZN – oznaczenie tytułu lub działu"/>
    <w:next w:val="Normalny"/>
    <w:uiPriority w:val="99"/>
    <w:rsid w:val="00A93E79"/>
    <w:pPr>
      <w:keepNext/>
      <w:spacing w:before="120" w:after="0" w:line="360" w:lineRule="auto"/>
      <w:jc w:val="center"/>
    </w:pPr>
    <w:rPr>
      <w:rFonts w:ascii="Times" w:eastAsia="Times New Roman" w:hAnsi="Times" w:cs="Times"/>
      <w:caps/>
      <w:kern w:val="24"/>
      <w:sz w:val="24"/>
      <w:szCs w:val="24"/>
      <w:lang w:eastAsia="pl-PL"/>
    </w:rPr>
  </w:style>
  <w:style w:type="character" w:customStyle="1" w:styleId="Ppogrubienie">
    <w:name w:val="_P_ – pogrubienie"/>
    <w:basedOn w:val="Domylnaczcionkaakapitu"/>
    <w:uiPriority w:val="1"/>
    <w:qFormat/>
    <w:rsid w:val="00A93E79"/>
    <w:rPr>
      <w:b/>
      <w:bCs/>
    </w:rPr>
  </w:style>
  <w:style w:type="paragraph" w:customStyle="1" w:styleId="SKARNsankcjakarnawszczeglnociwKodeksiekarnym">
    <w:name w:val="S_KARN – sankcja karna w szczególności w Kodeksie karnym"/>
    <w:basedOn w:val="USTustnpkodeksu"/>
    <w:next w:val="ARTartustawynprozporzdzenia"/>
    <w:uiPriority w:val="18"/>
    <w:qFormat/>
    <w:rsid w:val="00A93E79"/>
    <w:pPr>
      <w:ind w:left="510" w:firstLine="0"/>
    </w:pPr>
    <w:rPr>
      <w:rFonts w:eastAsia="Times New Roman"/>
    </w:rPr>
  </w:style>
  <w:style w:type="paragraph" w:customStyle="1" w:styleId="PKTODNONIKApunktodnonika">
    <w:name w:val="PKT_ODNOŚNIKA – punkt odnośnika"/>
    <w:basedOn w:val="Normalny"/>
    <w:uiPriority w:val="19"/>
    <w:qFormat/>
    <w:rsid w:val="00A93E79"/>
    <w:pPr>
      <w:ind w:left="568" w:hanging="284"/>
      <w:jc w:val="both"/>
    </w:pPr>
    <w:rPr>
      <w:rFonts w:eastAsiaTheme="minorEastAsia" w:cs="Arial"/>
      <w:sz w:val="20"/>
      <w:szCs w:val="20"/>
    </w:rPr>
  </w:style>
  <w:style w:type="paragraph" w:styleId="Poprawka">
    <w:name w:val="Revision"/>
    <w:hidden/>
    <w:uiPriority w:val="99"/>
    <w:semiHidden/>
    <w:rsid w:val="00A93E79"/>
    <w:pPr>
      <w:spacing w:after="0" w:line="240" w:lineRule="auto"/>
    </w:pPr>
    <w:rPr>
      <w:rFonts w:ascii="Times New Roman" w:eastAsia="Times New Roman" w:hAnsi="Times New Roman" w:cs="Times New Roman"/>
      <w:sz w:val="24"/>
      <w:szCs w:val="24"/>
      <w:lang w:eastAsia="pl-PL"/>
    </w:rPr>
  </w:style>
  <w:style w:type="paragraph" w:customStyle="1" w:styleId="Normalny1">
    <w:name w:val="Normalny1"/>
    <w:basedOn w:val="Normalny"/>
    <w:rsid w:val="004A78DE"/>
    <w:pPr>
      <w:spacing w:before="100" w:beforeAutospacing="1" w:after="100" w:afterAutospacing="1"/>
    </w:pPr>
  </w:style>
  <w:style w:type="character" w:styleId="Uwydatnienie">
    <w:name w:val="Emphasis"/>
    <w:basedOn w:val="Domylnaczcionkaakapitu"/>
    <w:uiPriority w:val="20"/>
    <w:qFormat/>
    <w:rsid w:val="004A78DE"/>
    <w:rPr>
      <w:i/>
      <w:iCs/>
    </w:rPr>
  </w:style>
  <w:style w:type="paragraph" w:customStyle="1" w:styleId="TYTUAKTUprzedmiotregulacjiustawylubrozporzdzenia">
    <w:name w:val="TYTUŁ_AKTU – przedmiot regulacji ustawy lub rozporządzenia"/>
    <w:next w:val="Normalny"/>
    <w:uiPriority w:val="6"/>
    <w:qFormat/>
    <w:rsid w:val="007D3C8C"/>
    <w:pPr>
      <w:keepNext/>
      <w:suppressAutoHyphens/>
      <w:spacing w:before="120" w:after="360" w:line="360" w:lineRule="auto"/>
      <w:jc w:val="center"/>
    </w:pPr>
    <w:rPr>
      <w:rFonts w:ascii="Times" w:eastAsia="Times New Roman" w:hAnsi="Times" w:cs="Arial"/>
      <w:b/>
      <w:b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42">
      <w:bodyDiv w:val="1"/>
      <w:marLeft w:val="0"/>
      <w:marRight w:val="0"/>
      <w:marTop w:val="0"/>
      <w:marBottom w:val="0"/>
      <w:divBdr>
        <w:top w:val="none" w:sz="0" w:space="0" w:color="auto"/>
        <w:left w:val="none" w:sz="0" w:space="0" w:color="auto"/>
        <w:bottom w:val="none" w:sz="0" w:space="0" w:color="auto"/>
        <w:right w:val="none" w:sz="0" w:space="0" w:color="auto"/>
      </w:divBdr>
    </w:div>
    <w:div w:id="64692109">
      <w:bodyDiv w:val="1"/>
      <w:marLeft w:val="0"/>
      <w:marRight w:val="0"/>
      <w:marTop w:val="0"/>
      <w:marBottom w:val="0"/>
      <w:divBdr>
        <w:top w:val="none" w:sz="0" w:space="0" w:color="auto"/>
        <w:left w:val="none" w:sz="0" w:space="0" w:color="auto"/>
        <w:bottom w:val="none" w:sz="0" w:space="0" w:color="auto"/>
        <w:right w:val="none" w:sz="0" w:space="0" w:color="auto"/>
      </w:divBdr>
    </w:div>
    <w:div w:id="870727205">
      <w:bodyDiv w:val="1"/>
      <w:marLeft w:val="0"/>
      <w:marRight w:val="0"/>
      <w:marTop w:val="0"/>
      <w:marBottom w:val="0"/>
      <w:divBdr>
        <w:top w:val="none" w:sz="0" w:space="0" w:color="auto"/>
        <w:left w:val="none" w:sz="0" w:space="0" w:color="auto"/>
        <w:bottom w:val="none" w:sz="0" w:space="0" w:color="auto"/>
        <w:right w:val="none" w:sz="0" w:space="0" w:color="auto"/>
      </w:divBdr>
    </w:div>
    <w:div w:id="909080291">
      <w:bodyDiv w:val="1"/>
      <w:marLeft w:val="0"/>
      <w:marRight w:val="0"/>
      <w:marTop w:val="0"/>
      <w:marBottom w:val="0"/>
      <w:divBdr>
        <w:top w:val="none" w:sz="0" w:space="0" w:color="auto"/>
        <w:left w:val="none" w:sz="0" w:space="0" w:color="auto"/>
        <w:bottom w:val="none" w:sz="0" w:space="0" w:color="auto"/>
        <w:right w:val="none" w:sz="0" w:space="0" w:color="auto"/>
      </w:divBdr>
    </w:div>
    <w:div w:id="1483041113">
      <w:bodyDiv w:val="1"/>
      <w:marLeft w:val="0"/>
      <w:marRight w:val="0"/>
      <w:marTop w:val="0"/>
      <w:marBottom w:val="0"/>
      <w:divBdr>
        <w:top w:val="none" w:sz="0" w:space="0" w:color="auto"/>
        <w:left w:val="none" w:sz="0" w:space="0" w:color="auto"/>
        <w:bottom w:val="none" w:sz="0" w:space="0" w:color="auto"/>
        <w:right w:val="none" w:sz="0" w:space="0" w:color="auto"/>
      </w:divBdr>
    </w:div>
    <w:div w:id="1523859187">
      <w:bodyDiv w:val="1"/>
      <w:marLeft w:val="0"/>
      <w:marRight w:val="0"/>
      <w:marTop w:val="0"/>
      <w:marBottom w:val="0"/>
      <w:divBdr>
        <w:top w:val="none" w:sz="0" w:space="0" w:color="auto"/>
        <w:left w:val="none" w:sz="0" w:space="0" w:color="auto"/>
        <w:bottom w:val="none" w:sz="0" w:space="0" w:color="auto"/>
        <w:right w:val="none" w:sz="0" w:space="0" w:color="auto"/>
      </w:divBdr>
    </w:div>
    <w:div w:id="192348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D0DC2-5314-4CE0-987F-99DD7176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23</Pages>
  <Words>7626</Words>
  <Characters>45762</Characters>
  <Application>Microsoft Office Word</Application>
  <DocSecurity>0</DocSecurity>
  <Lines>381</Lines>
  <Paragraphs>106</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53282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Walo Joanna</dc:creator>
  <cp:lastModifiedBy>Rybkowska Bożena</cp:lastModifiedBy>
  <cp:revision>5</cp:revision>
  <cp:lastPrinted>2020-06-10T08:48:00Z</cp:lastPrinted>
  <dcterms:created xsi:type="dcterms:W3CDTF">2021-03-22T11:44:00Z</dcterms:created>
  <dcterms:modified xsi:type="dcterms:W3CDTF">2021-03-23T11:41:00Z</dcterms:modified>
</cp:coreProperties>
</file>