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835" w:rsidRPr="00432959" w:rsidRDefault="00C85835" w:rsidP="00442716">
      <w:pPr>
        <w:keepNext/>
        <w:spacing w:before="120" w:after="0" w:line="360" w:lineRule="auto"/>
        <w:jc w:val="center"/>
        <w:rPr>
          <w:rFonts w:ascii="Times New Roman" w:eastAsia="Times New Roman" w:hAnsi="Times New Roman" w:cs="Times New Roman"/>
          <w:bCs/>
          <w:caps/>
          <w:kern w:val="24"/>
          <w:sz w:val="24"/>
          <w:szCs w:val="24"/>
          <w:lang w:eastAsia="pl-PL"/>
        </w:rPr>
      </w:pPr>
      <w:bookmarkStart w:id="0" w:name="_GoBack"/>
      <w:bookmarkEnd w:id="0"/>
      <w:r w:rsidRPr="00432959">
        <w:rPr>
          <w:rFonts w:ascii="Times New Roman" w:eastAsia="Times New Roman" w:hAnsi="Times New Roman" w:cs="Times New Roman"/>
          <w:bCs/>
          <w:caps/>
          <w:kern w:val="24"/>
          <w:sz w:val="24"/>
          <w:szCs w:val="24"/>
          <w:lang w:eastAsia="pl-PL"/>
        </w:rPr>
        <w:t>Uzasadnienie</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Zmiana przepisów objętych niniejszym projektem ustaw, a mianowicie ustawy z dnia 28</w:t>
      </w:r>
      <w:r w:rsidR="00816F8E">
        <w:rPr>
          <w:rFonts w:ascii="Times New Roman" w:eastAsia="Times New Roman" w:hAnsi="Times New Roman" w:cs="Times New Roman"/>
          <w:bCs/>
          <w:sz w:val="24"/>
          <w:szCs w:val="20"/>
          <w:lang w:eastAsia="pl-PL"/>
        </w:rPr>
        <w:t> </w:t>
      </w:r>
      <w:r w:rsidRPr="00432959">
        <w:rPr>
          <w:rFonts w:ascii="Times New Roman" w:eastAsia="Times New Roman" w:hAnsi="Times New Roman" w:cs="Times New Roman"/>
          <w:bCs/>
          <w:sz w:val="24"/>
          <w:szCs w:val="20"/>
          <w:lang w:eastAsia="pl-PL"/>
        </w:rPr>
        <w:t xml:space="preserve">stycznia 2016 r. </w:t>
      </w:r>
      <w:r w:rsidR="00442716">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Prawo o prokuraturze (Dz.</w:t>
      </w:r>
      <w:r w:rsidR="00442716">
        <w:rPr>
          <w:rFonts w:ascii="Times New Roman" w:eastAsia="Times New Roman" w:hAnsi="Times New Roman" w:cs="Times New Roman"/>
          <w:bCs/>
          <w:sz w:val="24"/>
          <w:szCs w:val="20"/>
          <w:lang w:eastAsia="pl-PL"/>
        </w:rPr>
        <w:t xml:space="preserve"> </w:t>
      </w:r>
      <w:r w:rsidRPr="00432959">
        <w:rPr>
          <w:rFonts w:ascii="Times New Roman" w:eastAsia="Times New Roman" w:hAnsi="Times New Roman" w:cs="Times New Roman"/>
          <w:bCs/>
          <w:sz w:val="24"/>
          <w:szCs w:val="20"/>
          <w:lang w:eastAsia="pl-PL"/>
        </w:rPr>
        <w:t>U. z 2021 r. poz. 66), ustawy z dnia 27</w:t>
      </w:r>
      <w:r w:rsidR="00816F8E">
        <w:rPr>
          <w:rFonts w:ascii="Times New Roman" w:eastAsia="Times New Roman" w:hAnsi="Times New Roman" w:cs="Times New Roman"/>
          <w:bCs/>
          <w:sz w:val="24"/>
          <w:szCs w:val="20"/>
          <w:lang w:eastAsia="pl-PL"/>
        </w:rPr>
        <w:t> </w:t>
      </w:r>
      <w:r w:rsidRPr="00432959">
        <w:rPr>
          <w:rFonts w:ascii="Times New Roman" w:eastAsia="Times New Roman" w:hAnsi="Times New Roman" w:cs="Times New Roman"/>
          <w:bCs/>
          <w:sz w:val="24"/>
          <w:szCs w:val="20"/>
          <w:lang w:eastAsia="pl-PL"/>
        </w:rPr>
        <w:t>sierpnia 2009 r. o finansach publicznych (Dz.</w:t>
      </w:r>
      <w:r w:rsidR="00442716">
        <w:rPr>
          <w:rFonts w:ascii="Times New Roman" w:eastAsia="Times New Roman" w:hAnsi="Times New Roman" w:cs="Times New Roman"/>
          <w:bCs/>
          <w:sz w:val="24"/>
          <w:szCs w:val="20"/>
          <w:lang w:eastAsia="pl-PL"/>
        </w:rPr>
        <w:t xml:space="preserve"> </w:t>
      </w:r>
      <w:r w:rsidRPr="00432959">
        <w:rPr>
          <w:rFonts w:ascii="Times New Roman" w:eastAsia="Times New Roman" w:hAnsi="Times New Roman" w:cs="Times New Roman"/>
          <w:bCs/>
          <w:sz w:val="24"/>
          <w:szCs w:val="20"/>
          <w:lang w:eastAsia="pl-PL"/>
        </w:rPr>
        <w:t>U. z 2021 r. poz. 305), ustawy z dnia 17</w:t>
      </w:r>
      <w:r w:rsidR="00816F8E">
        <w:rPr>
          <w:rFonts w:ascii="Times New Roman" w:eastAsia="Times New Roman" w:hAnsi="Times New Roman" w:cs="Times New Roman"/>
          <w:bCs/>
          <w:sz w:val="24"/>
          <w:szCs w:val="20"/>
          <w:lang w:eastAsia="pl-PL"/>
        </w:rPr>
        <w:t> </w:t>
      </w:r>
      <w:r w:rsidRPr="00432959">
        <w:rPr>
          <w:rFonts w:ascii="Times New Roman" w:eastAsia="Times New Roman" w:hAnsi="Times New Roman" w:cs="Times New Roman"/>
          <w:bCs/>
          <w:sz w:val="24"/>
          <w:szCs w:val="20"/>
          <w:lang w:eastAsia="pl-PL"/>
        </w:rPr>
        <w:t>czerwca 1966 r.</w:t>
      </w:r>
      <w:r w:rsidR="00442716">
        <w:rPr>
          <w:rFonts w:ascii="Times New Roman" w:eastAsia="Times New Roman" w:hAnsi="Times New Roman" w:cs="Times New Roman"/>
          <w:bCs/>
          <w:sz w:val="24"/>
          <w:szCs w:val="20"/>
          <w:lang w:eastAsia="pl-PL"/>
        </w:rPr>
        <w:t xml:space="preserve"> </w:t>
      </w:r>
      <w:r w:rsidRPr="00432959">
        <w:rPr>
          <w:rFonts w:ascii="Times New Roman" w:eastAsia="Times New Roman" w:hAnsi="Times New Roman" w:cs="Times New Roman"/>
          <w:bCs/>
          <w:sz w:val="24"/>
          <w:szCs w:val="20"/>
          <w:lang w:eastAsia="pl-PL"/>
        </w:rPr>
        <w:t>o postępowaniu egzekucyjnym w administracji (Dz.</w:t>
      </w:r>
      <w:r w:rsidR="00442716">
        <w:rPr>
          <w:rFonts w:ascii="Times New Roman" w:eastAsia="Times New Roman" w:hAnsi="Times New Roman" w:cs="Times New Roman"/>
          <w:bCs/>
          <w:sz w:val="24"/>
          <w:szCs w:val="20"/>
          <w:lang w:eastAsia="pl-PL"/>
        </w:rPr>
        <w:t xml:space="preserve"> </w:t>
      </w:r>
      <w:r w:rsidRPr="00432959">
        <w:rPr>
          <w:rFonts w:ascii="Times New Roman" w:eastAsia="Times New Roman" w:hAnsi="Times New Roman" w:cs="Times New Roman"/>
          <w:bCs/>
          <w:sz w:val="24"/>
          <w:szCs w:val="20"/>
          <w:lang w:eastAsia="pl-PL"/>
        </w:rPr>
        <w:t xml:space="preserve">U. z 2020 r. poz. 1427, z </w:t>
      </w:r>
      <w:proofErr w:type="spellStart"/>
      <w:r w:rsidRPr="00432959">
        <w:rPr>
          <w:rFonts w:ascii="Times New Roman" w:eastAsia="Times New Roman" w:hAnsi="Times New Roman" w:cs="Times New Roman"/>
          <w:bCs/>
          <w:sz w:val="24"/>
          <w:szCs w:val="20"/>
          <w:lang w:eastAsia="pl-PL"/>
        </w:rPr>
        <w:t>późn</w:t>
      </w:r>
      <w:proofErr w:type="spellEnd"/>
      <w:r w:rsidRPr="00432959">
        <w:rPr>
          <w:rFonts w:ascii="Times New Roman" w:eastAsia="Times New Roman" w:hAnsi="Times New Roman" w:cs="Times New Roman"/>
          <w:bCs/>
          <w:sz w:val="24"/>
          <w:szCs w:val="20"/>
          <w:lang w:eastAsia="pl-PL"/>
        </w:rPr>
        <w:t xml:space="preserve">. zm.) ustawy z dnia 6 czerwca 1997 r. </w:t>
      </w:r>
      <w:r w:rsidR="00442716">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Kodeks karny wykonawczy (Dz.</w:t>
      </w:r>
      <w:r w:rsidR="0069654B">
        <w:rPr>
          <w:rFonts w:ascii="Times New Roman" w:eastAsia="Times New Roman" w:hAnsi="Times New Roman" w:cs="Times New Roman"/>
          <w:bCs/>
          <w:sz w:val="24"/>
          <w:szCs w:val="20"/>
          <w:lang w:eastAsia="pl-PL"/>
        </w:rPr>
        <w:t> </w:t>
      </w:r>
      <w:r w:rsidRPr="00432959">
        <w:rPr>
          <w:rFonts w:ascii="Times New Roman" w:eastAsia="Times New Roman" w:hAnsi="Times New Roman" w:cs="Times New Roman"/>
          <w:bCs/>
          <w:sz w:val="24"/>
          <w:szCs w:val="20"/>
          <w:lang w:eastAsia="pl-PL"/>
        </w:rPr>
        <w:t>U. z</w:t>
      </w:r>
      <w:r w:rsidR="00442716">
        <w:rPr>
          <w:rFonts w:ascii="Times New Roman" w:eastAsia="Times New Roman" w:hAnsi="Times New Roman" w:cs="Times New Roman"/>
          <w:bCs/>
          <w:sz w:val="24"/>
          <w:szCs w:val="20"/>
          <w:lang w:eastAsia="pl-PL"/>
        </w:rPr>
        <w:t xml:space="preserve"> </w:t>
      </w:r>
      <w:r w:rsidRPr="00432959">
        <w:rPr>
          <w:rFonts w:ascii="Times New Roman" w:eastAsia="Times New Roman" w:hAnsi="Times New Roman" w:cs="Times New Roman"/>
          <w:bCs/>
          <w:sz w:val="24"/>
          <w:szCs w:val="20"/>
          <w:lang w:eastAsia="pl-PL"/>
        </w:rPr>
        <w:t>2021</w:t>
      </w:r>
      <w:r w:rsidR="00442716">
        <w:rPr>
          <w:rFonts w:ascii="Times New Roman" w:eastAsia="Times New Roman" w:hAnsi="Times New Roman" w:cs="Times New Roman"/>
          <w:bCs/>
          <w:sz w:val="24"/>
          <w:szCs w:val="20"/>
          <w:lang w:eastAsia="pl-PL"/>
        </w:rPr>
        <w:t xml:space="preserve"> </w:t>
      </w:r>
      <w:r w:rsidRPr="00432959">
        <w:rPr>
          <w:rFonts w:ascii="Times New Roman" w:eastAsia="Times New Roman" w:hAnsi="Times New Roman" w:cs="Times New Roman"/>
          <w:bCs/>
          <w:sz w:val="24"/>
          <w:szCs w:val="20"/>
          <w:lang w:eastAsia="pl-PL"/>
        </w:rPr>
        <w:t xml:space="preserve">r. poz. 53 i 472) oraz ustawy z dnia 27 lipca 2001 r. </w:t>
      </w:r>
      <w:r w:rsidR="00442716">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Prawo o ustroju sądów powszechnych (Dz.</w:t>
      </w:r>
      <w:r w:rsidR="00442716">
        <w:rPr>
          <w:rFonts w:ascii="Times New Roman" w:eastAsia="Times New Roman" w:hAnsi="Times New Roman" w:cs="Times New Roman"/>
          <w:bCs/>
          <w:sz w:val="24"/>
          <w:szCs w:val="20"/>
          <w:lang w:eastAsia="pl-PL"/>
        </w:rPr>
        <w:t xml:space="preserve"> </w:t>
      </w:r>
      <w:r w:rsidRPr="00432959">
        <w:rPr>
          <w:rFonts w:ascii="Times New Roman" w:eastAsia="Times New Roman" w:hAnsi="Times New Roman" w:cs="Times New Roman"/>
          <w:bCs/>
          <w:sz w:val="24"/>
          <w:szCs w:val="20"/>
          <w:lang w:eastAsia="pl-PL"/>
        </w:rPr>
        <w:t>U. z 2020 r. poz. 2072)</w:t>
      </w:r>
      <w:r w:rsidR="00816F8E">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podyktowana jest koniecznością ustawowego uregulowania trybu zarządzania sumami depozytowymi uzyskanymi w związku z postępowaniami prowadzonymi lub nadzorowanymi w powszechnych jednostkach organizacyjnych prokuratury lub bieżącym funkcjonowaniem tych jednostek, w tym w szczególności pochodzącymi z dokonanych zabezpieczeń majątkowych oraz wpłat poręczeń majątkowych, w celu wyeliminowania ryzyka ewentualnych nieprawidłowości oraz ujednolicenia praktyki w tym zakresie.</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Brak przepisów prawnych odnoszących się do tych kwestii skutkuje bowiem intuicyjnym wręcz postępowaniem z zabezpieczonymi sumami depozytowymi, jedynie w drodze analogii wzorowanym na postępowaniu z depozytami sądowymi. Przechowywanie sum depozytowy</w:t>
      </w:r>
      <w:r w:rsidR="00816F8E">
        <w:rPr>
          <w:rFonts w:ascii="Times New Roman" w:eastAsia="Times New Roman" w:hAnsi="Times New Roman" w:cs="Times New Roman"/>
          <w:bCs/>
          <w:sz w:val="24"/>
          <w:szCs w:val="20"/>
          <w:lang w:eastAsia="pl-PL"/>
        </w:rPr>
        <w:t>ch</w:t>
      </w:r>
      <w:r w:rsidRPr="00432959">
        <w:rPr>
          <w:rFonts w:ascii="Times New Roman" w:eastAsia="Times New Roman" w:hAnsi="Times New Roman" w:cs="Times New Roman"/>
          <w:bCs/>
          <w:sz w:val="24"/>
          <w:szCs w:val="20"/>
          <w:lang w:eastAsia="pl-PL"/>
        </w:rPr>
        <w:t xml:space="preserve"> w różny sposób przez poszczególne powszechne jednostki organizacyjne prokuratury w rezultacie powoduje niezasadne zróżnicowanie sytuacji podmiotów z depozytami tymi w taki czy inny sposób związanych. Co więcej, gromadzenie środków depozytowych na różnych rachunkach i w różny sposób uniemożliwia uzyskiwanie niezbędnych dla zapewnienia prawidłowej kontroli informacji o ich ilości i wartości według stanu na dany dzień, ich podziale na depozyty aktywne i zalegające itp.</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Wprowadzenie stosownych regulacji w tym zakresie wymaga dokonania zmiany nie tylko w ustawie z dnia 28 stycznia 2016 r. – Prawo o prokuraturze, ale także w innych aktach prawnych, w tym także rangi ustaw</w:t>
      </w:r>
      <w:r w:rsidR="00DF717E">
        <w:rPr>
          <w:rFonts w:ascii="Times New Roman" w:eastAsia="Times New Roman" w:hAnsi="Times New Roman" w:cs="Times New Roman"/>
          <w:bCs/>
          <w:sz w:val="24"/>
          <w:szCs w:val="20"/>
          <w:lang w:eastAsia="pl-PL"/>
        </w:rPr>
        <w:t>owej</w:t>
      </w:r>
      <w:r w:rsidRPr="00432959">
        <w:rPr>
          <w:rFonts w:ascii="Times New Roman" w:eastAsia="Times New Roman" w:hAnsi="Times New Roman" w:cs="Times New Roman"/>
          <w:bCs/>
          <w:sz w:val="24"/>
          <w:szCs w:val="20"/>
          <w:lang w:eastAsia="pl-PL"/>
        </w:rPr>
        <w:t>, których zakresy unormowań na tym polu się uzupełniają.</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 xml:space="preserve">Stąd też w ustawie z dnia 28 stycznia 2016 r. – Prawo o prokuraturze konieczne jest dodanie art. 53a, który wykreuje, analogicznie jak ma to miejsce w odniesieniu do depozytów sądowych, obowiązek gromadzenia sum depozytowych powszechnych jednostek organizacyjnych prokuratury na rachunkach depozytowych Ministra Finansów, o których mowa w art. 83a ust. 1 ustawy z dnia 27 sierpnia 2009 r. o finansach </w:t>
      </w:r>
      <w:r w:rsidRPr="00432959">
        <w:rPr>
          <w:rFonts w:ascii="Times New Roman" w:eastAsia="Times New Roman" w:hAnsi="Times New Roman" w:cs="Times New Roman"/>
          <w:bCs/>
          <w:sz w:val="24"/>
          <w:szCs w:val="20"/>
          <w:lang w:eastAsia="pl-PL"/>
        </w:rPr>
        <w:lastRenderedPageBreak/>
        <w:t xml:space="preserve">publicznych, a kompetencje do dysponowania tymi rachunkami przyzna kierownikom właściwych jednostek organizacyjnych prokuratury (art. 1 projektu ustawy). Z zakresu tej regulacji wyłączone będą środki płatnicze, które w związku z prowadzonymi postępowaniami karnymi należy zachować w oryginale, jako stanowiące dowód rzeczowy. </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Skoro zaś przywołany przepis odwołuje się w swojej treści do rachunków depozytowych Ministra Finansów znajdujących swoje unormowanie w ustawie z dnia 27 sierpnia 2009</w:t>
      </w:r>
      <w:r w:rsidR="00A6501E">
        <w:rPr>
          <w:rFonts w:ascii="Times New Roman" w:eastAsia="Times New Roman" w:hAnsi="Times New Roman" w:cs="Times New Roman"/>
          <w:bCs/>
          <w:sz w:val="24"/>
          <w:szCs w:val="20"/>
          <w:lang w:eastAsia="pl-PL"/>
        </w:rPr>
        <w:t> </w:t>
      </w:r>
      <w:r w:rsidRPr="00432959">
        <w:rPr>
          <w:rFonts w:ascii="Times New Roman" w:eastAsia="Times New Roman" w:hAnsi="Times New Roman" w:cs="Times New Roman"/>
          <w:bCs/>
          <w:sz w:val="24"/>
          <w:szCs w:val="20"/>
          <w:lang w:eastAsia="pl-PL"/>
        </w:rPr>
        <w:t>r. o finansach publicznych, niezbędne jest także dokonanie zmiany jej przepisów przez wyraźne wskazanie w art. 83a ust. 1 tej ustawy, że są one zakładane przez Ministra Finansów w Banku Gospodarstwa Krajowego także w celu przechowywania na nich sum depozytowych powszechnych jednostek organizacyjnych prokuratury (art. 2 pkt 1 projektu ustawy).</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Równocześnie</w:t>
      </w:r>
      <w:r w:rsidR="00927789">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mając na względzie, że w toku postępowań przygotowawczych niejednokrotnie zabezpieczone zostają środki pieniężne w walutach obcych (np. jako dowód rzeczowy czy przedmiot zabezpieczenia majątkowego) i co więcej</w:t>
      </w:r>
      <w:r w:rsidR="00F36F44">
        <w:rPr>
          <w:rFonts w:ascii="Times New Roman" w:eastAsia="Times New Roman" w:hAnsi="Times New Roman" w:cs="Times New Roman"/>
          <w:bCs/>
          <w:sz w:val="24"/>
          <w:szCs w:val="20"/>
          <w:lang w:eastAsia="pl-PL"/>
        </w:rPr>
        <w:t xml:space="preserve"> –</w:t>
      </w:r>
      <w:r w:rsidRPr="00432959">
        <w:rPr>
          <w:rFonts w:ascii="Times New Roman" w:eastAsia="Times New Roman" w:hAnsi="Times New Roman" w:cs="Times New Roman"/>
          <w:bCs/>
          <w:sz w:val="24"/>
          <w:szCs w:val="20"/>
          <w:lang w:eastAsia="pl-PL"/>
        </w:rPr>
        <w:t xml:space="preserve"> w tej samej walucie przekazywane są do depozytów sądowych, w celu wyeliminowania istniejącej w tym zakresie dotychczas luki prawnej konieczne jest określenie sposobu przechowywania takich sum depozytowych i depozytów sądowych na rachunkach depozytowych Ministra Finansów. Stąd też w art. 2 pkt 2 projektu ustawy dodano w art. 83a ustawy z dnia 27</w:t>
      </w:r>
      <w:r w:rsidR="00F36F44">
        <w:rPr>
          <w:rFonts w:ascii="Times New Roman" w:eastAsia="Times New Roman" w:hAnsi="Times New Roman" w:cs="Times New Roman"/>
          <w:bCs/>
          <w:sz w:val="24"/>
          <w:szCs w:val="20"/>
          <w:lang w:eastAsia="pl-PL"/>
        </w:rPr>
        <w:t> </w:t>
      </w:r>
      <w:r w:rsidRPr="00432959">
        <w:rPr>
          <w:rFonts w:ascii="Times New Roman" w:eastAsia="Times New Roman" w:hAnsi="Times New Roman" w:cs="Times New Roman"/>
          <w:bCs/>
          <w:sz w:val="24"/>
          <w:szCs w:val="20"/>
          <w:lang w:eastAsia="pl-PL"/>
        </w:rPr>
        <w:t>sierpnia 2009 r. o finansach publicznych ust. la–</w:t>
      </w:r>
      <w:proofErr w:type="spellStart"/>
      <w:r w:rsidRPr="00432959">
        <w:rPr>
          <w:rFonts w:ascii="Times New Roman" w:eastAsia="Times New Roman" w:hAnsi="Times New Roman" w:cs="Times New Roman"/>
          <w:bCs/>
          <w:sz w:val="24"/>
          <w:szCs w:val="20"/>
          <w:lang w:eastAsia="pl-PL"/>
        </w:rPr>
        <w:t>ld</w:t>
      </w:r>
      <w:proofErr w:type="spellEnd"/>
      <w:r w:rsidRPr="00432959">
        <w:rPr>
          <w:rFonts w:ascii="Times New Roman" w:eastAsia="Times New Roman" w:hAnsi="Times New Roman" w:cs="Times New Roman"/>
          <w:bCs/>
          <w:sz w:val="24"/>
          <w:szCs w:val="20"/>
          <w:lang w:eastAsia="pl-PL"/>
        </w:rPr>
        <w:t xml:space="preserve"> określające: waluty, w jakich prowadzone są rachunki depozytowe Ministra Finansów, sposób dokonywania wpłat gotówkowych i bezgotówkowych na rachunki depozytowe Ministra Finansów w walutach innych aniżeli te, w których rachunki te są prowadzone, waluty, w których dokonywane są wypłaty z rachunków depozytowych Ministra Finansów.</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 xml:space="preserve">Ujednoliceniu praktyki oraz zapewnieniu takiej samej sytuacji osób, na których mieniu dokonano zabezpieczeń majątkowych w toku postępowań prowadzonych w różnych powszechnych jednostkach organizacyjnych prokuratury, i to niezależnie od tego, jakie orzeczenie zostaje zabezpieczone, ma także służyć ujęta w art. 4 projektu ustawy zmiana przepisów ustawy z dnia 6 czerwca 1997 r. </w:t>
      </w:r>
      <w:r w:rsidR="00442716">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Kodeks karny wykonawczy</w:t>
      </w:r>
      <w:r w:rsidR="00F36F44">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Dotychczas bowiem tryb zarządzania będącymi przedmiotem zabezpieczenia majątkowego środkami finansowymi uzyskanymi w wyniku czynności, takich jak zatrzymanie, przeszukanie, tymczasowe zajęcie mienia, dobrowolne wydanie, pozostawał nieuregulowany, co skutkowało dokonywaniem ich wpłaty głównie bądź to na rachunki bankowe prowadzone dla poszczególnych prokuratur przez różne banki, bądź też, praktycznie bez podstawy prawnej </w:t>
      </w:r>
      <w:r w:rsidR="00442716">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na rachunki depozytowe Ministra Finansów prowadzone dla sądów. Z kolei będące przedmiotem zabezpieczenia majątkowego środki uzyskane w wyniku czynności wykonawczych zrealizowanych przez:</w:t>
      </w:r>
    </w:p>
    <w:p w:rsidR="00C85835" w:rsidRPr="00432959" w:rsidRDefault="00442716" w:rsidP="00432959">
      <w:pPr>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0"/>
          <w:lang w:eastAsia="pl-PL"/>
        </w:rPr>
      </w:pPr>
      <w:r>
        <w:rPr>
          <w:rFonts w:ascii="Times New Roman" w:eastAsia="Times New Roman" w:hAnsi="Times New Roman" w:cs="Times New Roman"/>
          <w:bCs/>
          <w:sz w:val="24"/>
          <w:szCs w:val="20"/>
          <w:lang w:eastAsia="pl-PL"/>
        </w:rPr>
        <w:t>–</w:t>
      </w:r>
      <w:r>
        <w:rPr>
          <w:rFonts w:ascii="Times New Roman" w:eastAsia="Times New Roman" w:hAnsi="Times New Roman" w:cs="Times New Roman"/>
          <w:bCs/>
          <w:sz w:val="24"/>
          <w:szCs w:val="20"/>
          <w:lang w:eastAsia="pl-PL"/>
        </w:rPr>
        <w:tab/>
      </w:r>
      <w:r w:rsidR="00C85835" w:rsidRPr="00432959">
        <w:rPr>
          <w:rFonts w:ascii="Times New Roman" w:eastAsia="Times New Roman" w:hAnsi="Times New Roman" w:cs="Times New Roman"/>
          <w:bCs/>
          <w:sz w:val="24"/>
          <w:szCs w:val="20"/>
          <w:lang w:eastAsia="pl-PL"/>
        </w:rPr>
        <w:t xml:space="preserve">komornika sądowego </w:t>
      </w:r>
      <w:r>
        <w:rPr>
          <w:rFonts w:ascii="Times New Roman" w:eastAsia="Times New Roman" w:hAnsi="Times New Roman" w:cs="Times New Roman"/>
          <w:bCs/>
          <w:sz w:val="24"/>
          <w:szCs w:val="20"/>
          <w:lang w:eastAsia="pl-PL"/>
        </w:rPr>
        <w:t>–</w:t>
      </w:r>
      <w:r w:rsidR="00C85835" w:rsidRPr="00432959">
        <w:rPr>
          <w:rFonts w:ascii="Times New Roman" w:eastAsia="Times New Roman" w:hAnsi="Times New Roman" w:cs="Times New Roman"/>
          <w:bCs/>
          <w:sz w:val="24"/>
          <w:szCs w:val="20"/>
          <w:lang w:eastAsia="pl-PL"/>
        </w:rPr>
        <w:t xml:space="preserve"> zgodnie z unormowaniami ustawy z dnia 17 listopada 1964</w:t>
      </w:r>
      <w:r w:rsidR="00AF72BD">
        <w:rPr>
          <w:rFonts w:ascii="Times New Roman" w:eastAsia="Times New Roman" w:hAnsi="Times New Roman" w:cs="Times New Roman"/>
          <w:bCs/>
          <w:sz w:val="24"/>
          <w:szCs w:val="20"/>
          <w:lang w:eastAsia="pl-PL"/>
        </w:rPr>
        <w:t> </w:t>
      </w:r>
      <w:r w:rsidR="00C85835" w:rsidRPr="00432959">
        <w:rPr>
          <w:rFonts w:ascii="Times New Roman" w:eastAsia="Times New Roman" w:hAnsi="Times New Roman" w:cs="Times New Roman"/>
          <w:bCs/>
          <w:sz w:val="24"/>
          <w:szCs w:val="20"/>
          <w:lang w:eastAsia="pl-PL"/>
        </w:rPr>
        <w:t xml:space="preserve">r. </w:t>
      </w:r>
      <w:r>
        <w:rPr>
          <w:rFonts w:ascii="Times New Roman" w:eastAsia="Times New Roman" w:hAnsi="Times New Roman" w:cs="Times New Roman"/>
          <w:bCs/>
          <w:sz w:val="24"/>
          <w:szCs w:val="20"/>
          <w:lang w:eastAsia="pl-PL"/>
        </w:rPr>
        <w:t>–</w:t>
      </w:r>
      <w:r w:rsidR="00C85835" w:rsidRPr="00432959">
        <w:rPr>
          <w:rFonts w:ascii="Times New Roman" w:eastAsia="Times New Roman" w:hAnsi="Times New Roman" w:cs="Times New Roman"/>
          <w:bCs/>
          <w:sz w:val="24"/>
          <w:szCs w:val="20"/>
          <w:lang w:eastAsia="pl-PL"/>
        </w:rPr>
        <w:t xml:space="preserve"> Kodeks postępowania cywilnego (Dz.</w:t>
      </w:r>
      <w:r>
        <w:rPr>
          <w:rFonts w:ascii="Times New Roman" w:eastAsia="Times New Roman" w:hAnsi="Times New Roman" w:cs="Times New Roman"/>
          <w:bCs/>
          <w:sz w:val="24"/>
          <w:szCs w:val="20"/>
          <w:lang w:eastAsia="pl-PL"/>
        </w:rPr>
        <w:t xml:space="preserve"> </w:t>
      </w:r>
      <w:r w:rsidR="00C85835" w:rsidRPr="00432959">
        <w:rPr>
          <w:rFonts w:ascii="Times New Roman" w:eastAsia="Times New Roman" w:hAnsi="Times New Roman" w:cs="Times New Roman"/>
          <w:bCs/>
          <w:sz w:val="24"/>
          <w:szCs w:val="20"/>
          <w:lang w:eastAsia="pl-PL"/>
        </w:rPr>
        <w:t xml:space="preserve">U. z 2020 r. poz. 1575, z </w:t>
      </w:r>
      <w:proofErr w:type="spellStart"/>
      <w:r w:rsidR="00C85835" w:rsidRPr="00432959">
        <w:rPr>
          <w:rFonts w:ascii="Times New Roman" w:eastAsia="Times New Roman" w:hAnsi="Times New Roman" w:cs="Times New Roman"/>
          <w:bCs/>
          <w:sz w:val="24"/>
          <w:szCs w:val="20"/>
          <w:lang w:eastAsia="pl-PL"/>
        </w:rPr>
        <w:t>późn</w:t>
      </w:r>
      <w:proofErr w:type="spellEnd"/>
      <w:r w:rsidR="00C85835" w:rsidRPr="00432959">
        <w:rPr>
          <w:rFonts w:ascii="Times New Roman" w:eastAsia="Times New Roman" w:hAnsi="Times New Roman" w:cs="Times New Roman"/>
          <w:bCs/>
          <w:sz w:val="24"/>
          <w:szCs w:val="20"/>
          <w:lang w:eastAsia="pl-PL"/>
        </w:rPr>
        <w:t xml:space="preserve">. zm.), a w szczególności art. 752 § 1 k.p.c. </w:t>
      </w:r>
      <w:r>
        <w:rPr>
          <w:rFonts w:ascii="Times New Roman" w:eastAsia="Times New Roman" w:hAnsi="Times New Roman" w:cs="Times New Roman"/>
          <w:bCs/>
          <w:sz w:val="24"/>
          <w:szCs w:val="20"/>
          <w:lang w:eastAsia="pl-PL"/>
        </w:rPr>
        <w:t xml:space="preserve">– </w:t>
      </w:r>
      <w:r w:rsidR="00C85835" w:rsidRPr="00432959">
        <w:rPr>
          <w:rFonts w:ascii="Times New Roman" w:eastAsia="Times New Roman" w:hAnsi="Times New Roman" w:cs="Times New Roman"/>
          <w:bCs/>
          <w:sz w:val="24"/>
          <w:szCs w:val="20"/>
          <w:lang w:eastAsia="pl-PL"/>
        </w:rPr>
        <w:t>przechowywane były na rachunku depozytowym Ministra Finansów, zaś</w:t>
      </w:r>
    </w:p>
    <w:p w:rsidR="00C85835" w:rsidRPr="00432959" w:rsidRDefault="00442716" w:rsidP="00432959">
      <w:pPr>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0"/>
          <w:lang w:eastAsia="pl-PL"/>
        </w:rPr>
      </w:pPr>
      <w:r>
        <w:rPr>
          <w:rFonts w:ascii="Times New Roman" w:eastAsia="Times New Roman" w:hAnsi="Times New Roman" w:cs="Times New Roman"/>
          <w:bCs/>
          <w:sz w:val="24"/>
          <w:szCs w:val="20"/>
          <w:lang w:eastAsia="pl-PL"/>
        </w:rPr>
        <w:t>–</w:t>
      </w:r>
      <w:r>
        <w:rPr>
          <w:rFonts w:ascii="Times New Roman" w:eastAsia="Times New Roman" w:hAnsi="Times New Roman" w:cs="Times New Roman"/>
          <w:bCs/>
          <w:sz w:val="24"/>
          <w:szCs w:val="20"/>
          <w:lang w:eastAsia="pl-PL"/>
        </w:rPr>
        <w:tab/>
      </w:r>
      <w:r w:rsidR="00C85835" w:rsidRPr="00432959">
        <w:rPr>
          <w:rFonts w:ascii="Times New Roman" w:eastAsia="Times New Roman" w:hAnsi="Times New Roman" w:cs="Times New Roman"/>
          <w:bCs/>
          <w:sz w:val="24"/>
          <w:szCs w:val="20"/>
          <w:lang w:eastAsia="pl-PL"/>
        </w:rPr>
        <w:t xml:space="preserve">naczelnika urzędu skarbowego </w:t>
      </w:r>
      <w:r>
        <w:rPr>
          <w:rFonts w:ascii="Times New Roman" w:eastAsia="Times New Roman" w:hAnsi="Times New Roman" w:cs="Times New Roman"/>
          <w:bCs/>
          <w:sz w:val="24"/>
          <w:szCs w:val="20"/>
          <w:lang w:eastAsia="pl-PL"/>
        </w:rPr>
        <w:t>–</w:t>
      </w:r>
      <w:r w:rsidR="00C85835" w:rsidRPr="00432959">
        <w:rPr>
          <w:rFonts w:ascii="Times New Roman" w:eastAsia="Times New Roman" w:hAnsi="Times New Roman" w:cs="Times New Roman"/>
          <w:bCs/>
          <w:sz w:val="24"/>
          <w:szCs w:val="20"/>
          <w:lang w:eastAsia="pl-PL"/>
        </w:rPr>
        <w:t xml:space="preserve"> zgodnie z przepisami ustawy z dnia 17 czerwca 1966 r. o postępowaniu egzekucyjnym w administracji (Dz.</w:t>
      </w:r>
      <w:r>
        <w:rPr>
          <w:rFonts w:ascii="Times New Roman" w:eastAsia="Times New Roman" w:hAnsi="Times New Roman" w:cs="Times New Roman"/>
          <w:bCs/>
          <w:sz w:val="24"/>
          <w:szCs w:val="20"/>
          <w:lang w:eastAsia="pl-PL"/>
        </w:rPr>
        <w:t xml:space="preserve"> </w:t>
      </w:r>
      <w:r w:rsidR="00C85835" w:rsidRPr="00432959">
        <w:rPr>
          <w:rFonts w:ascii="Times New Roman" w:eastAsia="Times New Roman" w:hAnsi="Times New Roman" w:cs="Times New Roman"/>
          <w:bCs/>
          <w:sz w:val="24"/>
          <w:szCs w:val="20"/>
          <w:lang w:eastAsia="pl-PL"/>
        </w:rPr>
        <w:t xml:space="preserve">U. z 2020 r. poz. 1427, z </w:t>
      </w:r>
      <w:proofErr w:type="spellStart"/>
      <w:r w:rsidR="00C85835" w:rsidRPr="00432959">
        <w:rPr>
          <w:rFonts w:ascii="Times New Roman" w:eastAsia="Times New Roman" w:hAnsi="Times New Roman" w:cs="Times New Roman"/>
          <w:bCs/>
          <w:sz w:val="24"/>
          <w:szCs w:val="20"/>
          <w:lang w:eastAsia="pl-PL"/>
        </w:rPr>
        <w:t>późn</w:t>
      </w:r>
      <w:proofErr w:type="spellEnd"/>
      <w:r w:rsidR="00C85835" w:rsidRPr="00432959">
        <w:rPr>
          <w:rFonts w:ascii="Times New Roman" w:eastAsia="Times New Roman" w:hAnsi="Times New Roman" w:cs="Times New Roman"/>
          <w:bCs/>
          <w:sz w:val="24"/>
          <w:szCs w:val="20"/>
          <w:lang w:eastAsia="pl-PL"/>
        </w:rPr>
        <w:t xml:space="preserve">. zm.) </w:t>
      </w:r>
      <w:r>
        <w:rPr>
          <w:rFonts w:ascii="Times New Roman" w:eastAsia="Times New Roman" w:hAnsi="Times New Roman" w:cs="Times New Roman"/>
          <w:bCs/>
          <w:sz w:val="24"/>
          <w:szCs w:val="20"/>
          <w:lang w:eastAsia="pl-PL"/>
        </w:rPr>
        <w:t>–</w:t>
      </w:r>
      <w:r w:rsidR="00C85835" w:rsidRPr="00432959">
        <w:rPr>
          <w:rFonts w:ascii="Times New Roman" w:eastAsia="Times New Roman" w:hAnsi="Times New Roman" w:cs="Times New Roman"/>
          <w:bCs/>
          <w:sz w:val="24"/>
          <w:szCs w:val="20"/>
          <w:lang w:eastAsia="pl-PL"/>
        </w:rPr>
        <w:t xml:space="preserve"> przechowywane były na oprocentowanym rachunku bankowym tego organu egzekucyjnego, a w przypadku gdy z okoliczności sprawy wynikało, że zabezpieczenie będzie trwać dłużej niż 3 miesiące </w:t>
      </w:r>
      <w:r>
        <w:rPr>
          <w:rFonts w:ascii="Times New Roman" w:eastAsia="Times New Roman" w:hAnsi="Times New Roman" w:cs="Times New Roman"/>
          <w:bCs/>
          <w:sz w:val="24"/>
          <w:szCs w:val="20"/>
          <w:lang w:eastAsia="pl-PL"/>
        </w:rPr>
        <w:t>–</w:t>
      </w:r>
      <w:r w:rsidR="00C85835" w:rsidRPr="00432959">
        <w:rPr>
          <w:rFonts w:ascii="Times New Roman" w:eastAsia="Times New Roman" w:hAnsi="Times New Roman" w:cs="Times New Roman"/>
          <w:bCs/>
          <w:sz w:val="24"/>
          <w:szCs w:val="20"/>
          <w:lang w:eastAsia="pl-PL"/>
        </w:rPr>
        <w:t xml:space="preserve"> na wniosek zainteresowanego </w:t>
      </w:r>
      <w:r>
        <w:rPr>
          <w:rFonts w:ascii="Times New Roman" w:eastAsia="Times New Roman" w:hAnsi="Times New Roman" w:cs="Times New Roman"/>
          <w:bCs/>
          <w:sz w:val="24"/>
          <w:szCs w:val="20"/>
          <w:lang w:eastAsia="pl-PL"/>
        </w:rPr>
        <w:t>–</w:t>
      </w:r>
      <w:r w:rsidR="00C85835" w:rsidRPr="00432959">
        <w:rPr>
          <w:rFonts w:ascii="Times New Roman" w:eastAsia="Times New Roman" w:hAnsi="Times New Roman" w:cs="Times New Roman"/>
          <w:bCs/>
          <w:sz w:val="24"/>
          <w:szCs w:val="20"/>
          <w:lang w:eastAsia="pl-PL"/>
        </w:rPr>
        <w:t xml:space="preserve"> na lokacie terminowej.</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
          <w:sz w:val="24"/>
          <w:szCs w:val="20"/>
          <w:lang w:eastAsia="pl-PL"/>
        </w:rPr>
      </w:pPr>
      <w:r w:rsidRPr="00432959">
        <w:rPr>
          <w:rFonts w:ascii="Times New Roman" w:eastAsia="Times New Roman" w:hAnsi="Times New Roman" w:cs="Times New Roman"/>
          <w:bCs/>
          <w:sz w:val="24"/>
          <w:szCs w:val="20"/>
          <w:lang w:eastAsia="pl-PL"/>
        </w:rPr>
        <w:t>Dlatego też, kierując się wskazanymi na wstępie względami na mocy art. 4 projektu ustawy</w:t>
      </w:r>
      <w:r w:rsidR="00AF72BD">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w ustawie z dnia 6 czerwca 1997 r. </w:t>
      </w:r>
      <w:r w:rsidR="00442716">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Kodeks karny wykonawczy dodaje się art.</w:t>
      </w:r>
      <w:r w:rsidR="00AF72BD">
        <w:rPr>
          <w:rFonts w:ascii="Times New Roman" w:eastAsia="Times New Roman" w:hAnsi="Times New Roman" w:cs="Times New Roman"/>
          <w:bCs/>
          <w:sz w:val="24"/>
          <w:szCs w:val="20"/>
          <w:lang w:eastAsia="pl-PL"/>
        </w:rPr>
        <w:t> </w:t>
      </w:r>
      <w:r w:rsidRPr="00432959">
        <w:rPr>
          <w:rFonts w:ascii="Times New Roman" w:eastAsia="Times New Roman" w:hAnsi="Times New Roman" w:cs="Times New Roman"/>
          <w:bCs/>
          <w:sz w:val="24"/>
          <w:szCs w:val="20"/>
          <w:lang w:eastAsia="pl-PL"/>
        </w:rPr>
        <w:t>27b, zgodnie z którym środki pieniężne podlegające zabezpieczeniu majątkowemu na podstawie postanowienia sądu lub prokuratora przechowuje się na rachunkach depozytowych Ministra Finansów, o których mowa w art. 83a ust. 1 ustawy z dnia 27</w:t>
      </w:r>
      <w:r w:rsidR="00D5195A">
        <w:rPr>
          <w:rFonts w:ascii="Times New Roman" w:eastAsia="Times New Roman" w:hAnsi="Times New Roman" w:cs="Times New Roman"/>
          <w:bCs/>
          <w:sz w:val="24"/>
          <w:szCs w:val="20"/>
          <w:lang w:eastAsia="pl-PL"/>
        </w:rPr>
        <w:t> </w:t>
      </w:r>
      <w:r w:rsidRPr="00432959">
        <w:rPr>
          <w:rFonts w:ascii="Times New Roman" w:eastAsia="Times New Roman" w:hAnsi="Times New Roman" w:cs="Times New Roman"/>
          <w:bCs/>
          <w:sz w:val="24"/>
          <w:szCs w:val="20"/>
          <w:lang w:eastAsia="pl-PL"/>
        </w:rPr>
        <w:t>sierpnia 2009 r. o finansach publicznych. Przy czym, o ile w przypadku powszechnych jednostek organizacyjnych prokuratury na mocy dodawanego przepisu określa się obowiązki prokuratora w zakresie przechowywania środków pieniężnych pochodzących z zabezpieczeń majątkowych w sposób dostosowany do wprowadzonych zmian w niniejszym projekcie, o tyle w przypadku sądów przepis powyższy stanowi potwierdzenie już funkcjonujących rozwiązań w zakresie przechowywania środków pieniężnych pochodzących z zabezpieczeń majątkowych.</w:t>
      </w:r>
      <w:r w:rsidRPr="00432959">
        <w:rPr>
          <w:rFonts w:ascii="Times New Roman" w:eastAsia="Times New Roman" w:hAnsi="Times New Roman" w:cs="Times New Roman"/>
          <w:b/>
          <w:sz w:val="24"/>
          <w:szCs w:val="20"/>
          <w:lang w:eastAsia="pl-PL"/>
        </w:rPr>
        <w:t xml:space="preserve"> </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Z uwagi zaś na to, że dotychczas rachunki depozytowe Ministra Finansów prowadzone były zasadniczo dla sądów, wobec czego zgodnie z art. 31a § 1 ustawy</w:t>
      </w:r>
      <w:r w:rsidR="00442716">
        <w:rPr>
          <w:rFonts w:ascii="Times New Roman" w:eastAsia="Times New Roman" w:hAnsi="Times New Roman" w:cs="Times New Roman"/>
          <w:bCs/>
          <w:sz w:val="24"/>
          <w:szCs w:val="20"/>
          <w:lang w:eastAsia="pl-PL"/>
        </w:rPr>
        <w:t xml:space="preserve"> </w:t>
      </w:r>
      <w:r w:rsidRPr="00432959">
        <w:rPr>
          <w:rFonts w:ascii="Times New Roman" w:eastAsia="Times New Roman" w:hAnsi="Times New Roman" w:cs="Times New Roman"/>
          <w:bCs/>
          <w:sz w:val="24"/>
          <w:szCs w:val="20"/>
          <w:lang w:eastAsia="pl-PL"/>
        </w:rPr>
        <w:t xml:space="preserve">z dnia 27 lipca 2001 r. </w:t>
      </w:r>
      <w:r w:rsidR="00442716">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Prawo o ustroju sądów powszechnych dysponował nimi dyrektor sądu, konieczne jest dokonanie ujętej w art. 5 projektu ustawy zmiany przywołanego przepisu przez dodanie w nim wyłączenia spod dyspozycji dyrektora sądu rachunków depozytowych Ministra Finansów, które prowadzone będą dla sum depozytowych powszechnych jednostek organizacyjnych prokuratury.</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Wprowadzono także zmiany w zakresie ustawy z dnia 17 czerwca 1966 r.</w:t>
      </w:r>
      <w:r w:rsidR="00442716">
        <w:rPr>
          <w:rFonts w:ascii="Times New Roman" w:eastAsia="Times New Roman" w:hAnsi="Times New Roman" w:cs="Times New Roman"/>
          <w:bCs/>
          <w:sz w:val="24"/>
          <w:szCs w:val="20"/>
          <w:lang w:eastAsia="pl-PL"/>
        </w:rPr>
        <w:t xml:space="preserve"> </w:t>
      </w:r>
      <w:r w:rsidRPr="00432959">
        <w:rPr>
          <w:rFonts w:ascii="Times New Roman" w:eastAsia="Times New Roman" w:hAnsi="Times New Roman" w:cs="Times New Roman"/>
          <w:bCs/>
          <w:sz w:val="24"/>
          <w:szCs w:val="20"/>
          <w:lang w:eastAsia="pl-PL"/>
        </w:rPr>
        <w:t>o postępowaniu egzekucyjnym w administracji, mające na celu dostosowanie przepisów w/w ustawy do wprowadzanych regulacji, które obejmują ujednolicenie miejsca przechowywania środków pieniężnych podlegających zabezpieczeniu majątkowemu na podstawie postanowienia sądu lub prokuratora. Ponadto, dodano zmianę art. 166l, w którym w dodanym § 2 wprowadzono unormowanie, które wprost wskazuje, iż prokurator nie ponosi kosztów wykonania postanowienia o zabezpieczeniu majątkowym, które jest potwierdzeniem aktualnej linii orzeczniczej, w szczególności zaś pozostaje w zgodności z uchwałą składu siedmiu sędziów SN z dnia 26 lutego 2015 r., sygn. akt III CZP 96/14, stwierdzającą, że „w postępowaniu o wykonanie postanowienia o zabezpieczeniu majątkowym, wydanego na podstawie art</w:t>
      </w:r>
      <w:r w:rsidR="00442716">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291 k.p.k., prokurator nie ponosi kosztów postępowania zabezpieczającego</w:t>
      </w:r>
      <w:r w:rsidR="00442716">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co wynika z art. 771 k.p.c. w zw. z art. 743 § 1 zdanie pierwsze k.p.c. Inicjowanie przez prokuratora postępowania o wykonanie postanowienia o zabezpieczeniu majątkowym, które związane jest z dążeniem do zapewnienia realnego poniesienia przez sprawcę majątkowych konsekwencji przestępstwa, ma bowiem na celu ochronę praworządności, praw obywateli lub interesu społecznego. Prokurator w postępowaniu dotyczącym zabezpieczenia majątkowego nie ma więc statusu wierzyciela, gdyż nie realizuje on własnych uprawnień majątkowych do składników mienia. Z kolei zgodnie z art. 64c § 2 ustawy o postępowaniu egzekucyjnym w administracji opłaty wraz z wydatkami poniesionymi przez organ egzekucyjny, stanowiące koszty egzekucyjne, obciążają zobowiązanego, którym w postępowaniu karnym jest oskarżony, a w sytuacjach, gdy nie mogą one zostać od niego ściągnięte – wierzyciela. Zgodnie z art. 64c § 6 ustawy o postępowaniu egzekucyjnym w administracji – który na podstawie art. 166n pkt 1 tej ustawy znajd</w:t>
      </w:r>
      <w:r w:rsidR="00CC0BC8">
        <w:rPr>
          <w:rFonts w:ascii="Times New Roman" w:eastAsia="Times New Roman" w:hAnsi="Times New Roman" w:cs="Times New Roman"/>
          <w:bCs/>
          <w:sz w:val="24"/>
          <w:szCs w:val="20"/>
          <w:lang w:eastAsia="pl-PL"/>
        </w:rPr>
        <w:t>uj</w:t>
      </w:r>
      <w:r w:rsidR="005C3C12">
        <w:rPr>
          <w:rFonts w:ascii="Times New Roman" w:eastAsia="Times New Roman" w:hAnsi="Times New Roman" w:cs="Times New Roman"/>
          <w:bCs/>
          <w:sz w:val="24"/>
          <w:szCs w:val="20"/>
          <w:lang w:eastAsia="pl-PL"/>
        </w:rPr>
        <w:t>e</w:t>
      </w:r>
      <w:r w:rsidRPr="00432959">
        <w:rPr>
          <w:rFonts w:ascii="Times New Roman" w:eastAsia="Times New Roman" w:hAnsi="Times New Roman" w:cs="Times New Roman"/>
          <w:bCs/>
          <w:sz w:val="24"/>
          <w:szCs w:val="20"/>
          <w:lang w:eastAsia="pl-PL"/>
        </w:rPr>
        <w:t xml:space="preserve"> odpowiednie zastosowanie w zakresie projektowanego rozwiązania dotyczącego nieobciążania prokuratora kosztami wykonania postanowienia o zabezpieczeniu majątkowym – organ egzekucyjny działający w ramach państwowej jednostki budżetowej lub będący państwową jednostką budżetową nie obciąża kosztami egzekucyjnymi wierzyciela działającego w ramach państwowej jednostki budżetowej lub będącego państwową jednostką budżetową. Wydatki egzekucyjne poniesione przez organ egzekucyjny, działający w ramach państwowej jednostki budżetowej lub będący państwową jednostką budżetową, są pokrywane z budżetu państwa. </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Kolejne zawarte w projekcie uregulowania, tj. jego art</w:t>
      </w:r>
      <w:r w:rsidR="00442716">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6 i art. 7</w:t>
      </w:r>
      <w:r w:rsidR="00AF72BD">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obejmują przepisy przejściowe i końcowe związane z wejściem w życie projektowanej ustawy.</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Ujęcie w projekcie przepisów przejściowych jest tym bardziej istotne, że – jak już wskazywano – aktualnie sumy depozytowe prokuratur ulokowane są na różnych rachunkach, a więc różny będzie sposób i czas związany z ich przenoszeniem na rachunki depozytowe Ministra Finansów.</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 xml:space="preserve">Niemniej jednak konieczne jest jak najszybsze odejście od stosowania regulacji nakazujących zakładanie i przedłużanie lokat terminowych na wniosek zainteresowanego zgodnie z art. 165 § 3 ustawy o postępowaniu egzekucyjnym w administracji. Stąd też w przepisie końcowym stanowi się o wejściu w życie z dniem następującym po dniu ogłoszenia ustawy przepisów przewidujących ograniczenie zakładania i przedłużania lokat terminowych, tj. art. 6 ust. 5 i 6 projektu ustawy, zaś pozostałych przepisów – z uwagi na konieczność dopełnienia szeregu formalności związanych z wypowiedzeniem dotychczasowych umów o prowadzenie rachunków bankowych oraz przenoszeniem z nich środków na rachunki depozytowe Ministra Finansów </w:t>
      </w:r>
      <w:r w:rsidR="00442716">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z dniem 1 września 2021 r. (art. 7 projektu ustawy). Jednocześnie w ramach przepisów przejściowych przewidziano regulacj</w:t>
      </w:r>
      <w:r w:rsidR="00F66913">
        <w:rPr>
          <w:rFonts w:ascii="Times New Roman" w:eastAsia="Times New Roman" w:hAnsi="Times New Roman" w:cs="Times New Roman"/>
          <w:bCs/>
          <w:sz w:val="24"/>
          <w:szCs w:val="20"/>
          <w:lang w:eastAsia="pl-PL"/>
        </w:rPr>
        <w:t>ę</w:t>
      </w:r>
      <w:r w:rsidRPr="00432959">
        <w:rPr>
          <w:rFonts w:ascii="Times New Roman" w:eastAsia="Times New Roman" w:hAnsi="Times New Roman" w:cs="Times New Roman"/>
          <w:bCs/>
          <w:sz w:val="24"/>
          <w:szCs w:val="20"/>
          <w:lang w:eastAsia="pl-PL"/>
        </w:rPr>
        <w:t xml:space="preserve">, która uprawnia Ministra Finansów do podjęcia działań, mających na celu otworzenie rachunków depozytowych dla powszechnych jednostek organizacyjnych prokuratury w dniu wejścia w życie ustawy. Przepis ten również winien wejść w życie odpowiednio wcześniej, na co najmniej 3 miesiące w stosunku do pozostałych regulacji, stąd przyjęto, by regulacja określona w art. 6 ust. 7 projektu ustawy weszła w życie z dniem następującym po dniu ogłoszenia ustawy. Na mocy art. 6 ust. 8 projektu ustawy dotychczas prowadzone rachunki dla poszczególnych powszechnych jednostek organizacyjnych prokuratury winny być sukcesywnie zamykane wraz z przekazaniem sum depozytowych na rachunki utworzone w Banku Gospodarstwa Krajowego dla poszczególnych powszechnych jednostek organizacyjnych prokuratury, nie później niż do dnia 1 września 2023 r. </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Projekt nie jest objęty zakresem prawa Unii Europejskiej.</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Projekt nie będzie przedstawiany właściwym organom i instytucjom Unii Europejskiej, w tym Europejskiemu Bankowi Centralnemu, w celu uzyskania opinii, dokonania powiadomienia, konsultacji albo uzgodnie</w:t>
      </w:r>
      <w:r w:rsidR="00DE1A64">
        <w:rPr>
          <w:rFonts w:ascii="Times New Roman" w:eastAsia="Times New Roman" w:hAnsi="Times New Roman" w:cs="Times New Roman"/>
          <w:bCs/>
          <w:sz w:val="24"/>
          <w:szCs w:val="20"/>
          <w:lang w:eastAsia="pl-PL"/>
        </w:rPr>
        <w:t>nia</w:t>
      </w:r>
      <w:r w:rsidRPr="00432959">
        <w:rPr>
          <w:rFonts w:ascii="Times New Roman" w:eastAsia="Times New Roman" w:hAnsi="Times New Roman" w:cs="Times New Roman"/>
          <w:bCs/>
          <w:sz w:val="24"/>
          <w:szCs w:val="20"/>
          <w:lang w:eastAsia="pl-PL"/>
        </w:rPr>
        <w:t>.</w:t>
      </w:r>
    </w:p>
    <w:p w:rsidR="00C85835" w:rsidRPr="00432959" w:rsidRDefault="00C85835" w:rsidP="0043295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432959">
        <w:rPr>
          <w:rFonts w:ascii="Times New Roman" w:eastAsia="Times New Roman" w:hAnsi="Times New Roman" w:cs="Times New Roman"/>
          <w:bCs/>
          <w:sz w:val="24"/>
          <w:szCs w:val="20"/>
          <w:lang w:eastAsia="pl-PL"/>
        </w:rPr>
        <w:t xml:space="preserve">Zgodnie z § 4 rozporządzenia Rady Ministrów z dnia 23 grudnia 2002 r. w sprawie sposobu funkcjonowania krajowego systemu notyfikacji norm i aktów prawnych (Dz. U. poz. 2039, z </w:t>
      </w:r>
      <w:proofErr w:type="spellStart"/>
      <w:r w:rsidRPr="00432959">
        <w:rPr>
          <w:rFonts w:ascii="Times New Roman" w:eastAsia="Times New Roman" w:hAnsi="Times New Roman" w:cs="Times New Roman"/>
          <w:bCs/>
          <w:sz w:val="24"/>
          <w:szCs w:val="20"/>
          <w:lang w:eastAsia="pl-PL"/>
        </w:rPr>
        <w:t>późn</w:t>
      </w:r>
      <w:proofErr w:type="spellEnd"/>
      <w:r w:rsidRPr="00432959">
        <w:rPr>
          <w:rFonts w:ascii="Times New Roman" w:eastAsia="Times New Roman" w:hAnsi="Times New Roman" w:cs="Times New Roman"/>
          <w:bCs/>
          <w:sz w:val="24"/>
          <w:szCs w:val="20"/>
          <w:lang w:eastAsia="pl-PL"/>
        </w:rPr>
        <w:t>. zm.) projekt nie podlega notyfikacji Komisji Europejskiej.</w:t>
      </w:r>
    </w:p>
    <w:p w:rsidR="007F577D" w:rsidRPr="00432959" w:rsidRDefault="00C85835" w:rsidP="00432959">
      <w:pPr>
        <w:suppressAutoHyphens/>
        <w:autoSpaceDE w:val="0"/>
        <w:autoSpaceDN w:val="0"/>
        <w:adjustRightInd w:val="0"/>
        <w:spacing w:before="120" w:after="0" w:line="360" w:lineRule="auto"/>
        <w:jc w:val="both"/>
        <w:rPr>
          <w:rFonts w:ascii="Times New Roman" w:hAnsi="Times New Roman" w:cs="Times New Roman"/>
        </w:rPr>
      </w:pPr>
      <w:r w:rsidRPr="00432959">
        <w:rPr>
          <w:rFonts w:ascii="Times New Roman" w:eastAsia="Times New Roman" w:hAnsi="Times New Roman" w:cs="Times New Roman"/>
          <w:bCs/>
          <w:sz w:val="24"/>
          <w:szCs w:val="20"/>
          <w:lang w:eastAsia="pl-PL"/>
        </w:rPr>
        <w:t>Zgodnie z art. 5 ustawy z dnia 7 lipca 2005 r. o działalności lobbingowej w procesie stanowienia prawa (Dz.</w:t>
      </w:r>
      <w:r w:rsidR="00442716">
        <w:rPr>
          <w:rFonts w:ascii="Times New Roman" w:eastAsia="Times New Roman" w:hAnsi="Times New Roman" w:cs="Times New Roman"/>
          <w:bCs/>
          <w:sz w:val="24"/>
          <w:szCs w:val="20"/>
          <w:lang w:eastAsia="pl-PL"/>
        </w:rPr>
        <w:t xml:space="preserve"> </w:t>
      </w:r>
      <w:r w:rsidRPr="00432959">
        <w:rPr>
          <w:rFonts w:ascii="Times New Roman" w:eastAsia="Times New Roman" w:hAnsi="Times New Roman" w:cs="Times New Roman"/>
          <w:bCs/>
          <w:sz w:val="24"/>
          <w:szCs w:val="20"/>
          <w:lang w:eastAsia="pl-PL"/>
        </w:rPr>
        <w:t>U. z 2017 r. poz. 248) oraz § 4 i § 52 uchwały nr 190 Rady</w:t>
      </w:r>
      <w:r w:rsidR="00F66913">
        <w:rPr>
          <w:rFonts w:ascii="Times New Roman" w:eastAsia="Times New Roman" w:hAnsi="Times New Roman" w:cs="Times New Roman"/>
          <w:bCs/>
          <w:sz w:val="24"/>
          <w:szCs w:val="20"/>
          <w:lang w:eastAsia="pl-PL"/>
        </w:rPr>
        <w:t> </w:t>
      </w:r>
      <w:r w:rsidRPr="00432959">
        <w:rPr>
          <w:rFonts w:ascii="Times New Roman" w:eastAsia="Times New Roman" w:hAnsi="Times New Roman" w:cs="Times New Roman"/>
          <w:bCs/>
          <w:sz w:val="24"/>
          <w:szCs w:val="20"/>
          <w:lang w:eastAsia="pl-PL"/>
        </w:rPr>
        <w:t>Ministrów z dnia 29 października 2013 r</w:t>
      </w:r>
      <w:r w:rsidR="00AF72BD">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w:t>
      </w:r>
      <w:r w:rsidR="00442716">
        <w:rPr>
          <w:rFonts w:ascii="Times New Roman" w:eastAsia="Times New Roman" w:hAnsi="Times New Roman" w:cs="Times New Roman"/>
          <w:bCs/>
          <w:sz w:val="24"/>
          <w:szCs w:val="20"/>
          <w:lang w:eastAsia="pl-PL"/>
        </w:rPr>
        <w:t>–</w:t>
      </w:r>
      <w:r w:rsidRPr="00432959">
        <w:rPr>
          <w:rFonts w:ascii="Times New Roman" w:eastAsia="Times New Roman" w:hAnsi="Times New Roman" w:cs="Times New Roman"/>
          <w:bCs/>
          <w:sz w:val="24"/>
          <w:szCs w:val="20"/>
          <w:lang w:eastAsia="pl-PL"/>
        </w:rPr>
        <w:t xml:space="preserve"> Regulamin pracy Rady Ministrów (M.P. z 2016 r. poz. 1006, z </w:t>
      </w:r>
      <w:proofErr w:type="spellStart"/>
      <w:r w:rsidRPr="00432959">
        <w:rPr>
          <w:rFonts w:ascii="Times New Roman" w:eastAsia="Times New Roman" w:hAnsi="Times New Roman" w:cs="Times New Roman"/>
          <w:bCs/>
          <w:sz w:val="24"/>
          <w:szCs w:val="20"/>
          <w:lang w:eastAsia="pl-PL"/>
        </w:rPr>
        <w:t>późn</w:t>
      </w:r>
      <w:proofErr w:type="spellEnd"/>
      <w:r w:rsidRPr="00432959">
        <w:rPr>
          <w:rFonts w:ascii="Times New Roman" w:eastAsia="Times New Roman" w:hAnsi="Times New Roman" w:cs="Times New Roman"/>
          <w:bCs/>
          <w:sz w:val="24"/>
          <w:szCs w:val="20"/>
          <w:lang w:eastAsia="pl-PL"/>
        </w:rPr>
        <w:t xml:space="preserve">. zm.), z chwilą przekazania do uzgodnień międzyresortowych, projekt został udostępniony w Biuletynie Informacji Publicznej na stronie podmiotowej Rządowego Centrum Legislacji, w serwisie Rządowy Proces Legislacyjny. Nie była dokonywana ocena Oceny Skutków Regulacji przez Koordynatora OSR. </w:t>
      </w:r>
    </w:p>
    <w:sectPr w:rsidR="007F577D" w:rsidRPr="00432959" w:rsidSect="00432959">
      <w:footerReference w:type="default" r:id="rId6"/>
      <w:pgSz w:w="11906" w:h="16838"/>
      <w:pgMar w:top="1588" w:right="1418" w:bottom="1418"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389" w:rsidRDefault="00465389" w:rsidP="00442716">
      <w:pPr>
        <w:spacing w:after="0" w:line="240" w:lineRule="auto"/>
      </w:pPr>
      <w:r>
        <w:separator/>
      </w:r>
    </w:p>
  </w:endnote>
  <w:endnote w:type="continuationSeparator" w:id="0">
    <w:p w:rsidR="00465389" w:rsidRDefault="00465389" w:rsidP="00442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5081858"/>
      <w:docPartObj>
        <w:docPartGallery w:val="Page Numbers (Bottom of Page)"/>
        <w:docPartUnique/>
      </w:docPartObj>
    </w:sdtPr>
    <w:sdtEndPr>
      <w:rPr>
        <w:rFonts w:ascii="Times New Roman" w:hAnsi="Times New Roman" w:cs="Times New Roman"/>
        <w:sz w:val="24"/>
      </w:rPr>
    </w:sdtEndPr>
    <w:sdtContent>
      <w:p w:rsidR="00442716" w:rsidRPr="00432959" w:rsidRDefault="00442716" w:rsidP="00432959">
        <w:pPr>
          <w:pStyle w:val="Stopka"/>
          <w:jc w:val="center"/>
          <w:rPr>
            <w:rFonts w:ascii="Times New Roman" w:hAnsi="Times New Roman" w:cs="Times New Roman"/>
            <w:sz w:val="24"/>
          </w:rPr>
        </w:pPr>
        <w:r w:rsidRPr="00432959">
          <w:rPr>
            <w:rFonts w:ascii="Times New Roman" w:hAnsi="Times New Roman" w:cs="Times New Roman"/>
            <w:sz w:val="24"/>
          </w:rPr>
          <w:fldChar w:fldCharType="begin"/>
        </w:r>
        <w:r w:rsidRPr="00432959">
          <w:rPr>
            <w:rFonts w:ascii="Times New Roman" w:hAnsi="Times New Roman" w:cs="Times New Roman"/>
            <w:sz w:val="24"/>
          </w:rPr>
          <w:instrText>PAGE   \* MERGEFORMAT</w:instrText>
        </w:r>
        <w:r w:rsidRPr="00432959">
          <w:rPr>
            <w:rFonts w:ascii="Times New Roman" w:hAnsi="Times New Roman" w:cs="Times New Roman"/>
            <w:sz w:val="24"/>
          </w:rPr>
          <w:fldChar w:fldCharType="separate"/>
        </w:r>
        <w:r w:rsidR="004A6615">
          <w:rPr>
            <w:rFonts w:ascii="Times New Roman" w:hAnsi="Times New Roman" w:cs="Times New Roman"/>
            <w:noProof/>
            <w:sz w:val="24"/>
          </w:rPr>
          <w:t>6</w:t>
        </w:r>
        <w:r w:rsidRPr="00432959">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389" w:rsidRDefault="00465389" w:rsidP="00442716">
      <w:pPr>
        <w:spacing w:after="0" w:line="240" w:lineRule="auto"/>
      </w:pPr>
      <w:r>
        <w:separator/>
      </w:r>
    </w:p>
  </w:footnote>
  <w:footnote w:type="continuationSeparator" w:id="0">
    <w:p w:rsidR="00465389" w:rsidRDefault="00465389" w:rsidP="004427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35"/>
    <w:rsid w:val="00034A10"/>
    <w:rsid w:val="000D71AE"/>
    <w:rsid w:val="00185C79"/>
    <w:rsid w:val="00426A07"/>
    <w:rsid w:val="004306F6"/>
    <w:rsid w:val="00432959"/>
    <w:rsid w:val="00442716"/>
    <w:rsid w:val="0045430C"/>
    <w:rsid w:val="00465389"/>
    <w:rsid w:val="004A6615"/>
    <w:rsid w:val="005202B7"/>
    <w:rsid w:val="005C3C12"/>
    <w:rsid w:val="005F21DC"/>
    <w:rsid w:val="006177CF"/>
    <w:rsid w:val="00677AD7"/>
    <w:rsid w:val="0069654B"/>
    <w:rsid w:val="007F577D"/>
    <w:rsid w:val="00816F8E"/>
    <w:rsid w:val="00854196"/>
    <w:rsid w:val="00927789"/>
    <w:rsid w:val="009358B0"/>
    <w:rsid w:val="00A57D19"/>
    <w:rsid w:val="00A6501E"/>
    <w:rsid w:val="00AF72BD"/>
    <w:rsid w:val="00B372BD"/>
    <w:rsid w:val="00C05345"/>
    <w:rsid w:val="00C53486"/>
    <w:rsid w:val="00C85835"/>
    <w:rsid w:val="00CC0BC8"/>
    <w:rsid w:val="00D5195A"/>
    <w:rsid w:val="00DE1A64"/>
    <w:rsid w:val="00DF717E"/>
    <w:rsid w:val="00E10336"/>
    <w:rsid w:val="00F36F44"/>
    <w:rsid w:val="00F66913"/>
    <w:rsid w:val="00F777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E9C813-9B31-441C-B36E-CE9D0345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4271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42716"/>
    <w:rPr>
      <w:rFonts w:ascii="Segoe UI" w:hAnsi="Segoe UI" w:cs="Segoe UI"/>
      <w:sz w:val="18"/>
      <w:szCs w:val="18"/>
    </w:rPr>
  </w:style>
  <w:style w:type="paragraph" w:styleId="Nagwek">
    <w:name w:val="header"/>
    <w:basedOn w:val="Normalny"/>
    <w:link w:val="NagwekZnak"/>
    <w:uiPriority w:val="99"/>
    <w:unhideWhenUsed/>
    <w:rsid w:val="0044271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42716"/>
  </w:style>
  <w:style w:type="paragraph" w:styleId="Stopka">
    <w:name w:val="footer"/>
    <w:basedOn w:val="Normalny"/>
    <w:link w:val="StopkaZnak"/>
    <w:uiPriority w:val="99"/>
    <w:unhideWhenUsed/>
    <w:rsid w:val="0044271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42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12001">
      <w:bodyDiv w:val="1"/>
      <w:marLeft w:val="0"/>
      <w:marRight w:val="0"/>
      <w:marTop w:val="0"/>
      <w:marBottom w:val="0"/>
      <w:divBdr>
        <w:top w:val="none" w:sz="0" w:space="0" w:color="auto"/>
        <w:left w:val="none" w:sz="0" w:space="0" w:color="auto"/>
        <w:bottom w:val="none" w:sz="0" w:space="0" w:color="auto"/>
        <w:right w:val="none" w:sz="0" w:space="0" w:color="auto"/>
      </w:divBdr>
    </w:div>
    <w:div w:id="210036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1863</Words>
  <Characters>11182</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Pietrzak Ewa</dc:creator>
  <cp:keywords/>
  <dc:description/>
  <cp:lastModifiedBy>Kołakowska Iwona</cp:lastModifiedBy>
  <cp:revision>3</cp:revision>
  <dcterms:created xsi:type="dcterms:W3CDTF">2021-04-12T09:06:00Z</dcterms:created>
  <dcterms:modified xsi:type="dcterms:W3CDTF">2021-04-12T09:18:00Z</dcterms:modified>
</cp:coreProperties>
</file>