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F3006" w14:textId="77777777" w:rsidR="00E50D30" w:rsidRDefault="00E50D30" w:rsidP="00E50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Stanowisko</w:t>
      </w:r>
      <w:r w:rsidR="005B085B" w:rsidRPr="00D433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085B">
        <w:rPr>
          <w:rFonts w:ascii="Times New Roman" w:hAnsi="Times New Roman" w:cs="Times New Roman"/>
          <w:b/>
          <w:bCs/>
          <w:sz w:val="24"/>
          <w:szCs w:val="24"/>
        </w:rPr>
        <w:t>Rady Ministrów</w:t>
      </w:r>
      <w:r w:rsidR="005B085B" w:rsidRPr="00D433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38F11E5" w14:textId="741CB83B" w:rsidR="00E50D30" w:rsidRDefault="00C56AB0" w:rsidP="00E50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5B085B" w:rsidRPr="00D4338F">
        <w:rPr>
          <w:rFonts w:ascii="Times New Roman" w:hAnsi="Times New Roman" w:cs="Times New Roman"/>
          <w:b/>
          <w:bCs/>
          <w:sz w:val="24"/>
          <w:szCs w:val="24"/>
        </w:rPr>
        <w:t>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poselskiego</w:t>
      </w:r>
      <w:r w:rsidR="005B085B" w:rsidRPr="00D4338F">
        <w:rPr>
          <w:rFonts w:ascii="Times New Roman" w:hAnsi="Times New Roman" w:cs="Times New Roman"/>
          <w:b/>
          <w:bCs/>
          <w:sz w:val="24"/>
          <w:szCs w:val="24"/>
        </w:rPr>
        <w:t xml:space="preserve"> projektu ustawy </w:t>
      </w:r>
      <w:r w:rsidR="00636671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7354BC">
        <w:rPr>
          <w:rFonts w:ascii="Times New Roman" w:hAnsi="Times New Roman" w:cs="Times New Roman"/>
          <w:b/>
          <w:bCs/>
          <w:sz w:val="24"/>
          <w:szCs w:val="24"/>
        </w:rPr>
        <w:t xml:space="preserve">zmianie ustawy </w:t>
      </w:r>
      <w:r w:rsidR="007354BC">
        <w:rPr>
          <w:rFonts w:ascii="Times New Roman" w:hAnsi="Times New Roman" w:cs="Times New Roman"/>
          <w:b/>
          <w:sz w:val="24"/>
          <w:szCs w:val="24"/>
        </w:rPr>
        <w:t>–</w:t>
      </w:r>
      <w:r w:rsidR="007354B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085B" w:rsidRPr="00D4338F">
        <w:rPr>
          <w:rFonts w:ascii="Times New Roman" w:hAnsi="Times New Roman" w:cs="Times New Roman"/>
          <w:b/>
          <w:bCs/>
          <w:sz w:val="24"/>
          <w:szCs w:val="24"/>
        </w:rPr>
        <w:t xml:space="preserve">Kodeks karny </w:t>
      </w:r>
    </w:p>
    <w:p w14:paraId="77BB8F89" w14:textId="58CCCADB" w:rsidR="00C43F78" w:rsidRDefault="005B085B" w:rsidP="00E50D3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338F">
        <w:rPr>
          <w:rFonts w:ascii="Times New Roman" w:hAnsi="Times New Roman" w:cs="Times New Roman"/>
          <w:b/>
          <w:bCs/>
          <w:sz w:val="24"/>
          <w:szCs w:val="24"/>
        </w:rPr>
        <w:t xml:space="preserve">(druk nr </w:t>
      </w:r>
      <w:r w:rsidR="0062122F" w:rsidRPr="0062122F">
        <w:rPr>
          <w:rFonts w:ascii="Times New Roman" w:hAnsi="Times New Roman" w:cs="Times New Roman"/>
          <w:b/>
          <w:bCs/>
          <w:sz w:val="24"/>
          <w:szCs w:val="24"/>
        </w:rPr>
        <w:t>1094</w:t>
      </w:r>
      <w:r w:rsidRPr="00D4338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CDACB74" w14:textId="77777777" w:rsidR="005B085B" w:rsidRDefault="005B085B" w:rsidP="005B08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BBFFED" w14:textId="77777777" w:rsidR="005B085B" w:rsidRPr="00D4338F" w:rsidRDefault="005B085B" w:rsidP="005B085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A13C7" w14:textId="33FDC40C" w:rsidR="00E15093" w:rsidRDefault="00C56AB0" w:rsidP="006212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Poselski p</w:t>
      </w:r>
      <w:r w:rsidR="00E15093">
        <w:rPr>
          <w:rFonts w:ascii="Times New Roman" w:hAnsi="Times New Roman" w:cs="Times New Roman"/>
          <w:sz w:val="24"/>
          <w:szCs w:val="24"/>
        </w:rPr>
        <w:t xml:space="preserve">rojekt </w:t>
      </w:r>
      <w:r w:rsidR="00E15093" w:rsidRPr="00C56AB0">
        <w:rPr>
          <w:rFonts w:ascii="Times New Roman" w:hAnsi="Times New Roman" w:cs="Times New Roman"/>
          <w:iCs/>
          <w:sz w:val="24"/>
          <w:szCs w:val="24"/>
        </w:rPr>
        <w:t>ustawy</w:t>
      </w:r>
      <w:r w:rsidR="00E15093" w:rsidRPr="00C56AB0">
        <w:rPr>
          <w:rFonts w:ascii="Times New Roman" w:hAnsi="Times New Roman" w:cs="Times New Roman"/>
          <w:sz w:val="24"/>
          <w:szCs w:val="24"/>
        </w:rPr>
        <w:t xml:space="preserve"> </w:t>
      </w:r>
      <w:r w:rsidR="00E15093" w:rsidRPr="00C56AB0">
        <w:rPr>
          <w:rFonts w:ascii="Times New Roman" w:hAnsi="Times New Roman" w:cs="Times New Roman"/>
          <w:iCs/>
          <w:sz w:val="24"/>
          <w:szCs w:val="24"/>
        </w:rPr>
        <w:t>o zmianie ustawy</w:t>
      </w:r>
      <w:r w:rsidR="007354B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354BC" w:rsidRPr="007354BC">
        <w:rPr>
          <w:rFonts w:ascii="Times New Roman" w:hAnsi="Times New Roman" w:cs="Times New Roman"/>
          <w:sz w:val="24"/>
          <w:szCs w:val="24"/>
        </w:rPr>
        <w:t>–</w:t>
      </w:r>
      <w:r w:rsidR="00E15093" w:rsidRPr="007354B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15093" w:rsidRPr="00C56AB0">
        <w:rPr>
          <w:rFonts w:ascii="Times New Roman" w:hAnsi="Times New Roman" w:cs="Times New Roman"/>
          <w:iCs/>
          <w:sz w:val="24"/>
          <w:szCs w:val="24"/>
        </w:rPr>
        <w:t>Kodeks karny</w:t>
      </w:r>
      <w:r w:rsidR="00E15093">
        <w:rPr>
          <w:rFonts w:ascii="Times New Roman" w:hAnsi="Times New Roman" w:cs="Times New Roman"/>
          <w:sz w:val="24"/>
          <w:szCs w:val="24"/>
        </w:rPr>
        <w:t xml:space="preserve"> </w:t>
      </w:r>
      <w:r w:rsidR="00E15093" w:rsidRPr="00010FC1">
        <w:rPr>
          <w:rFonts w:ascii="Times New Roman" w:hAnsi="Times New Roman" w:cs="Times New Roman"/>
          <w:sz w:val="24"/>
          <w:szCs w:val="24"/>
        </w:rPr>
        <w:t xml:space="preserve">(druk nr </w:t>
      </w:r>
      <w:r w:rsidR="0062122F" w:rsidRPr="0062122F">
        <w:rPr>
          <w:rFonts w:ascii="Times New Roman" w:hAnsi="Times New Roman" w:cs="Times New Roman"/>
          <w:sz w:val="24"/>
          <w:szCs w:val="24"/>
        </w:rPr>
        <w:t>1094</w:t>
      </w:r>
      <w:r w:rsidR="00E15093" w:rsidRPr="00010FC1">
        <w:rPr>
          <w:rFonts w:ascii="Times New Roman" w:hAnsi="Times New Roman" w:cs="Times New Roman"/>
          <w:sz w:val="24"/>
          <w:szCs w:val="24"/>
        </w:rPr>
        <w:t>)</w:t>
      </w:r>
      <w:r w:rsidR="00E15093">
        <w:rPr>
          <w:rFonts w:ascii="Times New Roman" w:hAnsi="Times New Roman" w:cs="Times New Roman"/>
          <w:sz w:val="24"/>
          <w:szCs w:val="24"/>
        </w:rPr>
        <w:t xml:space="preserve"> w art. 1 pkt </w:t>
      </w:r>
      <w:r w:rsidR="0062122F">
        <w:rPr>
          <w:rFonts w:ascii="Times New Roman" w:hAnsi="Times New Roman" w:cs="Times New Roman"/>
          <w:sz w:val="24"/>
          <w:szCs w:val="24"/>
        </w:rPr>
        <w:t>2</w:t>
      </w:r>
      <w:r w:rsidR="00E15093">
        <w:rPr>
          <w:rFonts w:ascii="Times New Roman" w:hAnsi="Times New Roman" w:cs="Times New Roman"/>
          <w:sz w:val="24"/>
          <w:szCs w:val="24"/>
        </w:rPr>
        <w:t xml:space="preserve"> przewiduje zmiany </w:t>
      </w:r>
      <w:r w:rsidR="0062122F" w:rsidRPr="0062122F">
        <w:rPr>
          <w:rFonts w:ascii="Times New Roman" w:hAnsi="Times New Roman" w:cs="Times New Roman"/>
          <w:sz w:val="24"/>
          <w:szCs w:val="24"/>
        </w:rPr>
        <w:t xml:space="preserve">w art. 105 § 2 </w:t>
      </w:r>
      <w:r w:rsidR="0062122F">
        <w:rPr>
          <w:rFonts w:ascii="Times New Roman" w:hAnsi="Times New Roman" w:cs="Times New Roman"/>
          <w:sz w:val="24"/>
          <w:szCs w:val="24"/>
        </w:rPr>
        <w:t>Kodeksu karnego</w:t>
      </w:r>
      <w:r w:rsidR="00D01BED">
        <w:rPr>
          <w:rFonts w:ascii="Times New Roman" w:hAnsi="Times New Roman" w:cs="Times New Roman"/>
          <w:sz w:val="24"/>
          <w:szCs w:val="24"/>
        </w:rPr>
        <w:t>,</w:t>
      </w:r>
      <w:r w:rsidR="0062122F">
        <w:rPr>
          <w:rFonts w:ascii="Times New Roman" w:hAnsi="Times New Roman" w:cs="Times New Roman"/>
          <w:sz w:val="24"/>
          <w:szCs w:val="24"/>
        </w:rPr>
        <w:t xml:space="preserve"> zmierzające do wyłączenia przedawnienia karalności </w:t>
      </w:r>
      <w:r w:rsidR="0062122F" w:rsidRPr="0062122F">
        <w:rPr>
          <w:rFonts w:ascii="Times New Roman" w:hAnsi="Times New Roman" w:cs="Times New Roman"/>
          <w:sz w:val="24"/>
          <w:szCs w:val="24"/>
        </w:rPr>
        <w:t>umyślnego przestępstwa</w:t>
      </w:r>
      <w:r w:rsidR="0062122F">
        <w:rPr>
          <w:rFonts w:ascii="Times New Roman" w:hAnsi="Times New Roman" w:cs="Times New Roman"/>
          <w:sz w:val="24"/>
          <w:szCs w:val="24"/>
        </w:rPr>
        <w:t xml:space="preserve"> </w:t>
      </w:r>
      <w:r w:rsidR="0062122F" w:rsidRPr="0062122F">
        <w:rPr>
          <w:rFonts w:ascii="Times New Roman" w:hAnsi="Times New Roman" w:cs="Times New Roman"/>
          <w:sz w:val="24"/>
          <w:szCs w:val="24"/>
        </w:rPr>
        <w:t>przeciwko życiu i zdrowiu, popełnionego na szkodę małoletniego oraz przestępstw określonych w rozdziale XXV, popełnionych na szkodę małoletniego albo gdy treści pornograficzne obejmują udział małoletniego.</w:t>
      </w:r>
    </w:p>
    <w:p w14:paraId="5768C86B" w14:textId="59362221" w:rsidR="00603166" w:rsidRDefault="00603166" w:rsidP="0060316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03166">
        <w:rPr>
          <w:rFonts w:ascii="Times New Roman" w:hAnsi="Times New Roman" w:cs="Times New Roman"/>
          <w:sz w:val="24"/>
          <w:szCs w:val="24"/>
        </w:rPr>
        <w:t>rzyjęcie zaproponowanego w projekcie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rozwiązania będzie skutkowało wyłączeniem instytucji wydłużenia terminu przedawnienia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w stosunku do występków nieumyślnych, wskazanych w art. 101 § 4 pkt 1 Kodeksu karnego</w:t>
      </w:r>
      <w:r>
        <w:rPr>
          <w:rFonts w:ascii="Times New Roman" w:hAnsi="Times New Roman" w:cs="Times New Roman"/>
          <w:sz w:val="24"/>
          <w:szCs w:val="24"/>
        </w:rPr>
        <w:t xml:space="preserve">, a więc osłabieniem w tym zakresie ochrony osób małoletnich. </w:t>
      </w:r>
      <w:r w:rsidRPr="00603166">
        <w:rPr>
          <w:rFonts w:ascii="Times New Roman" w:hAnsi="Times New Roman" w:cs="Times New Roman"/>
          <w:sz w:val="24"/>
          <w:szCs w:val="24"/>
        </w:rPr>
        <w:t>Należy mieć bowiem na uwadze, ż</w:t>
      </w:r>
      <w:r w:rsidR="009C3AE5">
        <w:rPr>
          <w:rFonts w:ascii="Times New Roman" w:hAnsi="Times New Roman" w:cs="Times New Roman"/>
          <w:sz w:val="24"/>
          <w:szCs w:val="24"/>
        </w:rPr>
        <w:t>e</w:t>
      </w:r>
      <w:r w:rsidRPr="00603166">
        <w:rPr>
          <w:rFonts w:ascii="Times New Roman" w:hAnsi="Times New Roman" w:cs="Times New Roman"/>
          <w:sz w:val="24"/>
          <w:szCs w:val="24"/>
        </w:rPr>
        <w:t xml:space="preserve"> regulacja określona w</w:t>
      </w:r>
      <w:r w:rsidR="00531D33">
        <w:rPr>
          <w:rFonts w:ascii="Times New Roman" w:hAnsi="Times New Roman" w:cs="Times New Roman"/>
          <w:sz w:val="24"/>
          <w:szCs w:val="24"/>
        </w:rPr>
        <w:t> </w:t>
      </w:r>
      <w:r w:rsidRPr="00603166">
        <w:rPr>
          <w:rFonts w:ascii="Times New Roman" w:hAnsi="Times New Roman" w:cs="Times New Roman"/>
          <w:sz w:val="24"/>
          <w:szCs w:val="24"/>
        </w:rPr>
        <w:t>art. 101 § 4 pkt 1 Kodeksu karnego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nie ogranicza się wyłącznie do występków umyślnych, ale może dotyczyć również typów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 xml:space="preserve">nieumyślnych godzących w życie i zdrowie małoletniego. Do grupy </w:t>
      </w:r>
      <w:proofErr w:type="spellStart"/>
      <w:r w:rsidRPr="00603166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603166">
        <w:rPr>
          <w:rFonts w:ascii="Times New Roman" w:hAnsi="Times New Roman" w:cs="Times New Roman"/>
          <w:sz w:val="24"/>
          <w:szCs w:val="24"/>
        </w:rPr>
        <w:t>, o których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mowa w art. 101 § 4 pkt 1 Kodeksu karnego, będzie należał np.</w:t>
      </w:r>
      <w:r w:rsidR="00531D33">
        <w:rPr>
          <w:rFonts w:ascii="Times New Roman" w:hAnsi="Times New Roman" w:cs="Times New Roman"/>
          <w:sz w:val="24"/>
          <w:szCs w:val="24"/>
        </w:rPr>
        <w:t> </w:t>
      </w:r>
      <w:r w:rsidRPr="00603166">
        <w:rPr>
          <w:rFonts w:ascii="Times New Roman" w:hAnsi="Times New Roman" w:cs="Times New Roman"/>
          <w:sz w:val="24"/>
          <w:szCs w:val="24"/>
        </w:rPr>
        <w:t>typ określony w art. 177 § 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Kodeksu karnego, penalizujący wypadek komunikacyjny, jeżeli ciężki uszczerbek na zdrowiu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166">
        <w:rPr>
          <w:rFonts w:ascii="Times New Roman" w:hAnsi="Times New Roman" w:cs="Times New Roman"/>
          <w:sz w:val="24"/>
          <w:szCs w:val="24"/>
        </w:rPr>
        <w:t>wystąpił u małoletniego.</w:t>
      </w:r>
    </w:p>
    <w:p w14:paraId="581580B3" w14:textId="5F98AD53" w:rsidR="00E15093" w:rsidRDefault="00E15093" w:rsidP="00E1509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</w:t>
      </w:r>
      <w:r w:rsidR="00603166">
        <w:rPr>
          <w:rFonts w:ascii="Times New Roman" w:hAnsi="Times New Roman" w:cs="Times New Roman"/>
          <w:sz w:val="24"/>
          <w:szCs w:val="24"/>
        </w:rPr>
        <w:t xml:space="preserve"> również</w:t>
      </w:r>
      <w:r>
        <w:rPr>
          <w:rFonts w:ascii="Times New Roman" w:hAnsi="Times New Roman" w:cs="Times New Roman"/>
          <w:sz w:val="24"/>
          <w:szCs w:val="24"/>
        </w:rPr>
        <w:t xml:space="preserve"> podkreślić, że zmiany w przepisach Kodeksu karnego dotyczące przedawnienia są przedmiotem projektu przygotowanego przez Ministerstwo Sprawiedliwości, który trafił do uzgodnień międzyresortowych, opiniowania i konsultacji (n</w:t>
      </w:r>
      <w:r w:rsidR="00574970">
        <w:rPr>
          <w:rFonts w:ascii="Times New Roman" w:hAnsi="Times New Roman" w:cs="Times New Roman"/>
          <w:sz w:val="24"/>
          <w:szCs w:val="24"/>
        </w:rPr>
        <w:t>ume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 wpisu do wykazu prac legislacyjnych RM: </w:t>
      </w:r>
      <w:r w:rsidRPr="00E85B64">
        <w:rPr>
          <w:rFonts w:ascii="Times New Roman" w:hAnsi="Times New Roman" w:cs="Times New Roman"/>
          <w:sz w:val="24"/>
          <w:szCs w:val="24"/>
        </w:rPr>
        <w:t>UD281</w:t>
      </w:r>
      <w:r>
        <w:rPr>
          <w:rFonts w:ascii="Times New Roman" w:hAnsi="Times New Roman" w:cs="Times New Roman"/>
          <w:sz w:val="24"/>
          <w:szCs w:val="24"/>
        </w:rPr>
        <w:t>). Projekt ten w sposób kompleksowy reguluje materię przedawnienia</w:t>
      </w:r>
      <w:r w:rsidR="00D01BE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wyłączając je dla najcięższych zgwałceń oraz wydłużając w przypadku zabójstwa lub przestępstw na szkodę małoletnich. W związku z powyższym nie jest celowe wprowadzanie </w:t>
      </w:r>
      <w:r w:rsidR="00D01BED">
        <w:rPr>
          <w:rFonts w:ascii="Times New Roman" w:hAnsi="Times New Roman" w:cs="Times New Roman"/>
          <w:sz w:val="24"/>
          <w:szCs w:val="24"/>
        </w:rPr>
        <w:t xml:space="preserve">zbliżonych </w:t>
      </w:r>
      <w:r>
        <w:rPr>
          <w:rFonts w:ascii="Times New Roman" w:hAnsi="Times New Roman" w:cs="Times New Roman"/>
          <w:sz w:val="24"/>
          <w:szCs w:val="24"/>
        </w:rPr>
        <w:t>zmian w innej ustawie, gdyż mogłoby to doprowadzić do</w:t>
      </w:r>
      <w:r w:rsidR="00C56AB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niespójności systemowych. Z tego powodu należy negatywnie zaopiniować dalsze procedowanie </w:t>
      </w:r>
      <w:r w:rsidR="00C56AB0">
        <w:rPr>
          <w:rFonts w:ascii="Times New Roman" w:hAnsi="Times New Roman" w:cs="Times New Roman"/>
          <w:sz w:val="24"/>
          <w:szCs w:val="24"/>
        </w:rPr>
        <w:t xml:space="preserve">poselskiego </w:t>
      </w:r>
      <w:r w:rsidRPr="00E8454A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C56AB0">
        <w:rPr>
          <w:rFonts w:ascii="Times New Roman" w:hAnsi="Times New Roman" w:cs="Times New Roman"/>
          <w:iCs/>
          <w:sz w:val="24"/>
          <w:szCs w:val="24"/>
        </w:rPr>
        <w:t>ustawy o zmianie ustawy</w:t>
      </w:r>
      <w:r w:rsidR="007354B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354BC" w:rsidRPr="007354BC">
        <w:rPr>
          <w:rFonts w:ascii="Times New Roman" w:hAnsi="Times New Roman" w:cs="Times New Roman"/>
          <w:sz w:val="24"/>
          <w:szCs w:val="24"/>
        </w:rPr>
        <w:t>–</w:t>
      </w:r>
      <w:r w:rsidRPr="00C56AB0">
        <w:rPr>
          <w:rFonts w:ascii="Times New Roman" w:hAnsi="Times New Roman" w:cs="Times New Roman"/>
          <w:iCs/>
          <w:sz w:val="24"/>
          <w:szCs w:val="24"/>
        </w:rPr>
        <w:t xml:space="preserve"> Kodeks karny</w:t>
      </w:r>
      <w:r w:rsidRPr="00E8454A">
        <w:rPr>
          <w:rFonts w:ascii="Times New Roman" w:hAnsi="Times New Roman" w:cs="Times New Roman"/>
          <w:sz w:val="24"/>
          <w:szCs w:val="24"/>
        </w:rPr>
        <w:t xml:space="preserve"> (druk nr </w:t>
      </w:r>
      <w:r w:rsidR="00CB7A6F" w:rsidRPr="00CB7A6F">
        <w:rPr>
          <w:rFonts w:ascii="Times New Roman" w:hAnsi="Times New Roman" w:cs="Times New Roman"/>
          <w:sz w:val="24"/>
          <w:szCs w:val="24"/>
        </w:rPr>
        <w:t>1094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7374A1C3" w14:textId="77777777" w:rsidR="00884687" w:rsidRDefault="00884687"/>
    <w:sectPr w:rsidR="008846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C2829" w14:textId="77777777" w:rsidR="00C35D7A" w:rsidRDefault="00C35D7A">
      <w:pPr>
        <w:spacing w:after="0" w:line="240" w:lineRule="auto"/>
      </w:pPr>
      <w:r>
        <w:separator/>
      </w:r>
    </w:p>
  </w:endnote>
  <w:endnote w:type="continuationSeparator" w:id="0">
    <w:p w14:paraId="305955EE" w14:textId="77777777" w:rsidR="00C35D7A" w:rsidRDefault="00C35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CC83E" w14:textId="77777777" w:rsidR="00E50D30" w:rsidRDefault="00E50D3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9AB06" w14:textId="77777777" w:rsidR="00164AD5" w:rsidRDefault="00C35D7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09445" w14:textId="77777777" w:rsidR="00E50D30" w:rsidRDefault="00E50D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7A8B6" w14:textId="77777777" w:rsidR="00C35D7A" w:rsidRDefault="00C35D7A">
      <w:pPr>
        <w:spacing w:after="0" w:line="240" w:lineRule="auto"/>
      </w:pPr>
      <w:r>
        <w:separator/>
      </w:r>
    </w:p>
  </w:footnote>
  <w:footnote w:type="continuationSeparator" w:id="0">
    <w:p w14:paraId="3F8ECB87" w14:textId="77777777" w:rsidR="00C35D7A" w:rsidRDefault="00C35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9407A" w14:textId="77777777" w:rsidR="00E50D30" w:rsidRDefault="00E50D3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8EFD50" w14:textId="77777777" w:rsidR="00E50D30" w:rsidRDefault="00E50D3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38369" w14:textId="77777777" w:rsidR="00E50D30" w:rsidRDefault="00E50D3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98"/>
    <w:rsid w:val="00052547"/>
    <w:rsid w:val="000C3FF5"/>
    <w:rsid w:val="001D2A3D"/>
    <w:rsid w:val="001D79D1"/>
    <w:rsid w:val="00210D4F"/>
    <w:rsid w:val="00284F07"/>
    <w:rsid w:val="00293D66"/>
    <w:rsid w:val="003A36C8"/>
    <w:rsid w:val="004702FA"/>
    <w:rsid w:val="004B33AA"/>
    <w:rsid w:val="00531D33"/>
    <w:rsid w:val="00533651"/>
    <w:rsid w:val="00574970"/>
    <w:rsid w:val="00596A87"/>
    <w:rsid w:val="005B085B"/>
    <w:rsid w:val="005D0030"/>
    <w:rsid w:val="005E670B"/>
    <w:rsid w:val="00603166"/>
    <w:rsid w:val="0062122F"/>
    <w:rsid w:val="00636671"/>
    <w:rsid w:val="006408A3"/>
    <w:rsid w:val="006D1B98"/>
    <w:rsid w:val="00712833"/>
    <w:rsid w:val="00714655"/>
    <w:rsid w:val="007354BC"/>
    <w:rsid w:val="007801DB"/>
    <w:rsid w:val="007C3557"/>
    <w:rsid w:val="007D29D5"/>
    <w:rsid w:val="00854D0E"/>
    <w:rsid w:val="0086091C"/>
    <w:rsid w:val="00882196"/>
    <w:rsid w:val="00884687"/>
    <w:rsid w:val="009B1C1D"/>
    <w:rsid w:val="009C3AE5"/>
    <w:rsid w:val="00A31453"/>
    <w:rsid w:val="00A33069"/>
    <w:rsid w:val="00A50F48"/>
    <w:rsid w:val="00A93CB9"/>
    <w:rsid w:val="00AD0BCC"/>
    <w:rsid w:val="00AE4A83"/>
    <w:rsid w:val="00B61F37"/>
    <w:rsid w:val="00B849A4"/>
    <w:rsid w:val="00BA5083"/>
    <w:rsid w:val="00C35D7A"/>
    <w:rsid w:val="00C36974"/>
    <w:rsid w:val="00C43F78"/>
    <w:rsid w:val="00C45309"/>
    <w:rsid w:val="00C56AB0"/>
    <w:rsid w:val="00C72834"/>
    <w:rsid w:val="00CB7A6F"/>
    <w:rsid w:val="00D01BED"/>
    <w:rsid w:val="00E10430"/>
    <w:rsid w:val="00E15093"/>
    <w:rsid w:val="00E168C9"/>
    <w:rsid w:val="00E40872"/>
    <w:rsid w:val="00E50D30"/>
    <w:rsid w:val="00F02C68"/>
    <w:rsid w:val="00F12EEC"/>
    <w:rsid w:val="00F54F38"/>
    <w:rsid w:val="00FB2703"/>
    <w:rsid w:val="00FF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69B6C"/>
  <w15:chartTrackingRefBased/>
  <w15:docId w15:val="{3271F9CC-3FAA-40C9-8929-CB77ED5F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08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B08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085B"/>
  </w:style>
  <w:style w:type="paragraph" w:styleId="Nagwek">
    <w:name w:val="header"/>
    <w:basedOn w:val="Normalny"/>
    <w:link w:val="NagwekZnak"/>
    <w:uiPriority w:val="99"/>
    <w:unhideWhenUsed/>
    <w:rsid w:val="00E50D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0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288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Tyburcy Tomasz  (DLPK)</dc:creator>
  <cp:keywords/>
  <dc:description/>
  <cp:lastModifiedBy>Sabiniewicz Marcin</cp:lastModifiedBy>
  <cp:revision>8</cp:revision>
  <dcterms:created xsi:type="dcterms:W3CDTF">2021-12-21T08:14:00Z</dcterms:created>
  <dcterms:modified xsi:type="dcterms:W3CDTF">2021-12-21T12:44:00Z</dcterms:modified>
</cp:coreProperties>
</file>