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990B1" w14:textId="77777777" w:rsidR="00AC744F" w:rsidRPr="00B57ECD" w:rsidRDefault="00AC744F" w:rsidP="00B96564">
      <w:pPr>
        <w:tabs>
          <w:tab w:val="left" w:pos="426"/>
        </w:tabs>
        <w:spacing w:after="0" w:line="240" w:lineRule="auto"/>
        <w:ind w:left="8222" w:hanging="3266"/>
        <w:rPr>
          <w:rFonts w:ascii="Tahoma" w:hAnsi="Tahoma" w:cs="Tahoma"/>
          <w:b/>
          <w:i/>
          <w:sz w:val="24"/>
          <w:szCs w:val="24"/>
        </w:rPr>
      </w:pPr>
    </w:p>
    <w:p w14:paraId="5824495E" w14:textId="2758F860" w:rsidR="003F53F3" w:rsidRPr="00B57ECD" w:rsidRDefault="003F53F3" w:rsidP="00EF30E3">
      <w:pPr>
        <w:tabs>
          <w:tab w:val="left" w:pos="426"/>
        </w:tabs>
        <w:spacing w:after="0" w:line="240" w:lineRule="auto"/>
        <w:ind w:left="1849" w:hanging="3266"/>
        <w:jc w:val="right"/>
        <w:rPr>
          <w:rFonts w:ascii="Tahoma" w:hAnsi="Tahoma" w:cs="Tahoma"/>
          <w:sz w:val="24"/>
          <w:szCs w:val="24"/>
        </w:rPr>
      </w:pPr>
      <w:r w:rsidRPr="00B57ECD">
        <w:rPr>
          <w:rFonts w:ascii="Tahoma" w:hAnsi="Tahoma" w:cs="Tahoma"/>
          <w:b/>
          <w:i/>
          <w:sz w:val="24"/>
          <w:szCs w:val="24"/>
        </w:rPr>
        <w:tab/>
      </w:r>
    </w:p>
    <w:p w14:paraId="6D5B6B97" w14:textId="77777777" w:rsidR="003F53F3" w:rsidRDefault="003F53F3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2CDA9B9A" w14:textId="77777777" w:rsidR="0034462A" w:rsidRPr="0034462A" w:rsidRDefault="0034462A" w:rsidP="0034462A">
      <w:pPr>
        <w:spacing w:after="0" w:line="360" w:lineRule="auto"/>
        <w:jc w:val="center"/>
        <w:rPr>
          <w:rFonts w:ascii="Tahoma" w:hAnsi="Tahoma" w:cs="Tahoma"/>
          <w:b/>
          <w:spacing w:val="12"/>
          <w:sz w:val="24"/>
          <w:szCs w:val="24"/>
        </w:rPr>
      </w:pPr>
      <w:r w:rsidRPr="0034462A">
        <w:rPr>
          <w:rFonts w:ascii="Tahoma" w:hAnsi="Tahoma" w:cs="Tahoma"/>
          <w:b/>
          <w:spacing w:val="12"/>
          <w:sz w:val="24"/>
          <w:szCs w:val="24"/>
        </w:rPr>
        <w:t>Uzasadnienie</w:t>
      </w:r>
    </w:p>
    <w:p w14:paraId="5990312B" w14:textId="77777777" w:rsidR="0034462A" w:rsidRDefault="0034462A" w:rsidP="00C00FF1">
      <w:pPr>
        <w:spacing w:after="0"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</w:p>
    <w:p w14:paraId="0BBB30BE" w14:textId="77777777" w:rsidR="0034462A" w:rsidRDefault="0034462A" w:rsidP="00C00FF1">
      <w:pPr>
        <w:spacing w:after="0"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</w:p>
    <w:p w14:paraId="27498EA4" w14:textId="77777777" w:rsidR="00C00FF1" w:rsidRPr="00657849" w:rsidRDefault="00C00FF1" w:rsidP="00C00FF1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b/>
          <w:sz w:val="24"/>
          <w:szCs w:val="24"/>
        </w:rPr>
        <w:t>1. Cel i potrzeba wydania ustawy</w:t>
      </w:r>
    </w:p>
    <w:p w14:paraId="4BF1E419" w14:textId="77777777" w:rsidR="00C00FF1" w:rsidRPr="00657849" w:rsidRDefault="00C00FF1" w:rsidP="00C00FF1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19C8679B" w14:textId="77777777" w:rsidR="00C00FF1" w:rsidRPr="00657849" w:rsidRDefault="00C00FF1" w:rsidP="004E11F3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sz w:val="24"/>
          <w:szCs w:val="24"/>
        </w:rPr>
        <w:t xml:space="preserve">Celem niniejszej ustawy jest </w:t>
      </w:r>
      <w:r>
        <w:rPr>
          <w:rFonts w:ascii="Tahoma" w:hAnsi="Tahoma" w:cs="Tahoma"/>
          <w:sz w:val="24"/>
          <w:szCs w:val="24"/>
        </w:rPr>
        <w:t xml:space="preserve">pełna realizacja konstytucyjnego prawa do sądu ofiar przestępstw </w:t>
      </w:r>
      <w:r w:rsidRPr="00C00FF1">
        <w:rPr>
          <w:rFonts w:ascii="Tahoma" w:hAnsi="Tahoma" w:cs="Tahoma"/>
          <w:sz w:val="24"/>
          <w:szCs w:val="24"/>
        </w:rPr>
        <w:t>przeciwko</w:t>
      </w:r>
      <w:r>
        <w:rPr>
          <w:rFonts w:ascii="Tahoma" w:hAnsi="Tahoma" w:cs="Tahoma"/>
          <w:sz w:val="24"/>
          <w:szCs w:val="24"/>
        </w:rPr>
        <w:t xml:space="preserve"> </w:t>
      </w:r>
      <w:r w:rsidRPr="00C00FF1">
        <w:rPr>
          <w:rFonts w:ascii="Tahoma" w:hAnsi="Tahoma" w:cs="Tahoma"/>
          <w:sz w:val="24"/>
          <w:szCs w:val="24"/>
        </w:rPr>
        <w:t xml:space="preserve">życiu i zdrowiu </w:t>
      </w:r>
      <w:r>
        <w:rPr>
          <w:rFonts w:ascii="Tahoma" w:hAnsi="Tahoma" w:cs="Tahoma"/>
          <w:sz w:val="24"/>
          <w:szCs w:val="24"/>
        </w:rPr>
        <w:t xml:space="preserve">oraz przeciwko </w:t>
      </w:r>
      <w:r w:rsidRPr="00C00FF1">
        <w:rPr>
          <w:rFonts w:ascii="Tahoma" w:hAnsi="Tahoma" w:cs="Tahoma"/>
          <w:sz w:val="24"/>
          <w:szCs w:val="24"/>
        </w:rPr>
        <w:t>wolności seksualnej</w:t>
      </w:r>
      <w:r>
        <w:rPr>
          <w:rFonts w:ascii="Tahoma" w:hAnsi="Tahoma" w:cs="Tahoma"/>
          <w:sz w:val="24"/>
          <w:szCs w:val="24"/>
        </w:rPr>
        <w:t xml:space="preserve"> </w:t>
      </w:r>
      <w:r w:rsidRPr="00C00FF1">
        <w:rPr>
          <w:rFonts w:ascii="Tahoma" w:hAnsi="Tahoma" w:cs="Tahoma"/>
          <w:sz w:val="24"/>
          <w:szCs w:val="24"/>
        </w:rPr>
        <w:t xml:space="preserve">popełnionych na szkodę </w:t>
      </w:r>
      <w:r w:rsidR="004E11F3">
        <w:rPr>
          <w:rFonts w:ascii="Tahoma" w:hAnsi="Tahoma" w:cs="Tahoma"/>
          <w:sz w:val="24"/>
          <w:szCs w:val="24"/>
        </w:rPr>
        <w:t>małoletniego</w:t>
      </w:r>
      <w:r>
        <w:rPr>
          <w:rFonts w:ascii="Tahoma" w:hAnsi="Tahoma" w:cs="Tahoma"/>
          <w:sz w:val="24"/>
          <w:szCs w:val="24"/>
        </w:rPr>
        <w:t xml:space="preserve">. Przepis </w:t>
      </w:r>
      <w:r w:rsidR="004E11F3" w:rsidRPr="00B57ECD">
        <w:rPr>
          <w:rFonts w:ascii="Tahoma" w:hAnsi="Tahoma" w:cs="Tahoma"/>
          <w:sz w:val="24"/>
          <w:szCs w:val="24"/>
        </w:rPr>
        <w:t xml:space="preserve">art. </w:t>
      </w:r>
      <w:r w:rsidR="004E11F3">
        <w:rPr>
          <w:rFonts w:ascii="Tahoma" w:hAnsi="Tahoma" w:cs="Tahoma"/>
          <w:sz w:val="24"/>
          <w:szCs w:val="24"/>
        </w:rPr>
        <w:t>101</w:t>
      </w:r>
      <w:r w:rsidR="004E11F3" w:rsidRPr="00B57ECD">
        <w:rPr>
          <w:rFonts w:ascii="Tahoma" w:hAnsi="Tahoma" w:cs="Tahoma"/>
          <w:sz w:val="24"/>
          <w:szCs w:val="24"/>
        </w:rPr>
        <w:t xml:space="preserve"> </w:t>
      </w:r>
      <w:r w:rsidR="004E11F3" w:rsidRPr="00B57ECD">
        <w:rPr>
          <w:rStyle w:val="alb"/>
          <w:rFonts w:ascii="Tahoma" w:hAnsi="Tahoma" w:cs="Tahoma"/>
          <w:sz w:val="24"/>
          <w:szCs w:val="24"/>
        </w:rPr>
        <w:t>§ 4</w:t>
      </w:r>
      <w:r w:rsidR="004E11F3">
        <w:rPr>
          <w:rStyle w:val="alb"/>
          <w:rFonts w:ascii="Tahoma" w:hAnsi="Tahoma" w:cs="Tahoma"/>
          <w:sz w:val="24"/>
          <w:szCs w:val="24"/>
        </w:rPr>
        <w:t xml:space="preserve"> </w:t>
      </w:r>
      <w:r w:rsidR="004E11F3" w:rsidRPr="00B57ECD">
        <w:rPr>
          <w:rFonts w:ascii="Tahoma" w:hAnsi="Tahoma" w:cs="Tahoma"/>
          <w:sz w:val="24"/>
          <w:szCs w:val="24"/>
        </w:rPr>
        <w:t>ustaw</w:t>
      </w:r>
      <w:r w:rsidR="004E11F3">
        <w:rPr>
          <w:rFonts w:ascii="Tahoma" w:hAnsi="Tahoma" w:cs="Tahoma"/>
          <w:sz w:val="24"/>
          <w:szCs w:val="24"/>
        </w:rPr>
        <w:t>y</w:t>
      </w:r>
      <w:r w:rsidR="004E11F3" w:rsidRPr="00B57ECD">
        <w:rPr>
          <w:rFonts w:ascii="Tahoma" w:hAnsi="Tahoma" w:cs="Tahoma"/>
          <w:sz w:val="24"/>
          <w:szCs w:val="24"/>
        </w:rPr>
        <w:t xml:space="preserve"> z dnia 6 czerwca 1997 r. — Kodeks karny</w:t>
      </w:r>
      <w:r w:rsidR="004E11F3">
        <w:rPr>
          <w:rFonts w:ascii="Tahoma" w:hAnsi="Tahoma" w:cs="Tahoma"/>
          <w:sz w:val="24"/>
          <w:szCs w:val="24"/>
        </w:rPr>
        <w:t xml:space="preserve"> (Dz.U. z 2020 r. poz. 1444 i 1517; dalej: „k.k”), w brzmieniu nadanym ustawą </w:t>
      </w:r>
      <w:r w:rsidR="004E11F3" w:rsidRPr="004E11F3">
        <w:rPr>
          <w:rFonts w:ascii="Tahoma" w:hAnsi="Tahoma" w:cs="Tahoma"/>
          <w:sz w:val="24"/>
          <w:szCs w:val="24"/>
        </w:rPr>
        <w:t>z dnia 20 lutego 2015 r.</w:t>
      </w:r>
      <w:r w:rsidR="004E11F3">
        <w:rPr>
          <w:rFonts w:ascii="Tahoma" w:hAnsi="Tahoma" w:cs="Tahoma"/>
          <w:sz w:val="24"/>
          <w:szCs w:val="24"/>
        </w:rPr>
        <w:t xml:space="preserve"> </w:t>
      </w:r>
      <w:r w:rsidR="004E11F3" w:rsidRPr="004E11F3">
        <w:rPr>
          <w:rFonts w:ascii="Tahoma" w:hAnsi="Tahoma" w:cs="Tahoma"/>
          <w:sz w:val="24"/>
          <w:szCs w:val="24"/>
        </w:rPr>
        <w:t>o zmianie ustawy - Kodeks karny oraz niektórych innych ustaw</w:t>
      </w:r>
      <w:r w:rsidR="004E11F3">
        <w:rPr>
          <w:rFonts w:ascii="Tahoma" w:hAnsi="Tahoma" w:cs="Tahoma"/>
          <w:sz w:val="24"/>
          <w:szCs w:val="24"/>
        </w:rPr>
        <w:t xml:space="preserve">  (</w:t>
      </w:r>
      <w:r w:rsidR="004E11F3" w:rsidRPr="004E11F3">
        <w:rPr>
          <w:rFonts w:ascii="Tahoma" w:hAnsi="Tahoma" w:cs="Tahoma"/>
          <w:sz w:val="24"/>
          <w:szCs w:val="24"/>
        </w:rPr>
        <w:t>Dz.U.</w:t>
      </w:r>
      <w:r w:rsidR="004E11F3">
        <w:rPr>
          <w:rFonts w:ascii="Tahoma" w:hAnsi="Tahoma" w:cs="Tahoma"/>
          <w:sz w:val="24"/>
          <w:szCs w:val="24"/>
        </w:rPr>
        <w:t xml:space="preserve"> z </w:t>
      </w:r>
      <w:r w:rsidR="004E11F3" w:rsidRPr="004E11F3">
        <w:rPr>
          <w:rFonts w:ascii="Tahoma" w:hAnsi="Tahoma" w:cs="Tahoma"/>
          <w:sz w:val="24"/>
          <w:szCs w:val="24"/>
        </w:rPr>
        <w:t>2015</w:t>
      </w:r>
      <w:r w:rsidR="004E11F3">
        <w:rPr>
          <w:rFonts w:ascii="Tahoma" w:hAnsi="Tahoma" w:cs="Tahoma"/>
          <w:sz w:val="24"/>
          <w:szCs w:val="24"/>
        </w:rPr>
        <w:t xml:space="preserve"> r</w:t>
      </w:r>
      <w:r w:rsidR="004E11F3" w:rsidRPr="004E11F3">
        <w:rPr>
          <w:rFonts w:ascii="Tahoma" w:hAnsi="Tahoma" w:cs="Tahoma"/>
          <w:sz w:val="24"/>
          <w:szCs w:val="24"/>
        </w:rPr>
        <w:t>.</w:t>
      </w:r>
      <w:r w:rsidR="004E11F3">
        <w:rPr>
          <w:rFonts w:ascii="Tahoma" w:hAnsi="Tahoma" w:cs="Tahoma"/>
          <w:sz w:val="24"/>
          <w:szCs w:val="24"/>
        </w:rPr>
        <w:t xml:space="preserve"> poz. </w:t>
      </w:r>
      <w:r w:rsidR="004E11F3" w:rsidRPr="004E11F3">
        <w:rPr>
          <w:rFonts w:ascii="Tahoma" w:hAnsi="Tahoma" w:cs="Tahoma"/>
          <w:sz w:val="24"/>
          <w:szCs w:val="24"/>
        </w:rPr>
        <w:t>396</w:t>
      </w:r>
      <w:r w:rsidR="004E11F3">
        <w:rPr>
          <w:rFonts w:ascii="Tahoma" w:hAnsi="Tahoma" w:cs="Tahoma"/>
          <w:sz w:val="24"/>
          <w:szCs w:val="24"/>
        </w:rPr>
        <w:t>), okazał się niewystarczający. P</w:t>
      </w:r>
      <w:r w:rsidR="004039C5">
        <w:rPr>
          <w:rFonts w:ascii="Tahoma" w:hAnsi="Tahoma" w:cs="Tahoma"/>
          <w:sz w:val="24"/>
          <w:szCs w:val="24"/>
        </w:rPr>
        <w:t>okrzywdzeni od wielu lat</w:t>
      </w:r>
      <w:r w:rsidR="004E11F3">
        <w:rPr>
          <w:rFonts w:ascii="Tahoma" w:hAnsi="Tahoma" w:cs="Tahoma"/>
          <w:sz w:val="24"/>
          <w:szCs w:val="24"/>
        </w:rPr>
        <w:t xml:space="preserve"> nie mog</w:t>
      </w:r>
      <w:r w:rsidR="004039C5">
        <w:rPr>
          <w:rFonts w:ascii="Tahoma" w:hAnsi="Tahoma" w:cs="Tahoma"/>
          <w:sz w:val="24"/>
          <w:szCs w:val="24"/>
        </w:rPr>
        <w:t>ą</w:t>
      </w:r>
      <w:r w:rsidR="004E11F3">
        <w:rPr>
          <w:rFonts w:ascii="Tahoma" w:hAnsi="Tahoma" w:cs="Tahoma"/>
          <w:sz w:val="24"/>
          <w:szCs w:val="24"/>
        </w:rPr>
        <w:t xml:space="preserve"> zrealizować swoich konstytucyjnych praw, a osoby podejrzane o popełnienie przestępstw </w:t>
      </w:r>
      <w:r w:rsidR="004E11F3" w:rsidRPr="00C00FF1">
        <w:rPr>
          <w:rFonts w:ascii="Tahoma" w:hAnsi="Tahoma" w:cs="Tahoma"/>
          <w:sz w:val="24"/>
          <w:szCs w:val="24"/>
        </w:rPr>
        <w:t>przeciwko</w:t>
      </w:r>
      <w:r w:rsidR="004E11F3">
        <w:rPr>
          <w:rFonts w:ascii="Tahoma" w:hAnsi="Tahoma" w:cs="Tahoma"/>
          <w:sz w:val="24"/>
          <w:szCs w:val="24"/>
        </w:rPr>
        <w:t xml:space="preserve"> </w:t>
      </w:r>
      <w:r w:rsidR="004E11F3" w:rsidRPr="00C00FF1">
        <w:rPr>
          <w:rFonts w:ascii="Tahoma" w:hAnsi="Tahoma" w:cs="Tahoma"/>
          <w:sz w:val="24"/>
          <w:szCs w:val="24"/>
        </w:rPr>
        <w:t xml:space="preserve">życiu i zdrowiu </w:t>
      </w:r>
      <w:r w:rsidR="004E11F3">
        <w:rPr>
          <w:rFonts w:ascii="Tahoma" w:hAnsi="Tahoma" w:cs="Tahoma"/>
          <w:sz w:val="24"/>
          <w:szCs w:val="24"/>
        </w:rPr>
        <w:t xml:space="preserve">oraz przeciwko </w:t>
      </w:r>
      <w:r w:rsidR="004E11F3" w:rsidRPr="00C00FF1">
        <w:rPr>
          <w:rFonts w:ascii="Tahoma" w:hAnsi="Tahoma" w:cs="Tahoma"/>
          <w:sz w:val="24"/>
          <w:szCs w:val="24"/>
        </w:rPr>
        <w:t>wolności seksualnej</w:t>
      </w:r>
      <w:r w:rsidR="004E11F3">
        <w:rPr>
          <w:rFonts w:ascii="Tahoma" w:hAnsi="Tahoma" w:cs="Tahoma"/>
          <w:sz w:val="24"/>
          <w:szCs w:val="24"/>
        </w:rPr>
        <w:t xml:space="preserve"> nigdy nie zostały skazane mimo dowodów jednoznacznie wskazujących na winę. Problem ten pogłębia się szczególnie w przypadku współistnienia dwóch przestrzeni prawny</w:t>
      </w:r>
      <w:r w:rsidR="00321854">
        <w:rPr>
          <w:rFonts w:ascii="Tahoma" w:hAnsi="Tahoma" w:cs="Tahoma"/>
          <w:sz w:val="24"/>
          <w:szCs w:val="24"/>
        </w:rPr>
        <w:t>ch</w:t>
      </w:r>
      <w:r w:rsidR="004E11F3">
        <w:rPr>
          <w:rFonts w:ascii="Tahoma" w:hAnsi="Tahoma" w:cs="Tahoma"/>
          <w:sz w:val="24"/>
          <w:szCs w:val="24"/>
        </w:rPr>
        <w:t>: prawa powszechnie obowiązują</w:t>
      </w:r>
      <w:r w:rsidR="0034462A">
        <w:rPr>
          <w:rFonts w:ascii="Tahoma" w:hAnsi="Tahoma" w:cs="Tahoma"/>
          <w:sz w:val="24"/>
          <w:szCs w:val="24"/>
        </w:rPr>
        <w:t>cego i </w:t>
      </w:r>
      <w:r w:rsidR="004E11F3">
        <w:rPr>
          <w:rFonts w:ascii="Tahoma" w:hAnsi="Tahoma" w:cs="Tahoma"/>
          <w:sz w:val="24"/>
          <w:szCs w:val="24"/>
        </w:rPr>
        <w:t xml:space="preserve">prawa kanonicznego. Zmiana w tym zakresie przyczyni się do ochrony małoletnich, realizacji prawa do sądu oraz ograniczenia liczby przestępstw </w:t>
      </w:r>
      <w:r w:rsidR="004E11F3" w:rsidRPr="00C00FF1">
        <w:rPr>
          <w:rFonts w:ascii="Tahoma" w:hAnsi="Tahoma" w:cs="Tahoma"/>
          <w:sz w:val="24"/>
          <w:szCs w:val="24"/>
        </w:rPr>
        <w:t>przeciwko</w:t>
      </w:r>
      <w:r w:rsidR="004E11F3">
        <w:rPr>
          <w:rFonts w:ascii="Tahoma" w:hAnsi="Tahoma" w:cs="Tahoma"/>
          <w:sz w:val="24"/>
          <w:szCs w:val="24"/>
        </w:rPr>
        <w:t xml:space="preserve"> </w:t>
      </w:r>
      <w:r w:rsidR="0034462A">
        <w:rPr>
          <w:rFonts w:ascii="Tahoma" w:hAnsi="Tahoma" w:cs="Tahoma"/>
          <w:sz w:val="24"/>
          <w:szCs w:val="24"/>
        </w:rPr>
        <w:t>życiu i </w:t>
      </w:r>
      <w:r w:rsidR="004E11F3" w:rsidRPr="00C00FF1">
        <w:rPr>
          <w:rFonts w:ascii="Tahoma" w:hAnsi="Tahoma" w:cs="Tahoma"/>
          <w:sz w:val="24"/>
          <w:szCs w:val="24"/>
        </w:rPr>
        <w:t xml:space="preserve">zdrowiu </w:t>
      </w:r>
      <w:r w:rsidR="004E11F3">
        <w:rPr>
          <w:rFonts w:ascii="Tahoma" w:hAnsi="Tahoma" w:cs="Tahoma"/>
          <w:sz w:val="24"/>
          <w:szCs w:val="24"/>
        </w:rPr>
        <w:t xml:space="preserve">oraz przeciwko </w:t>
      </w:r>
      <w:r w:rsidR="004E11F3" w:rsidRPr="00C00FF1">
        <w:rPr>
          <w:rFonts w:ascii="Tahoma" w:hAnsi="Tahoma" w:cs="Tahoma"/>
          <w:sz w:val="24"/>
          <w:szCs w:val="24"/>
        </w:rPr>
        <w:t>wolności seksualnej</w:t>
      </w:r>
      <w:r w:rsidR="004E11F3">
        <w:rPr>
          <w:rFonts w:ascii="Tahoma" w:hAnsi="Tahoma" w:cs="Tahoma"/>
          <w:sz w:val="24"/>
          <w:szCs w:val="24"/>
        </w:rPr>
        <w:t xml:space="preserve"> </w:t>
      </w:r>
      <w:r w:rsidR="004E11F3" w:rsidRPr="00C00FF1">
        <w:rPr>
          <w:rFonts w:ascii="Tahoma" w:hAnsi="Tahoma" w:cs="Tahoma"/>
          <w:sz w:val="24"/>
          <w:szCs w:val="24"/>
        </w:rPr>
        <w:t>popełnionych na szkodę małoletniego</w:t>
      </w:r>
      <w:r w:rsidR="004E11F3">
        <w:rPr>
          <w:rFonts w:ascii="Tahoma" w:hAnsi="Tahoma" w:cs="Tahoma"/>
          <w:sz w:val="24"/>
          <w:szCs w:val="24"/>
        </w:rPr>
        <w:t>.</w:t>
      </w:r>
    </w:p>
    <w:p w14:paraId="383B5497" w14:textId="77777777" w:rsidR="00C00FF1" w:rsidRPr="00657849" w:rsidRDefault="00C00FF1" w:rsidP="00C00FF1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5728EFEF" w14:textId="77777777" w:rsidR="00C00FF1" w:rsidRPr="00657849" w:rsidRDefault="00C00FF1" w:rsidP="00C00FF1">
      <w:pPr>
        <w:spacing w:after="0"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  <w:r w:rsidRPr="00657849">
        <w:rPr>
          <w:rFonts w:ascii="Tahoma" w:hAnsi="Tahoma" w:cs="Tahoma"/>
          <w:b/>
          <w:sz w:val="24"/>
          <w:szCs w:val="24"/>
        </w:rPr>
        <w:t>2. Różnice między dotychczasowym a projektowanym stanem prawnym</w:t>
      </w:r>
    </w:p>
    <w:p w14:paraId="58897DD0" w14:textId="77777777" w:rsidR="00C00FF1" w:rsidRPr="00657849" w:rsidRDefault="00C00FF1" w:rsidP="00C00FF1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2DAC742C" w14:textId="77777777" w:rsidR="00C00FF1" w:rsidRDefault="00C00FF1" w:rsidP="00321854">
      <w:pPr>
        <w:spacing w:after="0" w:line="360" w:lineRule="auto"/>
        <w:ind w:firstLine="708"/>
        <w:jc w:val="both"/>
        <w:rPr>
          <w:rStyle w:val="alb"/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sz w:val="24"/>
          <w:szCs w:val="24"/>
        </w:rPr>
        <w:t>W art. 1 projekt</w:t>
      </w:r>
      <w:r>
        <w:rPr>
          <w:rFonts w:ascii="Tahoma" w:hAnsi="Tahoma" w:cs="Tahoma"/>
          <w:sz w:val="24"/>
          <w:szCs w:val="24"/>
        </w:rPr>
        <w:t>u</w:t>
      </w:r>
      <w:r w:rsidRPr="00657849">
        <w:rPr>
          <w:rFonts w:ascii="Tahoma" w:hAnsi="Tahoma" w:cs="Tahoma"/>
          <w:sz w:val="24"/>
          <w:szCs w:val="24"/>
        </w:rPr>
        <w:t xml:space="preserve"> dokonuje się zmiany w </w:t>
      </w:r>
      <w:r w:rsidR="004E11F3" w:rsidRPr="00B57ECD">
        <w:rPr>
          <w:rFonts w:ascii="Tahoma" w:hAnsi="Tahoma" w:cs="Tahoma"/>
          <w:sz w:val="24"/>
          <w:szCs w:val="24"/>
        </w:rPr>
        <w:t>ustaw</w:t>
      </w:r>
      <w:r w:rsidR="004E11F3">
        <w:rPr>
          <w:rFonts w:ascii="Tahoma" w:hAnsi="Tahoma" w:cs="Tahoma"/>
          <w:sz w:val="24"/>
          <w:szCs w:val="24"/>
        </w:rPr>
        <w:t>ie</w:t>
      </w:r>
      <w:r w:rsidR="004E11F3" w:rsidRPr="00B57ECD">
        <w:rPr>
          <w:rFonts w:ascii="Tahoma" w:hAnsi="Tahoma" w:cs="Tahoma"/>
          <w:sz w:val="24"/>
          <w:szCs w:val="24"/>
        </w:rPr>
        <w:t xml:space="preserve"> z dnia 6 czerwca 1997 r. — Kodeks karny</w:t>
      </w:r>
      <w:r w:rsidRPr="00657849">
        <w:rPr>
          <w:rFonts w:ascii="Tahoma" w:hAnsi="Tahoma" w:cs="Tahoma"/>
          <w:sz w:val="24"/>
          <w:szCs w:val="24"/>
        </w:rPr>
        <w:t xml:space="preserve">. </w:t>
      </w:r>
      <w:r w:rsidR="004E11F3">
        <w:rPr>
          <w:rFonts w:ascii="Tahoma" w:hAnsi="Tahoma" w:cs="Tahoma"/>
          <w:sz w:val="24"/>
          <w:szCs w:val="24"/>
        </w:rPr>
        <w:t xml:space="preserve">W zmianie pierwszej uchyla się </w:t>
      </w:r>
      <w:r w:rsidR="004E11F3" w:rsidRPr="00B57ECD">
        <w:rPr>
          <w:rStyle w:val="alb"/>
          <w:rFonts w:ascii="Tahoma" w:hAnsi="Tahoma" w:cs="Tahoma"/>
          <w:sz w:val="24"/>
          <w:szCs w:val="24"/>
        </w:rPr>
        <w:t>§ 4</w:t>
      </w:r>
      <w:r w:rsidR="004E11F3" w:rsidRPr="004E11F3">
        <w:rPr>
          <w:rFonts w:ascii="Tahoma" w:hAnsi="Tahoma" w:cs="Tahoma"/>
          <w:sz w:val="24"/>
          <w:szCs w:val="24"/>
        </w:rPr>
        <w:t xml:space="preserve"> </w:t>
      </w:r>
      <w:r w:rsidR="004E11F3">
        <w:rPr>
          <w:rFonts w:ascii="Tahoma" w:hAnsi="Tahoma" w:cs="Tahoma"/>
          <w:sz w:val="24"/>
          <w:szCs w:val="24"/>
        </w:rPr>
        <w:t xml:space="preserve">w </w:t>
      </w:r>
      <w:r w:rsidR="004E11F3" w:rsidRPr="00B57ECD">
        <w:rPr>
          <w:rFonts w:ascii="Tahoma" w:hAnsi="Tahoma" w:cs="Tahoma"/>
          <w:sz w:val="24"/>
          <w:szCs w:val="24"/>
        </w:rPr>
        <w:t xml:space="preserve">art. 101 </w:t>
      </w:r>
      <w:r w:rsidR="004E11F3">
        <w:rPr>
          <w:rFonts w:ascii="Tahoma" w:hAnsi="Tahoma" w:cs="Tahoma"/>
          <w:sz w:val="24"/>
          <w:szCs w:val="24"/>
        </w:rPr>
        <w:t xml:space="preserve">k.k. Przepis ten dotychczas określał termin szczególny przedawnienia karalności </w:t>
      </w:r>
      <w:r w:rsidR="00321854">
        <w:rPr>
          <w:rFonts w:ascii="Tahoma" w:hAnsi="Tahoma" w:cs="Tahoma"/>
          <w:sz w:val="24"/>
          <w:szCs w:val="24"/>
        </w:rPr>
        <w:t>występków przeciwko życiu i </w:t>
      </w:r>
      <w:r w:rsidR="004E11F3" w:rsidRPr="004E11F3">
        <w:rPr>
          <w:rFonts w:ascii="Tahoma" w:hAnsi="Tahoma" w:cs="Tahoma"/>
          <w:sz w:val="24"/>
          <w:szCs w:val="24"/>
        </w:rPr>
        <w:t>zdrowiu, popełnionych na szkodę małoletniego, zagrożonych karą, której górna granica przekracza 5 lat pozbawienia wolności,</w:t>
      </w:r>
      <w:r w:rsidR="004E11F3">
        <w:rPr>
          <w:rFonts w:ascii="Tahoma" w:hAnsi="Tahoma" w:cs="Tahoma"/>
          <w:sz w:val="24"/>
          <w:szCs w:val="24"/>
        </w:rPr>
        <w:t xml:space="preserve"> a także </w:t>
      </w:r>
      <w:r w:rsidR="00321854">
        <w:rPr>
          <w:rFonts w:ascii="Tahoma" w:hAnsi="Tahoma" w:cs="Tahoma"/>
          <w:sz w:val="24"/>
          <w:szCs w:val="24"/>
        </w:rPr>
        <w:t>przestępstw określonych w </w:t>
      </w:r>
      <w:r w:rsidR="004E11F3" w:rsidRPr="004E11F3">
        <w:rPr>
          <w:rFonts w:ascii="Tahoma" w:hAnsi="Tahoma" w:cs="Tahoma"/>
          <w:sz w:val="24"/>
          <w:szCs w:val="24"/>
        </w:rPr>
        <w:t>rozdziale XXV, popełnionych na szkodę małoletniego albo gdy treści pornograficzne obejmują udział małoletniego</w:t>
      </w:r>
      <w:r w:rsidR="004E11F3">
        <w:rPr>
          <w:rFonts w:ascii="Tahoma" w:hAnsi="Tahoma" w:cs="Tahoma"/>
          <w:sz w:val="24"/>
          <w:szCs w:val="24"/>
        </w:rPr>
        <w:t xml:space="preserve">. W myśl tego przepisu termin przedawnienia jest </w:t>
      </w:r>
      <w:r w:rsidR="004E11F3">
        <w:rPr>
          <w:rFonts w:ascii="Tahoma" w:hAnsi="Tahoma" w:cs="Tahoma"/>
          <w:sz w:val="24"/>
          <w:szCs w:val="24"/>
        </w:rPr>
        <w:lastRenderedPageBreak/>
        <w:t xml:space="preserve">mierzony zgodnie z </w:t>
      </w:r>
      <w:r w:rsidR="004E11F3" w:rsidRPr="00B57ECD">
        <w:rPr>
          <w:rStyle w:val="alb"/>
          <w:rFonts w:ascii="Tahoma" w:hAnsi="Tahoma" w:cs="Tahoma"/>
          <w:sz w:val="24"/>
          <w:szCs w:val="24"/>
        </w:rPr>
        <w:t>§</w:t>
      </w:r>
      <w:r w:rsidR="004E11F3">
        <w:rPr>
          <w:rStyle w:val="alb"/>
          <w:rFonts w:ascii="Tahoma" w:hAnsi="Tahoma" w:cs="Tahoma"/>
          <w:sz w:val="24"/>
          <w:szCs w:val="24"/>
        </w:rPr>
        <w:t xml:space="preserve"> 1, ale przedawnienie nie może </w:t>
      </w:r>
      <w:r w:rsidR="004E11F3" w:rsidRPr="004E11F3">
        <w:rPr>
          <w:rStyle w:val="alb"/>
          <w:rFonts w:ascii="Tahoma" w:hAnsi="Tahoma" w:cs="Tahoma"/>
          <w:sz w:val="24"/>
          <w:szCs w:val="24"/>
        </w:rPr>
        <w:t xml:space="preserve">nastąpić przed ukończeniem przez </w:t>
      </w:r>
      <w:r w:rsidR="004E11F3">
        <w:rPr>
          <w:rStyle w:val="alb"/>
          <w:rFonts w:ascii="Tahoma" w:hAnsi="Tahoma" w:cs="Tahoma"/>
          <w:sz w:val="24"/>
          <w:szCs w:val="24"/>
        </w:rPr>
        <w:t>pokrzywdzonego małoletniego</w:t>
      </w:r>
      <w:r w:rsidR="004E11F3" w:rsidRPr="004E11F3">
        <w:rPr>
          <w:rStyle w:val="alb"/>
          <w:rFonts w:ascii="Tahoma" w:hAnsi="Tahoma" w:cs="Tahoma"/>
          <w:sz w:val="24"/>
          <w:szCs w:val="24"/>
        </w:rPr>
        <w:t xml:space="preserve"> 30. roku życia.</w:t>
      </w:r>
      <w:r w:rsidR="004E11F3">
        <w:rPr>
          <w:rStyle w:val="alb"/>
          <w:rFonts w:ascii="Tahoma" w:hAnsi="Tahoma" w:cs="Tahoma"/>
          <w:sz w:val="24"/>
          <w:szCs w:val="24"/>
        </w:rPr>
        <w:t xml:space="preserve"> W praktyce minimalny termin przedawnienia </w:t>
      </w:r>
      <w:r w:rsidR="0077479B">
        <w:rPr>
          <w:rStyle w:val="alb"/>
          <w:rFonts w:ascii="Tahoma" w:hAnsi="Tahoma" w:cs="Tahoma"/>
          <w:sz w:val="24"/>
          <w:szCs w:val="24"/>
        </w:rPr>
        <w:t xml:space="preserve">karalności </w:t>
      </w:r>
      <w:r w:rsidR="004E11F3">
        <w:rPr>
          <w:rStyle w:val="alb"/>
          <w:rFonts w:ascii="Tahoma" w:hAnsi="Tahoma" w:cs="Tahoma"/>
          <w:sz w:val="24"/>
          <w:szCs w:val="24"/>
        </w:rPr>
        <w:t xml:space="preserve">w tym stanie prawnym może być określony </w:t>
      </w:r>
      <w:r w:rsidR="00321854">
        <w:rPr>
          <w:rStyle w:val="alb"/>
          <w:rFonts w:ascii="Tahoma" w:hAnsi="Tahoma" w:cs="Tahoma"/>
          <w:sz w:val="24"/>
          <w:szCs w:val="24"/>
        </w:rPr>
        <w:t>na 15 lat, a </w:t>
      </w:r>
      <w:r w:rsidR="0077479B">
        <w:rPr>
          <w:rStyle w:val="alb"/>
          <w:rFonts w:ascii="Tahoma" w:hAnsi="Tahoma" w:cs="Tahoma"/>
          <w:sz w:val="24"/>
          <w:szCs w:val="24"/>
        </w:rPr>
        <w:t xml:space="preserve">maksymalny na 30 lat. Wpisuje się on </w:t>
      </w:r>
      <w:r w:rsidR="0077479B" w:rsidRPr="0077479B">
        <w:rPr>
          <w:rStyle w:val="alb"/>
          <w:rFonts w:ascii="Tahoma" w:hAnsi="Tahoma" w:cs="Tahoma"/>
          <w:i/>
          <w:sz w:val="24"/>
          <w:szCs w:val="24"/>
        </w:rPr>
        <w:t>de facto</w:t>
      </w:r>
      <w:r w:rsidR="0077479B">
        <w:rPr>
          <w:rStyle w:val="alb"/>
          <w:rFonts w:ascii="Tahoma" w:hAnsi="Tahoma" w:cs="Tahoma"/>
          <w:sz w:val="24"/>
          <w:szCs w:val="24"/>
        </w:rPr>
        <w:t xml:space="preserve"> w zakres określony w </w:t>
      </w:r>
      <w:r w:rsidR="0077479B" w:rsidRPr="00B57ECD">
        <w:rPr>
          <w:rStyle w:val="alb"/>
          <w:rFonts w:ascii="Tahoma" w:hAnsi="Tahoma" w:cs="Tahoma"/>
          <w:sz w:val="24"/>
          <w:szCs w:val="24"/>
        </w:rPr>
        <w:t>§</w:t>
      </w:r>
      <w:r w:rsidR="0077479B">
        <w:rPr>
          <w:rStyle w:val="alb"/>
          <w:rFonts w:ascii="Tahoma" w:hAnsi="Tahoma" w:cs="Tahoma"/>
          <w:sz w:val="24"/>
          <w:szCs w:val="24"/>
        </w:rPr>
        <w:t xml:space="preserve"> 1. Projektodawcy proponują uchylenie tego przepisu.</w:t>
      </w:r>
    </w:p>
    <w:p w14:paraId="4BF18D22" w14:textId="77777777" w:rsidR="0077479B" w:rsidRDefault="0077479B" w:rsidP="004E11F3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Style w:val="alb"/>
          <w:rFonts w:ascii="Tahoma" w:hAnsi="Tahoma" w:cs="Tahoma"/>
          <w:sz w:val="24"/>
          <w:szCs w:val="24"/>
        </w:rPr>
        <w:t xml:space="preserve">W zmianie drugiej projektodawcy proponuje zmianę brzmienia </w:t>
      </w:r>
      <w:r w:rsidRPr="00B57ECD">
        <w:rPr>
          <w:rFonts w:ascii="Tahoma" w:hAnsi="Tahoma" w:cs="Tahoma"/>
          <w:sz w:val="24"/>
          <w:szCs w:val="24"/>
        </w:rPr>
        <w:t xml:space="preserve">art. 105 </w:t>
      </w:r>
      <w:r w:rsidRPr="00B57ECD">
        <w:rPr>
          <w:rStyle w:val="alb"/>
          <w:rFonts w:ascii="Tahoma" w:hAnsi="Tahoma" w:cs="Tahoma"/>
          <w:sz w:val="24"/>
          <w:szCs w:val="24"/>
        </w:rPr>
        <w:t>§ 2</w:t>
      </w:r>
      <w:r>
        <w:rPr>
          <w:rStyle w:val="alb"/>
          <w:rFonts w:ascii="Tahoma" w:hAnsi="Tahoma" w:cs="Tahoma"/>
          <w:sz w:val="24"/>
          <w:szCs w:val="24"/>
        </w:rPr>
        <w:t xml:space="preserve"> k.k. Do wyjątków wyłączenia przedawnienia dodaje się czyny wym</w:t>
      </w:r>
      <w:r w:rsidR="0034462A">
        <w:rPr>
          <w:rStyle w:val="alb"/>
          <w:rFonts w:ascii="Tahoma" w:hAnsi="Tahoma" w:cs="Tahoma"/>
          <w:sz w:val="24"/>
          <w:szCs w:val="24"/>
        </w:rPr>
        <w:t>ienione w </w:t>
      </w:r>
      <w:r>
        <w:rPr>
          <w:rStyle w:val="alb"/>
          <w:rFonts w:ascii="Tahoma" w:hAnsi="Tahoma" w:cs="Tahoma"/>
          <w:sz w:val="24"/>
          <w:szCs w:val="24"/>
        </w:rPr>
        <w:t xml:space="preserve">dotychczasowym </w:t>
      </w:r>
      <w:r w:rsidRPr="00B57ECD">
        <w:rPr>
          <w:rFonts w:ascii="Tahoma" w:hAnsi="Tahoma" w:cs="Tahoma"/>
          <w:sz w:val="24"/>
          <w:szCs w:val="24"/>
        </w:rPr>
        <w:t xml:space="preserve">art. 101 </w:t>
      </w:r>
      <w:r>
        <w:rPr>
          <w:rFonts w:ascii="Tahoma" w:hAnsi="Tahoma" w:cs="Tahoma"/>
          <w:sz w:val="24"/>
          <w:szCs w:val="24"/>
        </w:rPr>
        <w:t>k.k.</w:t>
      </w:r>
      <w:r w:rsidRPr="0077479B">
        <w:rPr>
          <w:rStyle w:val="alb"/>
          <w:rFonts w:ascii="Tahoma" w:hAnsi="Tahoma" w:cs="Tahoma"/>
          <w:sz w:val="24"/>
          <w:szCs w:val="24"/>
        </w:rPr>
        <w:t xml:space="preserve"> </w:t>
      </w:r>
      <w:r w:rsidRPr="00B57ECD">
        <w:rPr>
          <w:rStyle w:val="alb"/>
          <w:rFonts w:ascii="Tahoma" w:hAnsi="Tahoma" w:cs="Tahoma"/>
          <w:sz w:val="24"/>
          <w:szCs w:val="24"/>
        </w:rPr>
        <w:t>§ 4</w:t>
      </w:r>
      <w:r>
        <w:rPr>
          <w:rStyle w:val="alb"/>
          <w:rFonts w:ascii="Tahoma" w:hAnsi="Tahoma" w:cs="Tahoma"/>
          <w:sz w:val="24"/>
          <w:szCs w:val="24"/>
        </w:rPr>
        <w:t xml:space="preserve">: </w:t>
      </w:r>
      <w:r w:rsidRPr="004E11F3">
        <w:rPr>
          <w:rFonts w:ascii="Tahoma" w:hAnsi="Tahoma" w:cs="Tahoma"/>
          <w:sz w:val="24"/>
          <w:szCs w:val="24"/>
        </w:rPr>
        <w:t>występków przeciwko życiu i zdrowiu, popełnionych na szkodę małoletniego, zagrożonych karą, której górna granica przekracza 5 lat pozbawienia wolności,</w:t>
      </w:r>
      <w:r>
        <w:rPr>
          <w:rFonts w:ascii="Tahoma" w:hAnsi="Tahoma" w:cs="Tahoma"/>
          <w:sz w:val="24"/>
          <w:szCs w:val="24"/>
        </w:rPr>
        <w:t xml:space="preserve"> a także </w:t>
      </w:r>
      <w:r w:rsidRPr="004E11F3">
        <w:rPr>
          <w:rFonts w:ascii="Tahoma" w:hAnsi="Tahoma" w:cs="Tahoma"/>
          <w:sz w:val="24"/>
          <w:szCs w:val="24"/>
        </w:rPr>
        <w:t>przestępstw określonych w rozdziale XXV, popełnionych na szkodę małoletniego albo gdy treści pornograficzne obejmują udział małoletniego</w:t>
      </w:r>
      <w:r>
        <w:rPr>
          <w:rFonts w:ascii="Tahoma" w:hAnsi="Tahoma" w:cs="Tahoma"/>
          <w:sz w:val="24"/>
          <w:szCs w:val="24"/>
        </w:rPr>
        <w:t xml:space="preserve">. Oznacza to, że wymienione </w:t>
      </w:r>
      <w:r w:rsidR="0034462A">
        <w:rPr>
          <w:rFonts w:ascii="Tahoma" w:hAnsi="Tahoma" w:cs="Tahoma"/>
          <w:sz w:val="24"/>
          <w:szCs w:val="24"/>
        </w:rPr>
        <w:t xml:space="preserve">czyny zabronione, dotychczas regulowane przez przepisy szczególne, zostaną wyłączone z przepisów dotyczących przedawnienia. </w:t>
      </w:r>
    </w:p>
    <w:p w14:paraId="0CC02054" w14:textId="77777777" w:rsidR="0034462A" w:rsidRPr="0034462A" w:rsidRDefault="0034462A" w:rsidP="0034462A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Dotychczasowe przepisy w tym zakresie wskazywały dwie kategorie przestępstw. Jak wskazuje doktryna: „</w:t>
      </w:r>
      <w:r w:rsidRPr="0034462A">
        <w:rPr>
          <w:rFonts w:ascii="Tahoma" w:hAnsi="Tahoma" w:cs="Tahoma"/>
          <w:sz w:val="24"/>
          <w:szCs w:val="24"/>
        </w:rPr>
        <w:t>Definicja zbrodni przeciwko ludzkości zawarta jest m.in. w art. 7 ust. 1 Rzymskiego Statutu MTK, który w Polsce wszedł w życie 1.07.2002 r.: „Dla celów niniejszego statutu «zbrodnia przeciwko ludzkości» oznacza którykolwiek z następujących czynów, popełniony w ramach rozległego lub systematycznego, świadomego ataku skierowanego p</w:t>
      </w:r>
      <w:r>
        <w:rPr>
          <w:rFonts w:ascii="Tahoma" w:hAnsi="Tahoma" w:cs="Tahoma"/>
          <w:sz w:val="24"/>
          <w:szCs w:val="24"/>
        </w:rPr>
        <w:t>rzeciwko ludności cywilnej: (a) </w:t>
      </w:r>
      <w:r w:rsidRPr="0034462A">
        <w:rPr>
          <w:rFonts w:ascii="Tahoma" w:hAnsi="Tahoma" w:cs="Tahoma"/>
          <w:sz w:val="24"/>
          <w:szCs w:val="24"/>
        </w:rPr>
        <w:t>zabójstwo; (b) eksterminacja; (c) niewolnictwo; (d) deportacja lub przymusowe przemieszczanie ludności; (e) uwięzienie lub inne dotkliwe pozbawienie wolności fizycznej z naruszeniem podstawowych reguł prawa międzynarodowego; (f) tortury; (g) zgwałcenie, niewolnictwo seksualne, przymusowa prostytucja, wymuszona ciąża, przymusowa sterylizacja oraz jakiekolwiek inne formy przemocy seksualnej porównywalnej wagi; (h) prześladowanie jakiejkolwiek możliwej do zidentyfikowania grupy lub zbiorowości z powodów politycznych, rasowych, narodowych, etnicznych, kulturowych, religijnych, płci (gender) w rozumieniu ustępu 3 lub z innych powodów powszechnie uznanych za niedopuszczalne na podstawie prawa międzynarodowego, w związku z jakimkolwiek czynem, do którego od</w:t>
      </w:r>
      <w:r>
        <w:rPr>
          <w:rFonts w:ascii="Tahoma" w:hAnsi="Tahoma" w:cs="Tahoma"/>
          <w:sz w:val="24"/>
          <w:szCs w:val="24"/>
        </w:rPr>
        <w:t>nosi się niniejszy ustęp, lub z </w:t>
      </w:r>
      <w:r w:rsidRPr="0034462A">
        <w:rPr>
          <w:rFonts w:ascii="Tahoma" w:hAnsi="Tahoma" w:cs="Tahoma"/>
          <w:sz w:val="24"/>
          <w:szCs w:val="24"/>
        </w:rPr>
        <w:t xml:space="preserve">jakąkolwiek zbrodnią objętą jurysdykcją Trybunału; (i) wymuszone zaginięcia osób; (j) zbrodnia apartheidu; (k) inne nieludzkie czyny o podobnym charakterze celowo </w:t>
      </w:r>
      <w:r w:rsidRPr="0034462A">
        <w:rPr>
          <w:rFonts w:ascii="Tahoma" w:hAnsi="Tahoma" w:cs="Tahoma"/>
          <w:sz w:val="24"/>
          <w:szCs w:val="24"/>
        </w:rPr>
        <w:lastRenderedPageBreak/>
        <w:t>powodujące ogromne cierpienie lub poważne uszkodzenie ciała albo zdrowia psychicznego lub fizycznego”.</w:t>
      </w:r>
    </w:p>
    <w:p w14:paraId="41A4FB3A" w14:textId="77777777" w:rsidR="0034462A" w:rsidRDefault="0034462A" w:rsidP="0034462A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34462A">
        <w:rPr>
          <w:rFonts w:ascii="Tahoma" w:hAnsi="Tahoma" w:cs="Tahoma"/>
          <w:sz w:val="24"/>
          <w:szCs w:val="24"/>
        </w:rPr>
        <w:t>Artykuł 105 § 2 k.k. zasadę nieprzedawnia</w:t>
      </w:r>
      <w:r>
        <w:rPr>
          <w:rFonts w:ascii="Tahoma" w:hAnsi="Tahoma" w:cs="Tahoma"/>
          <w:sz w:val="24"/>
          <w:szCs w:val="24"/>
        </w:rPr>
        <w:t>nia się przestępstw rozciąga na </w:t>
      </w:r>
      <w:r w:rsidRPr="0034462A">
        <w:rPr>
          <w:rFonts w:ascii="Tahoma" w:hAnsi="Tahoma" w:cs="Tahoma"/>
          <w:sz w:val="24"/>
          <w:szCs w:val="24"/>
        </w:rPr>
        <w:t>umyślne przestępstwa zabójstwa, ciężkiego uszkodzenia ciała, ciężkiego uszczerbku na zdrowiu (art. 156 § 1 i 3 k.k.), pozbawienia wolności połączonego ze szczególnym udręczeniem (art. 189 § 3 k.k.), popełnionego przez funkcjonariusza publicznego w związku z pełnieniem obowiązków służbowych. Wątpliwości powstają co do zakresu pojęcia umyślnego przestępstwa zabójstwa, w jego skład wchodzą bowiem nie tylko typ podstawowy (art. 148 § 1 k.k.) i typy kwalifikowane (art. 148 § 2 i 3 k.k.), ale i uprzywilejowane (art. 148 § 4, art. 149, 150 k.k.). W doktrynie zasadnie uznaje się, że należy wyłączyć z zakresu działania art. 105 § 2 k.k. przestępstwa określone w art. 148 § 4 k.k. (zabójstwo pod wpływem silnego wzburzenia) oraz art. 150 § 1 k.k. (eutanazja), przemawia za tym bowiem wykładnia celowościowa (Zoll, Tarapata [w:] Wróbel, Zoll I/2, s. 860). Analogiczny pogląd wyraził Sąd Najwyższy w postanowieniu z 23.09.2009 r., I KZP 18/09, LEX nr 518140: „Zastosowanie wykładni celowościowej, odwołującej się do argumentów natury aksjologicznej, prowadzi do rozsądnej konkluzj</w:t>
      </w:r>
      <w:r>
        <w:rPr>
          <w:rFonts w:ascii="Tahoma" w:hAnsi="Tahoma" w:cs="Tahoma"/>
          <w:sz w:val="24"/>
          <w:szCs w:val="24"/>
        </w:rPr>
        <w:t>i, iż wynikająca z art. 105 § 2 </w:t>
      </w:r>
      <w:r w:rsidRPr="0034462A">
        <w:rPr>
          <w:rFonts w:ascii="Tahoma" w:hAnsi="Tahoma" w:cs="Tahoma"/>
          <w:sz w:val="24"/>
          <w:szCs w:val="24"/>
        </w:rPr>
        <w:t xml:space="preserve">k.k. zasada ma zastosowanie tylko </w:t>
      </w:r>
      <w:r>
        <w:rPr>
          <w:rFonts w:ascii="Tahoma" w:hAnsi="Tahoma" w:cs="Tahoma"/>
          <w:sz w:val="24"/>
          <w:szCs w:val="24"/>
        </w:rPr>
        <w:t>w odniesieniu do podstawowego i   </w:t>
      </w:r>
      <w:r w:rsidRPr="0034462A">
        <w:rPr>
          <w:rFonts w:ascii="Tahoma" w:hAnsi="Tahoma" w:cs="Tahoma"/>
          <w:sz w:val="24"/>
          <w:szCs w:val="24"/>
        </w:rPr>
        <w:t>kwalifikowanych typów zabójstwa”.</w:t>
      </w:r>
      <w:r>
        <w:rPr>
          <w:rFonts w:ascii="Tahoma" w:hAnsi="Tahoma" w:cs="Tahoma"/>
          <w:sz w:val="24"/>
          <w:szCs w:val="24"/>
        </w:rPr>
        <w:t>” (</w:t>
      </w:r>
      <w:r w:rsidRPr="0034462A">
        <w:rPr>
          <w:rFonts w:ascii="Tahoma" w:hAnsi="Tahoma" w:cs="Tahoma"/>
          <w:sz w:val="24"/>
          <w:szCs w:val="24"/>
        </w:rPr>
        <w:t xml:space="preserve">M. </w:t>
      </w:r>
      <w:r>
        <w:rPr>
          <w:rFonts w:ascii="Tahoma" w:hAnsi="Tahoma" w:cs="Tahoma"/>
          <w:sz w:val="24"/>
          <w:szCs w:val="24"/>
        </w:rPr>
        <w:t>Mozgawa [w:] M. Budyn-Kulik, P. </w:t>
      </w:r>
      <w:r w:rsidRPr="0034462A">
        <w:rPr>
          <w:rFonts w:ascii="Tahoma" w:hAnsi="Tahoma" w:cs="Tahoma"/>
          <w:sz w:val="24"/>
          <w:szCs w:val="24"/>
        </w:rPr>
        <w:t>Kozłowska-Kalisz, M. Kulik, M. Mozgawa, Kodeks karny. Komentarz aktualizowany, Gdańsk 2021, art. 105.</w:t>
      </w:r>
      <w:r>
        <w:rPr>
          <w:rFonts w:ascii="Tahoma" w:hAnsi="Tahoma" w:cs="Tahoma"/>
          <w:sz w:val="24"/>
          <w:szCs w:val="24"/>
        </w:rPr>
        <w:t xml:space="preserve">) </w:t>
      </w:r>
    </w:p>
    <w:p w14:paraId="7146A933" w14:textId="77777777" w:rsidR="0034462A" w:rsidRDefault="0034462A" w:rsidP="0034462A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 związku z tym należy wskazać, że czyny wymienione w dotychczasowym </w:t>
      </w:r>
      <w:r w:rsidRPr="00B57ECD">
        <w:rPr>
          <w:rFonts w:ascii="Tahoma" w:hAnsi="Tahoma" w:cs="Tahoma"/>
          <w:sz w:val="24"/>
          <w:szCs w:val="24"/>
        </w:rPr>
        <w:t xml:space="preserve">art. 101 </w:t>
      </w:r>
      <w:r w:rsidRPr="00B57ECD">
        <w:rPr>
          <w:rStyle w:val="alb"/>
          <w:rFonts w:ascii="Tahoma" w:hAnsi="Tahoma" w:cs="Tahoma"/>
          <w:sz w:val="24"/>
          <w:szCs w:val="24"/>
        </w:rPr>
        <w:t>§ 4</w:t>
      </w:r>
      <w:r>
        <w:rPr>
          <w:rStyle w:val="alb"/>
          <w:rFonts w:ascii="Tahoma" w:hAnsi="Tahoma" w:cs="Tahoma"/>
          <w:sz w:val="24"/>
          <w:szCs w:val="24"/>
        </w:rPr>
        <w:t xml:space="preserve"> </w:t>
      </w:r>
      <w:r w:rsidR="00392006">
        <w:rPr>
          <w:rStyle w:val="alb"/>
          <w:rFonts w:ascii="Tahoma" w:hAnsi="Tahoma" w:cs="Tahoma"/>
          <w:sz w:val="24"/>
          <w:szCs w:val="24"/>
        </w:rPr>
        <w:t>k.k. wykazują</w:t>
      </w:r>
      <w:r>
        <w:rPr>
          <w:rStyle w:val="alb"/>
          <w:rFonts w:ascii="Tahoma" w:hAnsi="Tahoma" w:cs="Tahoma"/>
          <w:sz w:val="24"/>
          <w:szCs w:val="24"/>
        </w:rPr>
        <w:t xml:space="preserve"> podobne cechy charakterystyczne jak druga kategoria czynów wyłączonych przez art. 105</w:t>
      </w:r>
      <w:r w:rsidR="00392006">
        <w:rPr>
          <w:rStyle w:val="alb"/>
          <w:rFonts w:ascii="Tahoma" w:hAnsi="Tahoma" w:cs="Tahoma"/>
          <w:sz w:val="24"/>
          <w:szCs w:val="24"/>
        </w:rPr>
        <w:t xml:space="preserve"> k.k.</w:t>
      </w:r>
      <w:r>
        <w:rPr>
          <w:rStyle w:val="alb"/>
          <w:rFonts w:ascii="Tahoma" w:hAnsi="Tahoma" w:cs="Tahoma"/>
          <w:sz w:val="24"/>
          <w:szCs w:val="24"/>
        </w:rPr>
        <w:t>: typ podstawowy (</w:t>
      </w:r>
      <w:r w:rsidRPr="0034462A">
        <w:rPr>
          <w:rStyle w:val="alb"/>
          <w:rFonts w:ascii="Tahoma" w:hAnsi="Tahoma" w:cs="Tahoma"/>
          <w:sz w:val="24"/>
          <w:szCs w:val="24"/>
        </w:rPr>
        <w:t>występk</w:t>
      </w:r>
      <w:r>
        <w:rPr>
          <w:rStyle w:val="alb"/>
          <w:rFonts w:ascii="Tahoma" w:hAnsi="Tahoma" w:cs="Tahoma"/>
          <w:sz w:val="24"/>
          <w:szCs w:val="24"/>
        </w:rPr>
        <w:t>i</w:t>
      </w:r>
      <w:r w:rsidRPr="0034462A">
        <w:rPr>
          <w:rStyle w:val="alb"/>
          <w:rFonts w:ascii="Tahoma" w:hAnsi="Tahoma" w:cs="Tahoma"/>
          <w:sz w:val="24"/>
          <w:szCs w:val="24"/>
        </w:rPr>
        <w:t xml:space="preserve"> przeciwko życiu i zdrowiu</w:t>
      </w:r>
      <w:r>
        <w:rPr>
          <w:rStyle w:val="alb"/>
          <w:rFonts w:ascii="Tahoma" w:hAnsi="Tahoma" w:cs="Tahoma"/>
          <w:sz w:val="24"/>
          <w:szCs w:val="24"/>
        </w:rPr>
        <w:t xml:space="preserve"> lub przestępstwa przeciwko wolności seksualnej) i typ kwalifikowany (szkoda osoby małoletniej). Na tej podstawie należy stwierdzić, że czyny wskazane w zmianie drugiej stanowią spójny przepis z art. 105 </w:t>
      </w:r>
      <w:r w:rsidRPr="00B57ECD">
        <w:rPr>
          <w:rStyle w:val="alb"/>
          <w:rFonts w:ascii="Tahoma" w:hAnsi="Tahoma" w:cs="Tahoma"/>
          <w:sz w:val="24"/>
          <w:szCs w:val="24"/>
        </w:rPr>
        <w:t>§</w:t>
      </w:r>
      <w:r>
        <w:rPr>
          <w:rStyle w:val="alb"/>
          <w:rFonts w:ascii="Tahoma" w:hAnsi="Tahoma" w:cs="Tahoma"/>
          <w:sz w:val="24"/>
          <w:szCs w:val="24"/>
        </w:rPr>
        <w:t xml:space="preserve"> 2 w obecnym brzmieniu. </w:t>
      </w:r>
    </w:p>
    <w:p w14:paraId="3ED5EE28" w14:textId="77777777" w:rsidR="004E11F3" w:rsidRDefault="0034462A" w:rsidP="004E11F3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 art. 2 proponuje się wejście w życie ustawy po upływie 14 dni od dnia ogłoszenia. </w:t>
      </w:r>
    </w:p>
    <w:p w14:paraId="301E4C46" w14:textId="77777777" w:rsidR="0034462A" w:rsidRDefault="0034462A" w:rsidP="004E11F3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1560E7CF" w14:textId="77777777" w:rsidR="0034462A" w:rsidRDefault="0034462A" w:rsidP="004E11F3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41A9A386" w14:textId="77777777" w:rsidR="0034462A" w:rsidRPr="00657849" w:rsidRDefault="0034462A" w:rsidP="004E11F3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23F335C8" w14:textId="77777777" w:rsidR="00C00FF1" w:rsidRPr="00657849" w:rsidRDefault="00C00FF1" w:rsidP="00C00FF1">
      <w:pPr>
        <w:spacing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657849">
        <w:rPr>
          <w:rFonts w:ascii="Tahoma" w:hAnsi="Tahoma" w:cs="Tahoma"/>
          <w:b/>
          <w:sz w:val="24"/>
          <w:szCs w:val="24"/>
        </w:rPr>
        <w:t>3.</w:t>
      </w:r>
      <w:r w:rsidRPr="00657849">
        <w:rPr>
          <w:rFonts w:ascii="Tahoma" w:hAnsi="Tahoma" w:cs="Tahoma"/>
          <w:sz w:val="24"/>
          <w:szCs w:val="24"/>
        </w:rPr>
        <w:t xml:space="preserve"> </w:t>
      </w:r>
      <w:r w:rsidRPr="00657849">
        <w:rPr>
          <w:rFonts w:ascii="Tahoma" w:hAnsi="Tahoma" w:cs="Tahoma"/>
          <w:b/>
          <w:sz w:val="24"/>
          <w:szCs w:val="24"/>
        </w:rPr>
        <w:t>Źródła finansowania</w:t>
      </w:r>
    </w:p>
    <w:p w14:paraId="4462F4ED" w14:textId="77777777" w:rsidR="00C00FF1" w:rsidRPr="00657849" w:rsidRDefault="00C00FF1" w:rsidP="00C00FF1">
      <w:pPr>
        <w:spacing w:before="240" w:after="24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sz w:val="24"/>
          <w:szCs w:val="24"/>
        </w:rPr>
        <w:lastRenderedPageBreak/>
        <w:t>Projekt nie wywiera skutków finansowych dla budżetu państwa lub budżetów jednostek samorządu terytorialnego.</w:t>
      </w:r>
    </w:p>
    <w:p w14:paraId="235AF593" w14:textId="77777777" w:rsidR="00C00FF1" w:rsidRPr="00657849" w:rsidRDefault="00C00FF1" w:rsidP="00C00FF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657849">
        <w:rPr>
          <w:rFonts w:ascii="Tahoma" w:hAnsi="Tahoma" w:cs="Tahoma"/>
          <w:b/>
          <w:sz w:val="24"/>
          <w:szCs w:val="24"/>
        </w:rPr>
        <w:t>4.</w:t>
      </w:r>
      <w:r w:rsidRPr="00657849">
        <w:rPr>
          <w:rFonts w:ascii="Tahoma" w:hAnsi="Tahoma" w:cs="Tahoma"/>
          <w:sz w:val="24"/>
          <w:szCs w:val="24"/>
        </w:rPr>
        <w:t xml:space="preserve"> </w:t>
      </w:r>
      <w:r w:rsidRPr="00657849">
        <w:rPr>
          <w:rFonts w:ascii="Tahoma" w:hAnsi="Tahoma" w:cs="Tahoma"/>
          <w:b/>
          <w:sz w:val="24"/>
          <w:szCs w:val="24"/>
        </w:rPr>
        <w:t xml:space="preserve">Oświadczenie o zgodności </w:t>
      </w:r>
      <w:r>
        <w:rPr>
          <w:rFonts w:ascii="Tahoma" w:hAnsi="Tahoma" w:cs="Tahoma"/>
          <w:b/>
          <w:sz w:val="24"/>
          <w:szCs w:val="24"/>
        </w:rPr>
        <w:t>projektu ustawy z prawem U</w:t>
      </w:r>
      <w:r w:rsidRPr="00657849">
        <w:rPr>
          <w:rFonts w:ascii="Tahoma" w:hAnsi="Tahoma" w:cs="Tahoma"/>
          <w:b/>
          <w:sz w:val="24"/>
          <w:szCs w:val="24"/>
        </w:rPr>
        <w:t>nii Europejskiej i braku obowiązku przedstawienia projektu instytucjom Unii Europejskiej</w:t>
      </w:r>
    </w:p>
    <w:p w14:paraId="738BDB32" w14:textId="77777777" w:rsidR="00C00FF1" w:rsidRPr="00657849" w:rsidRDefault="00C00FF1" w:rsidP="00C00FF1">
      <w:pPr>
        <w:spacing w:before="240" w:after="240" w:line="360" w:lineRule="auto"/>
        <w:jc w:val="both"/>
        <w:rPr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sz w:val="24"/>
          <w:szCs w:val="24"/>
        </w:rPr>
        <w:t>W ocenie projektodawcy przedmiot projektowanej regulacji nie jest objęty prawem Unii Europejskiej.</w:t>
      </w:r>
    </w:p>
    <w:p w14:paraId="5765025A" w14:textId="77777777" w:rsidR="00C00FF1" w:rsidRPr="00657849" w:rsidRDefault="00C00FF1" w:rsidP="00C00FF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657849">
        <w:rPr>
          <w:rFonts w:ascii="Tahoma" w:hAnsi="Tahoma" w:cs="Tahoma"/>
          <w:b/>
          <w:sz w:val="24"/>
          <w:szCs w:val="24"/>
        </w:rPr>
        <w:t>5.</w:t>
      </w:r>
      <w:r w:rsidRPr="00657849">
        <w:rPr>
          <w:rFonts w:ascii="Tahoma" w:hAnsi="Tahoma" w:cs="Tahoma"/>
          <w:sz w:val="24"/>
          <w:szCs w:val="24"/>
        </w:rPr>
        <w:t xml:space="preserve"> </w:t>
      </w:r>
      <w:r w:rsidRPr="00657849">
        <w:rPr>
          <w:rFonts w:ascii="Tahoma" w:hAnsi="Tahoma" w:cs="Tahoma"/>
          <w:b/>
          <w:sz w:val="24"/>
          <w:szCs w:val="24"/>
        </w:rPr>
        <w:t>Oświadczenie o notyfikacji zgodnie z przepisami dotyczącymi funkcjonowania krajowego sytemu notyfikacji norm i aktów prawnych</w:t>
      </w:r>
    </w:p>
    <w:p w14:paraId="591813D4" w14:textId="77777777" w:rsidR="00C00FF1" w:rsidRPr="00657849" w:rsidRDefault="00C00FF1" w:rsidP="00C00FF1">
      <w:pPr>
        <w:spacing w:before="240" w:after="24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sz w:val="24"/>
          <w:szCs w:val="24"/>
        </w:rPr>
        <w:t>Projekt ustawy nie wymaga przedstawienia właściwym organom i instytucjom Unii Europejskiej w tym Europejskiemu Bankowi Centralnemu, w celu uzyskania opinii, dokonania powiadomienia, konsultacji lub uzgodnienia.</w:t>
      </w:r>
    </w:p>
    <w:p w14:paraId="0BBDA3C1" w14:textId="77777777" w:rsidR="00C00FF1" w:rsidRPr="00657849" w:rsidRDefault="00C00FF1" w:rsidP="00C00FF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657849">
        <w:rPr>
          <w:rFonts w:ascii="Tahoma" w:hAnsi="Tahoma" w:cs="Tahoma"/>
          <w:b/>
          <w:sz w:val="24"/>
          <w:szCs w:val="24"/>
        </w:rPr>
        <w:t>6.</w:t>
      </w:r>
      <w:r w:rsidRPr="00657849">
        <w:rPr>
          <w:rFonts w:ascii="Tahoma" w:hAnsi="Tahoma" w:cs="Tahoma"/>
          <w:sz w:val="24"/>
          <w:szCs w:val="24"/>
        </w:rPr>
        <w:t xml:space="preserve"> </w:t>
      </w:r>
      <w:r w:rsidRPr="00657849">
        <w:rPr>
          <w:rFonts w:ascii="Tahoma" w:hAnsi="Tahoma" w:cs="Tahoma"/>
          <w:b/>
          <w:sz w:val="24"/>
          <w:szCs w:val="24"/>
        </w:rPr>
        <w:t>Konsultacje społeczne</w:t>
      </w:r>
    </w:p>
    <w:p w14:paraId="053FE0A2" w14:textId="77777777" w:rsidR="00C00FF1" w:rsidRPr="00657849" w:rsidRDefault="00C00FF1" w:rsidP="00C00FF1">
      <w:pPr>
        <w:spacing w:before="240" w:after="24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sz w:val="24"/>
          <w:szCs w:val="24"/>
        </w:rPr>
        <w:t xml:space="preserve">Projekt ustawy </w:t>
      </w:r>
      <w:r w:rsidR="0034462A">
        <w:rPr>
          <w:rFonts w:ascii="Tahoma" w:hAnsi="Tahoma" w:cs="Tahoma"/>
          <w:sz w:val="24"/>
          <w:szCs w:val="24"/>
        </w:rPr>
        <w:t>nie był poddany formalnym konsultacjom społecznym</w:t>
      </w:r>
      <w:r w:rsidRPr="00657849">
        <w:rPr>
          <w:rFonts w:ascii="Tahoma" w:hAnsi="Tahoma" w:cs="Tahoma"/>
          <w:sz w:val="24"/>
          <w:szCs w:val="24"/>
        </w:rPr>
        <w:t xml:space="preserve">. </w:t>
      </w:r>
    </w:p>
    <w:p w14:paraId="7E995F32" w14:textId="77777777" w:rsidR="00C00FF1" w:rsidRPr="00657849" w:rsidRDefault="00C00FF1" w:rsidP="00C00FF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657849">
        <w:rPr>
          <w:rFonts w:ascii="Tahoma" w:hAnsi="Tahoma" w:cs="Tahoma"/>
          <w:b/>
          <w:sz w:val="24"/>
          <w:szCs w:val="24"/>
        </w:rPr>
        <w:t>7.</w:t>
      </w:r>
      <w:r w:rsidRPr="00657849">
        <w:rPr>
          <w:rFonts w:ascii="Tahoma" w:hAnsi="Tahoma" w:cs="Tahoma"/>
          <w:sz w:val="24"/>
          <w:szCs w:val="24"/>
        </w:rPr>
        <w:t xml:space="preserve"> </w:t>
      </w:r>
      <w:r w:rsidRPr="00657849">
        <w:rPr>
          <w:rFonts w:ascii="Tahoma" w:hAnsi="Tahoma" w:cs="Tahoma"/>
          <w:b/>
          <w:sz w:val="24"/>
          <w:szCs w:val="24"/>
        </w:rPr>
        <w:t>Zgodność z Konstytucją RP</w:t>
      </w:r>
    </w:p>
    <w:p w14:paraId="5CE5F1C8" w14:textId="77777777" w:rsidR="00C00FF1" w:rsidRPr="00657849" w:rsidRDefault="00C00FF1" w:rsidP="00C00FF1">
      <w:pPr>
        <w:spacing w:before="240" w:after="24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sz w:val="24"/>
          <w:szCs w:val="24"/>
        </w:rPr>
        <w:t>Projektodawcy oświadczają, iż przedstawiony projekt u</w:t>
      </w:r>
      <w:r>
        <w:rPr>
          <w:rFonts w:ascii="Tahoma" w:hAnsi="Tahoma" w:cs="Tahoma"/>
          <w:sz w:val="24"/>
          <w:szCs w:val="24"/>
        </w:rPr>
        <w:t>stawy w ich ocenie jest zgodny z </w:t>
      </w:r>
      <w:r w:rsidRPr="00657849">
        <w:rPr>
          <w:rFonts w:ascii="Tahoma" w:hAnsi="Tahoma" w:cs="Tahoma"/>
          <w:sz w:val="24"/>
          <w:szCs w:val="24"/>
        </w:rPr>
        <w:t>Konstytucją RP.</w:t>
      </w:r>
    </w:p>
    <w:p w14:paraId="7C795FCB" w14:textId="77777777" w:rsidR="00C00FF1" w:rsidRPr="00657849" w:rsidRDefault="00C00FF1" w:rsidP="00C00FF1">
      <w:pPr>
        <w:spacing w:before="240" w:after="240"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  <w:r w:rsidRPr="00657849">
        <w:rPr>
          <w:rFonts w:ascii="Tahoma" w:hAnsi="Tahoma" w:cs="Tahoma"/>
          <w:b/>
          <w:sz w:val="24"/>
          <w:szCs w:val="24"/>
        </w:rPr>
        <w:t>8.</w:t>
      </w:r>
      <w:r w:rsidRPr="00657849">
        <w:rPr>
          <w:rFonts w:ascii="Tahoma" w:hAnsi="Tahoma" w:cs="Tahoma"/>
          <w:sz w:val="24"/>
          <w:szCs w:val="24"/>
        </w:rPr>
        <w:t xml:space="preserve"> </w:t>
      </w:r>
      <w:r w:rsidRPr="00657849">
        <w:rPr>
          <w:rFonts w:ascii="Tahoma" w:hAnsi="Tahoma" w:cs="Tahoma"/>
          <w:b/>
          <w:sz w:val="24"/>
          <w:szCs w:val="24"/>
        </w:rPr>
        <w:t>Założenia projektów aktów wykonawczych</w:t>
      </w:r>
    </w:p>
    <w:p w14:paraId="575CDC4A" w14:textId="77777777" w:rsidR="00C00FF1" w:rsidRPr="00657849" w:rsidRDefault="00C00FF1" w:rsidP="00C00FF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657849">
        <w:rPr>
          <w:rFonts w:ascii="Tahoma" w:hAnsi="Tahoma" w:cs="Tahoma"/>
          <w:sz w:val="24"/>
          <w:szCs w:val="24"/>
        </w:rPr>
        <w:t xml:space="preserve">Projekt nie wymaga wydania dodatkowych aktów wykonawczych. </w:t>
      </w:r>
    </w:p>
    <w:p w14:paraId="207BF24E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0B51A2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478FA4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5E4D9D" w14:textId="77777777" w:rsidR="002201EC" w:rsidRDefault="002201EC" w:rsidP="00B965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D43B01" w14:textId="77777777" w:rsidR="003F53F3" w:rsidRPr="00135940" w:rsidRDefault="003F53F3" w:rsidP="007A718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56321">
        <w:rPr>
          <w:rFonts w:ascii="Times New Roman" w:hAnsi="Times New Roman"/>
          <w:sz w:val="24"/>
          <w:szCs w:val="24"/>
        </w:rPr>
        <w:t xml:space="preserve">     </w:t>
      </w:r>
    </w:p>
    <w:sectPr w:rsidR="003F53F3" w:rsidRPr="00135940" w:rsidSect="0004146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ED8DB" w14:textId="77777777" w:rsidR="002D5BF3" w:rsidRDefault="002D5BF3">
      <w:r>
        <w:separator/>
      </w:r>
    </w:p>
  </w:endnote>
  <w:endnote w:type="continuationSeparator" w:id="0">
    <w:p w14:paraId="2B66532B" w14:textId="77777777" w:rsidR="002D5BF3" w:rsidRDefault="002D5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E232E" w14:textId="77777777" w:rsidR="003F53F3" w:rsidRDefault="003F53F3" w:rsidP="00C6376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68892E" w14:textId="77777777" w:rsidR="003F53F3" w:rsidRDefault="003F53F3" w:rsidP="0048779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550EF" w14:textId="219017BC" w:rsidR="003F53F3" w:rsidRDefault="003F53F3" w:rsidP="00C6376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F30E3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295EC48E" w14:textId="77777777" w:rsidR="003F53F3" w:rsidRDefault="003F53F3" w:rsidP="0048779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08541" w14:textId="77777777" w:rsidR="002D5BF3" w:rsidRDefault="002D5BF3">
      <w:r>
        <w:separator/>
      </w:r>
    </w:p>
  </w:footnote>
  <w:footnote w:type="continuationSeparator" w:id="0">
    <w:p w14:paraId="57785886" w14:textId="77777777" w:rsidR="002D5BF3" w:rsidRDefault="002D5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cs="Times New Roman"/>
      </w:rPr>
    </w:lvl>
  </w:abstractNum>
  <w:abstractNum w:abstractNumId="4" w15:restartNumberingAfterBreak="0">
    <w:nsid w:val="00000007"/>
    <w:multiLevelType w:val="multilevel"/>
    <w:tmpl w:val="B6CC698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3"/>
      <w:numFmt w:val="decimal"/>
      <w:lvlText w:val="%2)"/>
      <w:lvlJc w:val="left"/>
      <w:pPr>
        <w:tabs>
          <w:tab w:val="num" w:pos="1425"/>
        </w:tabs>
        <w:ind w:left="1425" w:hanging="705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39F23EB"/>
    <w:multiLevelType w:val="hybridMultilevel"/>
    <w:tmpl w:val="F2D80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2E3F1C"/>
    <w:multiLevelType w:val="hybridMultilevel"/>
    <w:tmpl w:val="0C7AEDC0"/>
    <w:lvl w:ilvl="0" w:tplc="6194EA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533E19"/>
    <w:multiLevelType w:val="hybridMultilevel"/>
    <w:tmpl w:val="E7E02E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91638"/>
    <w:multiLevelType w:val="multilevel"/>
    <w:tmpl w:val="0F9AEE76"/>
    <w:lvl w:ilvl="0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3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8240DF9"/>
    <w:multiLevelType w:val="hybridMultilevel"/>
    <w:tmpl w:val="C8DE8AE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75D7FC2"/>
    <w:multiLevelType w:val="hybridMultilevel"/>
    <w:tmpl w:val="D5E8CB2E"/>
    <w:lvl w:ilvl="0" w:tplc="9454F92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pStyle w:val="Nagwek7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AC3"/>
    <w:rsid w:val="0004146F"/>
    <w:rsid w:val="00077785"/>
    <w:rsid w:val="00101DEA"/>
    <w:rsid w:val="00113A79"/>
    <w:rsid w:val="00121E5C"/>
    <w:rsid w:val="00135940"/>
    <w:rsid w:val="00144C5D"/>
    <w:rsid w:val="001937A0"/>
    <w:rsid w:val="001B2833"/>
    <w:rsid w:val="002201EC"/>
    <w:rsid w:val="00241261"/>
    <w:rsid w:val="00256321"/>
    <w:rsid w:val="00280444"/>
    <w:rsid w:val="002D5BF3"/>
    <w:rsid w:val="002D6893"/>
    <w:rsid w:val="002D7CE9"/>
    <w:rsid w:val="002E6551"/>
    <w:rsid w:val="002F23A0"/>
    <w:rsid w:val="00321854"/>
    <w:rsid w:val="00336348"/>
    <w:rsid w:val="0034462A"/>
    <w:rsid w:val="003845CC"/>
    <w:rsid w:val="00392006"/>
    <w:rsid w:val="003B706B"/>
    <w:rsid w:val="003D7A5F"/>
    <w:rsid w:val="003F53F3"/>
    <w:rsid w:val="003F659A"/>
    <w:rsid w:val="004039C5"/>
    <w:rsid w:val="00437E13"/>
    <w:rsid w:val="00474F5A"/>
    <w:rsid w:val="004846BA"/>
    <w:rsid w:val="0048779F"/>
    <w:rsid w:val="0049627A"/>
    <w:rsid w:val="004D3966"/>
    <w:rsid w:val="004E11F3"/>
    <w:rsid w:val="004F4FA9"/>
    <w:rsid w:val="00561522"/>
    <w:rsid w:val="00572F5D"/>
    <w:rsid w:val="0057442F"/>
    <w:rsid w:val="005917DF"/>
    <w:rsid w:val="005A524A"/>
    <w:rsid w:val="005C6CD0"/>
    <w:rsid w:val="005D3798"/>
    <w:rsid w:val="00603DD9"/>
    <w:rsid w:val="00636346"/>
    <w:rsid w:val="007127C0"/>
    <w:rsid w:val="007252AF"/>
    <w:rsid w:val="0077479B"/>
    <w:rsid w:val="00784412"/>
    <w:rsid w:val="007A7189"/>
    <w:rsid w:val="007B4C87"/>
    <w:rsid w:val="007C0DAF"/>
    <w:rsid w:val="00831653"/>
    <w:rsid w:val="008537DB"/>
    <w:rsid w:val="0088679A"/>
    <w:rsid w:val="008A2600"/>
    <w:rsid w:val="008B5F70"/>
    <w:rsid w:val="0092717B"/>
    <w:rsid w:val="009C7BB4"/>
    <w:rsid w:val="009F3732"/>
    <w:rsid w:val="009F42EA"/>
    <w:rsid w:val="00A55D00"/>
    <w:rsid w:val="00AA1B77"/>
    <w:rsid w:val="00AC744F"/>
    <w:rsid w:val="00AE1F75"/>
    <w:rsid w:val="00B1291F"/>
    <w:rsid w:val="00B57ECD"/>
    <w:rsid w:val="00B77C3C"/>
    <w:rsid w:val="00B96564"/>
    <w:rsid w:val="00BC3069"/>
    <w:rsid w:val="00C00FF1"/>
    <w:rsid w:val="00C039F9"/>
    <w:rsid w:val="00C63767"/>
    <w:rsid w:val="00C666F8"/>
    <w:rsid w:val="00C85DC9"/>
    <w:rsid w:val="00CA07E6"/>
    <w:rsid w:val="00D05B35"/>
    <w:rsid w:val="00DB7AC3"/>
    <w:rsid w:val="00DF5C8C"/>
    <w:rsid w:val="00E2381A"/>
    <w:rsid w:val="00E307C1"/>
    <w:rsid w:val="00E4078A"/>
    <w:rsid w:val="00E7340B"/>
    <w:rsid w:val="00EF30E3"/>
    <w:rsid w:val="00F479F6"/>
    <w:rsid w:val="00F616F8"/>
    <w:rsid w:val="00FC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42633"/>
  <w15:docId w15:val="{1184D566-8D34-455E-B5AE-2E7E9E5F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7AC3"/>
    <w:pPr>
      <w:spacing w:after="200" w:line="276" w:lineRule="auto"/>
    </w:pPr>
    <w:rPr>
      <w:rFonts w:ascii="Calibri" w:hAnsi="Calibri"/>
      <w:lang w:eastAsia="en-US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127C0"/>
    <w:pPr>
      <w:keepNext/>
      <w:numPr>
        <w:ilvl w:val="6"/>
        <w:numId w:val="1"/>
      </w:numPr>
      <w:suppressAutoHyphens/>
      <w:spacing w:before="240" w:after="0" w:line="240" w:lineRule="auto"/>
      <w:jc w:val="center"/>
      <w:outlineLvl w:val="6"/>
    </w:pPr>
    <w:rPr>
      <w:rFonts w:ascii="Times New Roman" w:hAnsi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3A3"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customStyle="1" w:styleId="Body1">
    <w:name w:val="Body 1"/>
    <w:uiPriority w:val="99"/>
    <w:rsid w:val="00DB7AC3"/>
    <w:rPr>
      <w:rFonts w:ascii="Helvetica" w:hAnsi="Helvetica"/>
      <w:color w:val="000000"/>
      <w:sz w:val="24"/>
      <w:szCs w:val="20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7B4C87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53A3"/>
    <w:rPr>
      <w:rFonts w:ascii="Calibri" w:hAnsi="Calibr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rsid w:val="007B4C87"/>
    <w:rPr>
      <w:rFonts w:cs="Times New Roman"/>
      <w:vertAlign w:val="superscript"/>
    </w:rPr>
  </w:style>
  <w:style w:type="character" w:customStyle="1" w:styleId="tabulatory">
    <w:name w:val="tabulatory"/>
    <w:basedOn w:val="Domylnaczcionkaakapitu"/>
    <w:uiPriority w:val="99"/>
    <w:rsid w:val="007B4C87"/>
    <w:rPr>
      <w:rFonts w:cs="Times New Roman"/>
    </w:rPr>
  </w:style>
  <w:style w:type="character" w:styleId="Pogrubienie">
    <w:name w:val="Strong"/>
    <w:basedOn w:val="Domylnaczcionkaakapitu"/>
    <w:uiPriority w:val="99"/>
    <w:qFormat/>
    <w:rsid w:val="007B4C87"/>
    <w:rPr>
      <w:rFonts w:cs="Times New Roman"/>
      <w:b/>
    </w:rPr>
  </w:style>
  <w:style w:type="paragraph" w:styleId="NormalnyWeb">
    <w:name w:val="Normal (Web)"/>
    <w:basedOn w:val="Normalny"/>
    <w:uiPriority w:val="99"/>
    <w:rsid w:val="007B4C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7B4C87"/>
    <w:pPr>
      <w:suppressAutoHyphens/>
      <w:spacing w:after="120" w:line="240" w:lineRule="auto"/>
      <w:ind w:left="283"/>
    </w:pPr>
    <w:rPr>
      <w:rFonts w:ascii="Times New Roman" w:hAnsi="Times New Roman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753A3"/>
    <w:rPr>
      <w:rFonts w:ascii="Calibri" w:hAnsi="Calibri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F4FA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F4FA9"/>
    <w:rPr>
      <w:rFonts w:ascii="Calibri" w:hAnsi="Calibri"/>
      <w:sz w:val="16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9F42EA"/>
    <w:pPr>
      <w:spacing w:after="12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F42EA"/>
    <w:rPr>
      <w:sz w:val="24"/>
    </w:rPr>
  </w:style>
  <w:style w:type="paragraph" w:styleId="Stopka">
    <w:name w:val="footer"/>
    <w:basedOn w:val="Normalny"/>
    <w:link w:val="StopkaZnak"/>
    <w:uiPriority w:val="99"/>
    <w:rsid w:val="004877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753A3"/>
    <w:rPr>
      <w:rFonts w:ascii="Calibri" w:hAnsi="Calibri"/>
      <w:lang w:eastAsia="en-US"/>
    </w:rPr>
  </w:style>
  <w:style w:type="character" w:styleId="Numerstrony">
    <w:name w:val="page number"/>
    <w:basedOn w:val="Domylnaczcionkaakapitu"/>
    <w:uiPriority w:val="99"/>
    <w:rsid w:val="0048779F"/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437E13"/>
    <w:rPr>
      <w:rFonts w:cs="Times New Roman"/>
    </w:rPr>
  </w:style>
  <w:style w:type="character" w:styleId="Hipercze">
    <w:name w:val="Hyperlink"/>
    <w:basedOn w:val="Domylnaczcionkaakapitu"/>
    <w:uiPriority w:val="99"/>
    <w:rsid w:val="00437E13"/>
    <w:rPr>
      <w:rFonts w:cs="Times New Roman"/>
      <w:color w:val="0000FF"/>
      <w:u w:val="single"/>
    </w:rPr>
  </w:style>
  <w:style w:type="paragraph" w:customStyle="1" w:styleId="Tekstpodstawowy21">
    <w:name w:val="Tekst podstawowy 21"/>
    <w:basedOn w:val="Normalny"/>
    <w:uiPriority w:val="99"/>
    <w:rsid w:val="00C85DC9"/>
    <w:pPr>
      <w:suppressAutoHyphens/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C85DC9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3F659A"/>
    <w:pPr>
      <w:ind w:left="720"/>
      <w:contextualSpacing/>
    </w:pPr>
  </w:style>
  <w:style w:type="character" w:customStyle="1" w:styleId="alb">
    <w:name w:val="a_lb"/>
    <w:basedOn w:val="Domylnaczcionkaakapitu"/>
    <w:rsid w:val="00B57ECD"/>
  </w:style>
  <w:style w:type="paragraph" w:styleId="Tekstdymka">
    <w:name w:val="Balloon Text"/>
    <w:basedOn w:val="Normalny"/>
    <w:link w:val="TekstdymkaZnak"/>
    <w:uiPriority w:val="99"/>
    <w:semiHidden/>
    <w:unhideWhenUsed/>
    <w:rsid w:val="00C00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FF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4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5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6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83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8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83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83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02F5-C4A7-4BF5-A055-5B471A475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udu</Company>
  <LinksUpToDate>false</LinksUpToDate>
  <CharactersWithSpaces>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mwieckiewicz</dc:creator>
  <cp:lastModifiedBy>Grzegorz Molesztak</cp:lastModifiedBy>
  <cp:revision>3</cp:revision>
  <cp:lastPrinted>2021-02-25T16:02:00Z</cp:lastPrinted>
  <dcterms:created xsi:type="dcterms:W3CDTF">2021-02-25T20:55:00Z</dcterms:created>
  <dcterms:modified xsi:type="dcterms:W3CDTF">2021-04-14T11:12:00Z</dcterms:modified>
</cp:coreProperties>
</file>