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5DBDF9" w14:textId="77777777" w:rsidR="009307EF" w:rsidRPr="008F485E" w:rsidRDefault="009307EF" w:rsidP="007C74CE">
      <w:pPr>
        <w:shd w:val="clear" w:color="auto" w:fill="FFFFFF"/>
        <w:spacing w:line="360" w:lineRule="auto"/>
        <w:ind w:right="5"/>
        <w:jc w:val="center"/>
        <w:rPr>
          <w:rFonts w:ascii="Times New Roman" w:hAnsi="Times New Roman" w:cs="Times New Roman"/>
          <w:b/>
          <w:sz w:val="24"/>
          <w:szCs w:val="24"/>
        </w:rPr>
      </w:pPr>
      <w:bookmarkStart w:id="0" w:name="_GoBack"/>
      <w:bookmarkEnd w:id="0"/>
      <w:r w:rsidRPr="008F485E">
        <w:rPr>
          <w:rFonts w:ascii="Times New Roman" w:hAnsi="Times New Roman" w:cs="Times New Roman"/>
          <w:b/>
          <w:sz w:val="24"/>
          <w:szCs w:val="24"/>
        </w:rPr>
        <w:t>Uzasadnienie</w:t>
      </w:r>
    </w:p>
    <w:p w14:paraId="0C4DBADF" w14:textId="77777777" w:rsidR="009307EF" w:rsidRPr="008F485E" w:rsidRDefault="009307EF" w:rsidP="007C74CE">
      <w:pPr>
        <w:shd w:val="clear" w:color="auto" w:fill="FFFFFF"/>
        <w:spacing w:line="360" w:lineRule="auto"/>
        <w:ind w:right="5"/>
        <w:jc w:val="center"/>
        <w:rPr>
          <w:rFonts w:ascii="Times New Roman" w:hAnsi="Times New Roman" w:cs="Times New Roman"/>
          <w:b/>
          <w:sz w:val="24"/>
          <w:szCs w:val="24"/>
        </w:rPr>
      </w:pPr>
    </w:p>
    <w:p w14:paraId="1D06C672" w14:textId="77777777" w:rsidR="009307EF" w:rsidRPr="008F485E" w:rsidRDefault="009307EF" w:rsidP="007C74CE">
      <w:pPr>
        <w:shd w:val="clear" w:color="auto" w:fill="FFFFFF"/>
        <w:spacing w:line="360" w:lineRule="auto"/>
        <w:ind w:right="5"/>
        <w:jc w:val="both"/>
        <w:rPr>
          <w:rFonts w:ascii="Times New Roman" w:hAnsi="Times New Roman" w:cs="Times New Roman"/>
          <w:sz w:val="24"/>
          <w:szCs w:val="24"/>
        </w:rPr>
      </w:pPr>
      <w:r w:rsidRPr="008F485E">
        <w:rPr>
          <w:rFonts w:ascii="Times New Roman" w:hAnsi="Times New Roman" w:cs="Times New Roman"/>
          <w:b/>
          <w:sz w:val="24"/>
          <w:szCs w:val="24"/>
        </w:rPr>
        <w:tab/>
      </w:r>
      <w:r w:rsidRPr="008F485E">
        <w:rPr>
          <w:rFonts w:ascii="Times New Roman" w:hAnsi="Times New Roman" w:cs="Times New Roman"/>
          <w:sz w:val="24"/>
          <w:szCs w:val="24"/>
        </w:rPr>
        <w:t>Instytucja sołtysa funkcjonuje w przestrzeni publicznej polskiej wsi od wieków. Urząd ten stał się jednym z najbardziej charakterystycznych składników zorganizowanego życia osiadłych społeczności wiejskich.</w:t>
      </w:r>
    </w:p>
    <w:p w14:paraId="27F7B731" w14:textId="77777777" w:rsidR="009307EF" w:rsidRPr="008F485E" w:rsidRDefault="009307EF" w:rsidP="007C74CE">
      <w:pPr>
        <w:shd w:val="clear" w:color="auto" w:fill="FFFFFF"/>
        <w:spacing w:line="360" w:lineRule="auto"/>
        <w:ind w:right="5"/>
        <w:jc w:val="both"/>
        <w:rPr>
          <w:rFonts w:ascii="Times New Roman" w:hAnsi="Times New Roman" w:cs="Times New Roman"/>
          <w:sz w:val="24"/>
          <w:szCs w:val="24"/>
        </w:rPr>
      </w:pPr>
      <w:r w:rsidRPr="008F485E">
        <w:rPr>
          <w:rFonts w:ascii="Times New Roman" w:hAnsi="Times New Roman" w:cs="Times New Roman"/>
          <w:sz w:val="24"/>
          <w:szCs w:val="24"/>
        </w:rPr>
        <w:tab/>
        <w:t xml:space="preserve">Sołtys pełni bardzo ważną rolę w społecznym życiu wsi. Jest nie tylko reprezentantem sołectwa, lecz także inicjatorem przedsięwzięć służących społeczności wiejskiej. Cieszy się autorytetem i społecznym uznaniem. Istotą wnoszonego projektu ustawy jest dowartościowanie i wzmocnienie pozycji sołtysa i rady sołeckiej. </w:t>
      </w:r>
    </w:p>
    <w:p w14:paraId="653B99FB" w14:textId="77777777" w:rsidR="009307EF" w:rsidRPr="008F485E" w:rsidRDefault="009307EF" w:rsidP="007C74CE">
      <w:pPr>
        <w:shd w:val="clear" w:color="auto" w:fill="FFFFFF"/>
        <w:spacing w:line="360" w:lineRule="auto"/>
        <w:ind w:right="5" w:firstLine="708"/>
        <w:jc w:val="both"/>
        <w:rPr>
          <w:rFonts w:ascii="Times New Roman" w:hAnsi="Times New Roman" w:cs="Times New Roman"/>
          <w:sz w:val="24"/>
          <w:szCs w:val="24"/>
        </w:rPr>
      </w:pPr>
      <w:r w:rsidRPr="008F485E">
        <w:rPr>
          <w:rFonts w:ascii="Times New Roman" w:hAnsi="Times New Roman" w:cs="Times New Roman"/>
          <w:sz w:val="24"/>
          <w:szCs w:val="24"/>
        </w:rPr>
        <w:t xml:space="preserve">Zgodnie z art. 15 ust. 1 ustawy z dnia 2 kwietnia 1997 r. – </w:t>
      </w:r>
      <w:r w:rsidRPr="008F485E">
        <w:rPr>
          <w:rFonts w:ascii="Times New Roman" w:hAnsi="Times New Roman" w:cs="Times New Roman"/>
          <w:i/>
          <w:sz w:val="24"/>
          <w:szCs w:val="24"/>
        </w:rPr>
        <w:t>Konstytucja Rzeczypospolitej Polskiej</w:t>
      </w:r>
      <w:r w:rsidRPr="008F485E">
        <w:rPr>
          <w:rFonts w:ascii="Times New Roman" w:hAnsi="Times New Roman" w:cs="Times New Roman"/>
          <w:sz w:val="24"/>
          <w:szCs w:val="24"/>
        </w:rPr>
        <w:t xml:space="preserve"> (Dz.U. nr 78, poz. 443, ze zm.) ustrój terytorialny RP zapewnia decentralizację władzy publicznej. Oznacza to, że ustrój nasz jest zbudowany na zasadzie przekazywania jak największej liczby kompetencji do wspólnot lokalnych, a ponadto siła państwa bierze się z przywiązania obywateli do wspólnot, w których zamieszkują. Jest bowiem oczywistym, że naturalną cechą człowieka jest dbałość o otoczenie, w którym mieszka i pracuje. W Polsce najmniejszą jednostką organizacyjną, na której żyją ludzie, jest sołectwo – tworzone na podstawie ustawy z dnia 8 marca 1990 r. o samorządzie gminnym (Dz.U. RP z 2016 r., poz. 446). Mieszkańcy sołectwa powinni posiadać prawo do aktywnego wpływania na jego funkcjonowanie i przekształcanie miejscowego środowiska. Dlatego należy w jednym akcie prawnym dookreślić sytuację prawną sołectwa oraz kompetencje sołtysa. Pozwoli to na wyeksponowanie roli sołectwa. </w:t>
      </w:r>
    </w:p>
    <w:p w14:paraId="3A8F2174" w14:textId="3583998D" w:rsidR="009307EF" w:rsidRPr="008F485E" w:rsidRDefault="009307EF" w:rsidP="007C74CE">
      <w:pPr>
        <w:shd w:val="clear" w:color="auto" w:fill="FFFFFF"/>
        <w:spacing w:line="360" w:lineRule="auto"/>
        <w:ind w:right="5" w:firstLine="708"/>
        <w:jc w:val="both"/>
        <w:rPr>
          <w:rFonts w:ascii="Times New Roman" w:hAnsi="Times New Roman" w:cs="Times New Roman"/>
          <w:sz w:val="24"/>
          <w:szCs w:val="24"/>
        </w:rPr>
      </w:pPr>
      <w:r w:rsidRPr="008F485E">
        <w:rPr>
          <w:rFonts w:ascii="Times New Roman" w:hAnsi="Times New Roman" w:cs="Times New Roman"/>
          <w:sz w:val="24"/>
          <w:szCs w:val="24"/>
        </w:rPr>
        <w:t xml:space="preserve">Proponowana ustawa zmierza do umocnienia ustroju sołectw poprzez dokładne wskazanie kompetencji organów sołectwa (zebranie wiejskie, sołtys) oraz umożliwienie gminom dokładnego wskazania mienia, którym dysponuje sołectwo. Jednocześnie wzmocnieniu ulega pozycja sołtysa, który dzięki nowym kompetencjom (art. 4 ust. 1 projektu) może uczestniczyć w obradach rady gminy. Należy także zauważyć, że sołtys – poza nowymi obowiązkami – wykonuje również szereg innych, związanych z reprezentowaniem mieszkańców sołectwa (np. organizuje i prowadzi zebranie wiejskie lub informuje mieszkańców o ogłoszeniach dotyczących jednostki samorządu terytorialnego). Dlatego też należy dookreślić rolę sołtysa oraz uwzględnić fakt, że wykonywane przez niego zadania mają charakter zadań publicznych. Stąd proponowana ustawa w art. 5 ust. 1 ustala, że rada gminy ustanawia zasady na jakich sołtysom oraz członkom rady sołeckiej będzie przysługiwała dieta lub zwrot kosztów podróży służbowej. Nadto w art. 5 ust. 2 projektu przewiduje się, że sołtysom niezależnie od diet i zwrotu kosztów podróży służbowych będzie </w:t>
      </w:r>
      <w:r w:rsidRPr="008F485E">
        <w:rPr>
          <w:rFonts w:ascii="Times New Roman" w:hAnsi="Times New Roman" w:cs="Times New Roman"/>
          <w:sz w:val="24"/>
          <w:szCs w:val="24"/>
        </w:rPr>
        <w:lastRenderedPageBreak/>
        <w:t>przysługiwało wynagrodzenie związane z pełnioną funkcją, w wysokości połowy wynagrodzenia minimalnego określonego na podstawie ustawy o minimalnym wynagrodzeniu za pracę za każdy rozpoczęty miesiąc pełnienia funkcji. Pełnienie funkcji sołtysa będzie równoznaczna z przystąpieniem do ubezpieczenia emerytalno-rentowe</w:t>
      </w:r>
      <w:r w:rsidR="00EC3476">
        <w:rPr>
          <w:rFonts w:ascii="Times New Roman" w:hAnsi="Times New Roman" w:cs="Times New Roman"/>
          <w:sz w:val="24"/>
          <w:szCs w:val="24"/>
        </w:rPr>
        <w:t>go,</w:t>
      </w:r>
      <w:r w:rsidRPr="008F485E">
        <w:rPr>
          <w:rFonts w:ascii="Times New Roman" w:hAnsi="Times New Roman" w:cs="Times New Roman"/>
          <w:sz w:val="24"/>
          <w:szCs w:val="24"/>
        </w:rPr>
        <w:t xml:space="preserve"> w związku z czym wynagrodzenie</w:t>
      </w:r>
      <w:r w:rsidR="00EC3476">
        <w:rPr>
          <w:rFonts w:ascii="Times New Roman" w:hAnsi="Times New Roman" w:cs="Times New Roman"/>
          <w:sz w:val="24"/>
          <w:szCs w:val="24"/>
        </w:rPr>
        <w:t>,</w:t>
      </w:r>
      <w:r w:rsidRPr="008F485E">
        <w:rPr>
          <w:rFonts w:ascii="Times New Roman" w:hAnsi="Times New Roman" w:cs="Times New Roman"/>
          <w:sz w:val="24"/>
          <w:szCs w:val="24"/>
        </w:rPr>
        <w:t xml:space="preserve"> o którym mowa powyżej będzie stanowiło dodatek do ustalenia podstawy wymiaru emerytury. </w:t>
      </w:r>
    </w:p>
    <w:p w14:paraId="20032EDE" w14:textId="77777777" w:rsidR="009307EF" w:rsidRPr="008F485E" w:rsidRDefault="009307EF" w:rsidP="007C74CE">
      <w:pPr>
        <w:shd w:val="clear" w:color="auto" w:fill="FFFFFF"/>
        <w:spacing w:line="360" w:lineRule="auto"/>
        <w:ind w:right="5" w:firstLine="708"/>
        <w:jc w:val="both"/>
        <w:rPr>
          <w:rFonts w:ascii="Times New Roman" w:hAnsi="Times New Roman" w:cs="Times New Roman"/>
          <w:sz w:val="24"/>
          <w:szCs w:val="24"/>
        </w:rPr>
      </w:pPr>
      <w:r w:rsidRPr="008F485E">
        <w:rPr>
          <w:rFonts w:ascii="Times New Roman" w:hAnsi="Times New Roman" w:cs="Times New Roman"/>
          <w:sz w:val="24"/>
          <w:szCs w:val="24"/>
        </w:rPr>
        <w:t>Wypłaty te w żaden sposób nie będą wpływały na sytuację finansową sołectwa, ponieważ nie będą obciążały funduszu sołeckiego a pochodzić będą z budżetu państwa.</w:t>
      </w:r>
    </w:p>
    <w:p w14:paraId="3529B851" w14:textId="77777777" w:rsidR="009307EF" w:rsidRDefault="009307EF" w:rsidP="007C74CE">
      <w:pPr>
        <w:shd w:val="clear" w:color="auto" w:fill="FFFFFF"/>
        <w:spacing w:line="360" w:lineRule="auto"/>
        <w:ind w:right="5" w:firstLine="708"/>
        <w:jc w:val="both"/>
        <w:rPr>
          <w:rFonts w:ascii="Times New Roman" w:hAnsi="Times New Roman" w:cs="Times New Roman"/>
          <w:sz w:val="24"/>
          <w:szCs w:val="24"/>
        </w:rPr>
      </w:pPr>
      <w:r w:rsidRPr="008F485E">
        <w:rPr>
          <w:rFonts w:ascii="Times New Roman" w:hAnsi="Times New Roman" w:cs="Times New Roman"/>
          <w:sz w:val="24"/>
          <w:szCs w:val="24"/>
        </w:rPr>
        <w:t>Wzmocnieniu roli sołectwa służy propozycja, wedle której sołectwa będą mogły działać tak jak organizacje pożytku publicznego, dzięki czemu lokalne wspólnoty będą miały szersze uprawnienia co do pozyskiwania pozabudżetowych środków na wykonywanie planowanych zadań.</w:t>
      </w:r>
      <w:r w:rsidR="00210AEC" w:rsidRPr="008F485E">
        <w:rPr>
          <w:rFonts w:ascii="Times New Roman" w:hAnsi="Times New Roman" w:cs="Times New Roman"/>
          <w:sz w:val="24"/>
          <w:szCs w:val="24"/>
        </w:rPr>
        <w:t xml:space="preserve"> Ponadto wprowadzono możliwość przekazania dodatkowo 1% podatku dochodowego od osób fizycznych na rzecz sołectwa właściwego ze względu zamieszkania podatnika podatku dochodowego. </w:t>
      </w:r>
    </w:p>
    <w:p w14:paraId="1C90C1B6" w14:textId="77777777" w:rsidR="006929AD" w:rsidRPr="008F485E" w:rsidRDefault="006929AD" w:rsidP="007C74CE">
      <w:pPr>
        <w:shd w:val="clear" w:color="auto" w:fill="FFFFFF"/>
        <w:spacing w:line="360" w:lineRule="auto"/>
        <w:ind w:right="5" w:firstLine="708"/>
        <w:jc w:val="both"/>
        <w:rPr>
          <w:rFonts w:ascii="Times New Roman" w:hAnsi="Times New Roman" w:cs="Times New Roman"/>
          <w:sz w:val="24"/>
          <w:szCs w:val="24"/>
        </w:rPr>
      </w:pPr>
    </w:p>
    <w:p w14:paraId="78642520" w14:textId="77777777" w:rsidR="009307EF" w:rsidRDefault="009307EF" w:rsidP="007C74CE">
      <w:pPr>
        <w:shd w:val="clear" w:color="auto" w:fill="FFFFFF"/>
        <w:spacing w:line="360" w:lineRule="auto"/>
        <w:ind w:right="5" w:firstLine="708"/>
        <w:jc w:val="both"/>
        <w:rPr>
          <w:rFonts w:ascii="Times New Roman" w:hAnsi="Times New Roman" w:cs="Times New Roman"/>
          <w:sz w:val="24"/>
          <w:szCs w:val="24"/>
        </w:rPr>
      </w:pPr>
      <w:r w:rsidRPr="008F485E">
        <w:rPr>
          <w:rFonts w:ascii="Times New Roman" w:hAnsi="Times New Roman" w:cs="Times New Roman"/>
          <w:sz w:val="24"/>
          <w:szCs w:val="24"/>
        </w:rPr>
        <w:t xml:space="preserve">Zgodnie z Rocznikiem Statystycznym Województw z 2014 r. liczba sołtysów wynosi 40 382. Biorąc pod uwagę zryczałtowane wynagrodzenie związane z pełnioną funkcją, </w:t>
      </w:r>
      <w:r w:rsidRPr="008F485E">
        <w:rPr>
          <w:rStyle w:val="Pogrubienie"/>
          <w:rFonts w:ascii="Times New Roman" w:hAnsi="Times New Roman" w:cs="Times New Roman"/>
          <w:b w:val="0"/>
          <w:sz w:val="24"/>
          <w:szCs w:val="24"/>
        </w:rPr>
        <w:t>wynoszący w skali miesięcznej</w:t>
      </w:r>
      <w:r w:rsidRPr="008F485E">
        <w:rPr>
          <w:rFonts w:ascii="Times New Roman" w:hAnsi="Times New Roman" w:cs="Times New Roman"/>
          <w:sz w:val="24"/>
          <w:szCs w:val="24"/>
        </w:rPr>
        <w:t xml:space="preserve"> połowę minimalnego wynagrodzenia, oraz wysokość minimalnego wynagrodzenia za pracę (w 20</w:t>
      </w:r>
      <w:r w:rsidR="006929AD">
        <w:rPr>
          <w:rFonts w:ascii="Times New Roman" w:hAnsi="Times New Roman" w:cs="Times New Roman"/>
          <w:sz w:val="24"/>
          <w:szCs w:val="24"/>
        </w:rPr>
        <w:t>21</w:t>
      </w:r>
      <w:r w:rsidRPr="008F485E">
        <w:rPr>
          <w:rFonts w:ascii="Times New Roman" w:hAnsi="Times New Roman" w:cs="Times New Roman"/>
          <w:sz w:val="24"/>
          <w:szCs w:val="24"/>
        </w:rPr>
        <w:t xml:space="preserve"> r. – 2</w:t>
      </w:r>
      <w:r w:rsidR="006929AD">
        <w:rPr>
          <w:rFonts w:ascii="Times New Roman" w:hAnsi="Times New Roman" w:cs="Times New Roman"/>
          <w:sz w:val="24"/>
          <w:szCs w:val="24"/>
        </w:rPr>
        <w:t>8</w:t>
      </w:r>
      <w:r w:rsidRPr="008F485E">
        <w:rPr>
          <w:rFonts w:ascii="Times New Roman" w:hAnsi="Times New Roman" w:cs="Times New Roman"/>
          <w:sz w:val="24"/>
          <w:szCs w:val="24"/>
        </w:rPr>
        <w:t xml:space="preserve">00 zł brutto) koszty, które obciążą budżet państwa wyniosą </w:t>
      </w:r>
      <w:r w:rsidR="006929AD">
        <w:rPr>
          <w:rFonts w:ascii="Times New Roman" w:hAnsi="Times New Roman" w:cs="Times New Roman"/>
          <w:sz w:val="24"/>
          <w:szCs w:val="24"/>
        </w:rPr>
        <w:t>ok 680</w:t>
      </w:r>
      <w:r w:rsidRPr="008F485E">
        <w:rPr>
          <w:rFonts w:ascii="Times New Roman" w:hAnsi="Times New Roman" w:cs="Times New Roman"/>
          <w:sz w:val="24"/>
          <w:szCs w:val="24"/>
        </w:rPr>
        <w:t xml:space="preserve"> mln zł.</w:t>
      </w:r>
    </w:p>
    <w:p w14:paraId="34F13DCD" w14:textId="77777777" w:rsidR="006929AD" w:rsidRDefault="006929AD" w:rsidP="007C74CE">
      <w:pPr>
        <w:shd w:val="clear" w:color="auto" w:fill="FFFFFF"/>
        <w:spacing w:line="360" w:lineRule="auto"/>
        <w:ind w:right="5" w:firstLine="708"/>
        <w:jc w:val="both"/>
        <w:rPr>
          <w:rFonts w:ascii="Times New Roman" w:hAnsi="Times New Roman" w:cs="Times New Roman"/>
          <w:sz w:val="24"/>
          <w:szCs w:val="24"/>
        </w:rPr>
      </w:pPr>
    </w:p>
    <w:p w14:paraId="25DCC102" w14:textId="77777777" w:rsidR="009307EF" w:rsidRPr="008F485E" w:rsidRDefault="009307EF" w:rsidP="007C74CE">
      <w:pPr>
        <w:shd w:val="clear" w:color="auto" w:fill="FFFFFF"/>
        <w:spacing w:line="360" w:lineRule="auto"/>
        <w:ind w:right="5" w:firstLine="708"/>
        <w:jc w:val="both"/>
        <w:rPr>
          <w:rFonts w:ascii="Times New Roman" w:hAnsi="Times New Roman" w:cs="Times New Roman"/>
          <w:sz w:val="24"/>
          <w:szCs w:val="24"/>
        </w:rPr>
      </w:pPr>
      <w:r w:rsidRPr="008F485E">
        <w:rPr>
          <w:rFonts w:ascii="Times New Roman" w:hAnsi="Times New Roman" w:cs="Times New Roman"/>
          <w:sz w:val="24"/>
          <w:szCs w:val="24"/>
        </w:rPr>
        <w:t>Projekt nie obciąży budżetów jednostek samorządu terytorialnego.</w:t>
      </w:r>
    </w:p>
    <w:p w14:paraId="20E533E8" w14:textId="77777777" w:rsidR="009307EF" w:rsidRPr="008F485E" w:rsidRDefault="009307EF" w:rsidP="007C74CE">
      <w:pPr>
        <w:shd w:val="clear" w:color="auto" w:fill="FFFFFF"/>
        <w:spacing w:line="360" w:lineRule="auto"/>
        <w:ind w:right="5" w:firstLine="708"/>
        <w:jc w:val="both"/>
        <w:rPr>
          <w:rFonts w:ascii="Times New Roman" w:hAnsi="Times New Roman" w:cs="Times New Roman"/>
          <w:sz w:val="24"/>
          <w:szCs w:val="24"/>
        </w:rPr>
      </w:pPr>
      <w:r w:rsidRPr="008F485E">
        <w:rPr>
          <w:rFonts w:ascii="Times New Roman" w:hAnsi="Times New Roman" w:cs="Times New Roman"/>
          <w:sz w:val="24"/>
          <w:szCs w:val="24"/>
        </w:rPr>
        <w:t>Projekt ustawy nie jest objęty zakresem regulacji prawa Unii Europejskiej.</w:t>
      </w:r>
    </w:p>
    <w:p w14:paraId="14051E61" w14:textId="77777777" w:rsidR="009307EF" w:rsidRPr="008F485E" w:rsidRDefault="009307EF" w:rsidP="007C74CE">
      <w:pPr>
        <w:spacing w:line="360" w:lineRule="auto"/>
        <w:rPr>
          <w:rFonts w:ascii="Times New Roman" w:hAnsi="Times New Roman" w:cs="Times New Roman"/>
          <w:sz w:val="24"/>
          <w:szCs w:val="24"/>
        </w:rPr>
      </w:pPr>
    </w:p>
    <w:p w14:paraId="236B3393" w14:textId="77777777" w:rsidR="002B0B1B" w:rsidRPr="008F485E" w:rsidRDefault="002B0B1B" w:rsidP="007C74CE">
      <w:pPr>
        <w:spacing w:line="360" w:lineRule="auto"/>
        <w:rPr>
          <w:rFonts w:ascii="Times New Roman" w:hAnsi="Times New Roman" w:cs="Times New Roman"/>
          <w:sz w:val="24"/>
          <w:szCs w:val="24"/>
        </w:rPr>
      </w:pPr>
    </w:p>
    <w:sectPr w:rsidR="002B0B1B" w:rsidRPr="008F485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5C55B9" w14:textId="77777777" w:rsidR="00F93E7A" w:rsidRDefault="00F93E7A" w:rsidP="009307EF">
      <w:r>
        <w:separator/>
      </w:r>
    </w:p>
  </w:endnote>
  <w:endnote w:type="continuationSeparator" w:id="0">
    <w:p w14:paraId="6823987A" w14:textId="77777777" w:rsidR="00F93E7A" w:rsidRDefault="00F93E7A" w:rsidP="00930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5CB6BA" w14:textId="77777777" w:rsidR="00F93E7A" w:rsidRDefault="00F93E7A" w:rsidP="009307EF">
      <w:r>
        <w:separator/>
      </w:r>
    </w:p>
  </w:footnote>
  <w:footnote w:type="continuationSeparator" w:id="0">
    <w:p w14:paraId="14EEFDB7" w14:textId="77777777" w:rsidR="00F93E7A" w:rsidRDefault="00F93E7A" w:rsidP="009307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2002A"/>
    <w:multiLevelType w:val="hybridMultilevel"/>
    <w:tmpl w:val="A71422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A12F0D6">
      <w:start w:val="1"/>
      <w:numFmt w:val="decimal"/>
      <w:lvlText w:val="%4)"/>
      <w:lvlJc w:val="left"/>
      <w:pPr>
        <w:ind w:left="2880" w:hanging="360"/>
      </w:pPr>
      <w:rPr>
        <w:rFonts w:ascii="Times New Roman" w:eastAsia="Times New Roman" w:hAnsi="Times New Roman" w:cs="Times New Roman"/>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D09295C"/>
    <w:multiLevelType w:val="hybridMultilevel"/>
    <w:tmpl w:val="8552021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24C24ED6"/>
    <w:multiLevelType w:val="hybridMultilevel"/>
    <w:tmpl w:val="115AFFE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EAE07CB"/>
    <w:multiLevelType w:val="hybridMultilevel"/>
    <w:tmpl w:val="A32681F2"/>
    <w:lvl w:ilvl="0" w:tplc="71924954">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 w15:restartNumberingAfterBreak="0">
    <w:nsid w:val="308048AF"/>
    <w:multiLevelType w:val="hybridMultilevel"/>
    <w:tmpl w:val="F776017A"/>
    <w:lvl w:ilvl="0" w:tplc="FE30384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5F35F91"/>
    <w:multiLevelType w:val="hybridMultilevel"/>
    <w:tmpl w:val="1D161B0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3C5E3121"/>
    <w:multiLevelType w:val="hybridMultilevel"/>
    <w:tmpl w:val="B90C75B4"/>
    <w:lvl w:ilvl="0" w:tplc="FFF88ED4">
      <w:start w:val="1"/>
      <w:numFmt w:val="decimal"/>
      <w:lvlText w:val="%1."/>
      <w:lvlJc w:val="left"/>
      <w:pPr>
        <w:ind w:left="720" w:hanging="360"/>
      </w:pPr>
      <w:rPr>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447B5485"/>
    <w:multiLevelType w:val="hybridMultilevel"/>
    <w:tmpl w:val="DC74FCE6"/>
    <w:lvl w:ilvl="0" w:tplc="14882DF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591834F4"/>
    <w:multiLevelType w:val="hybridMultilevel"/>
    <w:tmpl w:val="21A2BE7A"/>
    <w:lvl w:ilvl="0" w:tplc="CF7C6EDE">
      <w:start w:val="1"/>
      <w:numFmt w:val="decimal"/>
      <w:lvlText w:val="%1."/>
      <w:lvlJc w:val="left"/>
      <w:pPr>
        <w:ind w:left="735" w:hanging="375"/>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644C14EE"/>
    <w:multiLevelType w:val="hybridMultilevel"/>
    <w:tmpl w:val="AD8E975A"/>
    <w:lvl w:ilvl="0" w:tplc="F8A0C686">
      <w:start w:val="1"/>
      <w:numFmt w:val="decimal"/>
      <w:lvlText w:val="%1)"/>
      <w:lvlJc w:val="left"/>
      <w:pPr>
        <w:ind w:left="1068" w:hanging="360"/>
      </w:pPr>
      <w:rPr>
        <w:rFonts w:ascii="Times New Roman" w:eastAsia="Times New Roman" w:hAnsi="Times New Roman" w:cs="Times New Roman"/>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0" w15:restartNumberingAfterBreak="0">
    <w:nsid w:val="783F6426"/>
    <w:multiLevelType w:val="hybridMultilevel"/>
    <w:tmpl w:val="3E301D72"/>
    <w:lvl w:ilvl="0" w:tplc="F7808AD0">
      <w:start w:val="1"/>
      <w:numFmt w:val="decimal"/>
      <w:lvlText w:val="%1."/>
      <w:lvlJc w:val="left"/>
      <w:pPr>
        <w:ind w:left="720" w:hanging="360"/>
      </w:pPr>
      <w:rPr>
        <w:rFonts w:ascii="Times New Roman" w:eastAsia="Times New Roman" w:hAnsi="Times New Roman"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7EF"/>
    <w:rsid w:val="00190CCB"/>
    <w:rsid w:val="00210AEC"/>
    <w:rsid w:val="002B0B1B"/>
    <w:rsid w:val="00383A6E"/>
    <w:rsid w:val="003925DC"/>
    <w:rsid w:val="0055004B"/>
    <w:rsid w:val="00570323"/>
    <w:rsid w:val="0061210C"/>
    <w:rsid w:val="006929AD"/>
    <w:rsid w:val="006A212A"/>
    <w:rsid w:val="0075401E"/>
    <w:rsid w:val="007C74CE"/>
    <w:rsid w:val="00850B19"/>
    <w:rsid w:val="008E4ACD"/>
    <w:rsid w:val="008F485E"/>
    <w:rsid w:val="009307EF"/>
    <w:rsid w:val="00D72735"/>
    <w:rsid w:val="00E618CC"/>
    <w:rsid w:val="00EA3585"/>
    <w:rsid w:val="00EC3476"/>
    <w:rsid w:val="00F93E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9B530"/>
  <w15:docId w15:val="{9C89C120-498B-42AE-B4BF-D0CC30163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07EF"/>
    <w:pPr>
      <w:widowControl w:val="0"/>
      <w:autoSpaceDE w:val="0"/>
      <w:autoSpaceDN w:val="0"/>
      <w:adjustRightInd w:val="0"/>
      <w:spacing w:after="0" w:line="240" w:lineRule="auto"/>
    </w:pPr>
    <w:rPr>
      <w:rFonts w:ascii="Arial" w:eastAsia="Times New Roman" w:hAnsi="Arial" w:cs="Arial"/>
      <w:sz w:val="20"/>
      <w:szCs w:val="20"/>
      <w:lang w:eastAsia="pl-PL"/>
    </w:rPr>
  </w:style>
  <w:style w:type="paragraph" w:styleId="Nagwek2">
    <w:name w:val="heading 2"/>
    <w:basedOn w:val="Normalny"/>
    <w:link w:val="Nagwek2Znak"/>
    <w:uiPriority w:val="9"/>
    <w:qFormat/>
    <w:rsid w:val="007C74CE"/>
    <w:pPr>
      <w:widowControl/>
      <w:autoSpaceDE/>
      <w:autoSpaceDN/>
      <w:adjustRightInd/>
      <w:spacing w:before="100" w:beforeAutospacing="1" w:after="100" w:afterAutospacing="1"/>
      <w:outlineLvl w:val="1"/>
    </w:pPr>
    <w:rPr>
      <w:rFonts w:ascii="Times New Roman" w:hAnsi="Times New Roman" w:cs="Times New Roman"/>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9307EF"/>
  </w:style>
  <w:style w:type="character" w:customStyle="1" w:styleId="TekstprzypisudolnegoZnak">
    <w:name w:val="Tekst przypisu dolnego Znak"/>
    <w:basedOn w:val="Domylnaczcionkaakapitu"/>
    <w:link w:val="Tekstprzypisudolnego"/>
    <w:uiPriority w:val="99"/>
    <w:semiHidden/>
    <w:rsid w:val="009307EF"/>
    <w:rPr>
      <w:rFonts w:ascii="Arial" w:eastAsia="Times New Roman" w:hAnsi="Arial" w:cs="Arial"/>
      <w:sz w:val="20"/>
      <w:szCs w:val="20"/>
      <w:lang w:eastAsia="pl-PL"/>
    </w:rPr>
  </w:style>
  <w:style w:type="paragraph" w:styleId="Akapitzlist">
    <w:name w:val="List Paragraph"/>
    <w:basedOn w:val="Normalny"/>
    <w:uiPriority w:val="34"/>
    <w:qFormat/>
    <w:rsid w:val="009307EF"/>
    <w:pPr>
      <w:ind w:left="720"/>
      <w:contextualSpacing/>
    </w:pPr>
  </w:style>
  <w:style w:type="character" w:styleId="Odwoanieprzypisudolnego">
    <w:name w:val="footnote reference"/>
    <w:basedOn w:val="Domylnaczcionkaakapitu"/>
    <w:uiPriority w:val="99"/>
    <w:semiHidden/>
    <w:unhideWhenUsed/>
    <w:rsid w:val="009307EF"/>
    <w:rPr>
      <w:vertAlign w:val="superscript"/>
    </w:rPr>
  </w:style>
  <w:style w:type="character" w:styleId="Pogrubienie">
    <w:name w:val="Strong"/>
    <w:basedOn w:val="Domylnaczcionkaakapitu"/>
    <w:uiPriority w:val="22"/>
    <w:qFormat/>
    <w:rsid w:val="009307EF"/>
    <w:rPr>
      <w:b/>
      <w:bCs/>
    </w:rPr>
  </w:style>
  <w:style w:type="character" w:customStyle="1" w:styleId="Nagwek2Znak">
    <w:name w:val="Nagłówek 2 Znak"/>
    <w:basedOn w:val="Domylnaczcionkaakapitu"/>
    <w:link w:val="Nagwek2"/>
    <w:uiPriority w:val="9"/>
    <w:rsid w:val="007C74CE"/>
    <w:rPr>
      <w:rFonts w:ascii="Times New Roman" w:eastAsia="Times New Roman" w:hAnsi="Times New Roman" w:cs="Times New Roman"/>
      <w:b/>
      <w:bCs/>
      <w:sz w:val="36"/>
      <w:szCs w:val="36"/>
      <w:lang w:eastAsia="pl-PL"/>
    </w:rPr>
  </w:style>
  <w:style w:type="paragraph" w:styleId="Tekstdymka">
    <w:name w:val="Balloon Text"/>
    <w:basedOn w:val="Normalny"/>
    <w:link w:val="TekstdymkaZnak"/>
    <w:uiPriority w:val="99"/>
    <w:semiHidden/>
    <w:unhideWhenUsed/>
    <w:rsid w:val="008F485E"/>
    <w:rPr>
      <w:rFonts w:ascii="Segoe UI" w:hAnsi="Segoe UI" w:cs="Segoe UI"/>
      <w:sz w:val="18"/>
      <w:szCs w:val="18"/>
    </w:rPr>
  </w:style>
  <w:style w:type="character" w:customStyle="1" w:styleId="TekstdymkaZnak">
    <w:name w:val="Tekst dymka Znak"/>
    <w:basedOn w:val="Domylnaczcionkaakapitu"/>
    <w:link w:val="Tekstdymka"/>
    <w:uiPriority w:val="99"/>
    <w:semiHidden/>
    <w:rsid w:val="008F485E"/>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277139">
      <w:bodyDiv w:val="1"/>
      <w:marLeft w:val="0"/>
      <w:marRight w:val="0"/>
      <w:marTop w:val="0"/>
      <w:marBottom w:val="0"/>
      <w:divBdr>
        <w:top w:val="none" w:sz="0" w:space="0" w:color="auto"/>
        <w:left w:val="none" w:sz="0" w:space="0" w:color="auto"/>
        <w:bottom w:val="none" w:sz="0" w:space="0" w:color="auto"/>
        <w:right w:val="none" w:sz="0" w:space="0" w:color="auto"/>
      </w:divBdr>
    </w:div>
    <w:div w:id="109197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596</Words>
  <Characters>3580</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Grzegorz Molesztak</cp:lastModifiedBy>
  <cp:revision>3</cp:revision>
  <cp:lastPrinted>2018-03-09T09:32:00Z</cp:lastPrinted>
  <dcterms:created xsi:type="dcterms:W3CDTF">2021-03-11T11:55:00Z</dcterms:created>
  <dcterms:modified xsi:type="dcterms:W3CDTF">2021-03-11T14:14:00Z</dcterms:modified>
</cp:coreProperties>
</file>