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07277" w14:textId="77777777" w:rsidR="00682095" w:rsidRPr="004D2D22" w:rsidRDefault="00682095" w:rsidP="00682095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4D2D22">
        <w:rPr>
          <w:rFonts w:ascii="Tahoma" w:hAnsi="Tahoma" w:cs="Tahoma"/>
          <w:sz w:val="24"/>
          <w:szCs w:val="24"/>
        </w:rPr>
        <w:t>UZASADNIENIE</w:t>
      </w:r>
    </w:p>
    <w:p w14:paraId="1D43EF0A" w14:textId="77777777" w:rsidR="00682095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</w:p>
    <w:p w14:paraId="523601C3" w14:textId="77777777" w:rsidR="003D315F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>Ustawa z dnia 2 marca 2020 r. o szczególnych rozwiązaniach związanych z zapobieganiem, przeciwdziałaniem i zwalczaniem COVID-19, innych chorób zakaźnych oraz wywołanych nimi sytuacji kryzysowych wprowadza rozwiązania mające m.in. wesprzeć podmioty prowadzące działalność gospodarczą w trakcie wprowadzanych okresowo zakazów prowadzenia określonych rodzajów działalności gospodarczej. W art. 15ze ustawy wprowadzono rozwiązanie dla najemców i dzierżawców (uprawionych) powierzchni w obiektach handlowych o powierzchni sprzedaży powyżej 2000 m2. Zgodnie z jego założeniem, w przypadku wprowadzenia w takich obiektach zakazu prowadzenia działalności gospodarczej, w przypadku złożenia przez uprawnionego wiążącego oświadczenia woli wobec podmiotu prowadzącego obiekt handlowych, uprawniony zostałby zwolniony z obowiązku zapłaty czynszu za okres zamknięcia obiektu, przy jednoczesnym przedłużeniu umowy najmu lub dzierżawy o okres zamknięcia i dodatko</w:t>
      </w:r>
      <w:r w:rsidR="003D315F" w:rsidRPr="004D2D22">
        <w:rPr>
          <w:rFonts w:ascii="Tahoma" w:hAnsi="Tahoma" w:cs="Tahoma"/>
          <w:sz w:val="24"/>
          <w:szCs w:val="24"/>
        </w:rPr>
        <w:t>we 6 miesięcy. Rozwiązanie to miało</w:t>
      </w:r>
      <w:r w:rsidRPr="004D2D22">
        <w:rPr>
          <w:rFonts w:ascii="Tahoma" w:hAnsi="Tahoma" w:cs="Tahoma"/>
          <w:sz w:val="24"/>
          <w:szCs w:val="24"/>
        </w:rPr>
        <w:t xml:space="preserve"> w zamierzeniu stanowić kompromis pomiędzy interesem właścicieli obiektów handlowych i najemców/dzierżawców powierzchni w takich obiektach. </w:t>
      </w:r>
    </w:p>
    <w:p w14:paraId="7CEE7957" w14:textId="77777777" w:rsidR="003D315F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 xml:space="preserve">Uchwalając ustawę ustawodawca nie zwrócił jednak uwagi na możliwość wprowadzenia więcej niż jednego zamknięcia obiektów handlowych. Od marca 2020 roku miały miejsce trzy ogólnopolskie zamknięcia obiektów handlowych – w okresie od marca do maja 2020 roku, w październiku i listopadzie 2020 roku oraz w od grudnia 2020 roku do stycznia 2021 roku. </w:t>
      </w:r>
      <w:r w:rsidR="003D315F" w:rsidRPr="004D2D22">
        <w:rPr>
          <w:rFonts w:ascii="Tahoma" w:hAnsi="Tahoma" w:cs="Tahoma"/>
          <w:sz w:val="24"/>
          <w:szCs w:val="24"/>
        </w:rPr>
        <w:t xml:space="preserve">Ponadto  wprowadzane są </w:t>
      </w:r>
      <w:r w:rsidRPr="004D2D22">
        <w:rPr>
          <w:rFonts w:ascii="Tahoma" w:hAnsi="Tahoma" w:cs="Tahoma"/>
          <w:sz w:val="24"/>
          <w:szCs w:val="24"/>
        </w:rPr>
        <w:t xml:space="preserve">lokalne zamknięcie </w:t>
      </w:r>
      <w:r w:rsidR="003D315F" w:rsidRPr="004D2D22">
        <w:rPr>
          <w:rFonts w:ascii="Tahoma" w:hAnsi="Tahoma" w:cs="Tahoma"/>
          <w:sz w:val="24"/>
          <w:szCs w:val="24"/>
        </w:rPr>
        <w:t xml:space="preserve">(województwo warmińsko-mazurskie, </w:t>
      </w:r>
      <w:r w:rsidRPr="004D2D22">
        <w:rPr>
          <w:rFonts w:ascii="Tahoma" w:hAnsi="Tahoma" w:cs="Tahoma"/>
          <w:sz w:val="24"/>
          <w:szCs w:val="24"/>
        </w:rPr>
        <w:t>województw</w:t>
      </w:r>
      <w:r w:rsidR="003D315F" w:rsidRPr="004D2D22">
        <w:rPr>
          <w:rFonts w:ascii="Tahoma" w:hAnsi="Tahoma" w:cs="Tahoma"/>
          <w:sz w:val="24"/>
          <w:szCs w:val="24"/>
        </w:rPr>
        <w:t>o</w:t>
      </w:r>
      <w:r w:rsidRPr="004D2D22">
        <w:rPr>
          <w:rFonts w:ascii="Tahoma" w:hAnsi="Tahoma" w:cs="Tahoma"/>
          <w:sz w:val="24"/>
          <w:szCs w:val="24"/>
        </w:rPr>
        <w:t xml:space="preserve"> pomorski</w:t>
      </w:r>
      <w:r w:rsidR="003D315F" w:rsidRPr="004D2D22">
        <w:rPr>
          <w:rFonts w:ascii="Tahoma" w:hAnsi="Tahoma" w:cs="Tahoma"/>
          <w:sz w:val="24"/>
          <w:szCs w:val="24"/>
        </w:rPr>
        <w:t>e)</w:t>
      </w:r>
      <w:r w:rsidRPr="004D2D22">
        <w:rPr>
          <w:rFonts w:ascii="Tahoma" w:hAnsi="Tahoma" w:cs="Tahoma"/>
          <w:sz w:val="24"/>
          <w:szCs w:val="24"/>
        </w:rPr>
        <w:t>.</w:t>
      </w:r>
    </w:p>
    <w:p w14:paraId="63B20733" w14:textId="77777777" w:rsidR="002216B5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 xml:space="preserve">Obecne brzmienie art. 15ze </w:t>
      </w:r>
      <w:r w:rsidR="003D315F" w:rsidRPr="004D2D22">
        <w:rPr>
          <w:rFonts w:ascii="Tahoma" w:hAnsi="Tahoma" w:cs="Tahoma"/>
          <w:sz w:val="24"/>
          <w:szCs w:val="24"/>
        </w:rPr>
        <w:t xml:space="preserve">ww. </w:t>
      </w:r>
      <w:r w:rsidRPr="004D2D22">
        <w:rPr>
          <w:rFonts w:ascii="Tahoma" w:hAnsi="Tahoma" w:cs="Tahoma"/>
          <w:sz w:val="24"/>
          <w:szCs w:val="24"/>
        </w:rPr>
        <w:t xml:space="preserve">ustawy powoduje, że w przypadku gdy najemca/dzierżawca chciałby skorzystać z opcji przewidzianej w tym </w:t>
      </w:r>
      <w:r w:rsidR="003D315F" w:rsidRPr="004D2D22">
        <w:rPr>
          <w:rFonts w:ascii="Tahoma" w:hAnsi="Tahoma" w:cs="Tahoma"/>
          <w:sz w:val="24"/>
          <w:szCs w:val="24"/>
        </w:rPr>
        <w:t xml:space="preserve">przepisie </w:t>
      </w:r>
      <w:r w:rsidRPr="004D2D22">
        <w:rPr>
          <w:rFonts w:ascii="Tahoma" w:hAnsi="Tahoma" w:cs="Tahoma"/>
          <w:sz w:val="24"/>
          <w:szCs w:val="24"/>
        </w:rPr>
        <w:t xml:space="preserve">po każdym z zamknięć obiektów handlowych, umowa zawarta przez dzierżawcę/najemcę z właścicielem obiektu każdorazowo przedłuża się nie tylko o okres zamknięcia obiektu handlowego, ale również o 6 miesięcy. </w:t>
      </w:r>
      <w:r w:rsidRPr="00EB44CB">
        <w:rPr>
          <w:rFonts w:ascii="Tahoma" w:hAnsi="Tahoma" w:cs="Tahoma"/>
          <w:sz w:val="24"/>
          <w:szCs w:val="24"/>
        </w:rPr>
        <w:t>W niektórych przypadkach umowy najemców/dzierżawców zostały przedłużone już o półtora roku,</w:t>
      </w:r>
      <w:r w:rsidRPr="004D2D22">
        <w:rPr>
          <w:rFonts w:ascii="Tahoma" w:hAnsi="Tahoma" w:cs="Tahoma"/>
          <w:sz w:val="24"/>
          <w:szCs w:val="24"/>
        </w:rPr>
        <w:t xml:space="preserve"> a kolejne lokalne zamknięcia obiektów handlowych wskazują, że okres ten będzie mógł zostać ponownie wydłużony. </w:t>
      </w:r>
      <w:r w:rsidRPr="004D2D22">
        <w:rPr>
          <w:rFonts w:ascii="Tahoma" w:hAnsi="Tahoma" w:cs="Tahoma"/>
          <w:b/>
          <w:sz w:val="24"/>
          <w:szCs w:val="24"/>
        </w:rPr>
        <w:t xml:space="preserve">Podkreślić należy, że przedłużenie </w:t>
      </w:r>
      <w:r w:rsidR="003D315F" w:rsidRPr="004D2D22">
        <w:rPr>
          <w:rFonts w:ascii="Tahoma" w:hAnsi="Tahoma" w:cs="Tahoma"/>
          <w:b/>
          <w:sz w:val="24"/>
          <w:szCs w:val="24"/>
        </w:rPr>
        <w:t xml:space="preserve">umów </w:t>
      </w:r>
      <w:r w:rsidRPr="004D2D22">
        <w:rPr>
          <w:rFonts w:ascii="Tahoma" w:hAnsi="Tahoma" w:cs="Tahoma"/>
          <w:b/>
          <w:sz w:val="24"/>
          <w:szCs w:val="24"/>
        </w:rPr>
        <w:t xml:space="preserve">ma miejsce na warunkach sprzed epidemii, które nie zawsze odpowiadają obecnym wartościom rynkowym. </w:t>
      </w:r>
      <w:r w:rsidRPr="004D2D22">
        <w:rPr>
          <w:rFonts w:ascii="Tahoma" w:hAnsi="Tahoma" w:cs="Tahoma"/>
          <w:sz w:val="24"/>
          <w:szCs w:val="24"/>
        </w:rPr>
        <w:t xml:space="preserve">Najemcy/dzierżawcy stają więc przed wyborem – bądź mogą być zobowiązani do zapłaty czynszu za okres kiedy nie zarabiają, bądź stanąć przed koniecznością kolejnego przedłużenia ich umów z właścicielem obiektu handlowego bez możliwości negocjacji warunków. </w:t>
      </w:r>
    </w:p>
    <w:p w14:paraId="3FCB0E76" w14:textId="77777777" w:rsidR="002216B5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>W związku z tym projekt nowelizacji zakłada, by w trakcie trwania danego stanu epidemii bądź zagrożenia epidemicznego tylko i wyłącznie w przypadku pierwszego skorzystania przez najemcę/dzierżawcę z opcji</w:t>
      </w:r>
      <w:r w:rsidR="002216B5" w:rsidRPr="004D2D22">
        <w:rPr>
          <w:rFonts w:ascii="Tahoma" w:hAnsi="Tahoma" w:cs="Tahoma"/>
          <w:sz w:val="24"/>
          <w:szCs w:val="24"/>
        </w:rPr>
        <w:t>,</w:t>
      </w:r>
      <w:r w:rsidRPr="004D2D22">
        <w:rPr>
          <w:rFonts w:ascii="Tahoma" w:hAnsi="Tahoma" w:cs="Tahoma"/>
          <w:sz w:val="24"/>
          <w:szCs w:val="24"/>
        </w:rPr>
        <w:t xml:space="preserve"> o której mowa w art. 15ze ustawy </w:t>
      </w:r>
      <w:r w:rsidRPr="004D2D22">
        <w:rPr>
          <w:rFonts w:ascii="Tahoma" w:hAnsi="Tahoma" w:cs="Tahoma"/>
          <w:sz w:val="24"/>
          <w:szCs w:val="24"/>
        </w:rPr>
        <w:lastRenderedPageBreak/>
        <w:t xml:space="preserve">umowa z właścicielem obiektu handlowego była przedłużana o 6 miesięcy plus okres zamknięcia obiektu, a w każdym kolejnym przypadku przedłużenie to miało miejsce tylko o okres zamknięcia obiektu handlowego. </w:t>
      </w:r>
    </w:p>
    <w:p w14:paraId="6BF6A406" w14:textId="77777777" w:rsidR="00E845E8" w:rsidRPr="004D2D22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>Rozwiązanie to będzie stanowiło realny kompromis pomiędzy interesami właścicieli obiektów handlowych (którzy zachowają kontrahentów, a zawarta przez nich umowa z najemcami/dzierżawcami zostanie przedłużona o okres zamknięcia obiektu) oraz najemców/dzierżawców</w:t>
      </w:r>
      <w:r w:rsidR="002216B5" w:rsidRPr="004D2D22">
        <w:rPr>
          <w:rFonts w:ascii="Tahoma" w:hAnsi="Tahoma" w:cs="Tahoma"/>
          <w:sz w:val="24"/>
          <w:szCs w:val="24"/>
        </w:rPr>
        <w:t>,</w:t>
      </w:r>
      <w:r w:rsidRPr="004D2D22">
        <w:rPr>
          <w:rFonts w:ascii="Tahoma" w:hAnsi="Tahoma" w:cs="Tahoma"/>
          <w:sz w:val="24"/>
          <w:szCs w:val="24"/>
        </w:rPr>
        <w:t xml:space="preserve"> którzy za okres zamknięcia obiektu nie będą musieli płacić czynszu a jednocześnie ich umowy, najczęściej zawarte jeszcze przed epidemią, w innej sytuacji ekonomiczno – gospodarczej, nie będą odgórnie przedłużane po każdym zamknięciu obiektu handlowego o kolejne 6 miesięcy, bez możliwości ich negocjacji warunków. </w:t>
      </w:r>
    </w:p>
    <w:p w14:paraId="6FFF6E3E" w14:textId="77777777" w:rsidR="003732DE" w:rsidRDefault="00682095" w:rsidP="00682095">
      <w:pPr>
        <w:jc w:val="both"/>
        <w:rPr>
          <w:rFonts w:ascii="Tahoma" w:hAnsi="Tahoma" w:cs="Tahoma"/>
          <w:sz w:val="24"/>
          <w:szCs w:val="24"/>
        </w:rPr>
      </w:pPr>
      <w:r w:rsidRPr="004D2D22">
        <w:rPr>
          <w:rFonts w:ascii="Tahoma" w:hAnsi="Tahoma" w:cs="Tahoma"/>
          <w:sz w:val="24"/>
          <w:szCs w:val="24"/>
        </w:rPr>
        <w:t>Przepis przejściow</w:t>
      </w:r>
      <w:r w:rsidR="005539A1" w:rsidRPr="004D2D22">
        <w:rPr>
          <w:rFonts w:ascii="Tahoma" w:hAnsi="Tahoma" w:cs="Tahoma"/>
          <w:sz w:val="24"/>
          <w:szCs w:val="24"/>
        </w:rPr>
        <w:t>y</w:t>
      </w:r>
      <w:r w:rsidRPr="004D2D22">
        <w:rPr>
          <w:rFonts w:ascii="Tahoma" w:hAnsi="Tahoma" w:cs="Tahoma"/>
          <w:sz w:val="24"/>
          <w:szCs w:val="24"/>
        </w:rPr>
        <w:t xml:space="preserve"> nowelizacji przewiduj</w:t>
      </w:r>
      <w:r w:rsidR="005539A1" w:rsidRPr="004D2D22">
        <w:rPr>
          <w:rFonts w:ascii="Tahoma" w:hAnsi="Tahoma" w:cs="Tahoma"/>
          <w:sz w:val="24"/>
          <w:szCs w:val="24"/>
        </w:rPr>
        <w:t>e</w:t>
      </w:r>
      <w:r w:rsidRPr="004D2D22">
        <w:rPr>
          <w:rFonts w:ascii="Tahoma" w:hAnsi="Tahoma" w:cs="Tahoma"/>
          <w:sz w:val="24"/>
          <w:szCs w:val="24"/>
        </w:rPr>
        <w:t>, że najemcy/dzierżawcy</w:t>
      </w:r>
      <w:r w:rsidR="005539A1" w:rsidRPr="004D2D22">
        <w:rPr>
          <w:rFonts w:ascii="Tahoma" w:hAnsi="Tahoma" w:cs="Tahoma"/>
          <w:sz w:val="24"/>
          <w:szCs w:val="24"/>
        </w:rPr>
        <w:t>,</w:t>
      </w:r>
      <w:r w:rsidRPr="004D2D22">
        <w:rPr>
          <w:rFonts w:ascii="Tahoma" w:hAnsi="Tahoma" w:cs="Tahoma"/>
          <w:sz w:val="24"/>
          <w:szCs w:val="24"/>
        </w:rPr>
        <w:t xml:space="preserve"> którzy złożyli już wiążące oświadczenia woli w rozumieniu art. 15ze ust. 2 ustawy, będą mogli w terminie 3 miesięcy od wejścia ustawy nowelizującej w życie złożyć ponowne oświadczenie woli, na zasadach przewidzianych w niniejszej nowelizacji, tj. przedłużających umowę z właścicielem obiektu handlowego o 6 miesięcy tylko po pierwszym jego zamknięciu, a w każdym kolejnym przypadku jedynie o okres zamknięcia.</w:t>
      </w:r>
    </w:p>
    <w:p w14:paraId="3535284D" w14:textId="77777777" w:rsidR="00EB44CB" w:rsidRDefault="00EB44CB" w:rsidP="00682095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Wejście w życie projektu nie będzie miało wpływu na budżet państwa. </w:t>
      </w:r>
    </w:p>
    <w:p w14:paraId="5357DB7A" w14:textId="77777777" w:rsidR="00EB44CB" w:rsidRPr="004D2D22" w:rsidRDefault="00EB44CB" w:rsidP="00682095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Przedmiot projektu nie jest objęty prawem Unii Europejskiej. </w:t>
      </w:r>
    </w:p>
    <w:sectPr w:rsidR="00EB44CB" w:rsidRPr="004D2D22" w:rsidSect="00D05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FCCFB" w14:textId="77777777" w:rsidR="00D13F84" w:rsidRDefault="00D13F84" w:rsidP="008239DA">
      <w:pPr>
        <w:spacing w:after="0" w:line="240" w:lineRule="auto"/>
      </w:pPr>
      <w:r>
        <w:separator/>
      </w:r>
    </w:p>
  </w:endnote>
  <w:endnote w:type="continuationSeparator" w:id="0">
    <w:p w14:paraId="136069A6" w14:textId="77777777" w:rsidR="00D13F84" w:rsidRDefault="00D13F84" w:rsidP="0082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3DF5B" w14:textId="77777777" w:rsidR="00D13F84" w:rsidRDefault="00D13F84" w:rsidP="008239DA">
      <w:pPr>
        <w:spacing w:after="0" w:line="240" w:lineRule="auto"/>
      </w:pPr>
      <w:r>
        <w:separator/>
      </w:r>
    </w:p>
  </w:footnote>
  <w:footnote w:type="continuationSeparator" w:id="0">
    <w:p w14:paraId="5CA2F42C" w14:textId="77777777" w:rsidR="00D13F84" w:rsidRDefault="00D13F84" w:rsidP="008239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95"/>
    <w:rsid w:val="00103659"/>
    <w:rsid w:val="00144CFA"/>
    <w:rsid w:val="002216B5"/>
    <w:rsid w:val="0032384A"/>
    <w:rsid w:val="003D315F"/>
    <w:rsid w:val="00457AAF"/>
    <w:rsid w:val="004D2D22"/>
    <w:rsid w:val="0053043C"/>
    <w:rsid w:val="005539A1"/>
    <w:rsid w:val="005C4297"/>
    <w:rsid w:val="005E2C52"/>
    <w:rsid w:val="005F40A5"/>
    <w:rsid w:val="00682095"/>
    <w:rsid w:val="00695880"/>
    <w:rsid w:val="008142F4"/>
    <w:rsid w:val="0081764A"/>
    <w:rsid w:val="008239DA"/>
    <w:rsid w:val="0087204F"/>
    <w:rsid w:val="00905D55"/>
    <w:rsid w:val="00C65522"/>
    <w:rsid w:val="00D05EBE"/>
    <w:rsid w:val="00D13F84"/>
    <w:rsid w:val="00D81A8A"/>
    <w:rsid w:val="00E7441D"/>
    <w:rsid w:val="00E845E8"/>
    <w:rsid w:val="00EB44CB"/>
    <w:rsid w:val="00ED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1BC4"/>
  <w15:docId w15:val="{198FFDC7-CDFF-480D-A5AF-DDE3792B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5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9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9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9DA"/>
    <w:rPr>
      <w:vertAlign w:val="superscript"/>
    </w:rPr>
  </w:style>
  <w:style w:type="character" w:customStyle="1" w:styleId="alb">
    <w:name w:val="a_lb"/>
    <w:basedOn w:val="Domylnaczcionkaakapitu"/>
    <w:rsid w:val="0081764A"/>
  </w:style>
  <w:style w:type="character" w:customStyle="1" w:styleId="alb-s">
    <w:name w:val="a_lb-s"/>
    <w:basedOn w:val="Domylnaczcionkaakapitu"/>
    <w:rsid w:val="0081764A"/>
  </w:style>
  <w:style w:type="character" w:styleId="Hipercze">
    <w:name w:val="Hyperlink"/>
    <w:basedOn w:val="Domylnaczcionkaakapitu"/>
    <w:uiPriority w:val="99"/>
    <w:semiHidden/>
    <w:unhideWhenUsed/>
    <w:rsid w:val="0081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8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61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90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1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7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40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2021-03-17T14:55:00Z</cp:lastPrinted>
  <dcterms:created xsi:type="dcterms:W3CDTF">2021-03-17T12:13:00Z</dcterms:created>
  <dcterms:modified xsi:type="dcterms:W3CDTF">2021-04-14T11:15:00Z</dcterms:modified>
</cp:coreProperties>
</file>