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040B74" w14:textId="77777777" w:rsidR="00EC7C3E" w:rsidRPr="00EC7C3E" w:rsidRDefault="00EC7C3E" w:rsidP="00EC7C3E">
      <w:pPr>
        <w:autoSpaceDE w:val="0"/>
        <w:autoSpaceDN w:val="0"/>
        <w:adjustRightInd w:val="0"/>
        <w:spacing w:after="240"/>
        <w:ind w:firstLine="0"/>
        <w:jc w:val="center"/>
        <w:rPr>
          <w:rFonts w:cs="Times New Roman"/>
          <w:bCs/>
          <w:caps/>
          <w:szCs w:val="24"/>
        </w:rPr>
      </w:pPr>
      <w:r w:rsidRPr="00EC7C3E">
        <w:rPr>
          <w:rFonts w:cs="Times New Roman"/>
          <w:bCs/>
          <w:caps/>
          <w:szCs w:val="24"/>
        </w:rPr>
        <w:t>Uzasadnienie</w:t>
      </w:r>
    </w:p>
    <w:p w14:paraId="43939522" w14:textId="27688C6B" w:rsidR="0088436C" w:rsidRPr="0088436C" w:rsidRDefault="0088436C" w:rsidP="00FC697F">
      <w:pPr>
        <w:autoSpaceDE w:val="0"/>
        <w:autoSpaceDN w:val="0"/>
        <w:adjustRightInd w:val="0"/>
        <w:spacing w:before="240" w:after="240"/>
        <w:ind w:firstLine="708"/>
        <w:rPr>
          <w:rFonts w:cs="Times New Roman"/>
          <w:szCs w:val="24"/>
        </w:rPr>
      </w:pPr>
      <w:r w:rsidRPr="0088436C">
        <w:rPr>
          <w:rFonts w:cs="Times New Roman"/>
          <w:b/>
          <w:bCs/>
          <w:szCs w:val="24"/>
        </w:rPr>
        <w:t>I. Potrzeba i cel ratyfikacji decyzji (UE, Euratom) 2020/2053</w:t>
      </w:r>
    </w:p>
    <w:p w14:paraId="3D38282C" w14:textId="60AC0DA0" w:rsidR="00EC7C3E" w:rsidRPr="00EC7C3E" w:rsidRDefault="00EC7C3E" w:rsidP="00FC697F">
      <w:pPr>
        <w:autoSpaceDE w:val="0"/>
        <w:autoSpaceDN w:val="0"/>
        <w:adjustRightInd w:val="0"/>
        <w:spacing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Na posiedzeniu Rady Europejskiej w dniach 17–21 lipca 2020 r. zapadły ustalenia dotyczące Wieloletnich Ram Finansowych UE na lata 2021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 xml:space="preserve">2027 (WRF), które zostały ostatecznie potwierdzone na posiedzeniu Rady Europejskiej w dniu 10 grudnia 2020 r. Jednym z elementów osiągniętego kompromisu jest aktualizacja pierwotnego wniosku Komisji Europejskiej dotyczącego decyzji w sprawie systemu zasobów własnych Unii Europejskiej, która reguluje kwestie finansowania budżetu UE. W celu przeciwdziałania skutkom kryzysu związanego z COVID-19 Komisja Europejska została w przedmiotowej decyzji uprawniona również do zaciągnięcia w imieniu UE pożyczek na rynkach kapitałowych do wysokości </w:t>
      </w:r>
      <w:r w:rsidR="00ED5323">
        <w:rPr>
          <w:rFonts w:cs="Times New Roman"/>
          <w:szCs w:val="24"/>
        </w:rPr>
        <w:t>750 </w:t>
      </w:r>
      <w:r w:rsidRPr="00EC7C3E">
        <w:rPr>
          <w:rFonts w:cs="Times New Roman"/>
          <w:szCs w:val="24"/>
        </w:rPr>
        <w:t>mld EUR, w tym 390 mld EUR w postaci grantów, a pozostałe 360 mld EUR w formie niskooprocentowanych pożyczek dla państw członkowskich (w cenach z 2018 r.).</w:t>
      </w:r>
    </w:p>
    <w:p w14:paraId="2E6A0151" w14:textId="77777777" w:rsidR="00EC7C3E" w:rsidRP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Po negocjacjach w ramach prac grupy roboczej ds. zasobów własnych UE (WPOR) oraz Komitetu Stałych Przedstawicieli (COREPER II), Rada UE ds. Ekonomicznych i Finansowych w zwykłej procedurze pisemnej, zakończonej w dniu 14 grudnia 2020 r., ostatecznie przyjęła nową decyzję w sprawie systemu zasobów własnych UE (UE, Euratom) 2020/2053, która regulować będzie pobór dochodów budżetu UE w okresie od początku 2021 r. Zgodnie z przepisami art. 311 akapit trzeci Traktatu o funkcjonowaniu Unii Europejskiej (TFUE) decyzja ta wejdzie w życie dopiero po jej zatwierdzeniu przez wszystkie państwa członkowskie, zgodnie z ich odpowiednimi wymogami konstytucyjnymi.</w:t>
      </w:r>
    </w:p>
    <w:p w14:paraId="33C15865" w14:textId="77777777" w:rsidR="00EC7C3E" w:rsidRPr="00EC7C3E" w:rsidRDefault="00EC7C3E" w:rsidP="00FC697F">
      <w:pPr>
        <w:autoSpaceDE w:val="0"/>
        <w:autoSpaceDN w:val="0"/>
        <w:adjustRightInd w:val="0"/>
        <w:spacing w:before="240" w:after="240"/>
        <w:ind w:firstLine="708"/>
        <w:rPr>
          <w:rFonts w:cs="Times New Roman"/>
          <w:b/>
          <w:bCs/>
          <w:szCs w:val="24"/>
        </w:rPr>
      </w:pPr>
      <w:r w:rsidRPr="00EC7C3E">
        <w:rPr>
          <w:rFonts w:cs="Times New Roman"/>
          <w:b/>
          <w:bCs/>
          <w:szCs w:val="24"/>
        </w:rPr>
        <w:t>II. Wybór trybu ratyfikacji</w:t>
      </w:r>
    </w:p>
    <w:p w14:paraId="20244900" w14:textId="149501B9" w:rsidR="00EC7C3E" w:rsidRPr="00EC7C3E" w:rsidRDefault="00EC7C3E" w:rsidP="00FC697F">
      <w:pPr>
        <w:autoSpaceDE w:val="0"/>
        <w:autoSpaceDN w:val="0"/>
        <w:adjustRightInd w:val="0"/>
        <w:spacing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W Polsce „zatwierdzenie” przedmiotowej decyzji wymaga procedury ratyfikacji.</w:t>
      </w:r>
      <w:r w:rsidR="00400716"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 xml:space="preserve">Na podstawie </w:t>
      </w:r>
      <w:r w:rsidRPr="00ED5323">
        <w:rPr>
          <w:rFonts w:cs="Times New Roman"/>
          <w:szCs w:val="24"/>
        </w:rPr>
        <w:t xml:space="preserve">bowiem </w:t>
      </w:r>
      <w:r w:rsidRPr="00ED5323">
        <w:rPr>
          <w:rFonts w:cs="Times New Roman"/>
          <w:iCs/>
          <w:szCs w:val="24"/>
        </w:rPr>
        <w:t>art. 12 ust. 2a ustawy z 14 kwietnia 2000 r. o umowach międzynarodowych (Dz. U. z 2020 r. poz. 127)</w:t>
      </w:r>
      <w:r w:rsidRPr="00EC7C3E">
        <w:rPr>
          <w:rFonts w:cs="Times New Roman"/>
          <w:i/>
          <w:iCs/>
          <w:szCs w:val="24"/>
        </w:rPr>
        <w:t xml:space="preserve"> </w:t>
      </w:r>
      <w:r w:rsidRPr="00EC7C3E">
        <w:rPr>
          <w:rFonts w:cs="Times New Roman"/>
          <w:szCs w:val="24"/>
        </w:rPr>
        <w:t>ratyfikacji podlegają akty prawne Unii Europejskiej, o których mowa m.in. w art. 311 akapit trzeci TFUE. Ponadto z uwagi na fakt, iż sprawy regulowane tą decyzją dotyczą kwestii określonych w art. 89 ust. 1 pkt 3 i 4 Konstytucji RP</w:t>
      </w:r>
      <w:r w:rsidR="003C7DFE">
        <w:rPr>
          <w:rFonts w:cs="Times New Roman"/>
          <w:szCs w:val="24"/>
        </w:rPr>
        <w:t>,</w:t>
      </w:r>
      <w:r w:rsidRPr="00EC7C3E">
        <w:rPr>
          <w:rFonts w:cs="Times New Roman"/>
          <w:szCs w:val="24"/>
        </w:rPr>
        <w:t xml:space="preserve"> tj. członkostwa RP w organizacji międzynarodowej oraz znacznego obciążenia państwa pod względem finansowym (ok. 6,5 mld EUR średniorocznie w cenach 2018 r.)</w:t>
      </w:r>
      <w:r w:rsidR="003C7DFE">
        <w:rPr>
          <w:rFonts w:cs="Times New Roman"/>
          <w:szCs w:val="24"/>
        </w:rPr>
        <w:t>,</w:t>
      </w:r>
      <w:r w:rsidRPr="00EC7C3E">
        <w:rPr>
          <w:rFonts w:cs="Times New Roman"/>
          <w:szCs w:val="24"/>
        </w:rPr>
        <w:t xml:space="preserve"> wymagana w tym względzie będzie </w:t>
      </w:r>
      <w:r w:rsidRPr="00FC697F">
        <w:rPr>
          <w:rFonts w:cs="Times New Roman"/>
          <w:b/>
          <w:bCs/>
          <w:szCs w:val="24"/>
          <w:u w:val="single"/>
        </w:rPr>
        <w:t>ratyfikacja po uzyskaniu zgody wyrażonej w ustawie</w:t>
      </w:r>
      <w:r w:rsidRPr="00EC7C3E">
        <w:rPr>
          <w:rFonts w:cs="Times New Roman"/>
          <w:szCs w:val="24"/>
        </w:rPr>
        <w:t>.</w:t>
      </w:r>
    </w:p>
    <w:p w14:paraId="2B1149DC" w14:textId="77777777" w:rsidR="001115DF" w:rsidRP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 xml:space="preserve">Podobnie ratyfikowane zostały dwie poprzednie decyzje w sprawie systemu zasobów własnych Unii Europejskiej, tj. decyzja Rady z 7 czerwca 2007 r. (2007/436/WE, Euratom) oraz decyzja </w:t>
      </w:r>
      <w:r w:rsidRPr="00EC7C3E">
        <w:rPr>
          <w:rFonts w:cs="Times New Roman"/>
          <w:szCs w:val="24"/>
        </w:rPr>
        <w:lastRenderedPageBreak/>
        <w:t>Rady z 26 maja 2014 r. (2014/335/UE, Euratom), które stanowiły podstawę do przekazywania do budżetu UE polskiej składki odpowiednio w okresach 2007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>2013 i 2014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>2020.</w:t>
      </w:r>
    </w:p>
    <w:p w14:paraId="514B53FD" w14:textId="77777777" w:rsidR="00EC7C3E" w:rsidRPr="00EC7C3E" w:rsidRDefault="00EC7C3E" w:rsidP="00FC697F">
      <w:pPr>
        <w:autoSpaceDE w:val="0"/>
        <w:autoSpaceDN w:val="0"/>
        <w:adjustRightInd w:val="0"/>
        <w:spacing w:before="240" w:after="240"/>
        <w:ind w:firstLine="708"/>
        <w:rPr>
          <w:rFonts w:cs="Times New Roman"/>
          <w:b/>
          <w:bCs/>
          <w:szCs w:val="24"/>
        </w:rPr>
      </w:pPr>
      <w:r w:rsidRPr="00EC7C3E">
        <w:rPr>
          <w:rFonts w:cs="Times New Roman"/>
          <w:b/>
          <w:bCs/>
          <w:szCs w:val="24"/>
        </w:rPr>
        <w:t>III. Różnice między dotychczasowym i projektowanym stanem prawnym</w:t>
      </w:r>
    </w:p>
    <w:p w14:paraId="51E1ED4C" w14:textId="77777777" w:rsidR="00EC7C3E" w:rsidRPr="00EC7C3E" w:rsidRDefault="00EC7C3E" w:rsidP="00FC697F">
      <w:pPr>
        <w:autoSpaceDE w:val="0"/>
        <w:autoSpaceDN w:val="0"/>
        <w:adjustRightInd w:val="0"/>
        <w:spacing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Decyzja o systemie zasobów własnych UE (UE, Euratom) 2020/2053 wprowadza zmiany w finansowaniu budżetu UE, które będą obowiązywać po 2020 r. Ponadto w związku z pandemią COVID-19 jej przepisy zostały uzupełnione o uregulowania dotyczące zaciągania przez Komisję Europejską pożyczek na finansowanie Europejskiego Instrumentu Odbudowy.</w:t>
      </w:r>
    </w:p>
    <w:p w14:paraId="63595506" w14:textId="77777777" w:rsidR="00EC7C3E" w:rsidRPr="00EC7C3E" w:rsidRDefault="00EC7C3E" w:rsidP="00ED5323">
      <w:pPr>
        <w:autoSpaceDE w:val="0"/>
        <w:autoSpaceDN w:val="0"/>
        <w:adjustRightInd w:val="0"/>
        <w:spacing w:before="240" w:after="240"/>
        <w:ind w:firstLine="0"/>
        <w:rPr>
          <w:rFonts w:cs="Times New Roman"/>
          <w:b/>
          <w:bCs/>
          <w:szCs w:val="24"/>
        </w:rPr>
      </w:pPr>
      <w:r w:rsidRPr="00EC7C3E">
        <w:rPr>
          <w:rFonts w:cs="Times New Roman"/>
          <w:b/>
          <w:bCs/>
          <w:szCs w:val="24"/>
        </w:rPr>
        <w:t>1) Zmiany w systemie zasobów własnych</w:t>
      </w:r>
    </w:p>
    <w:p w14:paraId="751FADE7" w14:textId="77777777" w:rsidR="00EC7C3E" w:rsidRPr="00EC7C3E" w:rsidRDefault="00EC7C3E" w:rsidP="00FC697F">
      <w:pPr>
        <w:autoSpaceDE w:val="0"/>
        <w:autoSpaceDN w:val="0"/>
        <w:adjustRightInd w:val="0"/>
        <w:spacing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Na podstawie przepisów obowiązującej decyzji (2014/335/UE, Euratom) do systemu zasobów własnych UE zalicza się następujące kategorie wydatków:</w:t>
      </w:r>
    </w:p>
    <w:p w14:paraId="5B5F783E" w14:textId="77777777" w:rsidR="00EC7C3E" w:rsidRPr="00EC7C3E" w:rsidRDefault="00EC7C3E" w:rsidP="00EC7C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tradycyjne zasoby własne (TZW)</w:t>
      </w:r>
      <w:r w:rsidR="003C7DFE">
        <w:rPr>
          <w:rFonts w:cs="Times New Roman"/>
          <w:szCs w:val="24"/>
        </w:rPr>
        <w:t>,</w:t>
      </w:r>
      <w:r w:rsidRPr="00EC7C3E">
        <w:rPr>
          <w:rFonts w:cs="Times New Roman"/>
          <w:szCs w:val="24"/>
        </w:rPr>
        <w:t xml:space="preserve"> tj. opłaty celne. Państwa członkowskie odprowadzają do budżetu ogólnego UE 80% pobranych opłat, natomiast pozostałe 20% zatrzymują jako tzw. „koszty poboru”,</w:t>
      </w:r>
    </w:p>
    <w:p w14:paraId="7894D024" w14:textId="77777777" w:rsidR="00EC7C3E" w:rsidRPr="00EC7C3E" w:rsidRDefault="00EC7C3E" w:rsidP="00EC7C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zasób własny z tytułu VAT – jego wysokość określa się przez zastosowanie jednolitej stawki wynoszącej 0,3% do zharmonizowanej podstawy VAT, obliczonej przez państwo członkowskie w zgodzie z zasadami UE. Zharmonizowana podstawa VAT ograniczona jest do wysokości 50% DNB danego państwa,</w:t>
      </w:r>
    </w:p>
    <w:p w14:paraId="0001EB52" w14:textId="77777777" w:rsidR="00EC7C3E" w:rsidRPr="00EC7C3E" w:rsidRDefault="00EC7C3E" w:rsidP="00EC7C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zasób własny z tytułu dochodu narodowego brutto (DNB) – główne źródło finansowania działalności UE o charakterze uzupełniającym. Niepokryte potrzeby budżetowe UE dzieli się pomiędzy państwa członkowskie UE proporcjonalnie do udziału DNB danego państwa członkowskiego w DNB UE ogółem,</w:t>
      </w:r>
    </w:p>
    <w:p w14:paraId="64AD4E2D" w14:textId="77777777" w:rsidR="00EC7C3E" w:rsidRPr="00EC7C3E" w:rsidRDefault="00EC7C3E" w:rsidP="00EC7C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rabat brytyjski – tj. korekta brytyjskiej wpłaty do budżetu UE. Rabat ten jest finansowany przez wszystkie kraje członkowskie z zastrzeżeniem, że udział Niemiec, Niderlandów, Austrii i Szwecji został zredukowany do 25% wysokości (tzw. rabaty od rabatu).</w:t>
      </w:r>
    </w:p>
    <w:p w14:paraId="679D06B0" w14:textId="77777777" w:rsidR="00EC7C3E" w:rsidRP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Należy zauważyć, że w okresie 2014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>2020 do systemu zasobów własnych UE należały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również tymczasowe mechanizmy korekcyjne, uzgodnione na rzecz wybranych państw</w:t>
      </w:r>
      <w:r w:rsidR="00ED5323">
        <w:rPr>
          <w:rFonts w:cs="Times New Roman"/>
          <w:szCs w:val="24"/>
        </w:rPr>
        <w:t>-</w:t>
      </w:r>
      <w:r w:rsidRPr="00EC7C3E">
        <w:rPr>
          <w:rFonts w:cs="Times New Roman"/>
          <w:szCs w:val="24"/>
        </w:rPr>
        <w:t>płatników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netto na okres trwania WRF, które obciążały wpłaty do budżetu UE pozostałych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państw członkowskich. Były to w szczególności:</w:t>
      </w:r>
    </w:p>
    <w:p w14:paraId="0E167CAF" w14:textId="77777777" w:rsidR="00EC7C3E" w:rsidRPr="00ED5323" w:rsidRDefault="00EC7C3E" w:rsidP="00ED532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>redukcja stawki VAT dla Niemiec, Niderlandów i Szwecji do poziomu 0,15%;</w:t>
      </w:r>
    </w:p>
    <w:p w14:paraId="0FBA0AE3" w14:textId="77777777" w:rsidR="00EC7C3E" w:rsidRPr="00ED5323" w:rsidRDefault="00EC7C3E" w:rsidP="00ED532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lastRenderedPageBreak/>
        <w:t>redukcja wpłat z tytułu DNB dla Danii, Niderlandów i Szwecji (odpowiednio w kwotach 130 mln EUR, 695 mln EUR i 185 mln EUR w cenach stałych z 2011 r.) oraz na lata 2014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>2016 dla Austrii (w 2014 r. – 30 mln EUR, w 2015 r. – 20 mln EUR, w 2016 r. – 10 mln EUR w cenach z 2011 r.).</w:t>
      </w:r>
    </w:p>
    <w:p w14:paraId="6F405A9D" w14:textId="77777777" w:rsid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Przyjęta nowa decyzja (UE, Euratom) 2020/2053 zmienia zasady obliczania prawie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wszystkich zasobów własnych (poza wpłatą opartą na DNB). Zgodnie z jej przepisami na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nowy system dochodów budżetu UE będą składać się następujące elementy:</w:t>
      </w:r>
    </w:p>
    <w:p w14:paraId="12E12310" w14:textId="77777777" w:rsidR="00EC7C3E" w:rsidRPr="00ED5323" w:rsidRDefault="00EC7C3E" w:rsidP="00ED532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>tradycyjne zasoby własne (opłaty celne) – państwa członkowskie będą przekazywały 75% pobranych ceł, natomiast pozostałe 25% zostanie w budżetach krajowych jako tzw. koszty poboru,</w:t>
      </w:r>
    </w:p>
    <w:p w14:paraId="620AD130" w14:textId="77777777" w:rsidR="00EC7C3E" w:rsidRPr="00ED5323" w:rsidRDefault="00EC7C3E" w:rsidP="00ED532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>zmieniony zasób własny oparty na VAT z uproszczoną metodologią wyliczenia wysokości wpłaty,</w:t>
      </w:r>
    </w:p>
    <w:p w14:paraId="5407F700" w14:textId="77777777" w:rsidR="00EC7C3E" w:rsidRPr="00ED5323" w:rsidRDefault="00EC7C3E" w:rsidP="00ED532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>nowy zasób własny wyliczany w oparciu o masę odpadów opakowaniowych z tworzyw sztucznych niepoddanych recyklingowi. Wpłata wyniesie 0,8 EUR od każdego kilograma odpadów z tworzyw sztucznych, które nie zostały poddane recyklingowi. Dla państw o poziomie zamożności poniżej średniej unijnej przewidziany został mechanizm redukujący regresywność. W jego wyniku wpłata Polski zostanie w każdym roku obniżona o 117 mln EUR (w cenach bieżących),</w:t>
      </w:r>
    </w:p>
    <w:p w14:paraId="509BAFAA" w14:textId="77777777" w:rsidR="00EC7C3E" w:rsidRPr="00ED5323" w:rsidRDefault="00EC7C3E" w:rsidP="00ED532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>oraz wpłata z tytułu DNB.</w:t>
      </w:r>
    </w:p>
    <w:p w14:paraId="7FAEDF7A" w14:textId="77777777" w:rsidR="00EC7C3E" w:rsidRP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 xml:space="preserve">W związku z </w:t>
      </w:r>
      <w:proofErr w:type="spellStart"/>
      <w:r w:rsidRPr="00EC7C3E">
        <w:rPr>
          <w:rFonts w:cs="Times New Roman"/>
          <w:szCs w:val="24"/>
        </w:rPr>
        <w:t>brexitem</w:t>
      </w:r>
      <w:proofErr w:type="spellEnd"/>
      <w:r w:rsidRPr="00EC7C3E">
        <w:rPr>
          <w:rFonts w:cs="Times New Roman"/>
          <w:szCs w:val="24"/>
        </w:rPr>
        <w:t xml:space="preserve"> nie będzie konieczności finansowania rabatu brytyjskiego, jednakże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nadal niektóre państwa członkowskie będą korzystały z mechanizmów korekcyjnych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polegających na obniżce wpłat z tytułu DNB w następujących kwotach (ceny z 2020 r.):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Dania – 377 mln EUR, Niemcy – 3 671 mln EUR, Niderlandy – 1 921 mln EUR, Austria –</w:t>
      </w:r>
      <w:r>
        <w:rPr>
          <w:rFonts w:cs="Times New Roman"/>
          <w:szCs w:val="24"/>
        </w:rPr>
        <w:t xml:space="preserve"> </w:t>
      </w:r>
      <w:r w:rsidR="00ED5323">
        <w:rPr>
          <w:rFonts w:cs="Times New Roman"/>
          <w:szCs w:val="24"/>
        </w:rPr>
        <w:t>565 mln </w:t>
      </w:r>
      <w:r w:rsidRPr="00EC7C3E">
        <w:rPr>
          <w:rFonts w:cs="Times New Roman"/>
          <w:szCs w:val="24"/>
        </w:rPr>
        <w:t>EUR i Szwecja – 1 069 mln EUR.</w:t>
      </w:r>
    </w:p>
    <w:p w14:paraId="72C03989" w14:textId="77777777" w:rsidR="00EC7C3E" w:rsidRPr="00EC7C3E" w:rsidRDefault="00EC7C3E" w:rsidP="00ED5323">
      <w:pPr>
        <w:autoSpaceDE w:val="0"/>
        <w:autoSpaceDN w:val="0"/>
        <w:adjustRightInd w:val="0"/>
        <w:spacing w:before="240" w:after="240"/>
        <w:ind w:firstLine="0"/>
        <w:rPr>
          <w:rFonts w:cs="Times New Roman"/>
          <w:b/>
          <w:bCs/>
          <w:szCs w:val="24"/>
        </w:rPr>
      </w:pPr>
      <w:r w:rsidRPr="00EC7C3E">
        <w:rPr>
          <w:rFonts w:cs="Times New Roman"/>
          <w:b/>
          <w:bCs/>
          <w:szCs w:val="24"/>
        </w:rPr>
        <w:t>2) Finansowanie Europejskiego Instrumentu Odbudowy</w:t>
      </w:r>
    </w:p>
    <w:p w14:paraId="536C4477" w14:textId="77777777" w:rsidR="00EC7C3E" w:rsidRPr="00EC7C3E" w:rsidRDefault="00EC7C3E" w:rsidP="00FC697F">
      <w:pPr>
        <w:autoSpaceDE w:val="0"/>
        <w:autoSpaceDN w:val="0"/>
        <w:adjustRightInd w:val="0"/>
        <w:spacing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Celem nowej decyzji o zasobach własnych (UE, Euratom) 2020/2053 jest także zapewnienie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 xml:space="preserve">dla budżetu UE dodatkowych 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 xml:space="preserve"> obok zasobów własnych UE służących do finansowania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 xml:space="preserve">WRF 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 xml:space="preserve"> środków finansowych poprzez upoważnienie Komisji Europejskiej do zaciągnięcia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w imieniu UE pożyczek na rynkach finansowych do maksymalnej wysokości 750 mld EUR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(w cenach z 2018 r.). Pożyczone środki zostaną wykorzystane na uprzywilejowane pożyczki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dla państw (do wysokości 360 mld EUR) oraz na wydatki na wsparcie bezzwrotne z budżetu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UE (do wysokości 390 mld EUR).</w:t>
      </w:r>
    </w:p>
    <w:p w14:paraId="7B8B6145" w14:textId="77777777" w:rsidR="00EC7C3E" w:rsidRP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lastRenderedPageBreak/>
        <w:t>W celu zapewnienia wywiązywania się przez UE z zaciągniętych zobowiązań nowa decyzja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przewiduje podwyższenie pułapu zasobów własnych dla:</w:t>
      </w:r>
    </w:p>
    <w:p w14:paraId="2D1F7E51" w14:textId="20147C62" w:rsidR="00EC7C3E" w:rsidRPr="00ED5323" w:rsidRDefault="00EC7C3E" w:rsidP="00ED532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>środków na płatności z poziomu 1,2% do 1,40% sumy dochodu narodowego brutto państw członkowskich,</w:t>
      </w:r>
    </w:p>
    <w:p w14:paraId="2C3DB2C8" w14:textId="77777777" w:rsidR="00EC7C3E" w:rsidRPr="00ED5323" w:rsidRDefault="00EC7C3E" w:rsidP="00ED532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>środków na zobowiązania z poziomu 1,26% do poziomu 1,46% sumy DNB.</w:t>
      </w:r>
    </w:p>
    <w:p w14:paraId="560075D3" w14:textId="77777777" w:rsid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 xml:space="preserve">Pułapy środków na płatności i na zobowiązania zostały dodatkowo podwyższone </w:t>
      </w:r>
      <w:r w:rsidR="003C7DFE">
        <w:rPr>
          <w:rFonts w:cs="Times New Roman"/>
          <w:szCs w:val="24"/>
        </w:rPr>
        <w:br/>
      </w:r>
      <w:r w:rsidRPr="00EC7C3E">
        <w:rPr>
          <w:rFonts w:cs="Times New Roman"/>
          <w:szCs w:val="24"/>
        </w:rPr>
        <w:t>o 0,6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punktu procentowego każdy, by umożliwić zaciągnięcie pożyczek na Europejski Instrument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Odbudowy. Podwyższenie to ma charakter tymczasowy i nadzwyczajny, tylko w celu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przeciwdziałania kryzysowi związanemu z COVID-19 i będzie obowiązywało do spłaty ww.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zobowiązań, tj. do końca 2058 r. Dodatkowe zabezpieczenie dla „wypłacalności” UE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stanowi zapis w decyzji zakładający, że w przypadku, gdy zatwierdzone środki zapisane w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budżecie UE są niewystarczające, aby mogła ona wywiązać się ze swoich zobowiązań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wynikających z pożyczek, państwa członkowskie udostępniają Komisji niezbędne zasoby.</w:t>
      </w:r>
    </w:p>
    <w:p w14:paraId="6AB51151" w14:textId="77777777" w:rsidR="00EC7C3E" w:rsidRPr="00EC7C3E" w:rsidRDefault="00EC7C3E" w:rsidP="00400716">
      <w:pPr>
        <w:autoSpaceDE w:val="0"/>
        <w:autoSpaceDN w:val="0"/>
        <w:adjustRightInd w:val="0"/>
        <w:spacing w:before="240" w:after="240"/>
        <w:ind w:firstLine="708"/>
        <w:rPr>
          <w:rFonts w:cs="Times New Roman"/>
          <w:b/>
          <w:bCs/>
          <w:szCs w:val="24"/>
        </w:rPr>
      </w:pPr>
      <w:r w:rsidRPr="00EC7C3E">
        <w:rPr>
          <w:rFonts w:cs="Times New Roman"/>
          <w:b/>
          <w:bCs/>
          <w:szCs w:val="24"/>
        </w:rPr>
        <w:t>IV. Skutki ratyfikacji decyzji (UE, Euratom) 2020/2053</w:t>
      </w:r>
    </w:p>
    <w:p w14:paraId="3F663F52" w14:textId="77777777" w:rsidR="00EC7C3E" w:rsidRPr="00ED5323" w:rsidRDefault="00EC7C3E" w:rsidP="0088436C">
      <w:pPr>
        <w:autoSpaceDE w:val="0"/>
        <w:autoSpaceDN w:val="0"/>
        <w:adjustRightInd w:val="0"/>
        <w:spacing w:before="240" w:after="24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 xml:space="preserve">1) </w:t>
      </w:r>
      <w:r w:rsidRPr="00ED5323">
        <w:rPr>
          <w:rFonts w:cs="Times New Roman"/>
          <w:szCs w:val="24"/>
        </w:rPr>
        <w:t xml:space="preserve">Skutki </w:t>
      </w:r>
      <w:r w:rsidRPr="00ED5323">
        <w:rPr>
          <w:rFonts w:cs="Times New Roman"/>
          <w:bCs/>
          <w:szCs w:val="24"/>
        </w:rPr>
        <w:t>finansowe</w:t>
      </w:r>
    </w:p>
    <w:p w14:paraId="50980009" w14:textId="77777777" w:rsidR="00EC7C3E" w:rsidRPr="00EC7C3E" w:rsidRDefault="00EC7C3E" w:rsidP="0088436C">
      <w:pPr>
        <w:autoSpaceDE w:val="0"/>
        <w:autoSpaceDN w:val="0"/>
        <w:adjustRightInd w:val="0"/>
        <w:spacing w:before="240" w:after="240"/>
        <w:ind w:firstLine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 xml:space="preserve">Okres </w:t>
      </w:r>
      <w:r w:rsidRPr="00ED5323">
        <w:rPr>
          <w:rFonts w:cs="Times New Roman"/>
          <w:bCs/>
          <w:szCs w:val="24"/>
        </w:rPr>
        <w:t>2021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>2027</w:t>
      </w:r>
    </w:p>
    <w:p w14:paraId="72462B8A" w14:textId="056F279A" w:rsidR="00EC7C3E" w:rsidRPr="00EC7C3E" w:rsidRDefault="00EC7C3E" w:rsidP="00FC697F">
      <w:pPr>
        <w:autoSpaceDE w:val="0"/>
        <w:autoSpaceDN w:val="0"/>
        <w:adjustRightInd w:val="0"/>
        <w:spacing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Płatności do budżetu UE dokonuje się w ramach części budżetowej 84 – Środki własne Unii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Europejskiej. Nowa decyzja o systemie zasobów własnych będzie stanowiła podstawę do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 xml:space="preserve">przekazywania do budżetu UE wpłat z tytułu polskiej składki członkowskiej w okresie </w:t>
      </w:r>
      <w:r w:rsidR="003C7DFE">
        <w:rPr>
          <w:rFonts w:cs="Times New Roman"/>
          <w:szCs w:val="24"/>
        </w:rPr>
        <w:br/>
      </w:r>
      <w:r w:rsidRPr="00EC7C3E">
        <w:rPr>
          <w:rFonts w:cs="Times New Roman"/>
          <w:szCs w:val="24"/>
        </w:rPr>
        <w:t>2021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>2027 w szacowanej średniorocznie kwocie ok. 6,5 mld EUR (ceny z 2018 r.). Prognoza ta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została opracowana w zgodzie z metodologią i danymi Komisji Europejskiej w oparciu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 xml:space="preserve">o rezultaty Rady Europejskiej w dniach 17–21 lipca </w:t>
      </w:r>
      <w:r w:rsidR="003C7DFE">
        <w:rPr>
          <w:rFonts w:cs="Times New Roman"/>
          <w:szCs w:val="24"/>
        </w:rPr>
        <w:t xml:space="preserve">2020 </w:t>
      </w:r>
      <w:r w:rsidRPr="00EC7C3E">
        <w:rPr>
          <w:rFonts w:cs="Times New Roman"/>
          <w:szCs w:val="24"/>
        </w:rPr>
        <w:t>r. oraz przewidywane tempo rozwoju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gospodarczego państw UE. Udział Polski w finansowaniu budżetu UE wyniesie ok. 4,3%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(w tym w komponencie DNB – ok. 4%). W przypadku Polski istotny wpływ na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prognozowany wzrost składki członkowskiej będzie miało wystąpienie Zjednoczonego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Królestwa z Unii Europejskiej, wpływ pandemii COVID na sytuację gospodarczą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poszczególnych państw członkowskich oraz relatywnie wyższy wzrost gospodarczy na tle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pozostałych państw członkowskich UE, a także uzgodnione zmiany w systemie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finansowania budżetu UE. Skutki finansowe poszczególnych zmian w systemie zasobów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własnych prezentują się następująco:</w:t>
      </w:r>
    </w:p>
    <w:p w14:paraId="090137E9" w14:textId="77777777" w:rsidR="00EC7C3E" w:rsidRPr="00ED5323" w:rsidRDefault="00EC7C3E" w:rsidP="00ED53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lastRenderedPageBreak/>
        <w:t xml:space="preserve">zmieniony zasób własny oparty na VAT – uzgodniono uproszczenie metody kalkulacji poprzez wyeliminowanie konieczności corocznej kalkulacji średnioważonej stawki VAT 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 xml:space="preserve"> rozwiązanie to co do zasady będzie dla Polski neutralne budżetowo;</w:t>
      </w:r>
    </w:p>
    <w:p w14:paraId="0ECA92FB" w14:textId="77777777" w:rsidR="00EC7C3E" w:rsidRPr="00ED5323" w:rsidRDefault="00EC7C3E" w:rsidP="00ED53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 xml:space="preserve">nowy zasób własny oparty o masę odpadów opakowaniowych z tworzyw sztucznych niepoddanych recyklingowi 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 xml:space="preserve"> w wyniku zabiegów Polski w trakcie negocjacji WRF 2021</w:t>
      </w:r>
      <w:r w:rsidR="00ED5323">
        <w:rPr>
          <w:rFonts w:cs="Times New Roman"/>
          <w:szCs w:val="24"/>
        </w:rPr>
        <w:t>–</w:t>
      </w:r>
      <w:r w:rsidR="003C7DFE">
        <w:rPr>
          <w:rFonts w:cs="Times New Roman"/>
          <w:szCs w:val="24"/>
        </w:rPr>
        <w:t>20</w:t>
      </w:r>
      <w:r w:rsidRPr="00ED5323">
        <w:rPr>
          <w:rFonts w:cs="Times New Roman"/>
          <w:szCs w:val="24"/>
        </w:rPr>
        <w:t>27 zrezygnowano z wprowadzenia wpłaty powiązanej z systemem handlu uprawnieniami do emisji (UE ETS), a w odniesieniu do zasobu własnego opartego o tworzywa sztuczne udało się wprowadzić mechanizm ograniczający wpłaty państw mniej zamożnych. Dla Polski ta obniżka wynosi 117 mln EUR rocznie (ceny bieżące). Szacowana kwota wpłaty dla Polski w 2021 r. z uwzględnieniem obniżki wynosi ok. 394 mln EUR, a w okresie 2021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>2027 średniorocznie ok. 371 mln EUR. Prognozowana wpłata nie stanowi w całości dodatkowego obciążenia dla Polski z tytułu wprowadzenia nowej kategorii dochodów budżetu UE, zastąpi ona bowiem część wpłat wynikających z zasobu DNB. Powyższe szacunki zostaną zweryfikowane w oparciu o aktualne dane po wejściu w życie decyzji nr 2020/2053;</w:t>
      </w:r>
    </w:p>
    <w:p w14:paraId="0C75568B" w14:textId="77777777" w:rsidR="00EC7C3E" w:rsidRPr="00ED5323" w:rsidRDefault="00EC7C3E" w:rsidP="00ED53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 xml:space="preserve">mechanizmy korekcyjne 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 xml:space="preserve"> podobnie jak w okresie 2014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 xml:space="preserve">2020, na okres WRF </w:t>
      </w:r>
      <w:r w:rsidR="00ED5323">
        <w:rPr>
          <w:rFonts w:cs="Times New Roman"/>
          <w:szCs w:val="24"/>
        </w:rPr>
        <w:br/>
      </w:r>
      <w:r w:rsidRPr="00ED5323">
        <w:rPr>
          <w:rFonts w:cs="Times New Roman"/>
          <w:szCs w:val="24"/>
        </w:rPr>
        <w:t>2021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>2027 zostały przyznane niektórym państwom członkowskim mechanizmy korekcyjne. Na lata 2021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>2027 zostały one uzgodnione w łącznej kwocie 7,6 mld EUR (ceny z 2020 r.). Ta obniżka wpłat od niektórych państw pokrywana jest przez wszystkie państwa członkowskie zgodnie z ich udziałem w DNB UE (tj. także przez beneficjentów mechanizmów korekcyjnych, skutkiem czego ich realna obniżka wpłat jest niższa). Dla Polski koszt to ok. 300 mln EUR rocznie;</w:t>
      </w:r>
    </w:p>
    <w:p w14:paraId="0C85BE2F" w14:textId="77777777" w:rsidR="00EC7C3E" w:rsidRPr="00ED5323" w:rsidRDefault="00EC7C3E" w:rsidP="00ED53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ED5323">
        <w:rPr>
          <w:rFonts w:cs="Times New Roman"/>
          <w:szCs w:val="24"/>
        </w:rPr>
        <w:t xml:space="preserve">zwiększenie kosztów poboru TZW z 20% na 25% (oznaczające spadek opłat celnych przekazywanych do budżetu UE) spowoduje zwiększenie wpłaty z tytułu DNB </w:t>
      </w:r>
      <w:r w:rsidR="00ED5323">
        <w:rPr>
          <w:rFonts w:cs="Times New Roman"/>
          <w:szCs w:val="24"/>
        </w:rPr>
        <w:t>–</w:t>
      </w:r>
      <w:r w:rsidRPr="00ED5323">
        <w:rPr>
          <w:rFonts w:cs="Times New Roman"/>
          <w:szCs w:val="24"/>
        </w:rPr>
        <w:t xml:space="preserve"> dla Polski skutki proponowanego rozwiązania okażą się nieznaczne lub neutralne (ze względu na zbliżony udział Polski w opłatach celnych przekazanych UE do udziału w DNB UE).</w:t>
      </w:r>
    </w:p>
    <w:p w14:paraId="01DDC095" w14:textId="77777777" w:rsidR="00EC7C3E" w:rsidRP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Przedstawiając powyższe skutki</w:t>
      </w:r>
      <w:r w:rsidR="003C7DFE">
        <w:rPr>
          <w:rFonts w:cs="Times New Roman"/>
          <w:szCs w:val="24"/>
        </w:rPr>
        <w:t>,</w:t>
      </w:r>
      <w:r w:rsidRPr="00EC7C3E">
        <w:rPr>
          <w:rFonts w:cs="Times New Roman"/>
          <w:szCs w:val="24"/>
        </w:rPr>
        <w:t xml:space="preserve"> należy podkreślić, iż w okresie 2021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>2027 Polska ma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szansę uzyskać środki w kwocie ok. 125 mld EUR (w cenach z 2018 r.), natomiast wpłata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składki za cały ten okres szacowana jest łącznie na ok. 45 mld EUR, co stawia nasz kraj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w pozycji głównego beneficjenta netto.</w:t>
      </w:r>
    </w:p>
    <w:p w14:paraId="3331CDC0" w14:textId="77777777" w:rsidR="00EC7C3E" w:rsidRPr="00EC7C3E" w:rsidRDefault="00EC7C3E" w:rsidP="0088436C">
      <w:pPr>
        <w:keepNext/>
        <w:keepLines/>
        <w:autoSpaceDE w:val="0"/>
        <w:autoSpaceDN w:val="0"/>
        <w:adjustRightInd w:val="0"/>
        <w:spacing w:before="240" w:after="24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lastRenderedPageBreak/>
        <w:t>Okres po 2027 r.</w:t>
      </w:r>
    </w:p>
    <w:p w14:paraId="18AF0C61" w14:textId="68A85229" w:rsidR="00EC7C3E" w:rsidRDefault="00EC7C3E" w:rsidP="00FC697F">
      <w:pPr>
        <w:autoSpaceDE w:val="0"/>
        <w:autoSpaceDN w:val="0"/>
        <w:adjustRightInd w:val="0"/>
        <w:spacing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Komisja Europejska nie przedstawiła aktualnych prognoz gospodarczych wykraczających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poza 2027 r., dlatego określenie skutków finansowych w tym okresie jest utrudnione.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Zakładając, że udział Polski w finansowaniu budżetu UE w okresie 2028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>2058 mógłby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wahać się w przedziale 4,3%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>5%, wówczas łączne koszty spłaty kapitału pożyczek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zaciągniętych przez Komisję z przeznaczeniem na dotacje w kwocie 390 mld EUR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 xml:space="preserve">wynosiłyby w przypadku Polski </w:t>
      </w:r>
      <w:r w:rsidR="00FC697F">
        <w:rPr>
          <w:rFonts w:cs="Times New Roman"/>
          <w:szCs w:val="24"/>
        </w:rPr>
        <w:br/>
      </w:r>
      <w:r w:rsidRPr="00EC7C3E">
        <w:rPr>
          <w:rFonts w:cs="Times New Roman"/>
          <w:szCs w:val="24"/>
        </w:rPr>
        <w:t>ok. 16,8–19,5 mld EUR (w cenach stałych z 2018 r.).</w:t>
      </w:r>
      <w:r>
        <w:rPr>
          <w:rFonts w:cs="Times New Roman"/>
          <w:szCs w:val="24"/>
        </w:rPr>
        <w:t xml:space="preserve"> </w:t>
      </w:r>
    </w:p>
    <w:p w14:paraId="0E7AB69D" w14:textId="77777777" w:rsidR="00EC7C3E" w:rsidRP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W latach 2021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>2027 poniesione zostaną koszty odsetek na szacowanym przez Komisję</w:t>
      </w:r>
      <w:r w:rsidR="00ED5323"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poziomie 12,9 mld EUR w cenach z 2018 r. (koszt dla Polski przy średniorocznym udziale</w:t>
      </w:r>
      <w:r w:rsidR="00ED5323"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w finansowaniu budżetu UE na poziomie ok. 4,3% wyniósłby ok. 550 mln EUR). Kwoty</w:t>
      </w:r>
      <w:r w:rsidR="00ED5323"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niewykorzystane do przewidywanej spłaty odsetek zostaną użyte do przedterminowych spłat</w:t>
      </w:r>
      <w:r w:rsidR="00ED5323"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pożyczek przed końcem WRF 2021–2027.</w:t>
      </w:r>
    </w:p>
    <w:p w14:paraId="14BC628E" w14:textId="77777777" w:rsidR="00EC7C3E" w:rsidRPr="00EC7C3E" w:rsidRDefault="00EC7C3E" w:rsidP="0088436C">
      <w:pPr>
        <w:autoSpaceDE w:val="0"/>
        <w:autoSpaceDN w:val="0"/>
        <w:adjustRightInd w:val="0"/>
        <w:spacing w:before="240" w:after="24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2) Skutki prawne</w:t>
      </w:r>
    </w:p>
    <w:p w14:paraId="1A1D99EF" w14:textId="77777777" w:rsidR="00EC7C3E" w:rsidRPr="00EC7C3E" w:rsidRDefault="00EC7C3E" w:rsidP="00FC697F">
      <w:pPr>
        <w:autoSpaceDE w:val="0"/>
        <w:autoSpaceDN w:val="0"/>
        <w:adjustRightInd w:val="0"/>
        <w:spacing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Przedmiotowa decyzja obowiązuje wszystkie państwa członkowskie i będzie stosowana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bezpośrednio bez potrzeby transponowania jej przepisów do krajowych porządków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prawnych. Jednakże decyzja ta wejdzie w życie dopiero po jej zatwierdzeniu przez wszystkie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państwa członkowskie, zgodnie z ich odpowiednimi wymogami konstytucyjnymi. Państwa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członkowskie są zobowiązane bezzwłocznie powiadomić Sekretarza Generalnego Rady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o zakończeniu procedur związanych z zatwierdzeniem przedmiotowej decyzji. W przypadku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Polski notyfikacja zakończenia procedury ratyfikacji zostanie dokonana za pośrednictwem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Ministerstwa Spraw Zagranicznych. Decyzja ta wejdzie w życie pierwszego dnia miesiąca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następującego po otrzymaniu ostatniego powiadomienia, a jej przepisy będą obowiązywać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z mocą wsteczną od 1 stycznia 2021 r.</w:t>
      </w:r>
    </w:p>
    <w:p w14:paraId="7CA73013" w14:textId="77777777" w:rsidR="00EC7C3E" w:rsidRDefault="00EC7C3E" w:rsidP="00FC697F">
      <w:pPr>
        <w:autoSpaceDE w:val="0"/>
        <w:autoSpaceDN w:val="0"/>
        <w:adjustRightInd w:val="0"/>
        <w:spacing w:before="120"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Wpłacana na podstawie przepisów przedmiotowej decyzji składka do budżetu UE w okresie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2021</w:t>
      </w:r>
      <w:r w:rsidR="00ED5323">
        <w:rPr>
          <w:rFonts w:cs="Times New Roman"/>
          <w:szCs w:val="24"/>
        </w:rPr>
        <w:t>–</w:t>
      </w:r>
      <w:r w:rsidRPr="00EC7C3E">
        <w:rPr>
          <w:rFonts w:cs="Times New Roman"/>
          <w:szCs w:val="24"/>
        </w:rPr>
        <w:t>2027 znajdzie swoje odzwierciedlenie w przepisach kolejnych ustaw budżetowych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w zakresie wysokości wydatków budżetu państwa w ramach części 84 – Środki własne UE.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W związku z wprowadzeniem nowej kategorii wpłat do budżetu UE wyliczanej w oparciu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o masę odpadów opakowaniowych z tworzyw sztucznych niepoddanych recyklingowi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konieczne będzie dokonanie zmian w obowiązującej ustawie o finansach publicznych oraz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klasyfikacji budżetowej.</w:t>
      </w:r>
    </w:p>
    <w:p w14:paraId="34EC4955" w14:textId="77777777" w:rsidR="00EC7C3E" w:rsidRPr="00EC7C3E" w:rsidRDefault="00EC7C3E" w:rsidP="0088436C">
      <w:pPr>
        <w:keepNext/>
        <w:keepLines/>
        <w:autoSpaceDE w:val="0"/>
        <w:autoSpaceDN w:val="0"/>
        <w:adjustRightInd w:val="0"/>
        <w:spacing w:before="240" w:after="24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lastRenderedPageBreak/>
        <w:t>3) Skutki społeczne, gospodarcze i polityczne</w:t>
      </w:r>
    </w:p>
    <w:p w14:paraId="67C6023D" w14:textId="77777777" w:rsidR="00EC7C3E" w:rsidRPr="00EC7C3E" w:rsidRDefault="00EC7C3E" w:rsidP="00FC697F">
      <w:pPr>
        <w:autoSpaceDE w:val="0"/>
        <w:autoSpaceDN w:val="0"/>
        <w:adjustRightInd w:val="0"/>
        <w:spacing w:after="0"/>
        <w:ind w:firstLine="0"/>
        <w:rPr>
          <w:rFonts w:cs="Times New Roman"/>
          <w:szCs w:val="24"/>
        </w:rPr>
      </w:pPr>
      <w:r w:rsidRPr="00EC7C3E">
        <w:rPr>
          <w:rFonts w:cs="Times New Roman"/>
          <w:szCs w:val="24"/>
        </w:rPr>
        <w:t>Ratyfikacja decyzji (UE, Euratom) 2020/2053 nie będzie powodować bezpośrednich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skutków społecznych, gospodarczych i politycznych. Od zatwierdzenia tej decyzji przez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państwa członkowskie uzależnione jest jednak uruchomienie Europejskiego Instrumentu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Odbudowy o łącznej wartości ok. 750 mld EUR, dlatego ratyfikacja może pośrednio wiązać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się z szeregiem skutków w UE. Instrument ten jest mechanizmem nadzwyczajnym,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służącym wdrożeniu środków na odbudowę gospodarki UE i zwiększeniu jej odporności.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Ukierunkowuje finansowanie na kluczowe programy unijne oraz koncentruje się na pilnych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potrzebach inwestycyjnych wynikających z kryzysu. Ma m.in. złagodzić gospodarcze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 xml:space="preserve">i społeczne skutki pandemii koronawirusa oraz sprawić, </w:t>
      </w:r>
      <w:bookmarkStart w:id="0" w:name="_GoBack"/>
      <w:r w:rsidR="003C7DFE">
        <w:rPr>
          <w:rFonts w:cs="Times New Roman"/>
          <w:szCs w:val="24"/>
        </w:rPr>
        <w:t>a</w:t>
      </w:r>
      <w:bookmarkEnd w:id="0"/>
      <w:r w:rsidRPr="00EC7C3E">
        <w:rPr>
          <w:rFonts w:cs="Times New Roman"/>
          <w:szCs w:val="24"/>
        </w:rPr>
        <w:t>by gospodarki państw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członkowskich były bardziej odporne i lepiej przygotowane na wyzwania związane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z transformacją ekologiczną i cyfrową, finansować działania związane z innowacyjnością,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badaniem i rozwojem oraz przechodzeniem na gospodarkę niskoemisyjną. Tym samym z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punktu widzenia interesów obywateli, podmiotów gospodarczych i państw członkowskich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UE wskazana jest niezwłoczna ratyfikacja decyzji o systemie zasobów własnych (UE,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Euratom) 2020/2053, co umożliwi rozpoczęcie wdrażania nadzwyczajnych środków</w:t>
      </w:r>
      <w:r>
        <w:rPr>
          <w:rFonts w:cs="Times New Roman"/>
          <w:szCs w:val="24"/>
        </w:rPr>
        <w:t xml:space="preserve"> </w:t>
      </w:r>
      <w:r w:rsidRPr="00EC7C3E">
        <w:rPr>
          <w:rFonts w:cs="Times New Roman"/>
          <w:szCs w:val="24"/>
        </w:rPr>
        <w:t>Europejskiego Instrumentu Odbudowy.</w:t>
      </w:r>
    </w:p>
    <w:sectPr w:rsidR="00EC7C3E" w:rsidRPr="00EC7C3E" w:rsidSect="00ED5323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33CE5" w14:textId="77777777" w:rsidR="00040924" w:rsidRDefault="00040924" w:rsidP="00ED5323">
      <w:pPr>
        <w:spacing w:after="0" w:line="240" w:lineRule="auto"/>
      </w:pPr>
      <w:r>
        <w:separator/>
      </w:r>
    </w:p>
  </w:endnote>
  <w:endnote w:type="continuationSeparator" w:id="0">
    <w:p w14:paraId="46891AD9" w14:textId="77777777" w:rsidR="00040924" w:rsidRDefault="00040924" w:rsidP="00ED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9223658"/>
      <w:docPartObj>
        <w:docPartGallery w:val="Page Numbers (Bottom of Page)"/>
        <w:docPartUnique/>
      </w:docPartObj>
    </w:sdtPr>
    <w:sdtEndPr/>
    <w:sdtContent>
      <w:p w14:paraId="3AD942DB" w14:textId="719F0486" w:rsidR="00ED5323" w:rsidRDefault="00ED5323" w:rsidP="00ED5323">
        <w:pPr>
          <w:pStyle w:val="Stopk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91F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965FB" w14:textId="77777777" w:rsidR="00040924" w:rsidRDefault="00040924" w:rsidP="00ED5323">
      <w:pPr>
        <w:spacing w:after="0" w:line="240" w:lineRule="auto"/>
      </w:pPr>
      <w:r>
        <w:separator/>
      </w:r>
    </w:p>
  </w:footnote>
  <w:footnote w:type="continuationSeparator" w:id="0">
    <w:p w14:paraId="3B7F641F" w14:textId="77777777" w:rsidR="00040924" w:rsidRDefault="00040924" w:rsidP="00ED5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D6D33"/>
    <w:multiLevelType w:val="hybridMultilevel"/>
    <w:tmpl w:val="3188744E"/>
    <w:lvl w:ilvl="0" w:tplc="B16C0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C5094"/>
    <w:multiLevelType w:val="hybridMultilevel"/>
    <w:tmpl w:val="131C9C90"/>
    <w:lvl w:ilvl="0" w:tplc="B16C0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8798A"/>
    <w:multiLevelType w:val="hybridMultilevel"/>
    <w:tmpl w:val="087A7B80"/>
    <w:lvl w:ilvl="0" w:tplc="B16C0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83030"/>
    <w:multiLevelType w:val="hybridMultilevel"/>
    <w:tmpl w:val="B204B1F2"/>
    <w:lvl w:ilvl="0" w:tplc="B16C0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55C2A"/>
    <w:multiLevelType w:val="hybridMultilevel"/>
    <w:tmpl w:val="FE3A9AF2"/>
    <w:lvl w:ilvl="0" w:tplc="B16C0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925"/>
    <w:rsid w:val="00040924"/>
    <w:rsid w:val="001115DF"/>
    <w:rsid w:val="001164A3"/>
    <w:rsid w:val="0013691F"/>
    <w:rsid w:val="00185776"/>
    <w:rsid w:val="001A7B6F"/>
    <w:rsid w:val="0020682C"/>
    <w:rsid w:val="003C7DFE"/>
    <w:rsid w:val="00400716"/>
    <w:rsid w:val="00426C23"/>
    <w:rsid w:val="006C3BEF"/>
    <w:rsid w:val="0088436C"/>
    <w:rsid w:val="00EC7C3E"/>
    <w:rsid w:val="00ED5323"/>
    <w:rsid w:val="00F53423"/>
    <w:rsid w:val="00F55D87"/>
    <w:rsid w:val="00F65925"/>
    <w:rsid w:val="00FC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1282D"/>
  <w15:chartTrackingRefBased/>
  <w15:docId w15:val="{9FBAC867-CA13-4D9C-B926-51D5FC80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5776"/>
    <w:pPr>
      <w:spacing w:after="12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7C3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D53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323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ED53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323"/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7D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7D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7DF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7D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7DFE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7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D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2113</Words>
  <Characters>12678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Binkowska Joanna</dc:creator>
  <cp:keywords/>
  <dc:description/>
  <cp:lastModifiedBy>Binkowska Joanna</cp:lastModifiedBy>
  <cp:revision>9</cp:revision>
  <dcterms:created xsi:type="dcterms:W3CDTF">2021-04-28T06:29:00Z</dcterms:created>
  <dcterms:modified xsi:type="dcterms:W3CDTF">2021-04-28T08:37:00Z</dcterms:modified>
</cp:coreProperties>
</file>