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CFA" w:rsidRPr="00A535CD" w:rsidRDefault="003D2A9F" w:rsidP="00A535CD">
      <w:pPr>
        <w:suppressAutoHyphens w:val="0"/>
        <w:spacing w:before="120" w:after="0" w:line="360" w:lineRule="auto"/>
        <w:jc w:val="center"/>
        <w:rPr>
          <w:rFonts w:ascii="Times New Roman" w:hAnsi="Times New Roman" w:cs="Times New Roman"/>
          <w:sz w:val="24"/>
          <w:szCs w:val="24"/>
          <w:lang w:eastAsia="en-US"/>
        </w:rPr>
      </w:pPr>
      <w:r w:rsidRPr="00A535CD">
        <w:rPr>
          <w:rFonts w:ascii="Times New Roman" w:hAnsi="Times New Roman" w:cs="Times New Roman"/>
          <w:sz w:val="24"/>
          <w:szCs w:val="24"/>
          <w:lang w:eastAsia="en-US"/>
        </w:rPr>
        <w:t>UZASADNIENIE</w:t>
      </w:r>
    </w:p>
    <w:p w:rsidR="00BE3CFA" w:rsidRPr="00A535CD" w:rsidRDefault="003D2A9F" w:rsidP="00A535CD">
      <w:pPr>
        <w:pStyle w:val="Akapitzlist"/>
        <w:numPr>
          <w:ilvl w:val="0"/>
          <w:numId w:val="1"/>
        </w:numPr>
        <w:suppressAutoHyphens w:val="0"/>
        <w:spacing w:before="240" w:after="0" w:line="360" w:lineRule="auto"/>
        <w:ind w:left="504" w:hanging="504"/>
        <w:jc w:val="both"/>
        <w:rPr>
          <w:rFonts w:ascii="Times New Roman" w:hAnsi="Times New Roman" w:cs="Times New Roman"/>
          <w:b/>
          <w:sz w:val="24"/>
          <w:szCs w:val="24"/>
          <w:lang w:eastAsia="en-US"/>
        </w:rPr>
      </w:pPr>
      <w:r w:rsidRPr="00A535CD">
        <w:rPr>
          <w:rFonts w:ascii="Times New Roman" w:hAnsi="Times New Roman" w:cs="Times New Roman"/>
          <w:b/>
          <w:sz w:val="24"/>
          <w:szCs w:val="24"/>
          <w:lang w:eastAsia="en-US"/>
        </w:rPr>
        <w:t xml:space="preserve">Wprowadzenie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Konwencja z Minamaty w sprawie rtęci, sporządzona w Kumamoto dnia 10 października 2013 r. (dalej: Konwencja) jest międzynarodowym instrumentem na poziomie globalnym, którego celem jest ochrona zdrowia ludzkiego i środowiska przed antropogenicznymi emisjami i uwolnieniami rtęci oraz związków rtęci.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Przepisy Konwencji regulują w sposób kompleksowy zagadnienia dotyczące </w:t>
      </w:r>
      <w:r w:rsidR="0024397E" w:rsidRPr="00A535CD">
        <w:rPr>
          <w:rFonts w:ascii="Times New Roman" w:eastAsia="Times New Roman" w:hAnsi="Times New Roman" w:cs="Times New Roman"/>
          <w:bCs/>
          <w:sz w:val="24"/>
          <w:szCs w:val="24"/>
          <w:lang w:eastAsia="en-US"/>
        </w:rPr>
        <w:t>w</w:t>
      </w:r>
      <w:r w:rsidR="0024397E">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szczególności:</w:t>
      </w:r>
    </w:p>
    <w:p w:rsidR="00BE3CFA" w:rsidRPr="00A535CD" w:rsidRDefault="003D2A9F" w:rsidP="00A535CD">
      <w:pPr>
        <w:pStyle w:val="Akapitzlist"/>
        <w:numPr>
          <w:ilvl w:val="0"/>
          <w:numId w:val="2"/>
        </w:numPr>
        <w:autoSpaceDE w:val="0"/>
        <w:autoSpaceDN w:val="0"/>
        <w:adjustRightInd w:val="0"/>
        <w:spacing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źródeł dostaw rtęci i handlu rtęcią</w:t>
      </w:r>
      <w:r w:rsidR="0098046A">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produktów z dodatkiem rtęci</w:t>
      </w:r>
      <w:r w:rsidR="0098046A">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procesów produkcyjnych, w których wykorzystuje się</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rtęć lub związki rtęci</w:t>
      </w:r>
      <w:r w:rsidR="0098046A">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wydobycia złota tradycyjnego i na małą skalę</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emisji rtęci i związków rtęci do atmosfery</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uwolnień rtęci i związków rtęci do gruntu i wody</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składowania przejściowego rtęci innej niż rtęć odpadowa</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postępowania z odpadami rtęciowymi</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
        </w:numPr>
        <w:autoSpaceDE w:val="0"/>
        <w:autoSpaceDN w:val="0"/>
        <w:adjustRightInd w:val="0"/>
        <w:spacing w:before="120" w:after="0" w:line="360" w:lineRule="auto"/>
        <w:ind w:left="462" w:hanging="46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identyfikacji i oceny miejsc zanieczyszczonych rtęcią lub związkami rtęci.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Konwencja ustanawia spójne działania i mechanizmy na forum międzynarodowym, określające możliwe sposoby gospodarowania rtęcią w celu ograniczenia jej wykorzystania oraz zminimalizowania negatywnego wpływu na środowisko i zdrowie ludzi.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Tekst Konwencji został ostatecznie ustalony w styczniu 2013 r. w Genewie, a następnie oficjalnie przyjęty podczas Konferencji Dyplomatycznej w Kumamoto w Japonii </w:t>
      </w:r>
      <w:r w:rsidR="0024397E" w:rsidRPr="00A535CD">
        <w:rPr>
          <w:rFonts w:ascii="Times New Roman" w:eastAsia="Times New Roman" w:hAnsi="Times New Roman" w:cs="Times New Roman"/>
          <w:bCs/>
          <w:sz w:val="24"/>
          <w:szCs w:val="24"/>
          <w:lang w:eastAsia="en-US"/>
        </w:rPr>
        <w:t>w</w:t>
      </w:r>
      <w:r w:rsidR="0024397E">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październiku 2013 r. Uzgodnienia tekstu odbywały się od czerwca 2010 r. w ramach Międzyrządowego Komitetu Negocjacyjnego powołanego w lutym 2009 r. decyzją Rady Zarządzającej Programu Środowiskowego Narodów Zjednoczonych. W pracach Międzyrządowego Komitetu Negocjacyjnego brała udział delegacja Rzeczypospolitej Polskiej – przedstawiciele Ministerstwa Spraw Zagranicznych, Ministerstwa Środowiska, Ministerstwa Gospodarki oraz Ministerstwa Zdrowia – Biura do spraw Substancji Chemicznych. </w:t>
      </w:r>
    </w:p>
    <w:p w:rsidR="00BE3CFA" w:rsidRPr="00A535CD" w:rsidRDefault="003D2A9F" w:rsidP="00A535CD">
      <w:pPr>
        <w:suppressAutoHyphens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lastRenderedPageBreak/>
        <w:t>Unia Europejska (dalej: UE) podjęła działania w kierunku ograniczenia stosowania rtęci, ogłaszając w 2005 r. „Strategię Wspólnoty w zakresie rtęci”. Następnie brała czynny udział w międzynarodowych negocjacjach dotyczących Konwencji. UE podpisała Konwencję 10 października 2013 r., a ratyfikowała 17 maja 2017 r.</w:t>
      </w:r>
    </w:p>
    <w:p w:rsidR="00BE3CFA" w:rsidRPr="00A535CD" w:rsidRDefault="003D2A9F" w:rsidP="00A535CD">
      <w:pPr>
        <w:suppressAutoHyphens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Konwencja weszła w życie 16 sierpnia 2017 r. Konwencję podpisało 127 państw i Unia Europejska. Do tej pory Konwencją związało się 126 państw i Unia Europejska, stając się jej Stronami (dalej: Strony), w tym 25 państw członkowskich UE. Państwa UE, które podpisały</w:t>
      </w:r>
      <w:r w:rsidR="008141D3">
        <w:rPr>
          <w:rFonts w:ascii="Times New Roman" w:eastAsia="Times New Roman" w:hAnsi="Times New Roman" w:cs="Times New Roman"/>
          <w:sz w:val="24"/>
          <w:szCs w:val="24"/>
          <w:lang w:eastAsia="pl-PL"/>
        </w:rPr>
        <w:t>,</w:t>
      </w:r>
      <w:r w:rsidRPr="00A535CD">
        <w:rPr>
          <w:rFonts w:ascii="Times New Roman" w:eastAsia="Times New Roman" w:hAnsi="Times New Roman" w:cs="Times New Roman"/>
          <w:sz w:val="24"/>
          <w:szCs w:val="24"/>
          <w:lang w:eastAsia="pl-PL"/>
        </w:rPr>
        <w:t xml:space="preserve"> ale nie ratyfikowały Konwencji</w:t>
      </w:r>
      <w:r w:rsidR="0098046A">
        <w:rPr>
          <w:rFonts w:ascii="Times New Roman" w:eastAsia="Times New Roman" w:hAnsi="Times New Roman" w:cs="Times New Roman"/>
          <w:sz w:val="24"/>
          <w:szCs w:val="24"/>
          <w:lang w:eastAsia="pl-PL"/>
        </w:rPr>
        <w:t xml:space="preserve"> </w:t>
      </w:r>
      <w:r w:rsidR="0098046A"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sz w:val="24"/>
          <w:szCs w:val="24"/>
          <w:lang w:eastAsia="pl-PL"/>
        </w:rPr>
        <w:t xml:space="preserve"> to Hiszpania i Polska. Polska podpisała Konwencję 24 września 2014 r.</w:t>
      </w:r>
    </w:p>
    <w:p w:rsidR="00BE3CFA" w:rsidRPr="00A535CD" w:rsidRDefault="003D2A9F" w:rsidP="00A535CD">
      <w:pPr>
        <w:pStyle w:val="Akapitzlist"/>
        <w:numPr>
          <w:ilvl w:val="0"/>
          <w:numId w:val="1"/>
        </w:numPr>
        <w:autoSpaceDE w:val="0"/>
        <w:autoSpaceDN w:val="0"/>
        <w:adjustRightInd w:val="0"/>
        <w:spacing w:before="24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
          <w:bCs/>
          <w:sz w:val="24"/>
          <w:szCs w:val="24"/>
          <w:lang w:eastAsia="en-US"/>
        </w:rPr>
        <w:t>Potrzeba i cel ratyfikacji przez Rzeczpospolitą Polską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Ratyfikacja Konwencji przez Polskę umożliwi aktywne włączenie się w dyskusje na poziomie globalnym w ramach Konwencji, w szczególności przez udział w Konferencji Stron </w:t>
      </w:r>
      <w:r w:rsidRPr="00A535CD">
        <w:rPr>
          <w:rFonts w:ascii="Times New Roman" w:eastAsia="Times New Roman" w:hAnsi="Times New Roman" w:cs="Times New Roman"/>
          <w:bCs/>
          <w:sz w:val="24"/>
          <w:szCs w:val="24"/>
          <w:lang w:eastAsia="pl-PL"/>
        </w:rPr>
        <w:t xml:space="preserve">(dalej: </w:t>
      </w:r>
      <w:r w:rsidRPr="00A535CD">
        <w:rPr>
          <w:rFonts w:ascii="Times New Roman" w:eastAsia="Times New Roman" w:hAnsi="Times New Roman" w:cs="Times New Roman"/>
          <w:sz w:val="24"/>
          <w:szCs w:val="24"/>
          <w:lang w:eastAsia="pl-PL"/>
        </w:rPr>
        <w:t>COP)</w:t>
      </w:r>
      <w:r w:rsidRPr="00A535CD">
        <w:rPr>
          <w:rFonts w:ascii="Times New Roman" w:eastAsia="Times New Roman" w:hAnsi="Times New Roman" w:cs="Times New Roman"/>
          <w:bCs/>
          <w:sz w:val="24"/>
          <w:szCs w:val="24"/>
          <w:lang w:eastAsia="en-US"/>
        </w:rPr>
        <w:t>.</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Polska wykazała bardzo duże zaangażowanie w opracowywaniu mandatu UE na negocjacje Konwencji. Polska opowiadała się za przyjęciem nowego instrumentu prawnego zajmującego się problemem antropogenicznych emisji i uwolnień rtęci oraz związków rtęci, proponując zrównoważone podejście oraz unikanie jednostronnych działań, które w skali globalnej byłyby nieskuteczne, i które mogłyby negatywnie wpływać na konkurencyjność unijnej gospodarki, w tym gospodarki polskiej. </w:t>
      </w:r>
    </w:p>
    <w:p w:rsidR="00BE3CFA" w:rsidRPr="00A535CD" w:rsidRDefault="003D2A9F" w:rsidP="00A535CD">
      <w:pPr>
        <w:suppressAutoHyphens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Ratyfikacja Konwencji i uzyskanie przez Polskę statusu Strony</w:t>
      </w:r>
      <w:r w:rsidR="00F44930" w:rsidRPr="00E6579D">
        <w:rPr>
          <w:rFonts w:ascii="Times New Roman" w:eastAsia="Times New Roman" w:hAnsi="Times New Roman" w:cs="Times New Roman"/>
          <w:sz w:val="24"/>
          <w:szCs w:val="24"/>
          <w:lang w:eastAsia="pl-PL"/>
        </w:rPr>
        <w:t xml:space="preserve"> </w:t>
      </w:r>
      <w:r w:rsidRPr="00A535CD">
        <w:rPr>
          <w:rFonts w:ascii="Times New Roman" w:eastAsia="Times New Roman" w:hAnsi="Times New Roman" w:cs="Times New Roman"/>
          <w:sz w:val="24"/>
          <w:szCs w:val="24"/>
          <w:lang w:eastAsia="pl-PL"/>
        </w:rPr>
        <w:t xml:space="preserve">pozwoli na udział Polski w podejmowaniu decyzji, kształtowaniu wytycznych i kryteriów przyjmowanych przez </w:t>
      </w:r>
      <w:r w:rsidRPr="00A535CD">
        <w:rPr>
          <w:rFonts w:ascii="Times New Roman" w:eastAsia="Times New Roman" w:hAnsi="Times New Roman" w:cs="Times New Roman"/>
          <w:bCs/>
          <w:sz w:val="24"/>
          <w:szCs w:val="24"/>
          <w:lang w:eastAsia="pl-PL"/>
        </w:rPr>
        <w:t>COP</w:t>
      </w:r>
      <w:r w:rsidRPr="00A535CD">
        <w:rPr>
          <w:rFonts w:ascii="Times New Roman" w:eastAsia="Times New Roman" w:hAnsi="Times New Roman" w:cs="Times New Roman"/>
          <w:sz w:val="24"/>
          <w:szCs w:val="24"/>
          <w:lang w:eastAsia="pl-PL"/>
        </w:rPr>
        <w:t>.</w:t>
      </w:r>
    </w:p>
    <w:p w:rsidR="00BE3CFA" w:rsidRPr="00A535CD" w:rsidRDefault="003D2A9F" w:rsidP="00A535CD">
      <w:pPr>
        <w:pStyle w:val="Akapitzlist"/>
        <w:numPr>
          <w:ilvl w:val="0"/>
          <w:numId w:val="1"/>
        </w:numPr>
        <w:autoSpaceDE w:val="0"/>
        <w:autoSpaceDN w:val="0"/>
        <w:adjustRightInd w:val="0"/>
        <w:spacing w:before="24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
          <w:bCs/>
          <w:sz w:val="24"/>
          <w:szCs w:val="24"/>
          <w:lang w:eastAsia="en-US"/>
        </w:rPr>
        <w:t xml:space="preserve">Dotychczasowy </w:t>
      </w:r>
      <w:r w:rsidR="0098046A">
        <w:rPr>
          <w:rFonts w:ascii="Times New Roman" w:eastAsia="Times New Roman" w:hAnsi="Times New Roman" w:cs="Times New Roman"/>
          <w:b/>
          <w:bCs/>
          <w:sz w:val="24"/>
          <w:szCs w:val="24"/>
          <w:lang w:eastAsia="en-US"/>
        </w:rPr>
        <w:t>a</w:t>
      </w:r>
      <w:r w:rsidRPr="00A535CD">
        <w:rPr>
          <w:rFonts w:ascii="Times New Roman" w:eastAsia="Times New Roman" w:hAnsi="Times New Roman" w:cs="Times New Roman"/>
          <w:b/>
          <w:bCs/>
          <w:sz w:val="24"/>
          <w:szCs w:val="24"/>
          <w:lang w:eastAsia="en-US"/>
        </w:rPr>
        <w:t xml:space="preserve"> projektowany stan prawny w świetle postanowień Konwencji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W Polsce obowiązuje szereg przepisów dotyczących rtęci, które wynikają z prawa UE oraz prawa krajowego. Dotyczą one następujących obszarów:</w:t>
      </w:r>
    </w:p>
    <w:p w:rsidR="00BE3CFA" w:rsidRPr="00A535CD" w:rsidRDefault="003D2A9F" w:rsidP="00A535CD">
      <w:pPr>
        <w:pStyle w:val="Akapitzlist"/>
        <w:numPr>
          <w:ilvl w:val="0"/>
          <w:numId w:val="20"/>
        </w:numPr>
        <w:autoSpaceDE w:val="0"/>
        <w:autoSpaceDN w:val="0"/>
        <w:adjustRightInd w:val="0"/>
        <w:spacing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źródła dostaw rtęci i handel rtęcią</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produkty z dodatkiem rtęci</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procesy produkcyjne, w których wykorzystuje się rtęć lub związki rtęci</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wydobycie złota tradycyjnego i na małą skalę</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lastRenderedPageBreak/>
        <w:t>emisje rtęci i związków rtęci do atmosfery</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uwolnienia rtęci i związków rtęci do gruntu i wody</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składowanie przejściowe rtęci innej niż odpadowa</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postępowania z odpadami rtęciowymi</w:t>
      </w:r>
      <w:r w:rsidR="00CC4E4B">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0"/>
        </w:numPr>
        <w:autoSpaceDE w:val="0"/>
        <w:autoSpaceDN w:val="0"/>
        <w:adjustRightInd w:val="0"/>
        <w:spacing w:before="120" w:after="0" w:line="360" w:lineRule="auto"/>
        <w:ind w:left="490" w:hanging="49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identyfikacji i oceny miejsc zanieczyszczonych rtęcią lub związkami rtęci.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sz w:val="24"/>
          <w:szCs w:val="24"/>
          <w:lang w:eastAsia="pl-PL"/>
        </w:rPr>
        <w:t xml:space="preserve">Mając na celu kolejne ograniczenia stosowania rtęci i związków rtęci, UE, w wyniku oceny swojego dorobku prawnego, stwierdziła niewielką liczbę luk regulacyjnych, które zostały uzupełnione </w:t>
      </w:r>
      <w:r w:rsidRPr="00A535CD">
        <w:rPr>
          <w:rFonts w:ascii="Times New Roman" w:eastAsia="Times New Roman" w:hAnsi="Times New Roman" w:cs="Times New Roman"/>
          <w:iCs/>
          <w:sz w:val="24"/>
          <w:szCs w:val="24"/>
          <w:lang w:eastAsia="pl-PL"/>
        </w:rPr>
        <w:t>rozporządzeniem Parlamentu Europejskiego i Rady (UE) nr 2017/852 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maja 2017 r.</w:t>
      </w:r>
      <w:r w:rsidRPr="00A535CD">
        <w:rPr>
          <w:rFonts w:ascii="Times New Roman" w:eastAsia="Times New Roman" w:hAnsi="Times New Roman" w:cs="Times New Roman"/>
          <w:i/>
          <w:iCs/>
          <w:sz w:val="24"/>
          <w:szCs w:val="24"/>
          <w:lang w:eastAsia="pl-PL"/>
        </w:rPr>
        <w:t xml:space="preserve"> w sprawie rtęci oraz uchylającym rozporządzenie (WE) nr 1102/2008</w:t>
      </w:r>
      <w:r w:rsidRPr="00A535CD">
        <w:rPr>
          <w:rFonts w:ascii="Times New Roman" w:eastAsia="Times New Roman" w:hAnsi="Times New Roman" w:cs="Times New Roman"/>
          <w:sz w:val="24"/>
          <w:szCs w:val="24"/>
          <w:lang w:eastAsia="pl-PL"/>
        </w:rPr>
        <w:t xml:space="preserve"> (Dz. Urz. UE </w:t>
      </w:r>
      <w:r w:rsidRPr="00A535CD">
        <w:rPr>
          <w:rFonts w:ascii="Times New Roman" w:hAnsi="Times New Roman" w:cs="Times New Roman"/>
          <w:sz w:val="24"/>
          <w:szCs w:val="24"/>
        </w:rPr>
        <w:t xml:space="preserve">L 137 z 24.05.2017, str. 1) (dalej: </w:t>
      </w:r>
      <w:r w:rsidRPr="00A535CD">
        <w:rPr>
          <w:rFonts w:ascii="Times New Roman" w:eastAsia="Times New Roman" w:hAnsi="Times New Roman" w:cs="Times New Roman"/>
          <w:iCs/>
          <w:sz w:val="24"/>
          <w:szCs w:val="24"/>
          <w:lang w:eastAsia="pl-PL"/>
        </w:rPr>
        <w:t>rozporządzenie 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iCs/>
          <w:sz w:val="24"/>
          <w:szCs w:val="24"/>
          <w:lang w:eastAsia="pl-PL"/>
        </w:rPr>
        <w:t>)</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sz w:val="24"/>
          <w:szCs w:val="24"/>
          <w:lang w:eastAsia="pl-PL"/>
        </w:rPr>
        <w:t xml:space="preserve">Akt ten jest dopełnieniem transpozycji przepisów Konwencji do istniejącego dorobku prawnego UE.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bookmarkStart w:id="0" w:name="_Hlk45271904"/>
      <w:r w:rsidRPr="00A535CD">
        <w:rPr>
          <w:rFonts w:ascii="Times New Roman" w:eastAsia="Times New Roman" w:hAnsi="Times New Roman" w:cs="Times New Roman"/>
          <w:sz w:val="24"/>
          <w:szCs w:val="24"/>
          <w:lang w:eastAsia="pl-PL"/>
        </w:rPr>
        <w:t xml:space="preserve">W Polsce obowiązuje szereg przepisów dotyczących rtęci m.in. źródeł dostaw rtęci </w:t>
      </w:r>
      <w:r w:rsidR="0024397E" w:rsidRPr="00A535CD">
        <w:rPr>
          <w:rFonts w:ascii="Times New Roman" w:eastAsia="Times New Roman" w:hAnsi="Times New Roman" w:cs="Times New Roman"/>
          <w:sz w:val="24"/>
          <w:szCs w:val="24"/>
          <w:lang w:eastAsia="pl-PL"/>
        </w:rPr>
        <w:t>i</w:t>
      </w:r>
      <w:r w:rsidR="0024397E">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 xml:space="preserve">handlu nią, produktów zawierających rtęć, emisji rtęci do atmosfery czy też odpadów rtęciowych i ich czasowego składowania, które wynikają z prawa UE oraz prawa krajowego. </w:t>
      </w:r>
      <w:r w:rsidRPr="00A535CD">
        <w:rPr>
          <w:rFonts w:ascii="Times New Roman" w:eastAsia="Times New Roman" w:hAnsi="Times New Roman" w:cs="Times New Roman"/>
          <w:iCs/>
          <w:sz w:val="24"/>
          <w:szCs w:val="24"/>
          <w:lang w:eastAsia="pl-PL"/>
        </w:rPr>
        <w:t>Rozporządzenie Parlamentu Europejskiego i Rady (UE) nr 2017/852 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maja 2017 r.</w:t>
      </w:r>
      <w:r w:rsidRPr="00A535CD">
        <w:rPr>
          <w:rFonts w:ascii="Times New Roman" w:eastAsia="Times New Roman" w:hAnsi="Times New Roman" w:cs="Times New Roman"/>
          <w:i/>
          <w:iCs/>
          <w:sz w:val="24"/>
          <w:szCs w:val="24"/>
          <w:lang w:eastAsia="pl-PL"/>
        </w:rPr>
        <w:t xml:space="preserve"> w sprawie rtęci </w:t>
      </w:r>
      <w:r w:rsidRPr="00A535CD">
        <w:rPr>
          <w:rFonts w:ascii="Times New Roman" w:eastAsia="Times New Roman" w:hAnsi="Times New Roman" w:cs="Times New Roman"/>
          <w:sz w:val="24"/>
          <w:szCs w:val="24"/>
          <w:lang w:eastAsia="pl-PL"/>
        </w:rPr>
        <w:t xml:space="preserve">implementowało postanowienia Konwencji dotychczas nieuregulowane przez prawo UE. Dzięki temu wszystkie postanowienia Konwencji są odzwierciedlone w prawie UE, co oznacza, że bezpośrednio obowiązują Polskę. Ratyfikacja Konwencji nie spowoduje zatem konieczności wprowadzenia zmian do polskiego porządku prawnego innych niż te, które i tak powinny zostać wprowadzone na mocy rozporządzenia </w:t>
      </w:r>
      <w:r w:rsidRPr="00A535CD">
        <w:rPr>
          <w:rFonts w:ascii="Times New Roman" w:eastAsia="Times New Roman" w:hAnsi="Times New Roman" w:cs="Times New Roman"/>
          <w:iCs/>
          <w:sz w:val="24"/>
          <w:szCs w:val="24"/>
          <w:lang w:eastAsia="pl-PL"/>
        </w:rPr>
        <w:t>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sz w:val="24"/>
          <w:szCs w:val="24"/>
          <w:lang w:eastAsia="pl-PL"/>
        </w:rPr>
        <w:t>, tj. organu właściwego i systemu sankcji.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 xml:space="preserve">Omówienie różnic między dotychczasowym </w:t>
      </w:r>
      <w:r w:rsidR="00F64276">
        <w:rPr>
          <w:rFonts w:ascii="Times New Roman" w:eastAsia="Times New Roman" w:hAnsi="Times New Roman" w:cs="Times New Roman"/>
          <w:sz w:val="24"/>
          <w:szCs w:val="24"/>
          <w:lang w:eastAsia="pl-PL"/>
        </w:rPr>
        <w:t>a</w:t>
      </w:r>
      <w:r w:rsidRPr="00A535CD">
        <w:rPr>
          <w:rFonts w:ascii="Times New Roman" w:eastAsia="Times New Roman" w:hAnsi="Times New Roman" w:cs="Times New Roman"/>
          <w:sz w:val="24"/>
          <w:szCs w:val="24"/>
          <w:lang w:eastAsia="pl-PL"/>
        </w:rPr>
        <w:t xml:space="preserve"> projektowanym stanem prawnym </w:t>
      </w:r>
      <w:r w:rsidR="0024397E" w:rsidRPr="00A535CD">
        <w:rPr>
          <w:rFonts w:ascii="Times New Roman" w:eastAsia="Times New Roman" w:hAnsi="Times New Roman" w:cs="Times New Roman"/>
          <w:sz w:val="24"/>
          <w:szCs w:val="24"/>
          <w:lang w:eastAsia="pl-PL"/>
        </w:rPr>
        <w:t>w</w:t>
      </w:r>
      <w:r w:rsidR="0024397E">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poszczególnych obszarach objętych przepisami Konwencji znajduje się poniżej.</w:t>
      </w:r>
      <w:r w:rsidR="00F44930" w:rsidRPr="00E6579D">
        <w:rPr>
          <w:rFonts w:ascii="Times New Roman" w:eastAsia="Times New Roman" w:hAnsi="Times New Roman" w:cs="Times New Roman"/>
          <w:sz w:val="24"/>
          <w:szCs w:val="24"/>
          <w:lang w:eastAsia="pl-PL"/>
        </w:rPr>
        <w:t xml:space="preserve"> </w:t>
      </w:r>
    </w:p>
    <w:bookmarkEnd w:id="0"/>
    <w:p w:rsidR="00BE3CFA" w:rsidRPr="00A535CD" w:rsidRDefault="003D2A9F" w:rsidP="00A535CD">
      <w:pPr>
        <w:pStyle w:val="Akapitzlist"/>
        <w:numPr>
          <w:ilvl w:val="0"/>
          <w:numId w:val="4"/>
        </w:numPr>
        <w:autoSpaceDE w:val="0"/>
        <w:autoSpaceDN w:val="0"/>
        <w:adjustRightInd w:val="0"/>
        <w:spacing w:before="120" w:after="0" w:line="360" w:lineRule="auto"/>
        <w:ind w:left="476" w:hanging="476"/>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Źródła dostaw rtęci i handel rtęcią (art. 3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wprowadza zakaz wydobycia podstawowego rtęci na terenie państwa – Strony, jeżeli takie wydobycie nie było prowadzone na jej terytorium w dniu wejścia </w:t>
      </w:r>
      <w:r w:rsidR="00BE3CFA" w:rsidRPr="00A535CD">
        <w:rPr>
          <w:rFonts w:ascii="Times New Roman" w:eastAsia="Times New Roman" w:hAnsi="Times New Roman" w:cs="Times New Roman"/>
          <w:bCs/>
          <w:sz w:val="24"/>
          <w:szCs w:val="24"/>
          <w:lang w:eastAsia="en-US"/>
        </w:rPr>
        <w:t>w</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życie Konwencji w odniesieniu do danej Strony. </w:t>
      </w:r>
      <w:r w:rsidRPr="00A535CD">
        <w:rPr>
          <w:rFonts w:ascii="Times New Roman" w:hAnsi="Times New Roman" w:cs="Times New Roman"/>
          <w:color w:val="000000"/>
          <w:sz w:val="24"/>
          <w:szCs w:val="24"/>
        </w:rPr>
        <w:t xml:space="preserve">Strona zezwala na wydobycie podstawowe rtęci wyłącznie, jeżeli takie wydobycie było prowadzone na jej terytorium </w:t>
      </w:r>
      <w:r w:rsidRPr="00A535CD">
        <w:rPr>
          <w:rFonts w:ascii="Times New Roman" w:hAnsi="Times New Roman" w:cs="Times New Roman"/>
          <w:color w:val="000000"/>
          <w:sz w:val="24"/>
          <w:szCs w:val="24"/>
        </w:rPr>
        <w:lastRenderedPageBreak/>
        <w:t xml:space="preserve">w dniu wejścia w życie niniejszej Konwencji w odniesieniu do takiej Strony i wyłącznie przez okres nie dłuższy niż piętnaście lat po tym dniu. </w:t>
      </w:r>
      <w:r w:rsidRPr="00A535CD">
        <w:rPr>
          <w:rFonts w:ascii="Times New Roman" w:eastAsia="Times New Roman" w:hAnsi="Times New Roman" w:cs="Times New Roman"/>
          <w:bCs/>
          <w:sz w:val="24"/>
          <w:szCs w:val="24"/>
          <w:lang w:eastAsia="en-US"/>
        </w:rPr>
        <w:t>W Polsce nie wydobywa się rtęci, w związku z tym przedmiotowy przepis będzie obowiązywał, lecz nie będzie miał zastosowania.</w:t>
      </w:r>
    </w:p>
    <w:p w:rsidR="00BE3CFA" w:rsidRPr="00A535CD" w:rsidRDefault="003D2A9F" w:rsidP="00A535CD">
      <w:pPr>
        <w:autoSpaceDE w:val="0"/>
        <w:autoSpaceDN w:val="0"/>
        <w:adjustRightInd w:val="0"/>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Strona ma za zadanie dołożyć wszelkich starań, aby zidentyfikować znajdujące się na jej terytorium poszczególne zasoby rtęci lub związków rtęci większe niż 50 ton metrycznych, a także źródła dostaw rtęci generujące zasoby większe niż 10 ton metrycznych rocznie, jak również podjąć działania mające na celu dopilnowanie, aby </w:t>
      </w:r>
      <w:r w:rsidR="00BE3CFA" w:rsidRPr="00A535CD">
        <w:rPr>
          <w:rFonts w:ascii="Times New Roman" w:hAnsi="Times New Roman" w:cs="Times New Roman"/>
          <w:color w:val="000000"/>
          <w:sz w:val="24"/>
          <w:szCs w:val="24"/>
        </w:rPr>
        <w:t>w</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przypadkach gdy Strona stwierdzi dostępne nadwyżkowe ilości rtęci pochodzące </w:t>
      </w:r>
      <w:r w:rsidR="00BE3CFA" w:rsidRPr="00A535CD">
        <w:rPr>
          <w:rFonts w:ascii="Times New Roman" w:hAnsi="Times New Roman" w:cs="Times New Roman"/>
          <w:color w:val="000000"/>
          <w:sz w:val="24"/>
          <w:szCs w:val="24"/>
        </w:rPr>
        <w:t>z</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wycofania z eksploatacji obiektów przemysłu chloro-alkalicznego, taką rtęć unieszkodliwiono zgodnie z wytycznymi dotyczącymi bezpiecznej dla środowiska gospodarki, stosując operacje, które nie prowadzą do odzysku, recyklingu, regeneracji, bezpośredniego ponownego zastosowania ani innych sposobów wykorzystania takiej rtęci.</w:t>
      </w:r>
    </w:p>
    <w:p w:rsidR="00BE3CFA" w:rsidRPr="00A535CD" w:rsidRDefault="003D2A9F" w:rsidP="00A535CD">
      <w:pPr>
        <w:autoSpaceDE w:val="0"/>
        <w:autoSpaceDN w:val="0"/>
        <w:adjustRightInd w:val="0"/>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Strona nie zezwala na wywóz rtęci, z wyjątkiem wywozu do Strony, która dostarczyła Stronie wywożącej swoją pisemną zgodę oraz wyłącznie na potrzeby: użytkowania dozwolonego dla Strony przywożącej na mocy niniejszej Konwencji lub składowania przejściowego w sposób bezpieczny dla środowiska, lub wywozu do państwa niebędącego Stroną, które dostarczyło Stronie wywożącej swoją pisemną zgodę, w tym zaświadczenie potwierdzające, że: takie państwo niebędące Stroną podjęło działania zapewniające ochronę zdrowia ludzkiego i środowiska oraz taka rtęć zostanie wykorzystana wyłącznie na potrzeby użytkowania dozwolonego dla Strony na mocy niniejszej Konwencji lub na potrzeby składowania przejściowego w sposób bezpieczny dla środowiska.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Strona nie zezwala na przywóz rtęci od państwa niebędącego Stroną, któremu przedstawiła swoją pisemną zgodę, jeżeli takie państwo, niebędące Stroną, nie przedstawiło zaświadczenia potwierdzającego, że rtęć nie pochodzi ze źródeł określonych jako niedozwolone. </w:t>
      </w:r>
      <w:r w:rsidRPr="00A535CD">
        <w:rPr>
          <w:rFonts w:ascii="Times New Roman" w:eastAsia="Times New Roman" w:hAnsi="Times New Roman" w:cs="Times New Roman"/>
          <w:bCs/>
          <w:sz w:val="24"/>
          <w:szCs w:val="24"/>
          <w:lang w:eastAsia="en-US"/>
        </w:rPr>
        <w:t xml:space="preserve">Ilości rtęci pochodzące z wycofania z eksploatacji obiektów przemysłu chloro-alkalicznego muszą być, zgodnie z Konwencją, unieszkodliwione </w:t>
      </w:r>
      <w:r w:rsidR="00BE3CFA" w:rsidRPr="00A535CD">
        <w:rPr>
          <w:rFonts w:ascii="Times New Roman" w:eastAsia="Times New Roman" w:hAnsi="Times New Roman" w:cs="Times New Roman"/>
          <w:bCs/>
          <w:sz w:val="24"/>
          <w:szCs w:val="24"/>
          <w:lang w:eastAsia="en-US"/>
        </w:rPr>
        <w:t>w</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sposób bezpieczny dla środowiska, stosując operacje, które nie prowadzą do odzysku, recyklingu, regeneracji, bezpośredniego ponownego zastosowania ani innych sposobów wykorzystania takiej rtęci.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lastRenderedPageBreak/>
        <w:t xml:space="preserve">W prawodawstwie UE wszystkie ww. zagadnienia regulują przepisy </w:t>
      </w:r>
      <w:r w:rsidRPr="00A535CD">
        <w:rPr>
          <w:rFonts w:ascii="Times New Roman" w:eastAsia="Times New Roman" w:hAnsi="Times New Roman" w:cs="Times New Roman"/>
          <w:iCs/>
          <w:sz w:val="24"/>
          <w:szCs w:val="24"/>
          <w:lang w:eastAsia="pl-PL"/>
        </w:rPr>
        <w:t>rozporządzenia 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iCs/>
          <w:sz w:val="24"/>
          <w:szCs w:val="24"/>
          <w:lang w:eastAsia="pl-PL"/>
        </w:rPr>
        <w:t xml:space="preserve">. Do zagadnienia wywozu rtęci odnoszą się również </w:t>
      </w:r>
      <w:r w:rsidRPr="00A535CD">
        <w:rPr>
          <w:rFonts w:ascii="Times New Roman" w:eastAsia="Times New Roman" w:hAnsi="Times New Roman" w:cs="Times New Roman"/>
          <w:bCs/>
          <w:sz w:val="24"/>
          <w:szCs w:val="24"/>
          <w:lang w:eastAsia="en-US"/>
        </w:rPr>
        <w:t xml:space="preserve">przepisy rozporządzenia Parlamentu Europejskiego i Rady (UE) nr 649/2012 z dnia 4 lipca 2012 r. </w:t>
      </w:r>
      <w:r w:rsidRPr="00A535CD">
        <w:rPr>
          <w:rFonts w:ascii="Times New Roman" w:eastAsia="Times New Roman" w:hAnsi="Times New Roman" w:cs="Times New Roman"/>
          <w:bCs/>
          <w:i/>
          <w:iCs/>
          <w:sz w:val="24"/>
          <w:szCs w:val="24"/>
          <w:lang w:eastAsia="en-US"/>
        </w:rPr>
        <w:t xml:space="preserve">dotyczące wywozu i przywozu niebezpiecznych chemikaliów </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L 201 z 27.07.2012, str. 60)</w:t>
      </w:r>
      <w:r w:rsidRPr="00A535CD">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4"/>
        </w:numPr>
        <w:autoSpaceDE w:val="0"/>
        <w:autoSpaceDN w:val="0"/>
        <w:adjustRightInd w:val="0"/>
        <w:spacing w:before="120" w:after="0" w:line="360" w:lineRule="auto"/>
        <w:ind w:left="476" w:hanging="476"/>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Produkty z dodatkiem rtęci (art. 4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Strona podejmuje odpowiednie środki aby nie zezwolić na produkcję, przywóz ani wywóz produktów z dodatkiem rtęci wymienionych w części I załącznika A po dacie wycofania określonej dla tych produktów, z wyjątkiem sytuacji, gdy w załączniku A określono zwolnienie lub gdy dana Strona zarejestrowała zwolnienie (zgodnie z art. 6 Konwencji).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Każda Strona podejmuje środki dotyczące produktów z dodatkiem rtęci wymienionych w części II załącznika A zgodnie z postanowieniami określonymi w tym załączniku.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Strona podejmuje środki mające na celu zapobieganie włączaniu do produktów złożonych z części produktów z dodatkiem rtęci, których produkcja, przywóz i wywóz nie są dozwolone dla takiej Strony.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Strona może złożyć do Sekretariatu wniosek o wpisanie produktu z dodatkiem rtęci do wykazu znajdującego się w załączniku A, przy czym taki wniosek zawiera informacje dotyczące dostępności oraz technicznych i ekonomicznych możliwości stosowania produktów niezawierających rtęci alternatywnych dla takiego produktu oraz informacje dotyczące zagrożeń i korzyści dla środowiska i zdrowia ludzkiego związanych z takim produktem alternatywnym niezawierającym rtęci.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Następujące grupy produktów zostały objęte przepisami Konwencji: baterie, przełączniki i przekaźniki, kompaktowe i liniowe lampy fluorescencyjne, wysokoprężne lampy rtęciowe, rtęć w lampach fluorescencyjnych z zimną katodą i lampach fluorescencyjnych z zewnętrzną katodą do wyświetlaczy elektronicznych, kosmetyki, środki ochrony roślin, środki biobójcze i środki przeciwbakteryjne, nieelektroniczne urządzenia pomiarowe: barometry, higrometry, manometry, termometry </w:t>
      </w:r>
      <w:r w:rsidR="00DB2925" w:rsidRPr="00A535CD">
        <w:rPr>
          <w:rFonts w:ascii="Times New Roman" w:eastAsia="Times New Roman" w:hAnsi="Times New Roman" w:cs="Times New Roman"/>
          <w:bCs/>
          <w:sz w:val="24"/>
          <w:szCs w:val="24"/>
          <w:lang w:eastAsia="en-US"/>
        </w:rPr>
        <w:t>i</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ciśnieniomierze.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iCs/>
          <w:sz w:val="24"/>
          <w:szCs w:val="24"/>
          <w:lang w:eastAsia="pl-PL"/>
        </w:rPr>
        <w:lastRenderedPageBreak/>
        <w:t xml:space="preserve">W prawodawstwie UE postanowienia Konwencji zostały wprowadzone </w:t>
      </w:r>
      <w:r w:rsidR="00BE3CFA" w:rsidRPr="00A535CD">
        <w:rPr>
          <w:rFonts w:ascii="Times New Roman" w:eastAsia="Times New Roman" w:hAnsi="Times New Roman" w:cs="Times New Roman"/>
          <w:iCs/>
          <w:sz w:val="24"/>
          <w:szCs w:val="24"/>
          <w:lang w:eastAsia="pl-PL"/>
        </w:rPr>
        <w:t>w</w:t>
      </w:r>
      <w:r w:rsidR="00BE3CFA">
        <w:rPr>
          <w:rFonts w:ascii="Times New Roman" w:eastAsia="Times New Roman" w:hAnsi="Times New Roman" w:cs="Times New Roman"/>
          <w:iCs/>
          <w:sz w:val="24"/>
          <w:szCs w:val="24"/>
          <w:lang w:eastAsia="pl-PL"/>
        </w:rPr>
        <w:t> </w:t>
      </w:r>
      <w:r w:rsidRPr="00A535CD">
        <w:rPr>
          <w:rFonts w:ascii="Times New Roman" w:eastAsia="Times New Roman" w:hAnsi="Times New Roman" w:cs="Times New Roman"/>
          <w:iCs/>
          <w:sz w:val="24"/>
          <w:szCs w:val="24"/>
          <w:lang w:eastAsia="pl-PL"/>
        </w:rPr>
        <w:t>rozporządzeniu 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 xml:space="preserve">w sprawie rtęci </w:t>
      </w:r>
      <w:r w:rsidRPr="00A535CD">
        <w:rPr>
          <w:rFonts w:ascii="Times New Roman" w:eastAsia="Times New Roman" w:hAnsi="Times New Roman" w:cs="Times New Roman"/>
          <w:sz w:val="24"/>
          <w:szCs w:val="24"/>
          <w:lang w:eastAsia="pl-PL"/>
        </w:rPr>
        <w:t xml:space="preserve">przez </w:t>
      </w:r>
      <w:r w:rsidRPr="00A535CD">
        <w:rPr>
          <w:rFonts w:ascii="Times New Roman" w:hAnsi="Times New Roman" w:cs="Times New Roman"/>
          <w:sz w:val="24"/>
          <w:szCs w:val="24"/>
        </w:rPr>
        <w:t xml:space="preserve">zakaz wywozu, przywozu i produkcji w UE </w:t>
      </w:r>
      <w:r w:rsidRPr="00A535CD">
        <w:rPr>
          <w:rFonts w:ascii="Times New Roman" w:eastAsia="Times New Roman" w:hAnsi="Times New Roman" w:cs="Times New Roman"/>
          <w:bCs/>
          <w:sz w:val="24"/>
          <w:szCs w:val="24"/>
          <w:lang w:eastAsia="en-US"/>
        </w:rPr>
        <w:t>wszystkich wymienionych w rozporządzeniu lamp fluorescencyjnych i rtęciowych od 31</w:t>
      </w:r>
      <w:r w:rsidR="008141D3">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grudnia</w:t>
      </w:r>
      <w:r w:rsidR="00435A2A">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2018 r., a pozostałych wymienionych w rozporządzeniu produktów: baterii, przełączników, przekaźników kompaktowych, kosmetyków, środków ochrony roślin, środków biobójczych, środków przeciwbakteryjnych oraz nieelektronicznych urządzeń pomiarowych od 31</w:t>
      </w:r>
      <w:r w:rsidR="00CC4E4B">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grudnia</w:t>
      </w:r>
      <w:r w:rsidR="00CC4E4B">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2020 r. Zagadnienia dotyczące zawartości rtęci w ww. produktach oraz wprowadzania na rynek i import do UE tych produktów są regulowane także w następujących aktach prawnych:</w:t>
      </w:r>
    </w:p>
    <w:p w:rsidR="00BE3CFA" w:rsidRPr="00A535CD" w:rsidRDefault="003D2A9F" w:rsidP="00A535CD">
      <w:pPr>
        <w:pStyle w:val="Akapitzlist"/>
        <w:numPr>
          <w:ilvl w:val="0"/>
          <w:numId w:val="5"/>
        </w:numPr>
        <w:autoSpaceDE w:val="0"/>
        <w:autoSpaceDN w:val="0"/>
        <w:adjustRightInd w:val="0"/>
        <w:spacing w:before="120" w:after="0" w:line="360" w:lineRule="auto"/>
        <w:ind w:left="504" w:hanging="518"/>
        <w:contextualSpacing w:val="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baterie – dyrektywa 2006/66/WE Parlamentu Europejskiego i Rady z dnia </w:t>
      </w:r>
      <w:r w:rsidR="00BE3CFA" w:rsidRPr="00A535CD">
        <w:rPr>
          <w:rFonts w:ascii="Times New Roman" w:eastAsia="Times New Roman" w:hAnsi="Times New Roman" w:cs="Times New Roman"/>
          <w:bCs/>
          <w:sz w:val="24"/>
          <w:szCs w:val="24"/>
          <w:lang w:eastAsia="en-US"/>
        </w:rPr>
        <w:t>6</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września 2006 r. </w:t>
      </w:r>
      <w:r w:rsidRPr="00A535CD">
        <w:rPr>
          <w:rFonts w:ascii="Times New Roman" w:eastAsia="Times New Roman" w:hAnsi="Times New Roman" w:cs="Times New Roman"/>
          <w:bCs/>
          <w:i/>
          <w:iCs/>
          <w:sz w:val="24"/>
          <w:szCs w:val="24"/>
          <w:lang w:eastAsia="en-US"/>
        </w:rPr>
        <w:t xml:space="preserve">w sprawie baterii i akumulatorów oraz zużytych baterii </w:t>
      </w:r>
      <w:r w:rsidR="00BE3CFA" w:rsidRPr="00A535CD">
        <w:rPr>
          <w:rFonts w:ascii="Times New Roman" w:eastAsia="Times New Roman" w:hAnsi="Times New Roman" w:cs="Times New Roman"/>
          <w:bCs/>
          <w:i/>
          <w:iCs/>
          <w:sz w:val="24"/>
          <w:szCs w:val="24"/>
          <w:lang w:eastAsia="en-US"/>
        </w:rPr>
        <w:t>i</w:t>
      </w:r>
      <w:r w:rsidR="00BE3CFA">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 xml:space="preserve">akumulatorów oraz uchylająca dyrektywę 91/157/EWG </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 xml:space="preserve">L 266/1 </w:t>
      </w:r>
      <w:r w:rsidR="00BE3CFA" w:rsidRPr="00A535CD">
        <w:rPr>
          <w:rFonts w:ascii="Times New Roman" w:hAnsi="Times New Roman" w:cs="Times New Roman"/>
          <w:sz w:val="24"/>
          <w:szCs w:val="24"/>
        </w:rPr>
        <w:t>z</w:t>
      </w:r>
      <w:r w:rsidR="00BE3CFA">
        <w:rPr>
          <w:rFonts w:ascii="Times New Roman" w:hAnsi="Times New Roman" w:cs="Times New Roman"/>
          <w:sz w:val="24"/>
          <w:szCs w:val="24"/>
        </w:rPr>
        <w:t> </w:t>
      </w:r>
      <w:r w:rsidRPr="00A535CD">
        <w:rPr>
          <w:rFonts w:ascii="Times New Roman" w:hAnsi="Times New Roman" w:cs="Times New Roman"/>
          <w:sz w:val="24"/>
          <w:szCs w:val="24"/>
        </w:rPr>
        <w:t>26.09.2006, str. 1)</w:t>
      </w:r>
      <w:r w:rsidRPr="00A535CD">
        <w:rPr>
          <w:rFonts w:ascii="Times New Roman" w:eastAsia="Times New Roman" w:hAnsi="Times New Roman" w:cs="Times New Roman"/>
          <w:bCs/>
          <w:sz w:val="24"/>
          <w:szCs w:val="24"/>
          <w:lang w:eastAsia="en-US"/>
        </w:rPr>
        <w:t>, ustawa z dnia 24 kwietnia 2009 r.</w:t>
      </w:r>
      <w:r w:rsidRPr="00A535CD">
        <w:rPr>
          <w:rFonts w:ascii="Times New Roman" w:eastAsia="Times New Roman" w:hAnsi="Times New Roman" w:cs="Times New Roman"/>
          <w:bCs/>
          <w:i/>
          <w:iCs/>
          <w:sz w:val="24"/>
          <w:szCs w:val="24"/>
          <w:lang w:eastAsia="en-US"/>
        </w:rPr>
        <w:t xml:space="preserve"> o bateriach </w:t>
      </w:r>
      <w:r w:rsidR="00DB2925" w:rsidRPr="00A535CD">
        <w:rPr>
          <w:rFonts w:ascii="Times New Roman" w:eastAsia="Times New Roman" w:hAnsi="Times New Roman" w:cs="Times New Roman"/>
          <w:bCs/>
          <w:i/>
          <w:iCs/>
          <w:sz w:val="24"/>
          <w:szCs w:val="24"/>
          <w:lang w:eastAsia="en-US"/>
        </w:rPr>
        <w:t>i</w:t>
      </w:r>
      <w:r w:rsidR="00DB2925">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akumulatorach</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U. z 2020 r. poz. 1850) (dalej: ustawa z dnia 24 kwietnia 2009 r.</w:t>
      </w:r>
      <w:r w:rsidRPr="00A535CD">
        <w:rPr>
          <w:rFonts w:ascii="Times New Roman" w:eastAsia="Times New Roman" w:hAnsi="Times New Roman" w:cs="Times New Roman"/>
          <w:bCs/>
          <w:i/>
          <w:iCs/>
          <w:sz w:val="24"/>
          <w:szCs w:val="24"/>
          <w:lang w:eastAsia="en-US"/>
        </w:rPr>
        <w:t xml:space="preserve"> o bateriach </w:t>
      </w:r>
      <w:r w:rsidR="00BE3CFA" w:rsidRPr="00A535CD">
        <w:rPr>
          <w:rFonts w:ascii="Times New Roman" w:eastAsia="Times New Roman" w:hAnsi="Times New Roman" w:cs="Times New Roman"/>
          <w:bCs/>
          <w:i/>
          <w:iCs/>
          <w:sz w:val="24"/>
          <w:szCs w:val="24"/>
          <w:lang w:eastAsia="en-US"/>
        </w:rPr>
        <w:t>i</w:t>
      </w:r>
      <w:r w:rsidR="00BE3CFA">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akumulatorach</w:t>
      </w:r>
      <w:r w:rsidRPr="00A535CD">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5"/>
        </w:numPr>
        <w:autoSpaceDE w:val="0"/>
        <w:autoSpaceDN w:val="0"/>
        <w:adjustRightInd w:val="0"/>
        <w:spacing w:before="120" w:after="0" w:line="360" w:lineRule="auto"/>
        <w:ind w:left="504" w:hanging="518"/>
        <w:contextualSpacing w:val="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przełączniki, przekaźniki i lampy – dyrektywa Parlamentu Europejskiego i Rady 2011/65/UE z dnia 8 czerwca 2011 r. </w:t>
      </w:r>
      <w:r w:rsidRPr="00A535CD">
        <w:rPr>
          <w:rFonts w:ascii="Times New Roman" w:eastAsia="Times New Roman" w:hAnsi="Times New Roman" w:cs="Times New Roman"/>
          <w:bCs/>
          <w:i/>
          <w:iCs/>
          <w:sz w:val="24"/>
          <w:szCs w:val="24"/>
          <w:lang w:eastAsia="en-US"/>
        </w:rPr>
        <w:t xml:space="preserve">w sprawie ograniczenia stosowania niektórych niebezpiecznych substancji w sprzęcie elektrycznym i elektronicznym </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L 174</w:t>
      </w:r>
      <w:r w:rsidR="00435A2A">
        <w:rPr>
          <w:rFonts w:ascii="Times New Roman" w:hAnsi="Times New Roman" w:cs="Times New Roman"/>
          <w:sz w:val="24"/>
          <w:szCs w:val="24"/>
        </w:rPr>
        <w:t xml:space="preserve"> </w:t>
      </w:r>
      <w:r w:rsidRPr="00A535CD">
        <w:rPr>
          <w:rFonts w:ascii="Times New Roman" w:hAnsi="Times New Roman" w:cs="Times New Roman"/>
          <w:sz w:val="24"/>
          <w:szCs w:val="24"/>
        </w:rPr>
        <w:t>z 01.07.2011, str. 88)</w:t>
      </w:r>
      <w:r w:rsidRPr="00A535CD">
        <w:rPr>
          <w:rFonts w:ascii="Times New Roman" w:eastAsia="Times New Roman" w:hAnsi="Times New Roman" w:cs="Times New Roman"/>
          <w:bCs/>
          <w:sz w:val="24"/>
          <w:szCs w:val="24"/>
          <w:lang w:eastAsia="en-US"/>
        </w:rPr>
        <w:t xml:space="preserve">, rozporządzenie Ministra Rozwoju </w:t>
      </w:r>
      <w:r w:rsidR="00DB2925" w:rsidRPr="00A535CD">
        <w:rPr>
          <w:rFonts w:ascii="Times New Roman" w:eastAsia="Times New Roman" w:hAnsi="Times New Roman" w:cs="Times New Roman"/>
          <w:bCs/>
          <w:sz w:val="24"/>
          <w:szCs w:val="24"/>
          <w:lang w:eastAsia="en-US"/>
        </w:rPr>
        <w:t>i</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Finansów z dnia 21 grudnia 2016 r. </w:t>
      </w:r>
      <w:r w:rsidRPr="00A535CD">
        <w:rPr>
          <w:rFonts w:ascii="Times New Roman" w:eastAsia="Times New Roman" w:hAnsi="Times New Roman" w:cs="Times New Roman"/>
          <w:bCs/>
          <w:i/>
          <w:iCs/>
          <w:sz w:val="24"/>
          <w:szCs w:val="24"/>
          <w:lang w:eastAsia="en-US"/>
        </w:rPr>
        <w:t xml:space="preserve">w sprawie zasadniczych wymagań dotyczących ograniczenia stosowania niektórych niebezpiecznych substancji </w:t>
      </w:r>
      <w:r w:rsidR="00DB2925" w:rsidRPr="00A535CD">
        <w:rPr>
          <w:rFonts w:ascii="Times New Roman" w:eastAsia="Times New Roman" w:hAnsi="Times New Roman" w:cs="Times New Roman"/>
          <w:bCs/>
          <w:i/>
          <w:iCs/>
          <w:sz w:val="24"/>
          <w:szCs w:val="24"/>
          <w:lang w:eastAsia="en-US"/>
        </w:rPr>
        <w:t>w</w:t>
      </w:r>
      <w:r w:rsidR="00DB2925">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 xml:space="preserve">sprzęcie elektrycznym </w:t>
      </w:r>
      <w:r w:rsidR="00BE3CFA" w:rsidRPr="00A535CD">
        <w:rPr>
          <w:rFonts w:ascii="Times New Roman" w:eastAsia="Times New Roman" w:hAnsi="Times New Roman" w:cs="Times New Roman"/>
          <w:bCs/>
          <w:i/>
          <w:iCs/>
          <w:sz w:val="24"/>
          <w:szCs w:val="24"/>
          <w:lang w:eastAsia="en-US"/>
        </w:rPr>
        <w:t>i</w:t>
      </w:r>
      <w:r w:rsidR="00BE3CFA">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elektronicznym</w:t>
      </w:r>
      <w:r w:rsidRPr="00A535CD">
        <w:rPr>
          <w:rFonts w:ascii="Times New Roman" w:eastAsia="Times New Roman" w:hAnsi="Times New Roman" w:cs="Times New Roman"/>
          <w:bCs/>
          <w:sz w:val="24"/>
          <w:szCs w:val="24"/>
          <w:lang w:eastAsia="en-US"/>
        </w:rPr>
        <w:t xml:space="preserve"> </w:t>
      </w:r>
      <w:bookmarkStart w:id="1" w:name="highlightHit_7"/>
      <w:bookmarkEnd w:id="1"/>
      <w:r w:rsidRPr="00A535CD">
        <w:rPr>
          <w:rFonts w:ascii="Times New Roman" w:eastAsia="Times New Roman" w:hAnsi="Times New Roman" w:cs="Times New Roman"/>
          <w:bCs/>
          <w:sz w:val="24"/>
          <w:szCs w:val="24"/>
          <w:lang w:eastAsia="en-US"/>
        </w:rPr>
        <w:t>(Dz.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U. z 2019 r. poz. 1922, z późn. zm.),</w:t>
      </w:r>
    </w:p>
    <w:p w:rsidR="00BE3CFA" w:rsidRPr="00A535CD" w:rsidRDefault="003D2A9F" w:rsidP="00A535CD">
      <w:pPr>
        <w:pStyle w:val="Akapitzlist"/>
        <w:numPr>
          <w:ilvl w:val="0"/>
          <w:numId w:val="5"/>
        </w:numPr>
        <w:autoSpaceDE w:val="0"/>
        <w:autoSpaceDN w:val="0"/>
        <w:adjustRightInd w:val="0"/>
        <w:spacing w:before="120" w:after="0" w:line="360" w:lineRule="auto"/>
        <w:ind w:left="504" w:hanging="518"/>
        <w:contextualSpacing w:val="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kosmetyki – rozporządzenie Parlamentu Europejskiego i Rady (WE) nr 1223/2009 z dnia 30 listopada 2009 r. </w:t>
      </w:r>
      <w:r w:rsidRPr="00A535CD">
        <w:rPr>
          <w:rFonts w:ascii="Times New Roman" w:eastAsia="Times New Roman" w:hAnsi="Times New Roman" w:cs="Times New Roman"/>
          <w:bCs/>
          <w:i/>
          <w:iCs/>
          <w:sz w:val="24"/>
          <w:szCs w:val="24"/>
          <w:lang w:eastAsia="en-US"/>
        </w:rPr>
        <w:t>dotyczące produktów kosmetycznych</w:t>
      </w:r>
      <w:r w:rsidRPr="00A535CD">
        <w:rPr>
          <w:rFonts w:ascii="Times New Roman" w:eastAsia="Times New Roman" w:hAnsi="Times New Roman" w:cs="Times New Roman"/>
          <w:sz w:val="24"/>
          <w:szCs w:val="24"/>
          <w:lang w:eastAsia="pl-PL"/>
        </w:rPr>
        <w:t xml:space="preserve"> (Dz. Urz. UE </w:t>
      </w:r>
      <w:r w:rsidRPr="00A535CD">
        <w:rPr>
          <w:rFonts w:ascii="Times New Roman" w:hAnsi="Times New Roman" w:cs="Times New Roman"/>
          <w:sz w:val="24"/>
          <w:szCs w:val="24"/>
        </w:rPr>
        <w:t>L 342 z 22.12.2009, str. 59)</w:t>
      </w:r>
      <w:r w:rsidRPr="00A535CD">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5"/>
        </w:numPr>
        <w:autoSpaceDE w:val="0"/>
        <w:autoSpaceDN w:val="0"/>
        <w:adjustRightInd w:val="0"/>
        <w:spacing w:before="120" w:after="0" w:line="360" w:lineRule="auto"/>
        <w:ind w:left="504" w:hanging="518"/>
        <w:contextualSpacing w:val="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środki ochrony roślin, środki biobójcze – rozporządzenie Komisji (UE) 2018/73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dnia 16 stycznia 2018 r. </w:t>
      </w:r>
      <w:r w:rsidRPr="00A535CD">
        <w:rPr>
          <w:rFonts w:ascii="Times New Roman" w:eastAsia="Times New Roman" w:hAnsi="Times New Roman" w:cs="Times New Roman"/>
          <w:bCs/>
          <w:i/>
          <w:iCs/>
          <w:sz w:val="24"/>
          <w:szCs w:val="24"/>
          <w:lang w:eastAsia="en-US"/>
        </w:rPr>
        <w:t xml:space="preserve">zmieniające załączniki II i III do rozporządzenia (WE) nr 396/2005 Parlamentu Europejskiego i Rady w odniesieniu do najwyższych dopuszczalnych poziomów pozostałości związków rtęci w określonych produktach </w:t>
      </w:r>
      <w:r w:rsidRPr="00A535CD">
        <w:rPr>
          <w:rFonts w:ascii="Times New Roman" w:eastAsia="Times New Roman" w:hAnsi="Times New Roman" w:cs="Times New Roman"/>
          <w:bCs/>
          <w:i/>
          <w:iCs/>
          <w:sz w:val="24"/>
          <w:szCs w:val="24"/>
          <w:lang w:eastAsia="en-US"/>
        </w:rPr>
        <w:lastRenderedPageBreak/>
        <w:t xml:space="preserve">oraz na ich powierzchni </w:t>
      </w:r>
      <w:r w:rsidRPr="00A535CD">
        <w:rPr>
          <w:rFonts w:ascii="Times New Roman" w:eastAsia="Times New Roman" w:hAnsi="Times New Roman" w:cs="Times New Roman"/>
          <w:bCs/>
          <w:sz w:val="24"/>
          <w:szCs w:val="24"/>
          <w:lang w:eastAsia="en-US"/>
        </w:rPr>
        <w:t xml:space="preserve">(Dz. Urz. UE L 13 z 18.01.2018, str. 8), rozporządzenie Komisji (WE) nr 149/2008 z dnia 29 stycznia 2008 r. </w:t>
      </w:r>
      <w:r w:rsidRPr="00A535CD">
        <w:rPr>
          <w:rFonts w:ascii="Times New Roman" w:hAnsi="Times New Roman" w:cs="Times New Roman"/>
          <w:i/>
          <w:iCs/>
          <w:sz w:val="24"/>
          <w:szCs w:val="24"/>
        </w:rPr>
        <w:t xml:space="preserve">zmieniające rozporządzenie (WE) nr 396/2005 Parlamentu Europejskiego i Rady poprzez ustanowienie załączników II, III i IV ustalających najwyższe dopuszczalne poziomy pozostałości dla produktów wymienionych w załączniku I do wymienionego rozporządzenia </w:t>
      </w:r>
      <w:r w:rsidRPr="00A535CD">
        <w:rPr>
          <w:rFonts w:ascii="Times New Roman" w:eastAsia="Times New Roman" w:hAnsi="Times New Roman" w:cs="Times New Roman"/>
          <w:sz w:val="24"/>
          <w:szCs w:val="24"/>
          <w:lang w:eastAsia="pl-PL"/>
        </w:rPr>
        <w:t>(Dz</w:t>
      </w:r>
      <w:r w:rsidR="00BE3CFA" w:rsidRPr="00A535CD">
        <w:rPr>
          <w:rFonts w:ascii="Times New Roman" w:eastAsia="Times New Roman" w:hAnsi="Times New Roman" w:cs="Times New Roman"/>
          <w:sz w:val="24"/>
          <w:szCs w:val="24"/>
          <w:lang w:eastAsia="pl-PL"/>
        </w:rPr>
        <w:t>.</w:t>
      </w:r>
      <w:r w:rsidR="00BE3CFA">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 xml:space="preserve">Urz. UE </w:t>
      </w:r>
      <w:r w:rsidRPr="00A535CD">
        <w:rPr>
          <w:rFonts w:ascii="Times New Roman" w:hAnsi="Times New Roman" w:cs="Times New Roman"/>
          <w:sz w:val="24"/>
          <w:szCs w:val="24"/>
        </w:rPr>
        <w:t>L 58 z 01.03.2008, str. 1),</w:t>
      </w:r>
    </w:p>
    <w:p w:rsidR="00BE3CFA" w:rsidRPr="00A535CD" w:rsidRDefault="003D2A9F" w:rsidP="00A535CD">
      <w:pPr>
        <w:pStyle w:val="Akapitzlist"/>
        <w:numPr>
          <w:ilvl w:val="0"/>
          <w:numId w:val="5"/>
        </w:numPr>
        <w:autoSpaceDE w:val="0"/>
        <w:autoSpaceDN w:val="0"/>
        <w:adjustRightInd w:val="0"/>
        <w:spacing w:before="120" w:after="0" w:line="360" w:lineRule="auto"/>
        <w:ind w:left="504" w:hanging="518"/>
        <w:contextualSpacing w:val="0"/>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nieelektroniczne urządzenia pomiarowe – rozporządzenie (WE) nr 1907/2006 Parlamentu Europejskiego i Rady z dnia 18 grudnia 2006 r. </w:t>
      </w:r>
      <w:r w:rsidRPr="00A535CD">
        <w:rPr>
          <w:rFonts w:ascii="Times New Roman" w:eastAsia="Times New Roman" w:hAnsi="Times New Roman" w:cs="Times New Roman"/>
          <w:bCs/>
          <w:i/>
          <w:iCs/>
          <w:sz w:val="24"/>
          <w:szCs w:val="24"/>
          <w:lang w:eastAsia="en-US"/>
        </w:rPr>
        <w:t xml:space="preserve">w sprawie rejestracji, oceny, udzielania zezwoleń i stosowanych ograniczeń w zakresie chemikaliów </w:t>
      </w:r>
      <w:r w:rsidRPr="00A535CD">
        <w:rPr>
          <w:rFonts w:ascii="Times New Roman" w:hAnsi="Times New Roman" w:cs="Times New Roman"/>
          <w:i/>
          <w:iCs/>
          <w:sz w:val="24"/>
          <w:szCs w:val="24"/>
        </w:rPr>
        <w:t xml:space="preserve">(REACH) i utworzenia Europejskiej Agencji Chemikaliów, zmieniające dyrektywę 1999/45/WE oraz uchylające rozporządzenie Rady (EWG) nr 793/93 </w:t>
      </w:r>
      <w:r w:rsidR="00BE3CFA" w:rsidRPr="00A535CD">
        <w:rPr>
          <w:rFonts w:ascii="Times New Roman" w:hAnsi="Times New Roman" w:cs="Times New Roman"/>
          <w:i/>
          <w:iCs/>
          <w:sz w:val="24"/>
          <w:szCs w:val="24"/>
        </w:rPr>
        <w:t>i</w:t>
      </w:r>
      <w:r w:rsidR="00BE3CFA">
        <w:rPr>
          <w:rFonts w:ascii="Times New Roman" w:hAnsi="Times New Roman" w:cs="Times New Roman"/>
          <w:i/>
          <w:iCs/>
          <w:sz w:val="24"/>
          <w:szCs w:val="24"/>
        </w:rPr>
        <w:t> </w:t>
      </w:r>
      <w:r w:rsidRPr="00A535CD">
        <w:rPr>
          <w:rFonts w:ascii="Times New Roman" w:hAnsi="Times New Roman" w:cs="Times New Roman"/>
          <w:i/>
          <w:iCs/>
          <w:sz w:val="24"/>
          <w:szCs w:val="24"/>
        </w:rPr>
        <w:t xml:space="preserve">rozporządzenie Komisji (WE) nr 1488/94, jak również dyrektywę Rady 76/769/EWG i dyrektywy Komisji 91/155/EWG, 93/67/EWG, 93/105/WE </w:t>
      </w:r>
      <w:r w:rsidR="00BE3CFA" w:rsidRPr="00A535CD">
        <w:rPr>
          <w:rFonts w:ascii="Times New Roman" w:hAnsi="Times New Roman" w:cs="Times New Roman"/>
          <w:i/>
          <w:iCs/>
          <w:sz w:val="24"/>
          <w:szCs w:val="24"/>
        </w:rPr>
        <w:t>i</w:t>
      </w:r>
      <w:r w:rsidR="00BE3CFA">
        <w:rPr>
          <w:rFonts w:ascii="Times New Roman" w:hAnsi="Times New Roman" w:cs="Times New Roman"/>
          <w:i/>
          <w:iCs/>
          <w:sz w:val="24"/>
          <w:szCs w:val="24"/>
        </w:rPr>
        <w:t> </w:t>
      </w:r>
      <w:r w:rsidRPr="00A535CD">
        <w:rPr>
          <w:rFonts w:ascii="Times New Roman" w:hAnsi="Times New Roman" w:cs="Times New Roman"/>
          <w:i/>
          <w:iCs/>
          <w:sz w:val="24"/>
          <w:szCs w:val="24"/>
        </w:rPr>
        <w:t>2000/21/WE</w:t>
      </w:r>
      <w:r w:rsidRPr="00A535CD">
        <w:rPr>
          <w:rFonts w:ascii="Times New Roman" w:eastAsia="Times New Roman" w:hAnsi="Times New Roman" w:cs="Times New Roman"/>
          <w:sz w:val="24"/>
          <w:szCs w:val="24"/>
          <w:lang w:eastAsia="pl-PL"/>
        </w:rPr>
        <w:t xml:space="preserve"> (Dz. Urz. UE </w:t>
      </w:r>
      <w:r w:rsidRPr="00A535CD">
        <w:rPr>
          <w:rFonts w:ascii="Times New Roman" w:hAnsi="Times New Roman" w:cs="Times New Roman"/>
          <w:sz w:val="24"/>
          <w:szCs w:val="24"/>
        </w:rPr>
        <w:t xml:space="preserve">L 396 z 30.12.2006, str. 1), </w:t>
      </w:r>
      <w:r w:rsidRPr="00A535CD">
        <w:rPr>
          <w:rFonts w:ascii="Times New Roman" w:eastAsia="Times New Roman" w:hAnsi="Times New Roman" w:cs="Times New Roman"/>
          <w:bCs/>
          <w:sz w:val="24"/>
          <w:szCs w:val="24"/>
          <w:lang w:eastAsia="en-US"/>
        </w:rPr>
        <w:t xml:space="preserve">dyrektywa 2007/51/WE Parlamentu Europejskiego i Rady z dnia 25 września 2007 r. </w:t>
      </w:r>
      <w:r w:rsidRPr="00A535CD">
        <w:rPr>
          <w:rFonts w:ascii="Times New Roman" w:hAnsi="Times New Roman" w:cs="Times New Roman"/>
          <w:i/>
          <w:iCs/>
          <w:sz w:val="24"/>
          <w:szCs w:val="24"/>
        </w:rPr>
        <w:t>zmieniająca dyrektywę Rady 76/769/EWG w odniesieniu do ograniczeń w zakresie wprowadzania do obrotu niektórych urządzeń pomiarowych zawierających rtęć</w:t>
      </w:r>
      <w:r w:rsidRPr="00A535CD">
        <w:rPr>
          <w:rFonts w:ascii="Times New Roman" w:hAnsi="Times New Roman" w:cs="Times New Roman"/>
          <w:sz w:val="24"/>
          <w:szCs w:val="24"/>
        </w:rPr>
        <w:t xml:space="preserve"> (</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L 257 z 03.10.2007, str. 1</w:t>
      </w:r>
      <w:r w:rsidR="00B33121">
        <w:rPr>
          <w:rFonts w:ascii="Times New Roman" w:hAnsi="Times New Roman" w:cs="Times New Roman"/>
          <w:sz w:val="24"/>
          <w:szCs w:val="24"/>
        </w:rPr>
        <w:t>3</w:t>
      </w:r>
      <w:r w:rsidRPr="00A535CD">
        <w:rPr>
          <w:rFonts w:ascii="Times New Roman" w:hAnsi="Times New Roman" w:cs="Times New Roman"/>
          <w:sz w:val="24"/>
          <w:szCs w:val="24"/>
        </w:rPr>
        <w:t>).</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zawiera również przepisy dotyczące działań mających na celu wycofanie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użytku amalgamatu stomatologicznego. Przepisy Konwencji nie zakazują stosowania wypełnień amalgamatowych, natomiast zobowiązują do podjęcia przynajmniej dwóch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listy dziewięciu działań zmierzających do stopniowego wycofania amalgamatu. Działania te dotyczą: </w:t>
      </w:r>
    </w:p>
    <w:p w:rsidR="00BE3CFA" w:rsidRPr="00A535CD" w:rsidRDefault="003D2A9F" w:rsidP="00A535CD">
      <w:pPr>
        <w:pStyle w:val="Akapitzlist"/>
        <w:numPr>
          <w:ilvl w:val="0"/>
          <w:numId w:val="19"/>
        </w:numPr>
        <w:autoSpaceDE w:val="0"/>
        <w:autoSpaceDN w:val="0"/>
        <w:adjustRightInd w:val="0"/>
        <w:spacing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ustanowienia krajowych celów dotyczących zapobiegania próchnicy i promocji zdrowia, a przez to minimalizacja konieczności wypełniania ubytków</w:t>
      </w:r>
      <w:r w:rsidR="00883A03">
        <w:rPr>
          <w:rFonts w:ascii="Times New Roman" w:hAnsi="Times New Roman" w:cs="Times New Roman"/>
          <w:sz w:val="24"/>
          <w:szCs w:val="24"/>
        </w:rPr>
        <w:t>,</w:t>
      </w:r>
      <w:r w:rsidRPr="00A535CD">
        <w:rPr>
          <w:rFonts w:ascii="Times New Roman" w:hAnsi="Times New Roman" w:cs="Times New Roman"/>
          <w:sz w:val="24"/>
          <w:szCs w:val="24"/>
        </w:rPr>
        <w:t xml:space="preserve"> </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ustanowienia krajowych celów dotyczących minimalizacji wykorzystania amalgamatu</w:t>
      </w:r>
      <w:r w:rsidR="00883A03">
        <w:rPr>
          <w:rFonts w:ascii="Times New Roman" w:hAnsi="Times New Roman" w:cs="Times New Roman"/>
          <w:sz w:val="24"/>
          <w:szCs w:val="24"/>
        </w:rPr>
        <w:t>,</w:t>
      </w:r>
      <w:r w:rsidRPr="00A535CD">
        <w:rPr>
          <w:rFonts w:ascii="Times New Roman" w:hAnsi="Times New Roman" w:cs="Times New Roman"/>
          <w:sz w:val="24"/>
          <w:szCs w:val="24"/>
        </w:rPr>
        <w:t xml:space="preserve"> </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wsparcia wykorzystania opłacalnych i skutecznych klinicznie alternatywnych wypełnień stomatologicznych niezawierających rtęci</w:t>
      </w:r>
      <w:r w:rsidR="00883A03">
        <w:rPr>
          <w:rFonts w:ascii="Times New Roman" w:hAnsi="Times New Roman" w:cs="Times New Roman"/>
          <w:sz w:val="24"/>
          <w:szCs w:val="24"/>
        </w:rPr>
        <w:t>,</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wsparcia badań i rozwoju w zakresie wysokiej jakości materiałów do wypełnień stomatologicznych niezawierających rtęci</w:t>
      </w:r>
      <w:r w:rsidR="00883A03">
        <w:rPr>
          <w:rFonts w:ascii="Times New Roman" w:hAnsi="Times New Roman" w:cs="Times New Roman"/>
          <w:sz w:val="24"/>
          <w:szCs w:val="24"/>
        </w:rPr>
        <w:t>,</w:t>
      </w:r>
      <w:r w:rsidRPr="00A535CD">
        <w:rPr>
          <w:rFonts w:ascii="Times New Roman" w:hAnsi="Times New Roman" w:cs="Times New Roman"/>
          <w:sz w:val="24"/>
          <w:szCs w:val="24"/>
        </w:rPr>
        <w:t xml:space="preserve"> </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lastRenderedPageBreak/>
        <w:t>zachęcania reprezentatywnych organizacji zawodowych i szkół dentystycznych do edukowania i szkolenia stomatologów i studentów stomatologii w zakresie wykorzystywania alternatywnych, niezawierających rtęci materiałów do wypełnień i promowania najlepszych praktyk w zakresie zarządzania</w:t>
      </w:r>
      <w:r w:rsidR="00883A03">
        <w:rPr>
          <w:rFonts w:ascii="Times New Roman" w:hAnsi="Times New Roman" w:cs="Times New Roman"/>
          <w:sz w:val="24"/>
          <w:szCs w:val="24"/>
        </w:rPr>
        <w:t>,</w:t>
      </w:r>
      <w:r w:rsidRPr="00A535CD">
        <w:rPr>
          <w:rFonts w:ascii="Times New Roman" w:hAnsi="Times New Roman" w:cs="Times New Roman"/>
          <w:sz w:val="24"/>
          <w:szCs w:val="24"/>
        </w:rPr>
        <w:t xml:space="preserve"> </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 xml:space="preserve">zniechęcania do tworzenia takich polityk i programów ubezpieczeniowych, </w:t>
      </w:r>
      <w:r w:rsidR="00BE3CFA" w:rsidRPr="00A535CD">
        <w:rPr>
          <w:rFonts w:ascii="Times New Roman" w:hAnsi="Times New Roman" w:cs="Times New Roman"/>
          <w:sz w:val="24"/>
          <w:szCs w:val="24"/>
        </w:rPr>
        <w:t>w</w:t>
      </w:r>
      <w:r w:rsidR="00BE3CFA">
        <w:rPr>
          <w:rFonts w:ascii="Times New Roman" w:hAnsi="Times New Roman" w:cs="Times New Roman"/>
          <w:sz w:val="24"/>
          <w:szCs w:val="24"/>
        </w:rPr>
        <w:t> </w:t>
      </w:r>
      <w:r w:rsidRPr="00A535CD">
        <w:rPr>
          <w:rFonts w:ascii="Times New Roman" w:hAnsi="Times New Roman" w:cs="Times New Roman"/>
          <w:sz w:val="24"/>
          <w:szCs w:val="24"/>
        </w:rPr>
        <w:t>których wykorzystanie amalgamatu stomatologicznego jest preferowane względem stosowania wypełnień stomatologicznych niezawierających rtęci</w:t>
      </w:r>
      <w:r w:rsidR="00883A03">
        <w:rPr>
          <w:rFonts w:ascii="Times New Roman" w:hAnsi="Times New Roman" w:cs="Times New Roman"/>
          <w:sz w:val="24"/>
          <w:szCs w:val="24"/>
        </w:rPr>
        <w:t>,</w:t>
      </w:r>
      <w:r w:rsidRPr="00A535CD">
        <w:rPr>
          <w:rFonts w:ascii="Times New Roman" w:hAnsi="Times New Roman" w:cs="Times New Roman"/>
          <w:sz w:val="24"/>
          <w:szCs w:val="24"/>
        </w:rPr>
        <w:t xml:space="preserve"> </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 xml:space="preserve">zachęcanie do tworzenia takich polityk i programów ubezpieczeniowych, </w:t>
      </w:r>
      <w:r w:rsidR="00DB2925" w:rsidRPr="00A535CD">
        <w:rPr>
          <w:rFonts w:ascii="Times New Roman" w:hAnsi="Times New Roman" w:cs="Times New Roman"/>
          <w:sz w:val="24"/>
          <w:szCs w:val="24"/>
        </w:rPr>
        <w:t>w</w:t>
      </w:r>
      <w:r w:rsidR="00DB2925">
        <w:rPr>
          <w:rFonts w:ascii="Times New Roman" w:hAnsi="Times New Roman" w:cs="Times New Roman"/>
          <w:sz w:val="24"/>
          <w:szCs w:val="24"/>
        </w:rPr>
        <w:t> </w:t>
      </w:r>
      <w:r w:rsidRPr="00A535CD">
        <w:rPr>
          <w:rFonts w:ascii="Times New Roman" w:hAnsi="Times New Roman" w:cs="Times New Roman"/>
          <w:sz w:val="24"/>
          <w:szCs w:val="24"/>
        </w:rPr>
        <w:t>których preferowane jest wykorzystanie wysokiej jakości alternatyw dla amalgamatu stomatologicznego przy wypełnianiu ubytków</w:t>
      </w:r>
      <w:r w:rsidR="00883A03">
        <w:rPr>
          <w:rFonts w:ascii="Times New Roman" w:hAnsi="Times New Roman" w:cs="Times New Roman"/>
          <w:sz w:val="24"/>
          <w:szCs w:val="24"/>
        </w:rPr>
        <w:t>,</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ograniczenie stosowania amalgamatu stomatologicznego do jego formy kapsułkowanej</w:t>
      </w:r>
      <w:r w:rsidR="00883A03">
        <w:rPr>
          <w:rFonts w:ascii="Times New Roman" w:hAnsi="Times New Roman" w:cs="Times New Roman"/>
          <w:sz w:val="24"/>
          <w:szCs w:val="24"/>
        </w:rPr>
        <w:t>,</w:t>
      </w:r>
    </w:p>
    <w:p w:rsidR="00BE3CFA" w:rsidRPr="00A535CD" w:rsidRDefault="003D2A9F" w:rsidP="00A535CD">
      <w:pPr>
        <w:pStyle w:val="Akapitzlist"/>
        <w:numPr>
          <w:ilvl w:val="0"/>
          <w:numId w:val="19"/>
        </w:numPr>
        <w:autoSpaceDE w:val="0"/>
        <w:autoSpaceDN w:val="0"/>
        <w:adjustRightInd w:val="0"/>
        <w:spacing w:before="120" w:after="0" w:line="360" w:lineRule="auto"/>
        <w:ind w:left="476" w:hanging="448"/>
        <w:jc w:val="both"/>
        <w:rPr>
          <w:rFonts w:ascii="Times New Roman" w:eastAsia="Times New Roman" w:hAnsi="Times New Roman" w:cs="Times New Roman"/>
          <w:bCs/>
          <w:sz w:val="24"/>
          <w:szCs w:val="24"/>
          <w:lang w:eastAsia="en-US"/>
        </w:rPr>
      </w:pPr>
      <w:r w:rsidRPr="00A535CD">
        <w:rPr>
          <w:rFonts w:ascii="Times New Roman" w:hAnsi="Times New Roman" w:cs="Times New Roman"/>
          <w:sz w:val="24"/>
          <w:szCs w:val="24"/>
        </w:rPr>
        <w:t xml:space="preserve">promowanie stosowania najlepszych praktyk w zakresie ochrony środowiska </w:t>
      </w:r>
      <w:r w:rsidR="00BE3CFA" w:rsidRPr="00A535CD">
        <w:rPr>
          <w:rFonts w:ascii="Times New Roman" w:hAnsi="Times New Roman" w:cs="Times New Roman"/>
          <w:sz w:val="24"/>
          <w:szCs w:val="24"/>
        </w:rPr>
        <w:t>w</w:t>
      </w:r>
      <w:r w:rsidR="00BE3CFA">
        <w:rPr>
          <w:rFonts w:ascii="Times New Roman" w:hAnsi="Times New Roman" w:cs="Times New Roman"/>
          <w:sz w:val="24"/>
          <w:szCs w:val="24"/>
        </w:rPr>
        <w:t> </w:t>
      </w:r>
      <w:r w:rsidRPr="00A535CD">
        <w:rPr>
          <w:rFonts w:ascii="Times New Roman" w:hAnsi="Times New Roman" w:cs="Times New Roman"/>
          <w:sz w:val="24"/>
          <w:szCs w:val="24"/>
        </w:rPr>
        <w:t>ośrodkach stomatologicznych w celu zmniejszenia uwolnień rtęci i związków rtęci do wody i gruntu.</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Kwestie stosowania amalgamatu regulują przepisy </w:t>
      </w:r>
      <w:r w:rsidRPr="00A535CD">
        <w:rPr>
          <w:rFonts w:ascii="Times New Roman" w:eastAsia="Times New Roman" w:hAnsi="Times New Roman" w:cs="Times New Roman"/>
          <w:iCs/>
          <w:sz w:val="24"/>
          <w:szCs w:val="24"/>
          <w:lang w:eastAsia="pl-PL"/>
        </w:rPr>
        <w:t>rozporządzenia Parlamentu Europejskiego i Rady (UE) nr 2017/852 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sz w:val="24"/>
          <w:szCs w:val="24"/>
          <w:lang w:eastAsia="pl-PL"/>
        </w:rPr>
        <w:t xml:space="preserve">, </w:t>
      </w:r>
      <w:r w:rsidR="00DB2925" w:rsidRPr="00A535CD">
        <w:rPr>
          <w:rFonts w:ascii="Times New Roman" w:eastAsia="Times New Roman" w:hAnsi="Times New Roman" w:cs="Times New Roman"/>
          <w:sz w:val="24"/>
          <w:szCs w:val="24"/>
          <w:lang w:eastAsia="pl-PL"/>
        </w:rPr>
        <w:t>w</w:t>
      </w:r>
      <w:r w:rsidR="00DB2925">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 xml:space="preserve">którym wprowadzono od 2018 r. zakaz stosowania amalgamatu stomatologicznego </w:t>
      </w:r>
      <w:r w:rsidR="00DB2925" w:rsidRPr="00A535CD">
        <w:rPr>
          <w:rFonts w:ascii="Times New Roman" w:eastAsia="Times New Roman" w:hAnsi="Times New Roman" w:cs="Times New Roman"/>
          <w:sz w:val="24"/>
          <w:szCs w:val="24"/>
          <w:lang w:eastAsia="pl-PL"/>
        </w:rPr>
        <w:t>w</w:t>
      </w:r>
      <w:r w:rsidR="00DB2925">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 xml:space="preserve">leczeniu zębów mlecznych, w leczeniu stomatologicznym dzieci w wieku poniżej 15 lat oraz kobiet ciężarnych lub karmiących, chyba że jest to absolutnie niezbędne, a od 2019 r. wprowadzono możliwość stosowania amalgamatu stomatologicznego wyłącznie </w:t>
      </w:r>
      <w:r w:rsidR="00BE3CFA" w:rsidRPr="00A535CD">
        <w:rPr>
          <w:rFonts w:ascii="Times New Roman" w:eastAsia="Times New Roman" w:hAnsi="Times New Roman" w:cs="Times New Roman"/>
          <w:sz w:val="24"/>
          <w:szCs w:val="24"/>
          <w:lang w:eastAsia="pl-PL"/>
        </w:rPr>
        <w:t>w</w:t>
      </w:r>
      <w:r w:rsidR="00BE3CFA">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formie kapsułkowej.</w:t>
      </w:r>
      <w:bookmarkStart w:id="2" w:name="highlightHit_0"/>
      <w:bookmarkStart w:id="3" w:name="highlightHit_1"/>
      <w:bookmarkStart w:id="4" w:name="highlightHit_2"/>
      <w:bookmarkStart w:id="5" w:name="highlightHit_3"/>
      <w:bookmarkStart w:id="6" w:name="highlightHit_4"/>
      <w:bookmarkStart w:id="7" w:name="highlightHit_5"/>
      <w:bookmarkStart w:id="8" w:name="highlightHit_6"/>
      <w:bookmarkEnd w:id="2"/>
      <w:bookmarkEnd w:id="3"/>
      <w:bookmarkEnd w:id="4"/>
      <w:bookmarkEnd w:id="5"/>
      <w:bookmarkEnd w:id="6"/>
      <w:bookmarkEnd w:id="7"/>
      <w:bookmarkEnd w:id="8"/>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bCs/>
          <w:sz w:val="24"/>
          <w:szCs w:val="24"/>
          <w:lang w:eastAsia="en-US"/>
        </w:rPr>
        <w:t xml:space="preserve">Ograniczenie stosowania amalgamatu stomatologicznego do jego formy kapsułkowanej wprowadzono w rozporządzeniu Ministra Zdrowia z dnia 6 listopada 2013 r. </w:t>
      </w:r>
      <w:r w:rsidRPr="00A535CD">
        <w:rPr>
          <w:rFonts w:ascii="Times New Roman" w:eastAsia="Times New Roman" w:hAnsi="Times New Roman" w:cs="Times New Roman"/>
          <w:bCs/>
          <w:i/>
          <w:iCs/>
          <w:sz w:val="24"/>
          <w:szCs w:val="24"/>
          <w:lang w:eastAsia="en-US"/>
        </w:rPr>
        <w:t>w sprawie świadczeń gwarantowanych z zakresu leczenia stomatologicznego</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U. z 2019 r. poz. 1199, z późn. zm.).</w:t>
      </w:r>
    </w:p>
    <w:p w:rsidR="00BE3CFA" w:rsidRPr="00A535CD" w:rsidRDefault="003D2A9F" w:rsidP="00A535CD">
      <w:pPr>
        <w:pStyle w:val="Akapitzlist"/>
        <w:numPr>
          <w:ilvl w:val="0"/>
          <w:numId w:val="4"/>
        </w:numPr>
        <w:autoSpaceDE w:val="0"/>
        <w:autoSpaceDN w:val="0"/>
        <w:adjustRightInd w:val="0"/>
        <w:spacing w:before="120" w:after="0" w:line="360" w:lineRule="auto"/>
        <w:ind w:left="532" w:hanging="532"/>
        <w:contextualSpacing w:val="0"/>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Procesy produkcyjne, w których wykorzystuje się rtęć lub związki rtęci (art. 5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Zgodnie z Konwencją, od 2018 r., obowiązuje zakaz produkcji aldehydu octowego, </w:t>
      </w:r>
      <w:r w:rsidR="00BE3CFA" w:rsidRPr="00A535CD">
        <w:rPr>
          <w:rFonts w:ascii="Times New Roman" w:eastAsia="Times New Roman" w:hAnsi="Times New Roman" w:cs="Times New Roman"/>
          <w:bCs/>
          <w:sz w:val="24"/>
          <w:szCs w:val="24"/>
          <w:lang w:eastAsia="en-US"/>
        </w:rPr>
        <w:t>w</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której rtęć lub związki rtęci stosowane są jako katalizatory, natomiast od 2025 r. zakazana będzie produkcja chloro-alkaliczna.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iCs/>
          <w:sz w:val="24"/>
          <w:szCs w:val="24"/>
          <w:lang w:eastAsia="pl-PL"/>
        </w:rPr>
        <w:lastRenderedPageBreak/>
        <w:t xml:space="preserve">W zakresie produkcji aldehydu octowego rozporządzenie Parlamentu Europejskiego </w:t>
      </w:r>
      <w:r w:rsidR="00BE3CFA" w:rsidRPr="00A535CD">
        <w:rPr>
          <w:rFonts w:ascii="Times New Roman" w:eastAsia="Times New Roman" w:hAnsi="Times New Roman" w:cs="Times New Roman"/>
          <w:iCs/>
          <w:sz w:val="24"/>
          <w:szCs w:val="24"/>
          <w:lang w:eastAsia="pl-PL"/>
        </w:rPr>
        <w:t>i</w:t>
      </w:r>
      <w:r w:rsidR="00BE3CFA">
        <w:rPr>
          <w:rFonts w:ascii="Times New Roman" w:eastAsia="Times New Roman" w:hAnsi="Times New Roman" w:cs="Times New Roman"/>
          <w:iCs/>
          <w:sz w:val="24"/>
          <w:szCs w:val="24"/>
          <w:lang w:eastAsia="pl-PL"/>
        </w:rPr>
        <w:t> </w:t>
      </w:r>
      <w:r w:rsidRPr="00A535CD">
        <w:rPr>
          <w:rFonts w:ascii="Times New Roman" w:eastAsia="Times New Roman" w:hAnsi="Times New Roman" w:cs="Times New Roman"/>
          <w:iCs/>
          <w:sz w:val="24"/>
          <w:szCs w:val="24"/>
          <w:lang w:eastAsia="pl-PL"/>
        </w:rPr>
        <w:t>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bCs/>
          <w:sz w:val="24"/>
          <w:szCs w:val="24"/>
          <w:lang w:eastAsia="en-US"/>
        </w:rPr>
        <w:t xml:space="preserve"> wprowadziło </w:t>
      </w:r>
      <w:r w:rsidRPr="00A535CD">
        <w:rPr>
          <w:rFonts w:ascii="Times New Roman" w:hAnsi="Times New Roman" w:cs="Times New Roman"/>
          <w:sz w:val="24"/>
          <w:szCs w:val="24"/>
        </w:rPr>
        <w:t>zakaz stosowania rtęci lub związków rtęci od dnia 1 stycznia 2018 r. w procesach produkcyjnych, w których rtęć lub związki rtęci są stosowane jako katalizator.</w:t>
      </w:r>
      <w:r w:rsidRPr="00A535CD">
        <w:rPr>
          <w:rFonts w:ascii="Times New Roman" w:eastAsia="Times New Roman" w:hAnsi="Times New Roman" w:cs="Times New Roman"/>
          <w:bCs/>
          <w:sz w:val="24"/>
          <w:szCs w:val="24"/>
          <w:lang w:eastAsia="en-US"/>
        </w:rPr>
        <w:t xml:space="preserv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Decyzja wykonawcza Komisji 2013/732/UE z dnia </w:t>
      </w:r>
      <w:r w:rsidRPr="00A535CD">
        <w:rPr>
          <w:rFonts w:ascii="Times New Roman" w:hAnsi="Times New Roman" w:cs="Times New Roman"/>
          <w:sz w:val="24"/>
          <w:szCs w:val="24"/>
        </w:rPr>
        <w:t xml:space="preserve">9 grudnia 2013 r. </w:t>
      </w:r>
      <w:r w:rsidRPr="00A535CD">
        <w:rPr>
          <w:rFonts w:ascii="Times New Roman" w:hAnsi="Times New Roman" w:cs="Times New Roman"/>
          <w:i/>
          <w:sz w:val="24"/>
          <w:szCs w:val="24"/>
        </w:rPr>
        <w:t xml:space="preserve">ustanawiająca konkluzje dotyczące najlepszych dostępnych technik (BAT) zgodnie z dyrektywą Parlamentu Europejskiego i Rady 2010/75/UE w sprawie emisji przemysłowych, </w:t>
      </w:r>
      <w:r w:rsidR="00BE3CFA" w:rsidRPr="00A535CD">
        <w:rPr>
          <w:rFonts w:ascii="Times New Roman" w:hAnsi="Times New Roman" w:cs="Times New Roman"/>
          <w:i/>
          <w:sz w:val="24"/>
          <w:szCs w:val="24"/>
        </w:rPr>
        <w:t>w</w:t>
      </w:r>
      <w:r w:rsidR="00BE3CFA">
        <w:rPr>
          <w:rFonts w:ascii="Times New Roman" w:hAnsi="Times New Roman" w:cs="Times New Roman"/>
          <w:i/>
          <w:sz w:val="24"/>
          <w:szCs w:val="24"/>
        </w:rPr>
        <w:t> </w:t>
      </w:r>
      <w:r w:rsidRPr="00A535CD">
        <w:rPr>
          <w:rFonts w:ascii="Times New Roman" w:hAnsi="Times New Roman" w:cs="Times New Roman"/>
          <w:i/>
          <w:sz w:val="24"/>
          <w:szCs w:val="24"/>
        </w:rPr>
        <w:t>odniesieniu do produkcji chloro-alkalicznej</w:t>
      </w:r>
      <w:r w:rsidRPr="00A535CD">
        <w:rPr>
          <w:rFonts w:ascii="Times New Roman" w:eastAsia="Times New Roman" w:hAnsi="Times New Roman" w:cs="Times New Roman"/>
          <w:sz w:val="24"/>
          <w:szCs w:val="24"/>
          <w:lang w:eastAsia="pl-PL"/>
        </w:rPr>
        <w:t xml:space="preserve"> (Dz. Urz. UE </w:t>
      </w:r>
      <w:r w:rsidRPr="00A535CD">
        <w:rPr>
          <w:rFonts w:ascii="Times New Roman" w:hAnsi="Times New Roman" w:cs="Times New Roman"/>
          <w:sz w:val="24"/>
          <w:szCs w:val="24"/>
        </w:rPr>
        <w:t xml:space="preserve">L 332 z 11.12.2013, str. 34) wprowadziła obowiązek wycofania z eksploatacji ogniw rtęciowych w przemyśle </w:t>
      </w:r>
      <w:r w:rsidRPr="00A535CD">
        <w:rPr>
          <w:rFonts w:ascii="Times New Roman" w:eastAsia="Times New Roman" w:hAnsi="Times New Roman" w:cs="Times New Roman"/>
          <w:bCs/>
          <w:sz w:val="24"/>
          <w:szCs w:val="24"/>
          <w:lang w:eastAsia="en-US"/>
        </w:rPr>
        <w:t>chloro</w:t>
      </w:r>
      <w:r w:rsidR="00BE3CFA">
        <w:rPr>
          <w:rFonts w:ascii="Times New Roman" w:eastAsia="Times New Roman" w:hAnsi="Times New Roman" w:cs="Times New Roman"/>
          <w:bCs/>
          <w:sz w:val="24"/>
          <w:szCs w:val="24"/>
          <w:lang w:eastAsia="en-US"/>
        </w:rPr>
        <w:noBreakHyphen/>
      </w:r>
      <w:r w:rsidRPr="00A535CD">
        <w:rPr>
          <w:rFonts w:ascii="Times New Roman" w:eastAsia="Times New Roman" w:hAnsi="Times New Roman" w:cs="Times New Roman"/>
          <w:bCs/>
          <w:sz w:val="24"/>
          <w:szCs w:val="24"/>
          <w:lang w:eastAsia="en-US"/>
        </w:rPr>
        <w:t>alkalicznym</w:t>
      </w:r>
      <w:r w:rsidRPr="00A535CD">
        <w:rPr>
          <w:rFonts w:ascii="Times New Roman" w:hAnsi="Times New Roman" w:cs="Times New Roman"/>
          <w:sz w:val="24"/>
          <w:szCs w:val="24"/>
        </w:rPr>
        <w:t xml:space="preserve">. Natomiast </w:t>
      </w:r>
      <w:r w:rsidRPr="00A535CD">
        <w:rPr>
          <w:rFonts w:ascii="Times New Roman" w:eastAsia="Times New Roman" w:hAnsi="Times New Roman" w:cs="Times New Roman"/>
          <w:iCs/>
          <w:sz w:val="24"/>
          <w:szCs w:val="24"/>
          <w:lang w:eastAsia="pl-PL"/>
        </w:rPr>
        <w:t>rozporządzenie 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 xml:space="preserve">w sprawie rtęci </w:t>
      </w:r>
      <w:r w:rsidRPr="00A535CD">
        <w:rPr>
          <w:rFonts w:ascii="Times New Roman" w:eastAsia="Times New Roman" w:hAnsi="Times New Roman" w:cs="Times New Roman"/>
          <w:sz w:val="24"/>
          <w:szCs w:val="24"/>
          <w:lang w:eastAsia="pl-PL"/>
        </w:rPr>
        <w:t xml:space="preserve">wprowadziło od 11 grudnia 2017 r. zakaz stosowania rtęci lub związków rtęci w produkcji </w:t>
      </w:r>
      <w:r w:rsidRPr="00A535CD">
        <w:rPr>
          <w:rFonts w:ascii="Times New Roman" w:eastAsia="Times New Roman" w:hAnsi="Times New Roman" w:cs="Times New Roman"/>
          <w:bCs/>
          <w:sz w:val="24"/>
          <w:szCs w:val="24"/>
          <w:lang w:eastAsia="en-US"/>
        </w:rPr>
        <w:t>chloro-alkalicznej.</w:t>
      </w:r>
      <w:r w:rsidRPr="00A535CD">
        <w:rPr>
          <w:rFonts w:ascii="Times New Roman" w:eastAsia="Times New Roman" w:hAnsi="Times New Roman" w:cs="Times New Roman"/>
          <w:sz w:val="24"/>
          <w:szCs w:val="24"/>
          <w:lang w:eastAsia="pl-PL"/>
        </w:rPr>
        <w:t xml:space="preserve"> </w:t>
      </w:r>
    </w:p>
    <w:p w:rsidR="00BE3CFA" w:rsidRPr="00A535CD" w:rsidRDefault="003D2A9F" w:rsidP="00A53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 xml:space="preserve">Konwencja wprowadza obowiązek podejmowania działań mających na celu zapobieganie emisjom i uwolnieniom rtęci lub związków rtęci z obiektów, w których wykorzystuje się rtęć lub związki rtęci. Emisje rtęci ze źródeł przemysłowych są regulowane na mocy dyrektywy </w:t>
      </w:r>
      <w:r w:rsidRPr="00A535CD">
        <w:rPr>
          <w:rFonts w:ascii="Times New Roman" w:eastAsia="Times New Roman" w:hAnsi="Times New Roman" w:cs="Times New Roman"/>
          <w:bCs/>
          <w:sz w:val="24"/>
          <w:szCs w:val="24"/>
          <w:lang w:eastAsia="en-US"/>
        </w:rPr>
        <w:t>Parlamentu Europejskiego i Rady 2010/75/UE z dnia 24 listopada 2010 r</w:t>
      </w:r>
      <w:r w:rsidRPr="00A535CD">
        <w:rPr>
          <w:rFonts w:ascii="Times New Roman" w:eastAsia="Times New Roman" w:hAnsi="Times New Roman" w:cs="Times New Roman"/>
          <w:bCs/>
          <w:i/>
          <w:sz w:val="24"/>
          <w:szCs w:val="24"/>
          <w:lang w:eastAsia="en-US"/>
        </w:rPr>
        <w:t>. w sprawie emisji przemysłowych</w:t>
      </w:r>
      <w:r w:rsidRPr="00A535CD">
        <w:rPr>
          <w:rFonts w:ascii="Times New Roman" w:hAnsi="Times New Roman" w:cs="Times New Roman"/>
          <w:i/>
          <w:sz w:val="24"/>
          <w:szCs w:val="24"/>
        </w:rPr>
        <w:t xml:space="preserve"> (zintegrowane zapobieganie zanieczyszczeniom i ich kontrola)</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L 334 z 17.12.2010, str. 17)</w:t>
      </w:r>
      <w:r w:rsidRPr="00A535CD">
        <w:rPr>
          <w:rFonts w:ascii="Times New Roman" w:eastAsia="Times New Roman" w:hAnsi="Times New Roman" w:cs="Times New Roman"/>
          <w:bCs/>
          <w:sz w:val="24"/>
          <w:szCs w:val="24"/>
          <w:lang w:eastAsia="en-US"/>
        </w:rPr>
        <w:t xml:space="preserve"> (dalej: dyrektywa Parlamentu Europejskiego i Rady 2010/75/UE z dnia 24 listopada 2010 r</w:t>
      </w:r>
      <w:r w:rsidRPr="00A535CD">
        <w:rPr>
          <w:rFonts w:ascii="Times New Roman" w:eastAsia="Times New Roman" w:hAnsi="Times New Roman" w:cs="Times New Roman"/>
          <w:bCs/>
          <w:i/>
          <w:sz w:val="24"/>
          <w:szCs w:val="24"/>
          <w:lang w:eastAsia="en-US"/>
        </w:rPr>
        <w:t xml:space="preserve">. </w:t>
      </w:r>
      <w:r w:rsidR="00BE3CFA" w:rsidRPr="00A535CD">
        <w:rPr>
          <w:rFonts w:ascii="Times New Roman" w:eastAsia="Times New Roman" w:hAnsi="Times New Roman" w:cs="Times New Roman"/>
          <w:bCs/>
          <w:i/>
          <w:sz w:val="24"/>
          <w:szCs w:val="24"/>
          <w:lang w:eastAsia="en-US"/>
        </w:rPr>
        <w:t>w</w:t>
      </w:r>
      <w:r w:rsidR="00BE3CFA">
        <w:rPr>
          <w:rFonts w:ascii="Times New Roman" w:eastAsia="Times New Roman" w:hAnsi="Times New Roman" w:cs="Times New Roman"/>
          <w:bCs/>
          <w:i/>
          <w:sz w:val="24"/>
          <w:szCs w:val="24"/>
          <w:lang w:eastAsia="en-US"/>
        </w:rPr>
        <w:t> </w:t>
      </w:r>
      <w:r w:rsidRPr="00A535CD">
        <w:rPr>
          <w:rFonts w:ascii="Times New Roman" w:eastAsia="Times New Roman" w:hAnsi="Times New Roman" w:cs="Times New Roman"/>
          <w:bCs/>
          <w:i/>
          <w:sz w:val="24"/>
          <w:szCs w:val="24"/>
          <w:lang w:eastAsia="en-US"/>
        </w:rPr>
        <w:t>sprawie emisji przemysłowych</w:t>
      </w:r>
      <w:r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sz w:val="24"/>
          <w:szCs w:val="24"/>
          <w:lang w:eastAsia="pl-PL"/>
        </w:rPr>
        <w:t>.</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W Polsce do przedmiotowych zagadnień odnoszą się następujące akty prawne: ustawa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dnia 27 kwietnia 2001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iCs/>
          <w:sz w:val="24"/>
          <w:szCs w:val="24"/>
          <w:lang w:eastAsia="en-US"/>
        </w:rPr>
        <w:t>Prawo ochrony środowiska</w:t>
      </w:r>
      <w:r w:rsidRPr="00A535CD">
        <w:rPr>
          <w:rFonts w:ascii="Times New Roman" w:eastAsia="Times New Roman" w:hAnsi="Times New Roman" w:cs="Times New Roman"/>
          <w:bCs/>
          <w:sz w:val="24"/>
          <w:szCs w:val="24"/>
          <w:lang w:eastAsia="en-US"/>
        </w:rPr>
        <w:t xml:space="preserve"> (Dz. U. z 2020 r. poz. 1219,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późn. zm.) (dalej: ustawa z dnia 27 kwietnia 2001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sz w:val="24"/>
          <w:szCs w:val="24"/>
          <w:lang w:eastAsia="en-US"/>
        </w:rPr>
        <w:t>Prawo ochrony środowiska</w:t>
      </w:r>
      <w:r w:rsidRPr="00A535CD">
        <w:rPr>
          <w:rFonts w:ascii="Times New Roman" w:eastAsia="Times New Roman" w:hAnsi="Times New Roman" w:cs="Times New Roman"/>
          <w:bCs/>
          <w:sz w:val="24"/>
          <w:szCs w:val="24"/>
          <w:lang w:eastAsia="en-US"/>
        </w:rPr>
        <w:t xml:space="preserve">), rozporządzenie Ministra Środowiska z dnia 27 sierpnia 2014 r. </w:t>
      </w:r>
      <w:r w:rsidRPr="00A535CD">
        <w:rPr>
          <w:rFonts w:ascii="Times New Roman" w:eastAsia="Times New Roman" w:hAnsi="Times New Roman" w:cs="Times New Roman"/>
          <w:bCs/>
          <w:i/>
          <w:sz w:val="24"/>
          <w:szCs w:val="24"/>
          <w:lang w:eastAsia="en-US"/>
        </w:rPr>
        <w:t>w sprawie rodzajów instalacji mogących powodować znaczne zanieczyszczenie poszczególnych elementów przyrodniczych albo środowiska jako całości</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 xml:space="preserve">U. poz. 1169) (dalej: rozporządzenie Ministra Środowiska z dnia 27 sierpnia 2014 r. </w:t>
      </w:r>
      <w:r w:rsidRPr="00A535CD">
        <w:rPr>
          <w:rFonts w:ascii="Times New Roman" w:eastAsia="Times New Roman" w:hAnsi="Times New Roman" w:cs="Times New Roman"/>
          <w:bCs/>
          <w:i/>
          <w:sz w:val="24"/>
          <w:szCs w:val="24"/>
          <w:lang w:eastAsia="en-US"/>
        </w:rPr>
        <w:t>w sprawie rodzajów instalacji mogących powodować znaczne zanieczyszczenie poszczególnych elementów przyrodniczych albo środowiska jako całości</w:t>
      </w:r>
      <w:r w:rsidRPr="00A535CD">
        <w:rPr>
          <w:rFonts w:ascii="Times New Roman" w:eastAsia="Times New Roman" w:hAnsi="Times New Roman" w:cs="Times New Roman"/>
          <w:bCs/>
          <w:sz w:val="24"/>
          <w:szCs w:val="24"/>
          <w:lang w:eastAsia="en-US"/>
        </w:rPr>
        <w:t xml:space="preserve">), rozporządzenie Ministra Środowiska z dnia 1 marca 2018 r. </w:t>
      </w:r>
      <w:r w:rsidR="00BE3CFA" w:rsidRPr="00A535CD">
        <w:rPr>
          <w:rFonts w:ascii="Times New Roman" w:eastAsia="Times New Roman" w:hAnsi="Times New Roman" w:cs="Times New Roman"/>
          <w:bCs/>
          <w:i/>
          <w:kern w:val="36"/>
          <w:sz w:val="24"/>
          <w:szCs w:val="24"/>
          <w:lang w:eastAsia="pl-PL"/>
        </w:rPr>
        <w:t>w</w:t>
      </w:r>
      <w:r w:rsidR="00BE3CFA">
        <w:rPr>
          <w:rFonts w:ascii="Times New Roman" w:eastAsia="Times New Roman" w:hAnsi="Times New Roman" w:cs="Times New Roman"/>
          <w:bCs/>
          <w:i/>
          <w:kern w:val="36"/>
          <w:sz w:val="24"/>
          <w:szCs w:val="24"/>
          <w:lang w:eastAsia="pl-PL"/>
        </w:rPr>
        <w:t> </w:t>
      </w:r>
      <w:r w:rsidRPr="00A535CD">
        <w:rPr>
          <w:rFonts w:ascii="Times New Roman" w:eastAsia="Times New Roman" w:hAnsi="Times New Roman" w:cs="Times New Roman"/>
          <w:bCs/>
          <w:i/>
          <w:kern w:val="36"/>
          <w:sz w:val="24"/>
          <w:szCs w:val="24"/>
          <w:lang w:eastAsia="pl-PL"/>
        </w:rPr>
        <w:t>sprawie standardów emisyjnych dla niektórych rodzajów instalacji, źródeł spalania paliw oraz urządzeń spalania lub współspalania odpadów</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 xml:space="preserve">U. z 2019 r. poz. 1806) (dalej: rozporządzenie Ministra Środowiska z dnia 1 marca 2018 r. </w:t>
      </w:r>
      <w:r w:rsidRPr="00A535CD">
        <w:rPr>
          <w:rFonts w:ascii="Times New Roman" w:eastAsia="Times New Roman" w:hAnsi="Times New Roman" w:cs="Times New Roman"/>
          <w:bCs/>
          <w:i/>
          <w:kern w:val="36"/>
          <w:sz w:val="24"/>
          <w:szCs w:val="24"/>
          <w:lang w:eastAsia="pl-PL"/>
        </w:rPr>
        <w:t xml:space="preserve">w sprawie </w:t>
      </w:r>
      <w:r w:rsidRPr="00A535CD">
        <w:rPr>
          <w:rFonts w:ascii="Times New Roman" w:eastAsia="Times New Roman" w:hAnsi="Times New Roman" w:cs="Times New Roman"/>
          <w:bCs/>
          <w:i/>
          <w:kern w:val="36"/>
          <w:sz w:val="24"/>
          <w:szCs w:val="24"/>
          <w:lang w:eastAsia="pl-PL"/>
        </w:rPr>
        <w:lastRenderedPageBreak/>
        <w:t>standardów emisyjnych dla niektórych rodzajów instalacji, źródeł spalania paliw oraz urządzeń spalania lub współspalania odpadów</w:t>
      </w:r>
      <w:r w:rsidRPr="00A535CD">
        <w:rPr>
          <w:rFonts w:ascii="Times New Roman" w:eastAsia="Times New Roman" w:hAnsi="Times New Roman" w:cs="Times New Roman"/>
          <w:bCs/>
          <w:iCs/>
          <w:kern w:val="36"/>
          <w:sz w:val="24"/>
          <w:szCs w:val="24"/>
          <w:lang w:eastAsia="pl-PL"/>
        </w:rPr>
        <w:t>)</w:t>
      </w:r>
      <w:r w:rsidRPr="00A535CD">
        <w:rPr>
          <w:rFonts w:ascii="Times New Roman" w:eastAsia="Times New Roman" w:hAnsi="Times New Roman" w:cs="Times New Roman"/>
          <w:bCs/>
          <w:sz w:val="24"/>
          <w:szCs w:val="24"/>
          <w:lang w:eastAsia="en-US"/>
        </w:rPr>
        <w:t xml:space="preserve">, rozporządzenie Ministra Środowiska </w:t>
      </w:r>
      <w:r w:rsidR="00DB2925" w:rsidRPr="00A535CD">
        <w:rPr>
          <w:rFonts w:ascii="Times New Roman" w:eastAsia="Times New Roman" w:hAnsi="Times New Roman" w:cs="Times New Roman"/>
          <w:bCs/>
          <w:sz w:val="24"/>
          <w:szCs w:val="24"/>
          <w:lang w:eastAsia="en-US"/>
        </w:rPr>
        <w:t>z</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dnia </w:t>
      </w:r>
      <w:r w:rsidR="00BE3CFA" w:rsidRPr="00A535CD">
        <w:rPr>
          <w:rFonts w:ascii="Times New Roman" w:eastAsia="Times New Roman" w:hAnsi="Times New Roman" w:cs="Times New Roman"/>
          <w:bCs/>
          <w:sz w:val="24"/>
          <w:szCs w:val="24"/>
          <w:lang w:eastAsia="en-US"/>
        </w:rPr>
        <w:t>30</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października 2014 r. </w:t>
      </w:r>
      <w:r w:rsidRPr="00A535CD">
        <w:rPr>
          <w:rFonts w:ascii="Times New Roman" w:eastAsia="Times New Roman" w:hAnsi="Times New Roman" w:cs="Times New Roman"/>
          <w:bCs/>
          <w:i/>
          <w:sz w:val="24"/>
          <w:szCs w:val="24"/>
          <w:lang w:eastAsia="en-US"/>
        </w:rPr>
        <w:t>w sprawie wymagań w zakresie prowadzenia pomiarów wielkości emisji oraz pomiarów ilości pobieranej wody</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 xml:space="preserve">U. z 2019 r. poz. 2286, </w:t>
      </w:r>
      <w:r w:rsidR="00DB2925" w:rsidRPr="00A535CD">
        <w:rPr>
          <w:rFonts w:ascii="Times New Roman" w:eastAsia="Times New Roman" w:hAnsi="Times New Roman" w:cs="Times New Roman"/>
          <w:bCs/>
          <w:sz w:val="24"/>
          <w:szCs w:val="24"/>
          <w:lang w:eastAsia="en-US"/>
        </w:rPr>
        <w:t>z</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późn. zm.) (dalej: rozporządzenie Ministra Środowiska z dnia 30 października 2014 r. </w:t>
      </w:r>
      <w:r w:rsidRPr="00A535CD">
        <w:rPr>
          <w:rFonts w:ascii="Times New Roman" w:eastAsia="Times New Roman" w:hAnsi="Times New Roman" w:cs="Times New Roman"/>
          <w:bCs/>
          <w:i/>
          <w:sz w:val="24"/>
          <w:szCs w:val="24"/>
          <w:lang w:eastAsia="en-US"/>
        </w:rPr>
        <w:t>w sprawie wymagań w zakresie prowadzenia pomiarów wielkości emisji oraz pomiarów ilości pobieranej wody</w:t>
      </w:r>
      <w:r w:rsidRPr="00A535CD">
        <w:rPr>
          <w:rFonts w:ascii="Times New Roman" w:eastAsia="Times New Roman" w:hAnsi="Times New Roman" w:cs="Times New Roman"/>
          <w:bCs/>
          <w:iCs/>
          <w:sz w:val="24"/>
          <w:szCs w:val="24"/>
          <w:lang w:eastAsia="en-US"/>
        </w:rPr>
        <w:t xml:space="preserve">), </w:t>
      </w:r>
      <w:r w:rsidRPr="00A535CD">
        <w:rPr>
          <w:rFonts w:ascii="Times New Roman" w:hAnsi="Times New Roman" w:cs="Times New Roman"/>
          <w:sz w:val="24"/>
          <w:szCs w:val="24"/>
        </w:rPr>
        <w:t xml:space="preserve">rozporządzenie Ministra Klimatu i Środowiska z dnia 11 grudnia </w:t>
      </w:r>
      <w:r w:rsidR="00BE3CFA" w:rsidRPr="00A535CD">
        <w:rPr>
          <w:rFonts w:ascii="Times New Roman" w:hAnsi="Times New Roman" w:cs="Times New Roman"/>
          <w:sz w:val="24"/>
          <w:szCs w:val="24"/>
        </w:rPr>
        <w:t>2020</w:t>
      </w:r>
      <w:r w:rsidR="00BE3CFA">
        <w:rPr>
          <w:rFonts w:ascii="Times New Roman" w:hAnsi="Times New Roman" w:cs="Times New Roman"/>
          <w:sz w:val="24"/>
          <w:szCs w:val="24"/>
        </w:rPr>
        <w:t> </w:t>
      </w:r>
      <w:r w:rsidRPr="00A535CD">
        <w:rPr>
          <w:rFonts w:ascii="Times New Roman" w:hAnsi="Times New Roman" w:cs="Times New Roman"/>
          <w:sz w:val="24"/>
          <w:szCs w:val="24"/>
        </w:rPr>
        <w:t xml:space="preserve">r. </w:t>
      </w:r>
      <w:r w:rsidRPr="00A535CD">
        <w:rPr>
          <w:rFonts w:ascii="Times New Roman" w:hAnsi="Times New Roman" w:cs="Times New Roman"/>
          <w:i/>
          <w:sz w:val="24"/>
          <w:szCs w:val="24"/>
        </w:rPr>
        <w:t>w sprawie dokonywania oceny poziomów substancji w powietrzu</w:t>
      </w:r>
      <w:r w:rsidRPr="00A535CD">
        <w:rPr>
          <w:rFonts w:ascii="Times New Roman" w:hAnsi="Times New Roman" w:cs="Times New Roman"/>
          <w:sz w:val="24"/>
          <w:szCs w:val="24"/>
        </w:rPr>
        <w:t xml:space="preserve"> (Dz</w:t>
      </w:r>
      <w:r w:rsidR="00DB2925" w:rsidRPr="00A535CD">
        <w:rPr>
          <w:rFonts w:ascii="Times New Roman" w:hAnsi="Times New Roman" w:cs="Times New Roman"/>
          <w:sz w:val="24"/>
          <w:szCs w:val="24"/>
        </w:rPr>
        <w:t>.</w:t>
      </w:r>
      <w:r w:rsidR="00DB2925">
        <w:rPr>
          <w:rFonts w:ascii="Times New Roman" w:hAnsi="Times New Roman" w:cs="Times New Roman"/>
          <w:sz w:val="24"/>
          <w:szCs w:val="24"/>
        </w:rPr>
        <w:t> </w:t>
      </w:r>
      <w:r w:rsidRPr="00A535CD">
        <w:rPr>
          <w:rFonts w:ascii="Times New Roman" w:hAnsi="Times New Roman" w:cs="Times New Roman"/>
          <w:sz w:val="24"/>
          <w:szCs w:val="24"/>
        </w:rPr>
        <w:t xml:space="preserve">U. poz. 2279) </w:t>
      </w:r>
      <w:r w:rsidRPr="00A535CD">
        <w:rPr>
          <w:rFonts w:ascii="Times New Roman" w:eastAsia="Times New Roman" w:hAnsi="Times New Roman" w:cs="Times New Roman"/>
          <w:bCs/>
          <w:sz w:val="24"/>
          <w:szCs w:val="24"/>
          <w:lang w:eastAsia="en-US"/>
        </w:rPr>
        <w:t xml:space="preserve">(dalej: </w:t>
      </w:r>
      <w:r w:rsidRPr="00A535CD">
        <w:rPr>
          <w:rFonts w:ascii="Times New Roman" w:hAnsi="Times New Roman" w:cs="Times New Roman"/>
          <w:sz w:val="24"/>
          <w:szCs w:val="24"/>
        </w:rPr>
        <w:t xml:space="preserve">rozporządzenie Ministra Środowiska z dnia 11 grudnia </w:t>
      </w:r>
      <w:r w:rsidR="00DB2925" w:rsidRPr="00A535CD">
        <w:rPr>
          <w:rFonts w:ascii="Times New Roman" w:hAnsi="Times New Roman" w:cs="Times New Roman"/>
          <w:sz w:val="24"/>
          <w:szCs w:val="24"/>
        </w:rPr>
        <w:t>2020</w:t>
      </w:r>
      <w:r w:rsidR="00DB2925">
        <w:rPr>
          <w:rFonts w:ascii="Times New Roman" w:hAnsi="Times New Roman" w:cs="Times New Roman"/>
          <w:sz w:val="24"/>
          <w:szCs w:val="24"/>
        </w:rPr>
        <w:t> </w:t>
      </w:r>
      <w:r w:rsidRPr="00A535CD">
        <w:rPr>
          <w:rFonts w:ascii="Times New Roman" w:hAnsi="Times New Roman" w:cs="Times New Roman"/>
          <w:sz w:val="24"/>
          <w:szCs w:val="24"/>
        </w:rPr>
        <w:t xml:space="preserve">r. </w:t>
      </w:r>
      <w:r w:rsidRPr="00A535CD">
        <w:rPr>
          <w:rFonts w:ascii="Times New Roman" w:hAnsi="Times New Roman" w:cs="Times New Roman"/>
          <w:i/>
          <w:sz w:val="24"/>
          <w:szCs w:val="24"/>
        </w:rPr>
        <w:t>w sprawie dokonywania oceny poziomów substancji w powietrzu</w:t>
      </w:r>
      <w:r w:rsidRPr="00A535CD">
        <w:rPr>
          <w:rFonts w:ascii="Times New Roman" w:hAnsi="Times New Roman" w:cs="Times New Roman"/>
          <w:sz w:val="24"/>
          <w:szCs w:val="24"/>
        </w:rPr>
        <w:t>)</w:t>
      </w:r>
      <w:r w:rsidRPr="00A535CD">
        <w:rPr>
          <w:rFonts w:ascii="Times New Roman" w:eastAsia="Times New Roman" w:hAnsi="Times New Roman" w:cs="Times New Roman"/>
          <w:bCs/>
          <w:sz w:val="24"/>
          <w:szCs w:val="24"/>
          <w:lang w:eastAsia="en-US"/>
        </w:rPr>
        <w:t>.</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Konwencja ponadto zobowiązuje do ograniczenia wykorzystywania rtęci lub związków rtęci w następujących procesach:</w:t>
      </w:r>
    </w:p>
    <w:p w:rsidR="00BE3CFA" w:rsidRPr="00A535CD" w:rsidRDefault="003D2A9F" w:rsidP="00A535CD">
      <w:pPr>
        <w:pStyle w:val="Akapitzlist"/>
        <w:numPr>
          <w:ilvl w:val="0"/>
          <w:numId w:val="21"/>
        </w:numPr>
        <w:autoSpaceDE w:val="0"/>
        <w:autoSpaceDN w:val="0"/>
        <w:adjustRightInd w:val="0"/>
        <w:spacing w:after="0" w:line="360" w:lineRule="auto"/>
        <w:ind w:left="532" w:hanging="53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produkcji monomeru chlorku winylu</w:t>
      </w:r>
      <w:r w:rsidR="00883A03">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1"/>
        </w:numPr>
        <w:autoSpaceDE w:val="0"/>
        <w:autoSpaceDN w:val="0"/>
        <w:adjustRightInd w:val="0"/>
        <w:spacing w:before="120" w:after="0" w:line="360" w:lineRule="auto"/>
        <w:ind w:left="532" w:hanging="53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produkcji metanolanu lub etanolanu sodu lub potasu</w:t>
      </w:r>
      <w:r w:rsidR="00883A03">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21"/>
        </w:numPr>
        <w:autoSpaceDE w:val="0"/>
        <w:autoSpaceDN w:val="0"/>
        <w:adjustRightInd w:val="0"/>
        <w:spacing w:before="120" w:after="0" w:line="360" w:lineRule="auto"/>
        <w:ind w:left="532" w:hanging="532"/>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produkcji poliuretanu z zastosowaniem katalizatorów zawierających rtęć.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Zakaz stosowania przedmiotowych procesów został wprowadzony w </w:t>
      </w:r>
      <w:r w:rsidRPr="00A535CD">
        <w:rPr>
          <w:rFonts w:ascii="Times New Roman" w:eastAsia="Times New Roman" w:hAnsi="Times New Roman" w:cs="Times New Roman"/>
          <w:iCs/>
          <w:sz w:val="24"/>
          <w:szCs w:val="24"/>
          <w:lang w:eastAsia="pl-PL"/>
        </w:rPr>
        <w:t>rozporządzeniu 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sz w:val="24"/>
          <w:szCs w:val="24"/>
          <w:lang w:eastAsia="pl-PL"/>
        </w:rPr>
        <w:t xml:space="preserve"> odpowiednio od 1</w:t>
      </w:r>
      <w:r w:rsidR="008141D3">
        <w:rPr>
          <w:rFonts w:ascii="Times New Roman" w:eastAsia="Times New Roman" w:hAnsi="Times New Roman" w:cs="Times New Roman"/>
          <w:sz w:val="24"/>
          <w:szCs w:val="24"/>
          <w:lang w:eastAsia="pl-PL"/>
        </w:rPr>
        <w:t xml:space="preserve"> </w:t>
      </w:r>
      <w:r w:rsidRPr="00A535CD">
        <w:rPr>
          <w:rFonts w:ascii="Times New Roman" w:eastAsia="Times New Roman" w:hAnsi="Times New Roman" w:cs="Times New Roman"/>
          <w:sz w:val="24"/>
          <w:szCs w:val="24"/>
          <w:lang w:eastAsia="pl-PL"/>
        </w:rPr>
        <w:t>stycznia 2018 r.</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sz w:val="24"/>
          <w:szCs w:val="24"/>
          <w:lang w:eastAsia="pl-PL"/>
        </w:rPr>
        <w:t>1</w:t>
      </w:r>
      <w:r w:rsidR="008141D3">
        <w:rPr>
          <w:rFonts w:ascii="Times New Roman" w:eastAsia="Times New Roman" w:hAnsi="Times New Roman" w:cs="Times New Roman"/>
          <w:sz w:val="24"/>
          <w:szCs w:val="24"/>
          <w:lang w:eastAsia="pl-PL"/>
        </w:rPr>
        <w:t xml:space="preserve"> </w:t>
      </w:r>
      <w:r w:rsidRPr="00A535CD">
        <w:rPr>
          <w:rFonts w:ascii="Times New Roman" w:eastAsia="Times New Roman" w:hAnsi="Times New Roman" w:cs="Times New Roman"/>
          <w:sz w:val="24"/>
          <w:szCs w:val="24"/>
          <w:lang w:eastAsia="pl-PL"/>
        </w:rPr>
        <w:t>stycznia</w:t>
      </w:r>
      <w:r w:rsidR="0039374C">
        <w:rPr>
          <w:rFonts w:ascii="Times New Roman" w:eastAsia="Times New Roman" w:hAnsi="Times New Roman" w:cs="Times New Roman"/>
          <w:sz w:val="24"/>
          <w:szCs w:val="24"/>
          <w:lang w:eastAsia="pl-PL"/>
        </w:rPr>
        <w:t xml:space="preserve"> </w:t>
      </w:r>
      <w:r w:rsidRPr="00A535CD">
        <w:rPr>
          <w:rFonts w:ascii="Times New Roman" w:eastAsia="Times New Roman" w:hAnsi="Times New Roman" w:cs="Times New Roman"/>
          <w:sz w:val="24"/>
          <w:szCs w:val="24"/>
          <w:lang w:eastAsia="pl-PL"/>
        </w:rPr>
        <w:t>2022 r. i 1</w:t>
      </w:r>
      <w:r w:rsidR="008141D3">
        <w:rPr>
          <w:rFonts w:ascii="Times New Roman" w:eastAsia="Times New Roman" w:hAnsi="Times New Roman" w:cs="Times New Roman"/>
          <w:sz w:val="24"/>
          <w:szCs w:val="24"/>
          <w:lang w:eastAsia="pl-PL"/>
        </w:rPr>
        <w:t xml:space="preserve"> </w:t>
      </w:r>
      <w:r w:rsidRPr="00A535CD">
        <w:rPr>
          <w:rFonts w:ascii="Times New Roman" w:eastAsia="Times New Roman" w:hAnsi="Times New Roman" w:cs="Times New Roman"/>
          <w:sz w:val="24"/>
          <w:szCs w:val="24"/>
          <w:lang w:eastAsia="pl-PL"/>
        </w:rPr>
        <w:t>stycznia</w:t>
      </w:r>
      <w:r w:rsidR="0039374C">
        <w:rPr>
          <w:rFonts w:ascii="Times New Roman" w:eastAsia="Times New Roman" w:hAnsi="Times New Roman" w:cs="Times New Roman"/>
          <w:sz w:val="24"/>
          <w:szCs w:val="24"/>
          <w:lang w:eastAsia="pl-PL"/>
        </w:rPr>
        <w:t xml:space="preserve"> </w:t>
      </w:r>
      <w:r w:rsidRPr="00A535CD">
        <w:rPr>
          <w:rFonts w:ascii="Times New Roman" w:eastAsia="Times New Roman" w:hAnsi="Times New Roman" w:cs="Times New Roman"/>
          <w:sz w:val="24"/>
          <w:szCs w:val="24"/>
          <w:lang w:eastAsia="pl-PL"/>
        </w:rPr>
        <w:t>2028 r.</w:t>
      </w:r>
    </w:p>
    <w:p w:rsidR="00BE3CFA" w:rsidRPr="00A535CD" w:rsidRDefault="003D2A9F" w:rsidP="00A535CD">
      <w:pPr>
        <w:pStyle w:val="Akapitzlist"/>
        <w:numPr>
          <w:ilvl w:val="0"/>
          <w:numId w:val="4"/>
        </w:numPr>
        <w:autoSpaceDE w:val="0"/>
        <w:autoSpaceDN w:val="0"/>
        <w:adjustRightInd w:val="0"/>
        <w:spacing w:before="120" w:after="0" w:line="360" w:lineRule="auto"/>
        <w:ind w:left="532" w:hanging="532"/>
        <w:contextualSpacing w:val="0"/>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Emisje (art. 8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Przepisy Konwencji wprowadzają obowiązek kontroli emisji rtęci i związków rtęci do atmosfery z określonych źródeł. Należą do nich:</w:t>
      </w:r>
    </w:p>
    <w:p w:rsidR="00BE3CFA" w:rsidRPr="00A535CD" w:rsidRDefault="003D2A9F" w:rsidP="00A535CD">
      <w:pPr>
        <w:pStyle w:val="Akapitzlist"/>
        <w:numPr>
          <w:ilvl w:val="0"/>
          <w:numId w:val="6"/>
        </w:numPr>
        <w:autoSpaceDE w:val="0"/>
        <w:autoSpaceDN w:val="0"/>
        <w:adjustRightInd w:val="0"/>
        <w:spacing w:after="0" w:line="360" w:lineRule="auto"/>
        <w:ind w:left="532"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elektrownie opalane węglem</w:t>
      </w:r>
      <w:r w:rsidR="00883A03">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6"/>
        </w:numPr>
        <w:autoSpaceDE w:val="0"/>
        <w:autoSpaceDN w:val="0"/>
        <w:adjustRightInd w:val="0"/>
        <w:spacing w:before="120" w:after="0" w:line="360" w:lineRule="auto"/>
        <w:ind w:left="532"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kotły przemysłowe opalane węglem</w:t>
      </w:r>
      <w:r w:rsidR="00883A03">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6"/>
        </w:numPr>
        <w:autoSpaceDE w:val="0"/>
        <w:autoSpaceDN w:val="0"/>
        <w:adjustRightInd w:val="0"/>
        <w:spacing w:before="120" w:after="0" w:line="360" w:lineRule="auto"/>
        <w:ind w:left="532"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procesy wytapiania i prażenia stosowane w produkcji metali nieżelaznych</w:t>
      </w:r>
      <w:r w:rsidR="00883A03">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6"/>
        </w:numPr>
        <w:autoSpaceDE w:val="0"/>
        <w:autoSpaceDN w:val="0"/>
        <w:adjustRightInd w:val="0"/>
        <w:spacing w:before="120" w:after="0" w:line="360" w:lineRule="auto"/>
        <w:ind w:left="532"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spalarnie odpadów</w:t>
      </w:r>
      <w:r w:rsidR="00883A03">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6"/>
        </w:numPr>
        <w:autoSpaceDE w:val="0"/>
        <w:autoSpaceDN w:val="0"/>
        <w:adjustRightInd w:val="0"/>
        <w:spacing w:before="120" w:after="0" w:line="360" w:lineRule="auto"/>
        <w:ind w:left="532"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obiekty produkcji klinkieru cementowego.</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W odniesieniu do nowych źródeł Konwencja wprowadza wymagania w zakresie stosowania najlepszych dostępnych technik i najlepszych praktyk w dziedzinie ochrony środowiska w celu kontrolowania, a tam, gdzie to możliwe, ograniczenia emisji, tak szybko jak to możliwe, ale nie później niż pięć lat po dniu wejścia w życie Konwencji </w:t>
      </w:r>
      <w:r w:rsidR="00BE3CFA" w:rsidRPr="00A535CD">
        <w:rPr>
          <w:rFonts w:ascii="Times New Roman" w:eastAsia="Times New Roman" w:hAnsi="Times New Roman" w:cs="Times New Roman"/>
          <w:bCs/>
          <w:sz w:val="24"/>
          <w:szCs w:val="24"/>
          <w:lang w:eastAsia="en-US"/>
        </w:rPr>
        <w:t>w</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odniesieniu do danej Strony. </w:t>
      </w:r>
    </w:p>
    <w:p w:rsidR="00BE3CFA" w:rsidRPr="00A535CD" w:rsidRDefault="003D2A9F" w:rsidP="00A535CD">
      <w:pPr>
        <w:tabs>
          <w:tab w:val="left" w:pos="6663"/>
          <w:tab w:val="left" w:pos="7514"/>
        </w:tabs>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lastRenderedPageBreak/>
        <w:t xml:space="preserve">Strony mają też obowiązek wdrożenia co najmniej jednego z następujących środków, tak szybko jak tylko jest to możliwe, ale nie później niż dziesięć lat po dacie wejścia </w:t>
      </w:r>
      <w:r w:rsidR="00DB2925" w:rsidRPr="00A535CD">
        <w:rPr>
          <w:rFonts w:ascii="Times New Roman" w:hAnsi="Times New Roman" w:cs="Times New Roman"/>
          <w:color w:val="000000"/>
          <w:sz w:val="24"/>
          <w:szCs w:val="24"/>
        </w:rPr>
        <w:t>w</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życie Konwencji w odniesieniu do danej Strony: </w:t>
      </w:r>
    </w:p>
    <w:p w:rsidR="00BE3CFA" w:rsidRPr="00A535CD" w:rsidRDefault="003D2A9F" w:rsidP="00A535CD">
      <w:pPr>
        <w:pStyle w:val="Akapitzlist"/>
        <w:numPr>
          <w:ilvl w:val="0"/>
          <w:numId w:val="24"/>
        </w:numPr>
        <w:tabs>
          <w:tab w:val="left" w:pos="6663"/>
          <w:tab w:val="left" w:pos="7514"/>
        </w:tabs>
        <w:spacing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określony ilościowo cel dotyczący kontrolowania oraz, tam gdzie jest to wykonalne, ograniczania emisji z istotnych źródeł</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4"/>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dopuszczalne wartości emisji w celu kontrolowania oraz, tam gdzie jest to wykonalne, ograniczania emisji z istotnych źródeł</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4"/>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zastosowanie najlepszych dostępnych technik oraz najlepszych praktyk </w:t>
      </w:r>
      <w:r w:rsidR="00BE3CFA" w:rsidRPr="00A535CD">
        <w:rPr>
          <w:rFonts w:ascii="Times New Roman" w:hAnsi="Times New Roman" w:cs="Times New Roman"/>
          <w:color w:val="000000"/>
          <w:sz w:val="24"/>
          <w:szCs w:val="24"/>
        </w:rPr>
        <w:t>w</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dziedzinie ochrony środowiska w celu kontroli emisji z istotnych źródeł</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4"/>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strategię kontroli obejmującą wiele substancji zanieczyszczających, która przyniesie dodatkowe korzyści dla kontroli emisji rtęci</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4"/>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alternatywne środki umożliwiające ograniczenie emisji z istotnych źródeł.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wprowadza również obowiązek ustanowienia rejestru emisji pochodzących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istotnych źródeł tak szybko jak to możliwe, ale nie później niż pięć lat po dacie wejścia w życie Konwencji w odniesieniu do danej Strony.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Przepisy dotyczące ograniczania emisji rtęci do atmosfery są regulowane dyrektywą Parlamentu Europejskiego i Rady 2010/75/UE z dnia 24 listopada 2010 r</w:t>
      </w:r>
      <w:r w:rsidRPr="00A535CD">
        <w:rPr>
          <w:rFonts w:ascii="Times New Roman" w:eastAsia="Times New Roman" w:hAnsi="Times New Roman" w:cs="Times New Roman"/>
          <w:bCs/>
          <w:i/>
          <w:sz w:val="24"/>
          <w:szCs w:val="24"/>
          <w:lang w:eastAsia="en-US"/>
        </w:rPr>
        <w:t>. w sprawie emisji przemysłowych</w:t>
      </w:r>
      <w:r w:rsidRPr="00A535CD">
        <w:rPr>
          <w:rFonts w:ascii="Times New Roman" w:eastAsia="Times New Roman" w:hAnsi="Times New Roman" w:cs="Times New Roman"/>
          <w:bCs/>
          <w:sz w:val="24"/>
          <w:szCs w:val="24"/>
          <w:lang w:eastAsia="en-US"/>
        </w:rPr>
        <w:t xml:space="preserve"> oraz dyrektywą 2008/105/WE Parlamentu Europejskiego i Rady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dnia 16 grudnia 2008 r. </w:t>
      </w:r>
      <w:r w:rsidRPr="00A535CD">
        <w:rPr>
          <w:rFonts w:ascii="Times New Roman" w:eastAsia="Times New Roman" w:hAnsi="Times New Roman" w:cs="Times New Roman"/>
          <w:bCs/>
          <w:i/>
          <w:sz w:val="24"/>
          <w:szCs w:val="24"/>
          <w:lang w:eastAsia="en-US"/>
        </w:rPr>
        <w:t>w sprawie środowiskowych norm jakości w dziedzinie polityki wodnej</w:t>
      </w:r>
      <w:r w:rsidRPr="00A535CD">
        <w:rPr>
          <w:rFonts w:ascii="Times New Roman" w:hAnsi="Times New Roman" w:cs="Times New Roman"/>
          <w:i/>
          <w:sz w:val="24"/>
          <w:szCs w:val="24"/>
        </w:rPr>
        <w:t>, zmieniającą i w następstwie uchylającą dyrektywy Rady 82/176/EWG, 83/513/EWG, 84/156/EWG, 84/491/EWG i 86/280/EWG oraz zmieniającą dyrektywę 2000/60/WE Parlamentu Europejskiego i Rady</w:t>
      </w:r>
      <w:r w:rsidRPr="00A535CD">
        <w:rPr>
          <w:rFonts w:ascii="Times New Roman" w:hAnsi="Times New Roman" w:cs="Times New Roman"/>
          <w:sz w:val="24"/>
          <w:szCs w:val="24"/>
        </w:rPr>
        <w:t xml:space="preserve"> </w:t>
      </w:r>
      <w:r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 xml:space="preserve">L 348 z 24.12.2008, str. 84) (dalej: </w:t>
      </w:r>
      <w:r w:rsidRPr="00A535CD">
        <w:rPr>
          <w:rFonts w:ascii="Times New Roman" w:eastAsia="Times New Roman" w:hAnsi="Times New Roman" w:cs="Times New Roman"/>
          <w:bCs/>
          <w:sz w:val="24"/>
          <w:szCs w:val="24"/>
          <w:lang w:eastAsia="en-US"/>
        </w:rPr>
        <w:t xml:space="preserve">dyrektywa 2008/105/WE Parlamentu Europejskiego i Rady z dnia 16 grudnia </w:t>
      </w:r>
      <w:r w:rsidR="00BE3CFA" w:rsidRPr="00A535CD">
        <w:rPr>
          <w:rFonts w:ascii="Times New Roman" w:eastAsia="Times New Roman" w:hAnsi="Times New Roman" w:cs="Times New Roman"/>
          <w:bCs/>
          <w:sz w:val="24"/>
          <w:szCs w:val="24"/>
          <w:lang w:eastAsia="en-US"/>
        </w:rPr>
        <w:t>2008</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r. </w:t>
      </w:r>
      <w:r w:rsidRPr="00A535CD">
        <w:rPr>
          <w:rFonts w:ascii="Times New Roman" w:eastAsia="Times New Roman" w:hAnsi="Times New Roman" w:cs="Times New Roman"/>
          <w:bCs/>
          <w:i/>
          <w:sz w:val="24"/>
          <w:szCs w:val="24"/>
          <w:lang w:eastAsia="en-US"/>
        </w:rPr>
        <w:t>w sprawie środowiskowych norm jakości w dziedzinie polityki wodnej</w:t>
      </w:r>
      <w:r w:rsidRPr="00A535CD">
        <w:rPr>
          <w:rFonts w:ascii="Times New Roman" w:hAnsi="Times New Roman" w:cs="Times New Roman"/>
          <w:sz w:val="24"/>
          <w:szCs w:val="24"/>
        </w:rPr>
        <w:t>).</w:t>
      </w:r>
      <w:r w:rsidRPr="00A535CD">
        <w:rPr>
          <w:rFonts w:ascii="Times New Roman" w:eastAsia="Times New Roman" w:hAnsi="Times New Roman" w:cs="Times New Roman"/>
          <w:bCs/>
          <w:sz w:val="24"/>
          <w:szCs w:val="24"/>
          <w:lang w:eastAsia="en-US"/>
        </w:rPr>
        <w:t xml:space="preserve"> Prowadzenie pomiarów rtęci w powietrzu ustanawia dyrektywa 2004/107/WE Parlamentu Europejskiego i Rady z dnia 15 grudnia 2004 r. </w:t>
      </w:r>
      <w:r w:rsidRPr="00A535CD">
        <w:rPr>
          <w:rFonts w:ascii="Times New Roman" w:hAnsi="Times New Roman" w:cs="Times New Roman"/>
          <w:i/>
          <w:sz w:val="24"/>
          <w:szCs w:val="24"/>
        </w:rPr>
        <w:t>w sprawie arsenu, kadmu, rtęci, niklu i wielopierścieniowych węglowodorów aromatycznych w otaczającym powietrzu</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sz w:val="24"/>
          <w:szCs w:val="24"/>
          <w:lang w:eastAsia="pl-PL"/>
        </w:rPr>
        <w:t xml:space="preserve">Dz. Urz. UE </w:t>
      </w:r>
      <w:r w:rsidRPr="00A535CD">
        <w:rPr>
          <w:rFonts w:ascii="Times New Roman" w:hAnsi="Times New Roman" w:cs="Times New Roman"/>
          <w:sz w:val="24"/>
          <w:szCs w:val="24"/>
        </w:rPr>
        <w:t>L 23 z 26.01.2005, str. 3)</w:t>
      </w:r>
      <w:r w:rsidRPr="00A535CD">
        <w:rPr>
          <w:rFonts w:ascii="Times New Roman" w:eastAsia="Times New Roman" w:hAnsi="Times New Roman" w:cs="Times New Roman"/>
          <w:bCs/>
          <w:sz w:val="24"/>
          <w:szCs w:val="24"/>
          <w:lang w:eastAsia="en-US"/>
        </w:rPr>
        <w:t xml:space="preserv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Polskie akty prawne regulujące zagadnienia dotyczące emisji rtęci do atmosfery to: ustawa z dnia 27 kwietnia 2001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sz w:val="24"/>
          <w:szCs w:val="24"/>
          <w:lang w:eastAsia="en-US"/>
        </w:rPr>
        <w:t>Prawo ochrony środowiska</w:t>
      </w:r>
      <w:r w:rsidRPr="00A535CD">
        <w:rPr>
          <w:rFonts w:ascii="Times New Roman" w:eastAsia="Times New Roman" w:hAnsi="Times New Roman" w:cs="Times New Roman"/>
          <w:bCs/>
          <w:sz w:val="24"/>
          <w:szCs w:val="24"/>
          <w:lang w:eastAsia="en-US"/>
        </w:rPr>
        <w:t xml:space="preserve">, rozporządzenie Ministra Środowiska z dnia 27 sierpnia 2014 r. </w:t>
      </w:r>
      <w:r w:rsidRPr="00A535CD">
        <w:rPr>
          <w:rFonts w:ascii="Times New Roman" w:eastAsia="Times New Roman" w:hAnsi="Times New Roman" w:cs="Times New Roman"/>
          <w:bCs/>
          <w:i/>
          <w:sz w:val="24"/>
          <w:szCs w:val="24"/>
          <w:lang w:eastAsia="en-US"/>
        </w:rPr>
        <w:t xml:space="preserve">w sprawie rodzajów instalacji mogących powodować znaczne zanieczyszczenie poszczególnych elementów przyrodniczych albo </w:t>
      </w:r>
      <w:r w:rsidRPr="00A535CD">
        <w:rPr>
          <w:rFonts w:ascii="Times New Roman" w:eastAsia="Times New Roman" w:hAnsi="Times New Roman" w:cs="Times New Roman"/>
          <w:bCs/>
          <w:i/>
          <w:sz w:val="24"/>
          <w:szCs w:val="24"/>
          <w:lang w:eastAsia="en-US"/>
        </w:rPr>
        <w:lastRenderedPageBreak/>
        <w:t>środowiska jako całości</w:t>
      </w:r>
      <w:r w:rsidRPr="00A535CD">
        <w:rPr>
          <w:rFonts w:ascii="Times New Roman" w:eastAsia="Times New Roman" w:hAnsi="Times New Roman" w:cs="Times New Roman"/>
          <w:bCs/>
          <w:sz w:val="24"/>
          <w:szCs w:val="24"/>
          <w:lang w:eastAsia="en-US"/>
        </w:rPr>
        <w:t xml:space="preserve">, rozporządzenie Ministra Środowiska z dnia 1 marca 2018 r. </w:t>
      </w:r>
      <w:r w:rsidR="00BE3CFA" w:rsidRPr="00A535CD">
        <w:rPr>
          <w:rFonts w:ascii="Times New Roman" w:eastAsia="Times New Roman" w:hAnsi="Times New Roman" w:cs="Times New Roman"/>
          <w:bCs/>
          <w:i/>
          <w:kern w:val="36"/>
          <w:sz w:val="24"/>
          <w:szCs w:val="24"/>
          <w:lang w:eastAsia="pl-PL"/>
        </w:rPr>
        <w:t>w</w:t>
      </w:r>
      <w:r w:rsidR="00BE3CFA">
        <w:rPr>
          <w:rFonts w:ascii="Times New Roman" w:eastAsia="Times New Roman" w:hAnsi="Times New Roman" w:cs="Times New Roman"/>
          <w:bCs/>
          <w:i/>
          <w:kern w:val="36"/>
          <w:sz w:val="24"/>
          <w:szCs w:val="24"/>
          <w:lang w:eastAsia="pl-PL"/>
        </w:rPr>
        <w:t> </w:t>
      </w:r>
      <w:r w:rsidRPr="00A535CD">
        <w:rPr>
          <w:rFonts w:ascii="Times New Roman" w:eastAsia="Times New Roman" w:hAnsi="Times New Roman" w:cs="Times New Roman"/>
          <w:bCs/>
          <w:i/>
          <w:kern w:val="36"/>
          <w:sz w:val="24"/>
          <w:szCs w:val="24"/>
          <w:lang w:eastAsia="pl-PL"/>
        </w:rPr>
        <w:t>sprawie standardów emisyjnych dla niektórych rodzajów instalacji, źródeł spalania paliw oraz urządzeń spalania lub współspalania odpadów</w:t>
      </w:r>
      <w:r w:rsidRPr="00A535CD">
        <w:rPr>
          <w:rFonts w:ascii="Times New Roman" w:eastAsia="Times New Roman" w:hAnsi="Times New Roman" w:cs="Times New Roman"/>
          <w:bCs/>
          <w:sz w:val="24"/>
          <w:szCs w:val="24"/>
          <w:lang w:eastAsia="en-US"/>
        </w:rPr>
        <w:t xml:space="preserve">, rozporządzenie Ministra Środowiska z dnia </w:t>
      </w:r>
      <w:r w:rsidRPr="00A535CD">
        <w:rPr>
          <w:rFonts w:ascii="Times New Roman" w:hAnsi="Times New Roman" w:cs="Times New Roman"/>
          <w:sz w:val="24"/>
          <w:szCs w:val="24"/>
        </w:rPr>
        <w:t xml:space="preserve">11 grudnia 2020 r. </w:t>
      </w:r>
      <w:r w:rsidRPr="00A535CD">
        <w:rPr>
          <w:rFonts w:ascii="Times New Roman" w:eastAsia="Times New Roman" w:hAnsi="Times New Roman" w:cs="Times New Roman"/>
          <w:bCs/>
          <w:i/>
          <w:sz w:val="24"/>
          <w:szCs w:val="24"/>
          <w:lang w:eastAsia="en-US"/>
        </w:rPr>
        <w:t>w sprawie dokonywania oceny poziomów substancji w powietrzu</w:t>
      </w:r>
      <w:r w:rsidRPr="00A535CD">
        <w:rPr>
          <w:rFonts w:ascii="Times New Roman" w:eastAsia="Times New Roman" w:hAnsi="Times New Roman" w:cs="Times New Roman"/>
          <w:bCs/>
          <w:sz w:val="24"/>
          <w:szCs w:val="24"/>
          <w:lang w:eastAsia="en-US"/>
        </w:rPr>
        <w:t xml:space="preserve">, rozporządzenie Ministra Środowiska z dnia 30 października 2014 r. </w:t>
      </w:r>
      <w:r w:rsidR="00BE3CFA" w:rsidRPr="00A535CD">
        <w:rPr>
          <w:rFonts w:ascii="Times New Roman" w:eastAsia="Times New Roman" w:hAnsi="Times New Roman" w:cs="Times New Roman"/>
          <w:bCs/>
          <w:i/>
          <w:sz w:val="24"/>
          <w:szCs w:val="24"/>
          <w:lang w:eastAsia="en-US"/>
        </w:rPr>
        <w:t>w</w:t>
      </w:r>
      <w:r w:rsidR="00BE3CFA">
        <w:rPr>
          <w:rFonts w:ascii="Times New Roman" w:eastAsia="Times New Roman" w:hAnsi="Times New Roman" w:cs="Times New Roman"/>
          <w:bCs/>
          <w:i/>
          <w:sz w:val="24"/>
          <w:szCs w:val="24"/>
          <w:lang w:eastAsia="en-US"/>
        </w:rPr>
        <w:t> </w:t>
      </w:r>
      <w:r w:rsidRPr="00A535CD">
        <w:rPr>
          <w:rFonts w:ascii="Times New Roman" w:eastAsia="Times New Roman" w:hAnsi="Times New Roman" w:cs="Times New Roman"/>
          <w:bCs/>
          <w:i/>
          <w:sz w:val="24"/>
          <w:szCs w:val="24"/>
          <w:lang w:eastAsia="en-US"/>
        </w:rPr>
        <w:t>sprawie wymagań w zakresie prowadzenia pomiarów wielkości emisji oraz pomiarów ilości pobieranej wody.</w:t>
      </w:r>
    </w:p>
    <w:p w:rsidR="00BE3CFA" w:rsidRPr="00A535CD" w:rsidRDefault="003D2A9F" w:rsidP="00A535CD">
      <w:pPr>
        <w:pStyle w:val="Akapitzlist"/>
        <w:numPr>
          <w:ilvl w:val="0"/>
          <w:numId w:val="4"/>
        </w:numPr>
        <w:autoSpaceDE w:val="0"/>
        <w:autoSpaceDN w:val="0"/>
        <w:adjustRightInd w:val="0"/>
        <w:spacing w:before="120" w:after="0" w:line="360" w:lineRule="auto"/>
        <w:ind w:left="532" w:hanging="532"/>
        <w:contextualSpacing w:val="0"/>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Uwolnienia (art. 9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Każda Strona nie później niż trzy lata po dacie wejścia w życie Konwencji </w:t>
      </w:r>
      <w:bookmarkStart w:id="9" w:name="_GoBack"/>
      <w:bookmarkEnd w:id="9"/>
      <w:r w:rsidR="00DB2925" w:rsidRPr="00A535CD">
        <w:rPr>
          <w:rFonts w:ascii="Times New Roman" w:eastAsia="Times New Roman" w:hAnsi="Times New Roman" w:cs="Times New Roman"/>
          <w:bCs/>
          <w:sz w:val="24"/>
          <w:szCs w:val="24"/>
          <w:lang w:eastAsia="en-US"/>
        </w:rPr>
        <w:t>w</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odniesieniu do niej, a następnie regularnie, określa kategorie istotnych źródeł punktowych. </w:t>
      </w:r>
    </w:p>
    <w:p w:rsidR="00BE3CFA" w:rsidRPr="00A535CD" w:rsidRDefault="003D2A9F" w:rsidP="00A535CD">
      <w:pPr>
        <w:tabs>
          <w:tab w:val="left" w:pos="6663"/>
          <w:tab w:val="left" w:pos="7514"/>
        </w:tabs>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Konwencja wprowadza obowiązek podjęcia działań mających na celu kontrolę uwolnień przez Strony posiadające na swoim terytorium istotne źródła punktowe. Działania te obejmują co najmniej jedno z następujących, zgodnie z potrzebami: </w:t>
      </w:r>
    </w:p>
    <w:p w:rsidR="00BE3CFA" w:rsidRPr="00A535CD" w:rsidRDefault="003D2A9F" w:rsidP="00A535CD">
      <w:pPr>
        <w:pStyle w:val="Akapitzlist"/>
        <w:numPr>
          <w:ilvl w:val="0"/>
          <w:numId w:val="27"/>
        </w:numPr>
        <w:tabs>
          <w:tab w:val="left" w:pos="6663"/>
          <w:tab w:val="left" w:pos="7514"/>
        </w:tabs>
        <w:spacing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określenie dopuszczalnych wartości uwolnień w celu kontrolowania oraz, tam gdzie jest to wykonalne, ograniczania uwolnień z istotnych źródeł</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7"/>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zastosowanie najlepszych dostępnych technik oraz najlepszych praktyk </w:t>
      </w:r>
      <w:r w:rsidR="00BE3CFA" w:rsidRPr="00A535CD">
        <w:rPr>
          <w:rFonts w:ascii="Times New Roman" w:hAnsi="Times New Roman" w:cs="Times New Roman"/>
          <w:color w:val="000000"/>
          <w:sz w:val="24"/>
          <w:szCs w:val="24"/>
        </w:rPr>
        <w:t>w</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dziedzinie ochrony środowiska w celu kontroli uwolnień z istotnych źródeł</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7"/>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strategię kontroli obejmującą wiele substancji zanieczyszczających, która przyniesie dodatkowe korzyści dla kontroli uwolnień rtęci</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27"/>
        </w:numPr>
        <w:tabs>
          <w:tab w:val="left" w:pos="6663"/>
          <w:tab w:val="left" w:pos="7514"/>
        </w:tabs>
        <w:spacing w:before="120" w:after="0" w:line="360" w:lineRule="auto"/>
        <w:ind w:left="532"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alternatywne środki umożliwiające ograniczenie uwolnień z istotnych źródeł.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ustanawia również obowiązek wdrożenia rejestru uwolnień pochodzących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istotnych źródeł tak szybko jak to możliwe, ale nie później niż pięć lat po dacie wejścia w życie Konwencji w odniesieniu do danej Strony.</w:t>
      </w:r>
    </w:p>
    <w:p w:rsidR="00BE3CFA" w:rsidRPr="00A535CD" w:rsidRDefault="003D2A9F" w:rsidP="00A535CD">
      <w:pPr>
        <w:pStyle w:val="CM4"/>
        <w:spacing w:before="120" w:line="360" w:lineRule="auto"/>
        <w:jc w:val="both"/>
        <w:rPr>
          <w:color w:val="000000"/>
        </w:rPr>
      </w:pPr>
      <w:r w:rsidRPr="00A535CD">
        <w:rPr>
          <w:rFonts w:eastAsia="Times New Roman"/>
          <w:bCs/>
        </w:rPr>
        <w:t xml:space="preserve">Zagadnienia te są ujęte w dyrektywie Parlamentu Europejskiego i Rady 2010/75/UE </w:t>
      </w:r>
      <w:r w:rsidR="00BE3CFA" w:rsidRPr="00A535CD">
        <w:rPr>
          <w:rFonts w:eastAsia="Times New Roman"/>
          <w:bCs/>
        </w:rPr>
        <w:t>z</w:t>
      </w:r>
      <w:r w:rsidR="00BE3CFA">
        <w:rPr>
          <w:rFonts w:eastAsia="Times New Roman"/>
          <w:bCs/>
        </w:rPr>
        <w:t> </w:t>
      </w:r>
      <w:r w:rsidRPr="00A535CD">
        <w:rPr>
          <w:rFonts w:eastAsia="Times New Roman"/>
          <w:bCs/>
        </w:rPr>
        <w:t>dnia 24 listopada 2010 r</w:t>
      </w:r>
      <w:r w:rsidRPr="00A535CD">
        <w:rPr>
          <w:rFonts w:eastAsia="Times New Roman"/>
          <w:bCs/>
          <w:i/>
        </w:rPr>
        <w:t>. w sprawie emisji przemysłowych</w:t>
      </w:r>
      <w:r w:rsidRPr="00A535CD">
        <w:rPr>
          <w:rFonts w:eastAsia="Times New Roman"/>
          <w:bCs/>
        </w:rPr>
        <w:t xml:space="preserve">, dyrektywie 2008/105/WE Parlamentu Europejskiego i Rady z dnia 16 grudnia 2008 r. </w:t>
      </w:r>
      <w:r w:rsidRPr="00A535CD">
        <w:rPr>
          <w:rFonts w:eastAsia="Times New Roman"/>
          <w:bCs/>
          <w:i/>
        </w:rPr>
        <w:t>w sprawie środowiskowych norm jakości w dziedzinie polityki wodnej</w:t>
      </w:r>
      <w:r w:rsidRPr="00A535CD">
        <w:rPr>
          <w:rFonts w:eastAsia="Times New Roman"/>
          <w:lang w:eastAsia="pl-PL"/>
        </w:rPr>
        <w:t xml:space="preserve">, </w:t>
      </w:r>
      <w:r w:rsidRPr="00A535CD">
        <w:rPr>
          <w:rFonts w:eastAsia="Times New Roman"/>
          <w:bCs/>
        </w:rPr>
        <w:t xml:space="preserve">dyrektywie Parlamentu Europejskiego </w:t>
      </w:r>
      <w:r w:rsidR="00DB2925" w:rsidRPr="00A535CD">
        <w:rPr>
          <w:rFonts w:eastAsia="Times New Roman"/>
          <w:bCs/>
        </w:rPr>
        <w:t>i</w:t>
      </w:r>
      <w:r w:rsidR="00DB2925">
        <w:rPr>
          <w:rFonts w:eastAsia="Times New Roman"/>
          <w:bCs/>
        </w:rPr>
        <w:t> </w:t>
      </w:r>
      <w:r w:rsidRPr="00A535CD">
        <w:rPr>
          <w:rFonts w:eastAsia="Times New Roman"/>
          <w:bCs/>
        </w:rPr>
        <w:t xml:space="preserve">Rady 2013/39/UE z dnia 12 sierpnia 2013 r. </w:t>
      </w:r>
      <w:r w:rsidRPr="00A535CD">
        <w:rPr>
          <w:rFonts w:eastAsia="Times New Roman"/>
          <w:bCs/>
          <w:i/>
        </w:rPr>
        <w:t xml:space="preserve">zmieniająca dyrektywy 2000/60/WE </w:t>
      </w:r>
      <w:r w:rsidR="00BE3CFA" w:rsidRPr="00A535CD">
        <w:rPr>
          <w:rFonts w:eastAsia="Times New Roman"/>
          <w:bCs/>
          <w:i/>
        </w:rPr>
        <w:t>i</w:t>
      </w:r>
      <w:r w:rsidR="00BE3CFA">
        <w:rPr>
          <w:rFonts w:eastAsia="Times New Roman"/>
          <w:bCs/>
          <w:i/>
        </w:rPr>
        <w:t> </w:t>
      </w:r>
      <w:r w:rsidRPr="00A535CD">
        <w:rPr>
          <w:rFonts w:eastAsia="Times New Roman"/>
          <w:bCs/>
          <w:i/>
        </w:rPr>
        <w:t>2008/105/WE w zakresie substancji priorytetowych w dziedzinie polityki wodnej</w:t>
      </w:r>
      <w:r w:rsidRPr="00A535CD">
        <w:rPr>
          <w:rFonts w:eastAsia="Times New Roman"/>
          <w:bCs/>
        </w:rPr>
        <w:t xml:space="preserve"> (</w:t>
      </w:r>
      <w:r w:rsidRPr="00A535CD">
        <w:rPr>
          <w:rFonts w:eastAsia="Times New Roman"/>
          <w:lang w:eastAsia="pl-PL"/>
        </w:rPr>
        <w:t>Dz</w:t>
      </w:r>
      <w:r w:rsidR="00BE3CFA" w:rsidRPr="00A535CD">
        <w:rPr>
          <w:rFonts w:eastAsia="Times New Roman"/>
          <w:lang w:eastAsia="pl-PL"/>
        </w:rPr>
        <w:t>.</w:t>
      </w:r>
      <w:r w:rsidR="00BE3CFA">
        <w:rPr>
          <w:rFonts w:eastAsia="Times New Roman"/>
          <w:lang w:eastAsia="pl-PL"/>
        </w:rPr>
        <w:t> </w:t>
      </w:r>
      <w:r w:rsidRPr="00A535CD">
        <w:rPr>
          <w:rFonts w:eastAsia="Times New Roman"/>
          <w:lang w:eastAsia="pl-PL"/>
        </w:rPr>
        <w:t xml:space="preserve">Urz. UE </w:t>
      </w:r>
      <w:r w:rsidRPr="00A535CD">
        <w:t xml:space="preserve">L 226 z 24.08.2013, str. 1), </w:t>
      </w:r>
      <w:r w:rsidRPr="00A535CD">
        <w:rPr>
          <w:bCs/>
          <w:color w:val="000000"/>
        </w:rPr>
        <w:t xml:space="preserve">rozporządzeniu (WE) nr 166/2006 Parlamentu </w:t>
      </w:r>
      <w:r w:rsidRPr="00A535CD">
        <w:rPr>
          <w:bCs/>
          <w:color w:val="000000"/>
        </w:rPr>
        <w:lastRenderedPageBreak/>
        <w:t xml:space="preserve">Europejskiego i Rady z dnia 18 stycznia 2006 r. </w:t>
      </w:r>
      <w:r w:rsidRPr="00A535CD">
        <w:rPr>
          <w:bCs/>
          <w:i/>
          <w:color w:val="000000"/>
        </w:rPr>
        <w:t>w sprawie ustanowienia Europejskiego Rejestru Uwalniania i Transferu Zanieczyszczeń i zmieniające dyrektywę Rady 91/689/EWG i 96/61/WE</w:t>
      </w:r>
      <w:r w:rsidRPr="00A535CD">
        <w:rPr>
          <w:bCs/>
          <w:color w:val="000000"/>
        </w:rPr>
        <w:t xml:space="preserve"> </w:t>
      </w:r>
      <w:r w:rsidRPr="00A535CD">
        <w:rPr>
          <w:color w:val="000000"/>
        </w:rPr>
        <w:t>(Dz. Urz. UE L 33 z 04.02.2006, str. 1)</w:t>
      </w:r>
      <w:r w:rsidRPr="00A535CD">
        <w:rPr>
          <w:rFonts w:eastAsia="Times New Roman"/>
          <w:bCs/>
        </w:rPr>
        <w:t>.</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bCs/>
          <w:sz w:val="24"/>
          <w:szCs w:val="24"/>
          <w:lang w:eastAsia="en-US"/>
        </w:rPr>
        <w:t xml:space="preserve">W Polsce zagadnienia te regulują następujące akty prawne: ustawa z dnia 27 kwietnia 2001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sz w:val="24"/>
          <w:szCs w:val="24"/>
          <w:lang w:eastAsia="en-US"/>
        </w:rPr>
        <w:t xml:space="preserve">Prawo ochrony środowiska </w:t>
      </w:r>
      <w:r w:rsidRPr="00A535CD">
        <w:rPr>
          <w:rFonts w:ascii="Times New Roman" w:eastAsia="Times New Roman" w:hAnsi="Times New Roman" w:cs="Times New Roman"/>
          <w:bCs/>
          <w:sz w:val="24"/>
          <w:szCs w:val="24"/>
          <w:lang w:eastAsia="en-US"/>
        </w:rPr>
        <w:t xml:space="preserve">wraz z aktami wykonawczymi oraz ustawa z dnia 20 lipca 2017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iCs/>
          <w:sz w:val="24"/>
          <w:szCs w:val="24"/>
          <w:lang w:eastAsia="en-US"/>
        </w:rPr>
        <w:t>Prawo wodne</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U. z 202</w:t>
      </w:r>
      <w:r w:rsidR="00370874">
        <w:rPr>
          <w:rFonts w:ascii="Times New Roman" w:eastAsia="Times New Roman" w:hAnsi="Times New Roman" w:cs="Times New Roman"/>
          <w:bCs/>
          <w:sz w:val="24"/>
          <w:szCs w:val="24"/>
          <w:lang w:eastAsia="en-US"/>
        </w:rPr>
        <w:t>1</w:t>
      </w:r>
      <w:r w:rsidRPr="00A535CD">
        <w:rPr>
          <w:rFonts w:ascii="Times New Roman" w:eastAsia="Times New Roman" w:hAnsi="Times New Roman" w:cs="Times New Roman"/>
          <w:bCs/>
          <w:sz w:val="24"/>
          <w:szCs w:val="24"/>
          <w:lang w:eastAsia="en-US"/>
        </w:rPr>
        <w:t xml:space="preserve"> </w:t>
      </w:r>
      <w:r w:rsidR="00322262">
        <w:rPr>
          <w:rFonts w:ascii="Times New Roman" w:eastAsia="Times New Roman" w:hAnsi="Times New Roman" w:cs="Times New Roman"/>
          <w:bCs/>
          <w:sz w:val="24"/>
          <w:szCs w:val="24"/>
          <w:lang w:eastAsia="en-US"/>
        </w:rPr>
        <w:t xml:space="preserve">r. </w:t>
      </w:r>
      <w:r w:rsidRPr="00A535CD">
        <w:rPr>
          <w:rFonts w:ascii="Times New Roman" w:eastAsia="Times New Roman" w:hAnsi="Times New Roman" w:cs="Times New Roman"/>
          <w:bCs/>
          <w:sz w:val="24"/>
          <w:szCs w:val="24"/>
          <w:lang w:eastAsia="en-US"/>
        </w:rPr>
        <w:t xml:space="preserve">poz. </w:t>
      </w:r>
      <w:r w:rsidR="00370874">
        <w:rPr>
          <w:rFonts w:ascii="Times New Roman" w:eastAsia="Times New Roman" w:hAnsi="Times New Roman" w:cs="Times New Roman"/>
          <w:bCs/>
          <w:sz w:val="24"/>
          <w:szCs w:val="24"/>
          <w:lang w:eastAsia="en-US"/>
        </w:rPr>
        <w:t>624</w:t>
      </w:r>
      <w:r w:rsidRPr="00A535CD">
        <w:rPr>
          <w:rFonts w:ascii="Times New Roman" w:eastAsia="Times New Roman" w:hAnsi="Times New Roman" w:cs="Times New Roman"/>
          <w:bCs/>
          <w:sz w:val="24"/>
          <w:szCs w:val="24"/>
          <w:lang w:eastAsia="en-US"/>
        </w:rPr>
        <w:t xml:space="preserve">) (dalej: ustawa z dnia 20 lipca 2017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iCs/>
          <w:sz w:val="24"/>
          <w:szCs w:val="24"/>
          <w:lang w:eastAsia="en-US"/>
        </w:rPr>
        <w:t>Prawo wodne</w:t>
      </w:r>
      <w:r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sz w:val="24"/>
          <w:szCs w:val="24"/>
          <w:lang w:eastAsia="pl-PL"/>
        </w:rPr>
        <w:t xml:space="preserve"> </w:t>
      </w:r>
    </w:p>
    <w:p w:rsidR="00BE3CFA" w:rsidRPr="00A535CD" w:rsidRDefault="003D2A9F" w:rsidP="00A535CD">
      <w:pPr>
        <w:pStyle w:val="Akapitzlist"/>
        <w:numPr>
          <w:ilvl w:val="0"/>
          <w:numId w:val="4"/>
        </w:numPr>
        <w:autoSpaceDE w:val="0"/>
        <w:autoSpaceDN w:val="0"/>
        <w:adjustRightInd w:val="0"/>
        <w:spacing w:before="120" w:after="0" w:line="360" w:lineRule="auto"/>
        <w:ind w:left="518" w:hanging="504"/>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Składowanie przejściowe rtęci innej niż rtęć odpadowa w sposób bezpieczny dla środowiska (art. 10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Postanowienia przedmiotowego artykułu Konwencji dotyczą przejściowego składowania rtęci i związków rtęci określonych w art. 3 Konwencji, nieobjętych jednak definicją odpadów rtęciowych. Zgodnie z art. 3 Konwencji, definicja rtęci i związków rtęci nie ma zastosowania do ilości rtęci lub związków rtęci, które mają być użytkowane w badaniach na skalę laboratoryjną lub jako wzorzec odniesienia, </w:t>
      </w:r>
      <w:r w:rsidRPr="00A535CD">
        <w:rPr>
          <w:rFonts w:ascii="Times New Roman" w:hAnsi="Times New Roman" w:cs="Times New Roman"/>
          <w:color w:val="000000"/>
          <w:sz w:val="24"/>
          <w:szCs w:val="24"/>
        </w:rPr>
        <w:t xml:space="preserve">występujących </w:t>
      </w:r>
      <w:r w:rsidR="00DB2925" w:rsidRPr="00A535CD">
        <w:rPr>
          <w:rFonts w:ascii="Times New Roman" w:hAnsi="Times New Roman" w:cs="Times New Roman"/>
          <w:color w:val="000000"/>
          <w:sz w:val="24"/>
          <w:szCs w:val="24"/>
        </w:rPr>
        <w:t>w</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sposób naturalny śladowych ilości obecnych w takich produktach jak metale inne niż rtęć, rudy lub produkty mineralne, w tym węgiel, lub też w produktach uzyskanych </w:t>
      </w:r>
      <w:r w:rsidR="00DB2925" w:rsidRPr="00A535CD">
        <w:rPr>
          <w:rFonts w:ascii="Times New Roman" w:hAnsi="Times New Roman" w:cs="Times New Roman"/>
          <w:color w:val="000000"/>
          <w:sz w:val="24"/>
          <w:szCs w:val="24"/>
        </w:rPr>
        <w:t>z</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takich materiałów, oraz niezamierzonych ilości śladowych w produktach chemicznych ani produktów </w:t>
      </w:r>
      <w:r w:rsidR="00BE3CFA" w:rsidRPr="00A535CD">
        <w:rPr>
          <w:rFonts w:ascii="Times New Roman" w:hAnsi="Times New Roman" w:cs="Times New Roman"/>
          <w:color w:val="000000"/>
          <w:sz w:val="24"/>
          <w:szCs w:val="24"/>
        </w:rPr>
        <w:t>z</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dodatkiem rtęci</w:t>
      </w:r>
      <w:r w:rsidRPr="00A535CD">
        <w:rPr>
          <w:rFonts w:ascii="Times New Roman" w:eastAsia="Times New Roman" w:hAnsi="Times New Roman" w:cs="Times New Roman"/>
          <w:bCs/>
          <w:sz w:val="24"/>
          <w:szCs w:val="24"/>
          <w:lang w:eastAsia="en-US"/>
        </w:rPr>
        <w:t xml:space="preserv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wprowadza obowiązek podejmowania działań </w:t>
      </w:r>
      <w:r w:rsidRPr="00A535CD">
        <w:rPr>
          <w:rFonts w:ascii="Times New Roman" w:hAnsi="Times New Roman" w:cs="Times New Roman"/>
          <w:color w:val="000000"/>
          <w:sz w:val="24"/>
          <w:szCs w:val="24"/>
        </w:rPr>
        <w:t>w celu zapewnienia, że składowanie przejściowe rtęci innej niż odpadowa i związków rtęci, przeznaczonych do użytku dozwolonego dla danej Strony w ramach Konwencji, prowadzone jest w sposób bezpieczny dla środowiska i przy uwzględnieniu wszelkich wytycznych i wymogów.</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Składowanie ww. rtęci musi być prowadzone w sposób bezpieczny dla środowiska. Prawo UE ujmuje te zagadnienia w </w:t>
      </w:r>
      <w:r w:rsidRPr="00A535CD">
        <w:rPr>
          <w:rFonts w:ascii="Times New Roman" w:eastAsia="Times New Roman" w:hAnsi="Times New Roman" w:cs="Times New Roman"/>
          <w:iCs/>
          <w:sz w:val="24"/>
          <w:szCs w:val="24"/>
          <w:lang w:eastAsia="pl-PL"/>
        </w:rPr>
        <w:t>rozporządzeniu Parlamentu Europejskiego i Rady (UE) nr 2017/852 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iCs/>
          <w:sz w:val="24"/>
          <w:szCs w:val="24"/>
          <w:lang w:eastAsia="pl-PL"/>
        </w:rPr>
        <w:t xml:space="preserve">, </w:t>
      </w:r>
      <w:r w:rsidRPr="00A535CD">
        <w:rPr>
          <w:rFonts w:ascii="Times New Roman" w:hAnsi="Times New Roman" w:cs="Times New Roman"/>
          <w:sz w:val="24"/>
          <w:szCs w:val="24"/>
        </w:rPr>
        <w:t>przy zachowaniu progów oraz zgodnie z wymogami określonymi w</w:t>
      </w:r>
      <w:r w:rsidRPr="00A535CD">
        <w:rPr>
          <w:rFonts w:ascii="Times New Roman" w:eastAsia="Times New Roman" w:hAnsi="Times New Roman" w:cs="Times New Roman"/>
          <w:bCs/>
          <w:sz w:val="24"/>
          <w:szCs w:val="24"/>
          <w:lang w:eastAsia="en-US"/>
        </w:rPr>
        <w:t xml:space="preserve"> dyrektywie Parlamentu Europejskiego i Rady 2012/18/UE z </w:t>
      </w:r>
      <w:r w:rsidRPr="00A535CD">
        <w:rPr>
          <w:rFonts w:ascii="Times New Roman" w:hAnsi="Times New Roman" w:cs="Times New Roman"/>
          <w:sz w:val="24"/>
          <w:szCs w:val="24"/>
        </w:rPr>
        <w:t xml:space="preserve">dnia 4 lipca 2012 r. </w:t>
      </w:r>
      <w:r w:rsidRPr="00A535CD">
        <w:rPr>
          <w:rFonts w:ascii="Times New Roman" w:hAnsi="Times New Roman" w:cs="Times New Roman"/>
          <w:i/>
          <w:sz w:val="24"/>
          <w:szCs w:val="24"/>
        </w:rPr>
        <w:t>w sprawie kontroli zagrożeń poważnymi awariami związanymi z substancjami niebezpiecznymi, zmieniająca, a następnie uchylająca dyrektywę Rady 96/82/WE</w:t>
      </w:r>
      <w:r w:rsidRPr="00A535CD">
        <w:rPr>
          <w:rFonts w:ascii="Times New Roman" w:eastAsia="Times New Roman" w:hAnsi="Times New Roman" w:cs="Times New Roman"/>
          <w:sz w:val="24"/>
          <w:szCs w:val="24"/>
          <w:lang w:eastAsia="pl-PL"/>
        </w:rPr>
        <w:t xml:space="preserve"> (Dz. Urz. UE </w:t>
      </w:r>
      <w:r w:rsidRPr="00A535CD">
        <w:rPr>
          <w:rFonts w:ascii="Times New Roman" w:hAnsi="Times New Roman" w:cs="Times New Roman"/>
          <w:sz w:val="24"/>
          <w:szCs w:val="24"/>
        </w:rPr>
        <w:t>L 197 z 24.</w:t>
      </w:r>
      <w:r w:rsidR="00370874">
        <w:rPr>
          <w:rFonts w:ascii="Times New Roman" w:hAnsi="Times New Roman" w:cs="Times New Roman"/>
          <w:sz w:val="24"/>
          <w:szCs w:val="24"/>
        </w:rPr>
        <w:t>0</w:t>
      </w:r>
      <w:r w:rsidRPr="00A535CD">
        <w:rPr>
          <w:rFonts w:ascii="Times New Roman" w:hAnsi="Times New Roman" w:cs="Times New Roman"/>
          <w:sz w:val="24"/>
          <w:szCs w:val="24"/>
        </w:rPr>
        <w:t xml:space="preserve">7.2012, str. 1) oraz </w:t>
      </w:r>
      <w:r w:rsidRPr="00A535CD">
        <w:rPr>
          <w:rFonts w:ascii="Times New Roman" w:eastAsia="Times New Roman" w:hAnsi="Times New Roman" w:cs="Times New Roman"/>
          <w:bCs/>
          <w:sz w:val="24"/>
          <w:szCs w:val="24"/>
          <w:lang w:eastAsia="en-US"/>
        </w:rPr>
        <w:t>dyrektywie Parlamentu Europejskiego i Rady 2010/75/UE z dnia 24 listopada 2010 r</w:t>
      </w:r>
      <w:r w:rsidRPr="00A535CD">
        <w:rPr>
          <w:rFonts w:ascii="Times New Roman" w:eastAsia="Times New Roman" w:hAnsi="Times New Roman" w:cs="Times New Roman"/>
          <w:bCs/>
          <w:i/>
          <w:sz w:val="24"/>
          <w:szCs w:val="24"/>
          <w:lang w:eastAsia="en-US"/>
        </w:rPr>
        <w:t>. w sprawie emisji przemysłowych</w:t>
      </w:r>
      <w:r w:rsidRPr="00A535CD">
        <w:rPr>
          <w:rFonts w:ascii="Times New Roman" w:eastAsia="Times New Roman" w:hAnsi="Times New Roman" w:cs="Times New Roman"/>
          <w:sz w:val="24"/>
          <w:szCs w:val="24"/>
          <w:lang w:eastAsia="pl-PL"/>
        </w:rPr>
        <w:t>.</w:t>
      </w:r>
    </w:p>
    <w:p w:rsidR="00BE3CFA" w:rsidRPr="00A535CD" w:rsidRDefault="003D2A9F" w:rsidP="00A535CD">
      <w:pPr>
        <w:pStyle w:val="Akapitzlist"/>
        <w:keepNext/>
        <w:numPr>
          <w:ilvl w:val="0"/>
          <w:numId w:val="4"/>
        </w:numPr>
        <w:autoSpaceDE w:val="0"/>
        <w:autoSpaceDN w:val="0"/>
        <w:adjustRightInd w:val="0"/>
        <w:spacing w:before="120" w:after="0" w:line="360" w:lineRule="auto"/>
        <w:ind w:left="518" w:hanging="504"/>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lastRenderedPageBreak/>
        <w:t>Odpady rtęciowe (art. 11 Konwencji)</w:t>
      </w:r>
    </w:p>
    <w:p w:rsidR="00BE3CFA" w:rsidRPr="00A535CD" w:rsidRDefault="003D2A9F" w:rsidP="00A535CD">
      <w:pPr>
        <w:keepNext/>
        <w:autoSpaceDE w:val="0"/>
        <w:autoSpaceDN w:val="0"/>
        <w:adjustRightInd w:val="0"/>
        <w:spacing w:before="120" w:after="0" w:line="360" w:lineRule="auto"/>
        <w:jc w:val="both"/>
        <w:rPr>
          <w:rFonts w:ascii="Times New Roman" w:hAnsi="Times New Roman" w:cs="Times New Roman"/>
          <w:color w:val="000000"/>
          <w:sz w:val="24"/>
          <w:szCs w:val="24"/>
        </w:rPr>
      </w:pPr>
      <w:r w:rsidRPr="00A535CD">
        <w:rPr>
          <w:rFonts w:ascii="Times New Roman" w:eastAsia="Times New Roman" w:hAnsi="Times New Roman" w:cs="Times New Roman"/>
          <w:bCs/>
          <w:sz w:val="24"/>
          <w:szCs w:val="24"/>
          <w:lang w:eastAsia="en-US"/>
        </w:rPr>
        <w:t xml:space="preserve">Odpady rtęciowe w rozumieniu Konwencji oznaczają </w:t>
      </w:r>
      <w:r w:rsidRPr="00A535CD">
        <w:rPr>
          <w:rFonts w:ascii="Times New Roman" w:hAnsi="Times New Roman" w:cs="Times New Roman"/>
          <w:color w:val="000000"/>
          <w:sz w:val="24"/>
          <w:szCs w:val="24"/>
        </w:rPr>
        <w:t xml:space="preserve">substancje lub obiekty: </w:t>
      </w:r>
    </w:p>
    <w:p w:rsidR="00BE3CFA" w:rsidRPr="00A535CD" w:rsidRDefault="003D2A9F" w:rsidP="00A535CD">
      <w:pPr>
        <w:pStyle w:val="Akapitzlist"/>
        <w:keepNext/>
        <w:numPr>
          <w:ilvl w:val="0"/>
          <w:numId w:val="31"/>
        </w:numPr>
        <w:autoSpaceDE w:val="0"/>
        <w:autoSpaceDN w:val="0"/>
        <w:adjustRightInd w:val="0"/>
        <w:spacing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składające się z rtęci lub związków rtęci, </w:t>
      </w:r>
    </w:p>
    <w:p w:rsidR="00BE3CFA" w:rsidRPr="00A535CD" w:rsidRDefault="003D2A9F" w:rsidP="00A535CD">
      <w:pPr>
        <w:pStyle w:val="Akapitzlist"/>
        <w:numPr>
          <w:ilvl w:val="0"/>
          <w:numId w:val="31"/>
        </w:numPr>
        <w:autoSpaceDE w:val="0"/>
        <w:autoSpaceDN w:val="0"/>
        <w:adjustRightInd w:val="0"/>
        <w:spacing w:before="12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zawierające rtęć lub związki rtęci, lub </w:t>
      </w:r>
    </w:p>
    <w:p w:rsidR="00BE3CFA" w:rsidRPr="00A535CD" w:rsidRDefault="003D2A9F" w:rsidP="00A535CD">
      <w:pPr>
        <w:pStyle w:val="Akapitzlist"/>
        <w:numPr>
          <w:ilvl w:val="0"/>
          <w:numId w:val="31"/>
        </w:numPr>
        <w:autoSpaceDE w:val="0"/>
        <w:autoSpaceDN w:val="0"/>
        <w:adjustRightInd w:val="0"/>
        <w:spacing w:before="12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zanieczyszczone rtęcią lub związkami rtęci, </w:t>
      </w:r>
    </w:p>
    <w:p w:rsidR="00BE3CFA" w:rsidRPr="00A535CD" w:rsidRDefault="003D2A9F" w:rsidP="00A535CD">
      <w:pPr>
        <w:tabs>
          <w:tab w:val="left" w:pos="6663"/>
          <w:tab w:val="left" w:pos="7514"/>
        </w:tabs>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w ilości przekraczającej progi określone przez COP, we współpracy z organami Konwencji bazylejskiej </w:t>
      </w:r>
      <w:r w:rsidRPr="00A535CD">
        <w:rPr>
          <w:rFonts w:ascii="Times New Roman" w:hAnsi="Times New Roman" w:cs="Times New Roman"/>
          <w:i/>
          <w:iCs/>
          <w:sz w:val="24"/>
          <w:szCs w:val="24"/>
        </w:rPr>
        <w:t>o kontroli transgranicznego przemieszczania i usuwania odpadów niebezpiecznych, sporządzonej w Bazylei 22.03.1989 r.</w:t>
      </w:r>
      <w:r w:rsidRPr="00A535CD">
        <w:rPr>
          <w:rFonts w:ascii="Times New Roman" w:eastAsia="Times New Roman" w:hAnsi="Times New Roman" w:cs="Times New Roman"/>
          <w:sz w:val="24"/>
          <w:szCs w:val="24"/>
          <w:lang w:eastAsia="pl-PL"/>
        </w:rPr>
        <w:t xml:space="preserve"> (Dz. U. z 1995 r. poz. 88</w:t>
      </w:r>
      <w:r w:rsidRPr="00A535CD">
        <w:rPr>
          <w:rFonts w:ascii="Times New Roman" w:hAnsi="Times New Roman" w:cs="Times New Roman"/>
          <w:sz w:val="24"/>
          <w:szCs w:val="24"/>
        </w:rPr>
        <w:t>) (dalej: Konwencja bazylejska)</w:t>
      </w:r>
      <w:r w:rsidRPr="00A535CD">
        <w:rPr>
          <w:rFonts w:ascii="Times New Roman" w:hAnsi="Times New Roman" w:cs="Times New Roman"/>
          <w:color w:val="000000"/>
          <w:sz w:val="24"/>
          <w:szCs w:val="24"/>
        </w:rPr>
        <w:t xml:space="preserve">. Za odpady rtęciowe uznaje się te, które są unieszkodliwiane, których unieszkodliwianie zamierza się przeprowadzić, albo których unieszkodliwianie jest wymagane na mocy przepisów prawa krajowego lub Konwencji. Definicja ta wyklucza nadkłady, odpady skalne i zwałowiska z kopalnictwa, </w:t>
      </w:r>
      <w:r w:rsidR="00DB2925" w:rsidRPr="00A535CD">
        <w:rPr>
          <w:rFonts w:ascii="Times New Roman" w:hAnsi="Times New Roman" w:cs="Times New Roman"/>
          <w:color w:val="000000"/>
          <w:sz w:val="24"/>
          <w:szCs w:val="24"/>
        </w:rPr>
        <w:t>z</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wyjątkiem wydobycia podstawowego rtęci, chyba że zawierają rtęć lub związki rtęci w ilościach przekraczających progi określone przez COP.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Konwencja ustanawia obowiązki w zakresie odpowiedniego gospodarowania odpadami rtęciowymi, tj. obowiązki dotyczące zarządzania bezpiecznego dla środowiska, odzyskiwania i przetwarzania wyłącznie na cele dozwolone oraz unieszkodliwiania odpadów w sposób bezpieczny dla środowiska.</w:t>
      </w:r>
    </w:p>
    <w:p w:rsidR="00BE3CFA" w:rsidRPr="00A535CD" w:rsidRDefault="003D2A9F" w:rsidP="00A535CD">
      <w:pPr>
        <w:tabs>
          <w:tab w:val="left" w:pos="6663"/>
          <w:tab w:val="left" w:pos="7514"/>
        </w:tabs>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Konwencja wprowadza obowiązek podjęcia odpowiednich działań w celu zagwarantowania, że odpady rtęciowe: </w:t>
      </w:r>
    </w:p>
    <w:p w:rsidR="00BE3CFA" w:rsidRPr="00A535CD" w:rsidRDefault="003D2A9F" w:rsidP="00A535CD">
      <w:pPr>
        <w:pStyle w:val="Akapitzlist"/>
        <w:numPr>
          <w:ilvl w:val="0"/>
          <w:numId w:val="32"/>
        </w:numPr>
        <w:tabs>
          <w:tab w:val="left" w:pos="6663"/>
          <w:tab w:val="left" w:pos="7514"/>
        </w:tabs>
        <w:spacing w:after="0" w:line="360" w:lineRule="auto"/>
        <w:ind w:left="504" w:hanging="476"/>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podlegają zarządzaniu w sposób bezpieczny dla środowiska, przy uwzględnieniu wytycznych opracowanych na mocy Konwencji bazylejskiej i zgodnie </w:t>
      </w:r>
      <w:r w:rsidR="00DB2925" w:rsidRPr="00A535CD">
        <w:rPr>
          <w:rFonts w:ascii="Times New Roman" w:hAnsi="Times New Roman" w:cs="Times New Roman"/>
          <w:color w:val="000000"/>
          <w:sz w:val="24"/>
          <w:szCs w:val="24"/>
        </w:rPr>
        <w:t>z</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wymogami, które COP przyjmie w dodatkowym załączniku do Konwencji. Przy opracowywaniu wymogów COP bierze pod uwagę przepisy krajowe i dokumenty programowe Stron dotyczące gospodarowania odpadami</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32"/>
        </w:numPr>
        <w:tabs>
          <w:tab w:val="left" w:pos="6663"/>
          <w:tab w:val="left" w:pos="7514"/>
        </w:tabs>
        <w:spacing w:after="0" w:line="360" w:lineRule="auto"/>
        <w:ind w:left="504" w:hanging="476"/>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są odzyskiwane, poddawane recyklingowi, regenerowane lub bezpośrednio stosowane ponownie tylko w celu dopuszczonym na mocy Konwencji dla danej Strony, lub w celu unieszkodliwienia w sposób bezpieczny dla środowiska</w:t>
      </w:r>
      <w:r w:rsidR="00883A03">
        <w:rPr>
          <w:rFonts w:ascii="Times New Roman" w:hAnsi="Times New Roman" w:cs="Times New Roman"/>
          <w:color w:val="000000"/>
          <w:sz w:val="24"/>
          <w:szCs w:val="24"/>
        </w:rPr>
        <w:t>,</w:t>
      </w:r>
    </w:p>
    <w:p w:rsidR="00BE3CFA" w:rsidRPr="00A535CD" w:rsidRDefault="003D2A9F" w:rsidP="00A535CD">
      <w:pPr>
        <w:pStyle w:val="Akapitzlist"/>
        <w:numPr>
          <w:ilvl w:val="0"/>
          <w:numId w:val="32"/>
        </w:numPr>
        <w:tabs>
          <w:tab w:val="left" w:pos="6663"/>
          <w:tab w:val="left" w:pos="7514"/>
        </w:tabs>
        <w:spacing w:after="0" w:line="360" w:lineRule="auto"/>
        <w:ind w:left="504" w:hanging="476"/>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w odniesieniu do Stron Konwencji bazylejskiej nie są przewożone przez granice państwowe, z wyjątkiem przewożenia do celów unieszkodliwienia w sposób bezpieczny dla środowiska. W sytuacji gdy Konwencja bazylejska nie ma </w:t>
      </w:r>
      <w:r w:rsidRPr="00A535CD">
        <w:rPr>
          <w:rFonts w:ascii="Times New Roman" w:hAnsi="Times New Roman" w:cs="Times New Roman"/>
          <w:color w:val="000000"/>
          <w:sz w:val="24"/>
          <w:szCs w:val="24"/>
        </w:rPr>
        <w:lastRenderedPageBreak/>
        <w:t xml:space="preserve">zastosowania do przewozu przez granice państwowe, Strona zezwala na taki przewóz tylko po uwzględnieniu odpowiednich międzynarodowych przepisów, norm i wytycznych.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bCs/>
          <w:sz w:val="24"/>
          <w:szCs w:val="24"/>
          <w:lang w:eastAsia="en-US"/>
        </w:rPr>
        <w:t xml:space="preserve">Prawo UE reguluje przedmiotowe kwestie w </w:t>
      </w:r>
      <w:r w:rsidRPr="00A535CD">
        <w:rPr>
          <w:rFonts w:ascii="Times New Roman" w:eastAsia="Times New Roman" w:hAnsi="Times New Roman" w:cs="Times New Roman"/>
          <w:iCs/>
          <w:sz w:val="24"/>
          <w:szCs w:val="24"/>
          <w:lang w:eastAsia="pl-PL"/>
        </w:rPr>
        <w:t>rozporządzeniu Parlamentu Europejskiego i Rady (UE) nr 2017/852</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iCs/>
          <w:sz w:val="24"/>
          <w:szCs w:val="24"/>
          <w:lang w:eastAsia="pl-PL"/>
        </w:rPr>
        <w:t>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bCs/>
          <w:sz w:val="24"/>
          <w:szCs w:val="24"/>
          <w:lang w:eastAsia="en-US"/>
        </w:rPr>
        <w:t xml:space="preserve">. </w:t>
      </w:r>
    </w:p>
    <w:p w:rsidR="00BE3CFA" w:rsidRPr="00A535CD" w:rsidRDefault="003D2A9F" w:rsidP="00A535CD">
      <w:pPr>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shd w:val="clear" w:color="auto" w:fill="FFFFFF"/>
          <w:lang w:eastAsia="pl-PL"/>
        </w:rPr>
        <w:t xml:space="preserve">W polskim porządku prawnym zawarto ogólne zasady gospodarowania odpadami, </w:t>
      </w:r>
      <w:r w:rsidR="00DB2925" w:rsidRPr="00A535CD">
        <w:rPr>
          <w:rFonts w:ascii="Times New Roman" w:eastAsia="Times New Roman" w:hAnsi="Times New Roman" w:cs="Times New Roman"/>
          <w:sz w:val="24"/>
          <w:szCs w:val="24"/>
          <w:shd w:val="clear" w:color="auto" w:fill="FFFFFF"/>
          <w:lang w:eastAsia="pl-PL"/>
        </w:rPr>
        <w:t>w</w:t>
      </w:r>
      <w:r w:rsidR="00DB2925">
        <w:rPr>
          <w:rFonts w:ascii="Times New Roman" w:eastAsia="Times New Roman" w:hAnsi="Times New Roman" w:cs="Times New Roman"/>
          <w:sz w:val="24"/>
          <w:szCs w:val="24"/>
          <w:shd w:val="clear" w:color="auto" w:fill="FFFFFF"/>
          <w:lang w:eastAsia="pl-PL"/>
        </w:rPr>
        <w:t> </w:t>
      </w:r>
      <w:r w:rsidRPr="00A535CD">
        <w:rPr>
          <w:rFonts w:ascii="Times New Roman" w:eastAsia="Times New Roman" w:hAnsi="Times New Roman" w:cs="Times New Roman"/>
          <w:sz w:val="24"/>
          <w:szCs w:val="24"/>
          <w:shd w:val="clear" w:color="auto" w:fill="FFFFFF"/>
          <w:lang w:eastAsia="pl-PL"/>
        </w:rPr>
        <w:t xml:space="preserve">tym z odpadami niebezpiecznymi w ustawie z dnia 14 grudnia 2012 r. </w:t>
      </w:r>
      <w:r w:rsidRPr="00A535CD">
        <w:rPr>
          <w:rFonts w:ascii="Times New Roman" w:eastAsia="Times New Roman" w:hAnsi="Times New Roman" w:cs="Times New Roman"/>
          <w:i/>
          <w:sz w:val="24"/>
          <w:szCs w:val="24"/>
          <w:shd w:val="clear" w:color="auto" w:fill="FFFFFF"/>
          <w:lang w:eastAsia="pl-PL"/>
        </w:rPr>
        <w:t>o odpadach</w:t>
      </w:r>
      <w:r w:rsidRPr="00A535CD">
        <w:rPr>
          <w:rFonts w:ascii="Times New Roman" w:eastAsia="Times New Roman" w:hAnsi="Times New Roman" w:cs="Times New Roman"/>
          <w:bCs/>
          <w:sz w:val="24"/>
          <w:szCs w:val="24"/>
          <w:lang w:eastAsia="en-US"/>
        </w:rPr>
        <w:t xml:space="preserve"> (Dz.</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 xml:space="preserve">U. </w:t>
      </w:r>
      <w:r w:rsidR="00BE3CFA" w:rsidRPr="00A535CD">
        <w:rPr>
          <w:rFonts w:ascii="Times New Roman" w:eastAsia="Times New Roman" w:hAnsi="Times New Roman" w:cs="Times New Roman"/>
          <w:bCs/>
          <w:sz w:val="24"/>
          <w:szCs w:val="24"/>
          <w:lang w:eastAsia="en-US"/>
        </w:rPr>
        <w:t>z</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2020 r. poz. 797, z późn. zm.) (dalej: ustawa z dnia 14 grudnia 2012 r. </w:t>
      </w:r>
      <w:r w:rsidR="00DB2925" w:rsidRPr="00A535CD">
        <w:rPr>
          <w:rFonts w:ascii="Times New Roman" w:eastAsia="Times New Roman" w:hAnsi="Times New Roman" w:cs="Times New Roman"/>
          <w:bCs/>
          <w:i/>
          <w:iCs/>
          <w:sz w:val="24"/>
          <w:szCs w:val="24"/>
          <w:lang w:eastAsia="en-US"/>
        </w:rPr>
        <w:t>o</w:t>
      </w:r>
      <w:r w:rsidR="00DB2925">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odpadach</w:t>
      </w:r>
      <w:r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sz w:val="24"/>
          <w:szCs w:val="24"/>
          <w:shd w:val="clear" w:color="auto" w:fill="FFFFFF"/>
          <w:lang w:eastAsia="pl-PL"/>
        </w:rPr>
        <w:t xml:space="preserve"> Natomiast szczegółowe zasady dotyczące czasowego składowania odpadów rtęci metalicznej reguluje</w:t>
      </w:r>
      <w:r w:rsidR="00F44930" w:rsidRPr="00E6579D">
        <w:rPr>
          <w:rFonts w:ascii="Times New Roman" w:eastAsia="Times New Roman" w:hAnsi="Times New Roman" w:cs="Times New Roman"/>
          <w:sz w:val="24"/>
          <w:szCs w:val="24"/>
          <w:shd w:val="clear" w:color="auto" w:fill="FFFFFF"/>
          <w:lang w:eastAsia="pl-PL"/>
        </w:rPr>
        <w:t xml:space="preserve"> </w:t>
      </w:r>
      <w:r w:rsidRPr="00A535CD">
        <w:rPr>
          <w:rFonts w:ascii="Times New Roman" w:eastAsia="Times New Roman" w:hAnsi="Times New Roman" w:cs="Times New Roman"/>
          <w:sz w:val="24"/>
          <w:szCs w:val="24"/>
          <w:shd w:val="clear" w:color="auto" w:fill="FFFFFF"/>
          <w:lang w:eastAsia="pl-PL"/>
        </w:rPr>
        <w:t>rozporządzenie Ministra Środowiska</w:t>
      </w:r>
      <w:r w:rsidR="00F44930" w:rsidRPr="00E6579D">
        <w:rPr>
          <w:rFonts w:ascii="Times New Roman" w:eastAsia="Times New Roman" w:hAnsi="Times New Roman" w:cs="Times New Roman"/>
          <w:sz w:val="24"/>
          <w:szCs w:val="24"/>
          <w:shd w:val="clear" w:color="auto" w:fill="FFFFFF"/>
          <w:lang w:eastAsia="pl-PL"/>
        </w:rPr>
        <w:t xml:space="preserve"> </w:t>
      </w:r>
      <w:r w:rsidRPr="00A535CD">
        <w:rPr>
          <w:rFonts w:ascii="Times New Roman" w:eastAsia="Times New Roman" w:hAnsi="Times New Roman" w:cs="Times New Roman"/>
          <w:sz w:val="24"/>
          <w:szCs w:val="24"/>
          <w:shd w:val="clear" w:color="auto" w:fill="FFFFFF"/>
          <w:lang w:eastAsia="pl-PL"/>
        </w:rPr>
        <w:t>z dnia 30 kwietnia 2013 r.</w:t>
      </w:r>
      <w:r w:rsidR="00F44930" w:rsidRPr="00E6579D">
        <w:rPr>
          <w:rFonts w:ascii="Times New Roman" w:eastAsia="Times New Roman" w:hAnsi="Times New Roman" w:cs="Times New Roman"/>
          <w:sz w:val="24"/>
          <w:szCs w:val="24"/>
          <w:shd w:val="clear" w:color="auto" w:fill="FFFFFF"/>
          <w:lang w:eastAsia="pl-PL"/>
        </w:rPr>
        <w:t xml:space="preserve"> </w:t>
      </w:r>
      <w:r w:rsidR="00BE3CFA" w:rsidRPr="00A535CD">
        <w:rPr>
          <w:rFonts w:ascii="Times New Roman" w:eastAsia="Times New Roman" w:hAnsi="Times New Roman" w:cs="Times New Roman"/>
          <w:i/>
          <w:iCs/>
          <w:sz w:val="24"/>
          <w:szCs w:val="24"/>
          <w:shd w:val="clear" w:color="auto" w:fill="FFFFFF"/>
          <w:lang w:eastAsia="pl-PL"/>
        </w:rPr>
        <w:t>w</w:t>
      </w:r>
      <w:r w:rsidR="00BE3CFA">
        <w:rPr>
          <w:rFonts w:ascii="Times New Roman" w:eastAsia="Times New Roman" w:hAnsi="Times New Roman" w:cs="Times New Roman"/>
          <w:i/>
          <w:iCs/>
          <w:sz w:val="24"/>
          <w:szCs w:val="24"/>
          <w:shd w:val="clear" w:color="auto" w:fill="FFFFFF"/>
          <w:lang w:eastAsia="pl-PL"/>
        </w:rPr>
        <w:t> </w:t>
      </w:r>
      <w:r w:rsidRPr="00A535CD">
        <w:rPr>
          <w:rFonts w:ascii="Times New Roman" w:eastAsia="Times New Roman" w:hAnsi="Times New Roman" w:cs="Times New Roman"/>
          <w:i/>
          <w:iCs/>
          <w:sz w:val="24"/>
          <w:szCs w:val="24"/>
          <w:shd w:val="clear" w:color="auto" w:fill="FFFFFF"/>
          <w:lang w:eastAsia="pl-PL"/>
        </w:rPr>
        <w:t>sprawie składowisk odpadów</w:t>
      </w:r>
      <w:r w:rsidR="00F44930" w:rsidRPr="00E6579D">
        <w:rPr>
          <w:rFonts w:ascii="Times New Roman" w:eastAsia="Times New Roman" w:hAnsi="Times New Roman" w:cs="Times New Roman"/>
          <w:sz w:val="24"/>
          <w:szCs w:val="24"/>
          <w:shd w:val="clear" w:color="auto" w:fill="FFFFFF"/>
          <w:lang w:eastAsia="pl-PL"/>
        </w:rPr>
        <w:t xml:space="preserve"> </w:t>
      </w:r>
      <w:r w:rsidRPr="00A535CD">
        <w:rPr>
          <w:rFonts w:ascii="Times New Roman" w:eastAsia="Times New Roman" w:hAnsi="Times New Roman" w:cs="Times New Roman"/>
          <w:sz w:val="24"/>
          <w:szCs w:val="24"/>
          <w:shd w:val="clear" w:color="auto" w:fill="FFFFFF"/>
          <w:lang w:eastAsia="pl-PL"/>
        </w:rPr>
        <w:t>(Dz.</w:t>
      </w:r>
      <w:r w:rsidR="00F44930" w:rsidRPr="00E6579D">
        <w:rPr>
          <w:rFonts w:ascii="Times New Roman" w:eastAsia="Times New Roman" w:hAnsi="Times New Roman" w:cs="Times New Roman"/>
          <w:sz w:val="24"/>
          <w:szCs w:val="24"/>
          <w:shd w:val="clear" w:color="auto" w:fill="FFFFFF"/>
          <w:lang w:eastAsia="pl-PL"/>
        </w:rPr>
        <w:t xml:space="preserve"> </w:t>
      </w:r>
      <w:r w:rsidR="00322262">
        <w:rPr>
          <w:rFonts w:ascii="Times New Roman" w:eastAsia="Times New Roman" w:hAnsi="Times New Roman" w:cs="Times New Roman"/>
          <w:sz w:val="24"/>
          <w:szCs w:val="24"/>
          <w:shd w:val="clear" w:color="auto" w:fill="FFFFFF"/>
          <w:lang w:eastAsia="pl-PL"/>
        </w:rPr>
        <w:t>U.</w:t>
      </w:r>
      <w:r w:rsidRPr="00A535CD">
        <w:rPr>
          <w:rFonts w:ascii="Times New Roman" w:eastAsia="Times New Roman" w:hAnsi="Times New Roman" w:cs="Times New Roman"/>
          <w:sz w:val="24"/>
          <w:szCs w:val="24"/>
          <w:shd w:val="clear" w:color="auto" w:fill="FFFFFF"/>
          <w:lang w:eastAsia="pl-PL"/>
        </w:rPr>
        <w:t xml:space="preserve"> poz. 523).</w:t>
      </w:r>
    </w:p>
    <w:p w:rsidR="00BE3CFA" w:rsidRPr="00A535CD" w:rsidRDefault="003D2A9F" w:rsidP="00A535CD">
      <w:pPr>
        <w:pStyle w:val="Akapitzlist"/>
        <w:numPr>
          <w:ilvl w:val="0"/>
          <w:numId w:val="4"/>
        </w:numPr>
        <w:autoSpaceDE w:val="0"/>
        <w:autoSpaceDN w:val="0"/>
        <w:adjustRightInd w:val="0"/>
        <w:spacing w:before="120" w:after="0" w:line="360" w:lineRule="auto"/>
        <w:ind w:left="490" w:hanging="476"/>
        <w:jc w:val="both"/>
        <w:rPr>
          <w:rFonts w:ascii="Times New Roman" w:eastAsia="Times New Roman" w:hAnsi="Times New Roman" w:cs="Times New Roman"/>
          <w:bCs/>
          <w:sz w:val="24"/>
          <w:szCs w:val="24"/>
          <w:u w:val="single"/>
          <w:lang w:eastAsia="en-US"/>
        </w:rPr>
      </w:pPr>
      <w:r w:rsidRPr="00A535CD">
        <w:rPr>
          <w:rFonts w:ascii="Times New Roman" w:eastAsia="Times New Roman" w:hAnsi="Times New Roman" w:cs="Times New Roman"/>
          <w:bCs/>
          <w:sz w:val="24"/>
          <w:szCs w:val="24"/>
          <w:u w:val="single"/>
          <w:lang w:eastAsia="en-US"/>
        </w:rPr>
        <w:t>Miejsca zanieczyszczone (art. 12 Konwencji)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Zgodnie z postanowieniami Konwencji, Strony dążą </w:t>
      </w:r>
      <w:r w:rsidRPr="00A535CD">
        <w:rPr>
          <w:rFonts w:ascii="Times New Roman" w:hAnsi="Times New Roman" w:cs="Times New Roman"/>
          <w:color w:val="000000"/>
          <w:sz w:val="24"/>
          <w:szCs w:val="24"/>
        </w:rPr>
        <w:t xml:space="preserve">do opracowania odpowiednich strategii identyfikacji i oceny miejsc zanieczyszczonych rtęcią lub związkami rtęci. </w:t>
      </w:r>
    </w:p>
    <w:p w:rsidR="00BE3CFA" w:rsidRPr="00A535CD" w:rsidRDefault="003D2A9F" w:rsidP="00A535CD">
      <w:pPr>
        <w:tabs>
          <w:tab w:val="left" w:pos="7514"/>
        </w:tabs>
        <w:spacing w:before="120" w:after="0" w:line="360" w:lineRule="auto"/>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Działania mające na celu zmniejszenie ryzyka, jakie stanowią takie miejsca, muszą być prowadzone w sposób bezpieczny dla środowiska i obejmować, w stosownych przypadkach, ocenę ryzyka dla zdrowia ludzkiego i środowiska, wskutek działania rtęci lub związków rtęci, jakie tam się znajdują.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Strony zachęca się również do współpracy w opracowywaniu strategii i wdrażaniu działań mających na celu identyfikację, ocenę, ustalanie priorytetów i zarządzanie miejscami zanieczyszczonymi oraz, w stosownych przypadkach, ich rekultywację.</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Prawodawstwo UE reguluje te kwestie w </w:t>
      </w:r>
      <w:r w:rsidRPr="00A535CD">
        <w:rPr>
          <w:rFonts w:ascii="Times New Roman" w:eastAsia="Times New Roman" w:hAnsi="Times New Roman" w:cs="Times New Roman"/>
          <w:iCs/>
          <w:sz w:val="24"/>
          <w:szCs w:val="24"/>
          <w:lang w:eastAsia="pl-PL"/>
        </w:rPr>
        <w:t xml:space="preserve">rozporządzeniu Parlamentu Europejskiego </w:t>
      </w:r>
      <w:r w:rsidR="00BE3CFA" w:rsidRPr="00A535CD">
        <w:rPr>
          <w:rFonts w:ascii="Times New Roman" w:eastAsia="Times New Roman" w:hAnsi="Times New Roman" w:cs="Times New Roman"/>
          <w:iCs/>
          <w:sz w:val="24"/>
          <w:szCs w:val="24"/>
          <w:lang w:eastAsia="pl-PL"/>
        </w:rPr>
        <w:t>i</w:t>
      </w:r>
      <w:r w:rsidR="00BE3CFA">
        <w:rPr>
          <w:rFonts w:ascii="Times New Roman" w:eastAsia="Times New Roman" w:hAnsi="Times New Roman" w:cs="Times New Roman"/>
          <w:iCs/>
          <w:sz w:val="24"/>
          <w:szCs w:val="24"/>
          <w:lang w:eastAsia="pl-PL"/>
        </w:rPr>
        <w:t> </w:t>
      </w:r>
      <w:r w:rsidRPr="00A535CD">
        <w:rPr>
          <w:rFonts w:ascii="Times New Roman" w:eastAsia="Times New Roman" w:hAnsi="Times New Roman" w:cs="Times New Roman"/>
          <w:iCs/>
          <w:sz w:val="24"/>
          <w:szCs w:val="24"/>
          <w:lang w:eastAsia="pl-PL"/>
        </w:rPr>
        <w:t>Rady (UE) nr 2017/852 z dnia 1</w:t>
      </w:r>
      <w:r w:rsidRPr="00A535CD">
        <w:rPr>
          <w:rFonts w:ascii="Times New Roman" w:eastAsia="Times New Roman" w:hAnsi="Times New Roman" w:cs="Times New Roman"/>
          <w:sz w:val="24"/>
          <w:szCs w:val="24"/>
          <w:lang w:eastAsia="pl-PL"/>
        </w:rPr>
        <w:t xml:space="preserve">7 </w:t>
      </w:r>
      <w:r w:rsidRPr="00A535CD">
        <w:rPr>
          <w:rFonts w:ascii="Times New Roman" w:eastAsia="Times New Roman" w:hAnsi="Times New Roman" w:cs="Times New Roman"/>
          <w:iCs/>
          <w:sz w:val="24"/>
          <w:szCs w:val="24"/>
          <w:lang w:eastAsia="pl-PL"/>
        </w:rPr>
        <w:t xml:space="preserve">maja 2017 r. </w:t>
      </w:r>
      <w:r w:rsidRPr="00A535CD">
        <w:rPr>
          <w:rFonts w:ascii="Times New Roman" w:eastAsia="Times New Roman" w:hAnsi="Times New Roman" w:cs="Times New Roman"/>
          <w:i/>
          <w:iCs/>
          <w:sz w:val="24"/>
          <w:szCs w:val="24"/>
          <w:lang w:eastAsia="pl-PL"/>
        </w:rPr>
        <w:t>w sprawie rtęci</w:t>
      </w:r>
      <w:r w:rsidRPr="00A535CD">
        <w:rPr>
          <w:rFonts w:ascii="Times New Roman" w:eastAsia="Times New Roman" w:hAnsi="Times New Roman" w:cs="Times New Roman"/>
          <w:iCs/>
          <w:sz w:val="24"/>
          <w:szCs w:val="24"/>
          <w:lang w:eastAsia="pl-PL"/>
        </w:rPr>
        <w:t>.</w:t>
      </w:r>
      <w:r w:rsidRPr="00A535CD">
        <w:rPr>
          <w:rFonts w:ascii="Times New Roman" w:eastAsia="Times New Roman" w:hAnsi="Times New Roman" w:cs="Times New Roman"/>
          <w:bCs/>
          <w:sz w:val="24"/>
          <w:szCs w:val="24"/>
          <w:lang w:eastAsia="en-US"/>
        </w:rPr>
        <w:t xml:space="preserve"> Ogólne rozwiązania dotyczące zaradzania szkodom dotyczącym powierzchni ziemi wprowadza dyrektywa 2004/35/WE Parlamentu Europejskiego i Rady z dnia 21 kwietnia 2004 r. </w:t>
      </w:r>
      <w:r w:rsidRPr="00A535CD">
        <w:rPr>
          <w:rFonts w:ascii="Times New Roman" w:eastAsia="Times New Roman" w:hAnsi="Times New Roman" w:cs="Times New Roman"/>
          <w:bCs/>
          <w:i/>
          <w:sz w:val="24"/>
          <w:szCs w:val="24"/>
          <w:lang w:eastAsia="en-US"/>
        </w:rPr>
        <w:t>w sprawie odpowiedzialności za środowisko w odniesieniu do zapobiegania i zaradzania szkodom wyrządzonym środowisku naturalnemu</w:t>
      </w:r>
      <w:r w:rsidRPr="00A535CD">
        <w:rPr>
          <w:rFonts w:ascii="Times New Roman" w:eastAsia="Times New Roman" w:hAnsi="Times New Roman" w:cs="Times New Roman"/>
          <w:sz w:val="24"/>
          <w:szCs w:val="24"/>
          <w:lang w:eastAsia="pl-PL"/>
        </w:rPr>
        <w:t xml:space="preserve"> (Dz. Urz. UE </w:t>
      </w:r>
      <w:r w:rsidRPr="00A535CD">
        <w:rPr>
          <w:rFonts w:ascii="Times New Roman" w:hAnsi="Times New Roman" w:cs="Times New Roman"/>
          <w:sz w:val="24"/>
          <w:szCs w:val="24"/>
        </w:rPr>
        <w:t>L 143 z 30.04.2004,</w:t>
      </w:r>
      <w:r w:rsidR="00322262">
        <w:rPr>
          <w:rFonts w:ascii="Times New Roman" w:hAnsi="Times New Roman" w:cs="Times New Roman"/>
          <w:sz w:val="24"/>
          <w:szCs w:val="24"/>
        </w:rPr>
        <w:t xml:space="preserve"> str. 56,</w:t>
      </w:r>
      <w:r w:rsidRPr="00A535CD">
        <w:rPr>
          <w:rFonts w:ascii="Times New Roman" w:hAnsi="Times New Roman" w:cs="Times New Roman"/>
          <w:sz w:val="24"/>
          <w:szCs w:val="24"/>
        </w:rPr>
        <w:t xml:space="preserve"> </w:t>
      </w:r>
      <w:r w:rsidR="00DB2925" w:rsidRPr="00A535CD">
        <w:rPr>
          <w:rFonts w:ascii="Times New Roman" w:hAnsi="Times New Roman" w:cs="Times New Roman"/>
          <w:sz w:val="24"/>
          <w:szCs w:val="24"/>
        </w:rPr>
        <w:t>z</w:t>
      </w:r>
      <w:r w:rsidR="00DB2925">
        <w:rPr>
          <w:rFonts w:ascii="Times New Roman" w:hAnsi="Times New Roman" w:cs="Times New Roman"/>
          <w:sz w:val="24"/>
          <w:szCs w:val="24"/>
        </w:rPr>
        <w:t> </w:t>
      </w:r>
      <w:r w:rsidRPr="00A535CD">
        <w:rPr>
          <w:rFonts w:ascii="Times New Roman" w:hAnsi="Times New Roman" w:cs="Times New Roman"/>
          <w:sz w:val="24"/>
          <w:szCs w:val="24"/>
        </w:rPr>
        <w:t>późn. zm.)</w:t>
      </w:r>
      <w:r w:rsidRPr="00A535CD">
        <w:rPr>
          <w:rFonts w:ascii="Times New Roman" w:eastAsia="Times New Roman" w:hAnsi="Times New Roman" w:cs="Times New Roman"/>
          <w:bCs/>
          <w:sz w:val="24"/>
          <w:szCs w:val="24"/>
          <w:lang w:eastAsia="en-US"/>
        </w:rPr>
        <w:t xml:space="preserve">, która obejmuje jedynie przypadki zanieczyszczeń spowodowanych przez działalność podmiotu korzystającego ze środowiska stwarzającą ryzyko szkody </w:t>
      </w:r>
      <w:r w:rsidR="00DB2925" w:rsidRPr="00A535CD">
        <w:rPr>
          <w:rFonts w:ascii="Times New Roman" w:eastAsia="Times New Roman" w:hAnsi="Times New Roman" w:cs="Times New Roman"/>
          <w:bCs/>
          <w:sz w:val="24"/>
          <w:szCs w:val="24"/>
          <w:lang w:eastAsia="en-US"/>
        </w:rPr>
        <w:t>w</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środowisku. Dyrektywa nie odnosi się do zanieczyszczeń, które zaistniały przed 30 </w:t>
      </w:r>
      <w:r w:rsidRPr="00A535CD">
        <w:rPr>
          <w:rFonts w:ascii="Times New Roman" w:eastAsia="Times New Roman" w:hAnsi="Times New Roman" w:cs="Times New Roman"/>
          <w:bCs/>
          <w:sz w:val="24"/>
          <w:szCs w:val="24"/>
          <w:lang w:eastAsia="en-US"/>
        </w:rPr>
        <w:lastRenderedPageBreak/>
        <w:t xml:space="preserve">kwietnia 2007 r. lub wynikają z działalności, która została zakończona przed 30 kwietnia 2007 r., a także jeżeli od emisji lub zdarzenia, które spowodowały bezpośrednie zagrożenie szkodą lub szkodę w środowisku, upłynęło więcej niż 30 lat, </w:t>
      </w:r>
      <w:r w:rsidR="00DB2925" w:rsidRPr="00A535CD">
        <w:rPr>
          <w:rFonts w:ascii="Times New Roman" w:eastAsia="Times New Roman" w:hAnsi="Times New Roman" w:cs="Times New Roman"/>
          <w:bCs/>
          <w:sz w:val="24"/>
          <w:szCs w:val="24"/>
          <w:lang w:eastAsia="en-US"/>
        </w:rPr>
        <w:t>w</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tym do historycznego zanieczyszczenia powierzchni ziemi.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W Polsce przepisy związane z prowadzeniem rejestrów dotyczących zanieczyszczeń powierzchni ziemi, w tym zanieczyszczeń rtęcią, zostały wprowadzone na mocy ustawy z dnia 27 kwietnia 2001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sz w:val="24"/>
          <w:szCs w:val="24"/>
          <w:lang w:eastAsia="en-US"/>
        </w:rPr>
        <w:t xml:space="preserve">Prawo ochrony środowiska </w:t>
      </w:r>
      <w:r w:rsidRPr="00A535CD">
        <w:rPr>
          <w:rFonts w:ascii="Times New Roman" w:eastAsia="Times New Roman" w:hAnsi="Times New Roman" w:cs="Times New Roman"/>
          <w:bCs/>
          <w:sz w:val="24"/>
          <w:szCs w:val="24"/>
          <w:lang w:eastAsia="en-US"/>
        </w:rPr>
        <w:t xml:space="preserve">oraz ustawy z dnia 13 kwietnia 2007 r. </w:t>
      </w:r>
      <w:r w:rsidRPr="00A535CD">
        <w:rPr>
          <w:rFonts w:ascii="Times New Roman" w:eastAsia="Times New Roman" w:hAnsi="Times New Roman" w:cs="Times New Roman"/>
          <w:bCs/>
          <w:i/>
          <w:sz w:val="24"/>
          <w:szCs w:val="24"/>
          <w:lang w:eastAsia="en-US"/>
        </w:rPr>
        <w:t>o zapobieganiu szkodom w środowisku i ich naprawie</w:t>
      </w:r>
      <w:r w:rsidRPr="00A535CD">
        <w:rPr>
          <w:rFonts w:ascii="Times New Roman" w:eastAsia="Times New Roman" w:hAnsi="Times New Roman" w:cs="Times New Roman"/>
          <w:bCs/>
          <w:sz w:val="24"/>
          <w:szCs w:val="24"/>
          <w:lang w:eastAsia="en-US"/>
        </w:rPr>
        <w:t xml:space="preserve"> </w:t>
      </w:r>
      <w:r w:rsidRPr="00A535CD">
        <w:rPr>
          <w:rFonts w:ascii="Times New Roman" w:hAnsi="Times New Roman" w:cs="Times New Roman"/>
          <w:sz w:val="24"/>
          <w:szCs w:val="24"/>
        </w:rPr>
        <w:t>(Dz.</w:t>
      </w:r>
      <w:r w:rsidR="00F44930" w:rsidRPr="00E6579D">
        <w:rPr>
          <w:rFonts w:ascii="Times New Roman" w:hAnsi="Times New Roman" w:cs="Times New Roman"/>
          <w:sz w:val="24"/>
          <w:szCs w:val="24"/>
        </w:rPr>
        <w:t xml:space="preserve"> </w:t>
      </w:r>
      <w:r w:rsidRPr="00A535CD">
        <w:rPr>
          <w:rFonts w:ascii="Times New Roman" w:hAnsi="Times New Roman" w:cs="Times New Roman"/>
          <w:sz w:val="24"/>
          <w:szCs w:val="24"/>
        </w:rPr>
        <w:t xml:space="preserve">U. z 2020 r. poz. 2187) (dalej: ustawa </w:t>
      </w:r>
      <w:r w:rsidRPr="00A535CD">
        <w:rPr>
          <w:rFonts w:ascii="Times New Roman" w:eastAsia="Times New Roman" w:hAnsi="Times New Roman" w:cs="Times New Roman"/>
          <w:bCs/>
          <w:sz w:val="24"/>
          <w:szCs w:val="24"/>
          <w:lang w:eastAsia="en-US"/>
        </w:rPr>
        <w:t xml:space="preserve">z dnia 13 kwietnia 2007 r. </w:t>
      </w:r>
      <w:r w:rsidRPr="00A535CD">
        <w:rPr>
          <w:rFonts w:ascii="Times New Roman" w:eastAsia="Times New Roman" w:hAnsi="Times New Roman" w:cs="Times New Roman"/>
          <w:bCs/>
          <w:i/>
          <w:sz w:val="24"/>
          <w:szCs w:val="24"/>
          <w:lang w:eastAsia="en-US"/>
        </w:rPr>
        <w:t xml:space="preserve">o zapobieganiu szkodom w środowisku </w:t>
      </w:r>
      <w:r w:rsidR="00DB2925" w:rsidRPr="00A535CD">
        <w:rPr>
          <w:rFonts w:ascii="Times New Roman" w:eastAsia="Times New Roman" w:hAnsi="Times New Roman" w:cs="Times New Roman"/>
          <w:bCs/>
          <w:i/>
          <w:sz w:val="24"/>
          <w:szCs w:val="24"/>
          <w:lang w:eastAsia="en-US"/>
        </w:rPr>
        <w:t>i</w:t>
      </w:r>
      <w:r w:rsidR="00DB2925">
        <w:rPr>
          <w:rFonts w:ascii="Times New Roman" w:eastAsia="Times New Roman" w:hAnsi="Times New Roman" w:cs="Times New Roman"/>
          <w:bCs/>
          <w:i/>
          <w:sz w:val="24"/>
          <w:szCs w:val="24"/>
          <w:lang w:eastAsia="en-US"/>
        </w:rPr>
        <w:t> </w:t>
      </w:r>
      <w:r w:rsidRPr="00A535CD">
        <w:rPr>
          <w:rFonts w:ascii="Times New Roman" w:eastAsia="Times New Roman" w:hAnsi="Times New Roman" w:cs="Times New Roman"/>
          <w:bCs/>
          <w:i/>
          <w:sz w:val="24"/>
          <w:szCs w:val="24"/>
          <w:lang w:eastAsia="en-US"/>
        </w:rPr>
        <w:t>ich naprawie</w:t>
      </w:r>
      <w:r w:rsidRPr="00A535CD">
        <w:rPr>
          <w:rFonts w:ascii="Times New Roman" w:eastAsia="Times New Roman" w:hAnsi="Times New Roman" w:cs="Times New Roman"/>
          <w:bCs/>
          <w:iCs/>
          <w:sz w:val="24"/>
          <w:szCs w:val="24"/>
          <w:lang w:eastAsia="en-US"/>
        </w:rPr>
        <w:t>)</w:t>
      </w:r>
      <w:r w:rsidRPr="00A535CD">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
        </w:numPr>
        <w:autoSpaceDE w:val="0"/>
        <w:autoSpaceDN w:val="0"/>
        <w:adjustRightInd w:val="0"/>
        <w:spacing w:before="24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
          <w:bCs/>
          <w:sz w:val="24"/>
          <w:szCs w:val="24"/>
          <w:lang w:eastAsia="en-US"/>
        </w:rPr>
        <w:t xml:space="preserve">Przewidywane skutki związane z wejściem w życie Konwencji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
          <w:bCs/>
          <w:sz w:val="24"/>
          <w:szCs w:val="24"/>
          <w:lang w:eastAsia="en-US"/>
        </w:rPr>
      </w:pPr>
      <w:r w:rsidRPr="00A535CD">
        <w:rPr>
          <w:rFonts w:ascii="Times New Roman" w:eastAsia="Times New Roman" w:hAnsi="Times New Roman" w:cs="Times New Roman"/>
          <w:b/>
          <w:bCs/>
          <w:sz w:val="24"/>
          <w:szCs w:val="24"/>
          <w:lang w:eastAsia="en-US"/>
        </w:rPr>
        <w:t>Skutki społeczne</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bCs/>
          <w:sz w:val="24"/>
          <w:szCs w:val="24"/>
          <w:lang w:eastAsia="en-US"/>
        </w:rPr>
        <w:t xml:space="preserve">Ratyfikacja Konwencji przez Polskę nie spowoduje dodatkowych skutków społecznych, ponieważ </w:t>
      </w:r>
      <w:r w:rsidRPr="00A535CD">
        <w:rPr>
          <w:rFonts w:ascii="Times New Roman" w:eastAsia="Times New Roman" w:hAnsi="Times New Roman" w:cs="Times New Roman"/>
          <w:sz w:val="24"/>
          <w:szCs w:val="24"/>
          <w:lang w:eastAsia="pl-PL"/>
        </w:rPr>
        <w:t>wszystkie postanowienia Konwencji są odzwierciedlone w prawie UE.</w:t>
      </w:r>
      <w:r w:rsidRPr="00A535CD">
        <w:rPr>
          <w:rFonts w:ascii="Times New Roman" w:eastAsia="Times New Roman" w:hAnsi="Times New Roman" w:cs="Times New Roman"/>
          <w:bCs/>
          <w:sz w:val="24"/>
          <w:szCs w:val="24"/>
          <w:lang w:eastAsia="en-US"/>
        </w:rPr>
        <w:t xml:space="preserve"> Przepisy Konwencji wpływają na poprawę stanu środowiska przez ograniczanie emisji </w:t>
      </w:r>
      <w:r w:rsidR="00BE3CFA" w:rsidRPr="00A535CD">
        <w:rPr>
          <w:rFonts w:ascii="Times New Roman" w:eastAsia="Times New Roman" w:hAnsi="Times New Roman" w:cs="Times New Roman"/>
          <w:bCs/>
          <w:sz w:val="24"/>
          <w:szCs w:val="24"/>
          <w:lang w:eastAsia="en-US"/>
        </w:rPr>
        <w:t>i</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uwolnień rtęci oraz związków rtęci, jak również przez eliminowanie rtęci i jej związków z produktów i procesów przemysłowych, a także regulowanie kwestii zdrowotnych.</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
          <w:bCs/>
          <w:sz w:val="24"/>
          <w:szCs w:val="24"/>
          <w:lang w:eastAsia="en-US"/>
        </w:rPr>
      </w:pPr>
      <w:r w:rsidRPr="00A535CD">
        <w:rPr>
          <w:rFonts w:ascii="Times New Roman" w:eastAsia="Times New Roman" w:hAnsi="Times New Roman" w:cs="Times New Roman"/>
          <w:b/>
          <w:bCs/>
          <w:sz w:val="24"/>
          <w:szCs w:val="24"/>
          <w:lang w:eastAsia="en-US"/>
        </w:rPr>
        <w:t>Skutki gospodarcze</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bCs/>
          <w:sz w:val="24"/>
          <w:szCs w:val="24"/>
          <w:lang w:eastAsia="en-US"/>
        </w:rPr>
        <w:t>Ratyfikacja Konwencji przez Polskę nie spowoduje skutków gospodarczych. Przepisy Konwencji nie nakładają nowych obowiązków na państwa członkowskie UE. W</w:t>
      </w:r>
      <w:r w:rsidRPr="00A535CD">
        <w:rPr>
          <w:rFonts w:ascii="Times New Roman" w:eastAsia="Times New Roman" w:hAnsi="Times New Roman" w:cs="Times New Roman"/>
          <w:sz w:val="24"/>
          <w:szCs w:val="24"/>
          <w:lang w:eastAsia="pl-PL"/>
        </w:rPr>
        <w:t>szystkie postanowienia Konwencji są odzwierciedlone w prawie UE.</w:t>
      </w:r>
      <w:r w:rsidRPr="00A535CD">
        <w:rPr>
          <w:rFonts w:ascii="Times New Roman" w:eastAsia="Times New Roman" w:hAnsi="Times New Roman" w:cs="Times New Roman"/>
          <w:bCs/>
          <w:sz w:val="24"/>
          <w:szCs w:val="24"/>
          <w:lang w:eastAsia="en-US"/>
        </w:rPr>
        <w:t xml:space="preserv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
          <w:bCs/>
          <w:sz w:val="24"/>
          <w:szCs w:val="24"/>
          <w:lang w:eastAsia="en-US"/>
        </w:rPr>
      </w:pPr>
      <w:r w:rsidRPr="00A535CD">
        <w:rPr>
          <w:rFonts w:ascii="Times New Roman" w:eastAsia="Times New Roman" w:hAnsi="Times New Roman" w:cs="Times New Roman"/>
          <w:b/>
          <w:bCs/>
          <w:sz w:val="24"/>
          <w:szCs w:val="24"/>
          <w:lang w:eastAsia="en-US"/>
        </w:rPr>
        <w:t>Skutki finansowe i źródła finansowania</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Ratyfikacja Konwencji przez Polskę spowoduje skutki finansowe związane z: </w:t>
      </w:r>
    </w:p>
    <w:p w:rsidR="00BE3CFA" w:rsidRPr="00A535CD" w:rsidRDefault="003D2A9F" w:rsidP="00A535CD">
      <w:pPr>
        <w:pStyle w:val="Akapitzlist"/>
        <w:numPr>
          <w:ilvl w:val="0"/>
          <w:numId w:val="12"/>
        </w:numPr>
        <w:autoSpaceDE w:val="0"/>
        <w:autoSpaceDN w:val="0"/>
        <w:adjustRightInd w:val="0"/>
        <w:spacing w:after="0" w:line="360" w:lineRule="auto"/>
        <w:ind w:left="462" w:hanging="44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odprowadzaniem corocznej składki na rzecz Konwencji (czyli </w:t>
      </w:r>
      <w:r w:rsidRPr="00A535CD">
        <w:rPr>
          <w:rFonts w:ascii="Times New Roman" w:eastAsia="Times New Roman" w:hAnsi="Times New Roman" w:cs="Times New Roman"/>
          <w:sz w:val="24"/>
          <w:szCs w:val="24"/>
          <w:lang w:eastAsia="pl-PL"/>
        </w:rPr>
        <w:t xml:space="preserve">fundusz powierniczy </w:t>
      </w:r>
      <w:r w:rsidRPr="00A535CD">
        <w:rPr>
          <w:rFonts w:ascii="Times New Roman" w:eastAsia="Times New Roman" w:hAnsi="Times New Roman" w:cs="Times New Roman"/>
          <w:iCs/>
          <w:sz w:val="24"/>
          <w:szCs w:val="24"/>
          <w:lang w:eastAsia="pl-PL"/>
        </w:rPr>
        <w:t>„The General Trust Fund”)</w:t>
      </w:r>
      <w:r w:rsidR="008D0F00">
        <w:rPr>
          <w:rFonts w:ascii="Times New Roman" w:eastAsia="Times New Roman" w:hAnsi="Times New Roman" w:cs="Times New Roman"/>
          <w:iCs/>
          <w:sz w:val="24"/>
          <w:szCs w:val="24"/>
          <w:lang w:eastAsia="pl-PL"/>
        </w:rPr>
        <w:t>,</w:t>
      </w:r>
    </w:p>
    <w:p w:rsidR="00BE3CFA" w:rsidRPr="00A535CD" w:rsidRDefault="003D2A9F" w:rsidP="00A535CD">
      <w:pPr>
        <w:pStyle w:val="Akapitzlist"/>
        <w:numPr>
          <w:ilvl w:val="0"/>
          <w:numId w:val="12"/>
        </w:numPr>
        <w:autoSpaceDE w:val="0"/>
        <w:autoSpaceDN w:val="0"/>
        <w:adjustRightInd w:val="0"/>
        <w:spacing w:before="120" w:after="0" w:line="360" w:lineRule="auto"/>
        <w:ind w:left="462" w:hanging="44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udziałem w spotkaniach związanych z realizacją postanowień Konwencji (spotkania dwustronne, wielostronne i COP). </w:t>
      </w:r>
    </w:p>
    <w:p w:rsidR="00BE3CFA" w:rsidRPr="00A535CD" w:rsidRDefault="003D2A9F" w:rsidP="00A53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Na swoim pierwszym posiedzeniu COP przyjęła decyzję MC-1/10 w sprawie zasad finansowych, która ustanowiła trzy fundusze powiernicze:</w:t>
      </w:r>
    </w:p>
    <w:p w:rsidR="00BE3CFA" w:rsidRPr="00A535CD" w:rsidRDefault="003D2A9F" w:rsidP="00A535CD">
      <w:pPr>
        <w:pStyle w:val="Akapitzlist"/>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0" w:line="360" w:lineRule="auto"/>
        <w:ind w:left="462" w:hanging="448"/>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lastRenderedPageBreak/>
        <w:t>„The General Trust Fund” zapewniający finansowe wsparcie pracy Sekretariatu Konwencji</w:t>
      </w:r>
      <w:r w:rsidR="008D0F00">
        <w:rPr>
          <w:rFonts w:ascii="Times New Roman" w:eastAsia="Times New Roman" w:hAnsi="Times New Roman" w:cs="Times New Roman"/>
          <w:sz w:val="24"/>
          <w:szCs w:val="24"/>
          <w:lang w:eastAsia="pl-PL"/>
        </w:rPr>
        <w:t>,</w:t>
      </w:r>
    </w:p>
    <w:p w:rsidR="00BE3CFA" w:rsidRPr="00A535CD" w:rsidRDefault="003D2A9F" w:rsidP="00A535CD">
      <w:pPr>
        <w:pStyle w:val="Akapitzlist"/>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0" w:line="360" w:lineRule="auto"/>
        <w:ind w:left="462" w:hanging="448"/>
        <w:jc w:val="both"/>
        <w:rPr>
          <w:rFonts w:ascii="Times New Roman" w:eastAsia="Times New Roman" w:hAnsi="Times New Roman" w:cs="Times New Roman"/>
          <w:sz w:val="24"/>
          <w:szCs w:val="24"/>
          <w:lang w:eastAsia="pl-PL"/>
        </w:rPr>
      </w:pPr>
      <w:r w:rsidRPr="00A535CD">
        <w:rPr>
          <w:rStyle w:val="Uwydatnienie"/>
          <w:rFonts w:ascii="Times New Roman" w:hAnsi="Times New Roman" w:cs="Times New Roman"/>
          <w:bCs/>
          <w:i w:val="0"/>
          <w:sz w:val="24"/>
          <w:szCs w:val="24"/>
        </w:rPr>
        <w:t>„The</w:t>
      </w:r>
      <w:r w:rsidR="00F44930" w:rsidRPr="00E6579D">
        <w:rPr>
          <w:rStyle w:val="Uwydatnienie"/>
          <w:rFonts w:ascii="Times New Roman" w:hAnsi="Times New Roman" w:cs="Times New Roman"/>
          <w:bCs/>
          <w:i w:val="0"/>
          <w:sz w:val="24"/>
          <w:szCs w:val="24"/>
        </w:rPr>
        <w:t xml:space="preserve"> </w:t>
      </w:r>
      <w:r w:rsidRPr="00A535CD">
        <w:rPr>
          <w:rStyle w:val="Uwydatnienie"/>
          <w:rFonts w:ascii="Times New Roman" w:hAnsi="Times New Roman" w:cs="Times New Roman"/>
          <w:bCs/>
          <w:i w:val="0"/>
          <w:sz w:val="24"/>
          <w:szCs w:val="24"/>
        </w:rPr>
        <w:t xml:space="preserve">Special Trust Fund” </w:t>
      </w:r>
      <w:r w:rsidRPr="00A535CD">
        <w:rPr>
          <w:rFonts w:ascii="Times New Roman" w:eastAsia="Times New Roman" w:hAnsi="Times New Roman" w:cs="Times New Roman"/>
          <w:sz w:val="24"/>
          <w:szCs w:val="24"/>
          <w:lang w:eastAsia="pl-PL"/>
        </w:rPr>
        <w:t xml:space="preserve">wspierający, między innymi, działania Sekretariatu, zgodnie z art. 14 (Budowanie zdolności, pomoc techniczna i transfer technologii), udział przedstawicieli Stron, </w:t>
      </w:r>
      <w:r w:rsidRPr="00A535CD">
        <w:rPr>
          <w:rFonts w:ascii="Times New Roman" w:hAnsi="Times New Roman" w:cs="Times New Roman"/>
          <w:color w:val="000000"/>
          <w:sz w:val="24"/>
          <w:szCs w:val="24"/>
        </w:rPr>
        <w:t>będących krajami rozwijającymi się</w:t>
      </w:r>
      <w:r w:rsidRPr="00A535CD">
        <w:rPr>
          <w:rFonts w:ascii="Times New Roman" w:eastAsia="Times New Roman" w:hAnsi="Times New Roman" w:cs="Times New Roman"/>
          <w:sz w:val="24"/>
          <w:szCs w:val="24"/>
          <w:lang w:eastAsia="pl-PL"/>
        </w:rPr>
        <w:t xml:space="preserve"> i S</w:t>
      </w:r>
      <w:r w:rsidRPr="00A535CD">
        <w:rPr>
          <w:rFonts w:ascii="Times New Roman" w:hAnsi="Times New Roman" w:cs="Times New Roman"/>
          <w:color w:val="000000"/>
          <w:sz w:val="24"/>
          <w:szCs w:val="24"/>
        </w:rPr>
        <w:t>tron, których gospodarki są w okresie transformacji</w:t>
      </w:r>
      <w:r w:rsidRPr="00A535CD">
        <w:rPr>
          <w:rFonts w:ascii="Times New Roman" w:eastAsia="Times New Roman" w:hAnsi="Times New Roman" w:cs="Times New Roman"/>
          <w:sz w:val="24"/>
          <w:szCs w:val="24"/>
          <w:lang w:eastAsia="pl-PL"/>
        </w:rPr>
        <w:t xml:space="preserve"> w spotkaniach COP i jej organów pomocniczych</w:t>
      </w:r>
      <w:r w:rsidR="008D0F00">
        <w:rPr>
          <w:rFonts w:ascii="Times New Roman" w:eastAsia="Times New Roman" w:hAnsi="Times New Roman" w:cs="Times New Roman"/>
          <w:sz w:val="24"/>
          <w:szCs w:val="24"/>
          <w:lang w:eastAsia="pl-PL"/>
        </w:rPr>
        <w:t>,</w:t>
      </w:r>
    </w:p>
    <w:p w:rsidR="00BE3CFA" w:rsidRPr="00A535CD" w:rsidRDefault="003D2A9F" w:rsidP="00A535CD">
      <w:pPr>
        <w:pStyle w:val="Akapitzlist"/>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0" w:line="360" w:lineRule="auto"/>
        <w:ind w:left="462" w:hanging="448"/>
        <w:contextualSpacing w:val="0"/>
        <w:jc w:val="both"/>
        <w:rPr>
          <w:rFonts w:ascii="Times New Roman" w:eastAsia="Times New Roman" w:hAnsi="Times New Roman" w:cs="Times New Roman"/>
          <w:sz w:val="24"/>
          <w:szCs w:val="24"/>
          <w:lang w:eastAsia="pl-PL"/>
        </w:rPr>
      </w:pPr>
      <w:r w:rsidRPr="00A535CD">
        <w:rPr>
          <w:rStyle w:val="Uwydatnienie"/>
          <w:rFonts w:ascii="Times New Roman" w:hAnsi="Times New Roman" w:cs="Times New Roman"/>
          <w:bCs/>
          <w:i w:val="0"/>
          <w:sz w:val="24"/>
          <w:szCs w:val="24"/>
        </w:rPr>
        <w:t>„The</w:t>
      </w:r>
      <w:r w:rsidR="00F44930" w:rsidRPr="00E6579D">
        <w:rPr>
          <w:rFonts w:ascii="Times New Roman" w:hAnsi="Times New Roman" w:cs="Times New Roman"/>
          <w:sz w:val="24"/>
          <w:szCs w:val="24"/>
        </w:rPr>
        <w:t xml:space="preserve"> </w:t>
      </w:r>
      <w:r w:rsidRPr="00A535CD">
        <w:rPr>
          <w:rStyle w:val="Uwydatnienie"/>
          <w:rFonts w:ascii="Times New Roman" w:hAnsi="Times New Roman" w:cs="Times New Roman"/>
          <w:bCs/>
          <w:i w:val="0"/>
          <w:sz w:val="24"/>
          <w:szCs w:val="24"/>
        </w:rPr>
        <w:t xml:space="preserve">Specific Trust Fund” </w:t>
      </w:r>
      <w:r w:rsidRPr="00A535CD">
        <w:rPr>
          <w:rFonts w:ascii="Times New Roman" w:eastAsia="Times New Roman" w:hAnsi="Times New Roman" w:cs="Times New Roman"/>
          <w:sz w:val="24"/>
          <w:szCs w:val="24"/>
          <w:lang w:eastAsia="pl-PL"/>
        </w:rPr>
        <w:t>zapewniający wsparcie budowania zdolności i pomocy technicznej zgodnie z art. 13 (Zasoby finansowe i mechanizm finansowy) na potrzeby konkretnego programu międzynarodowego.</w:t>
      </w:r>
    </w:p>
    <w:p w:rsidR="00BE3CFA" w:rsidRPr="00A535CD" w:rsidRDefault="003D2A9F" w:rsidP="00A53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Wysokości składek należnych każdego roku od Stron przyjmowane są w decyzjach COP.</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sz w:val="24"/>
          <w:szCs w:val="24"/>
          <w:lang w:eastAsia="pl-PL"/>
        </w:rPr>
        <w:t xml:space="preserve">Ratyfikacja Konwencji wiąże się z koniecznością opłacania składki członkowskiej na fundusz powierniczy </w:t>
      </w:r>
      <w:r w:rsidRPr="00A535CD">
        <w:rPr>
          <w:rFonts w:ascii="Times New Roman" w:eastAsia="Times New Roman" w:hAnsi="Times New Roman" w:cs="Times New Roman"/>
          <w:iCs/>
          <w:sz w:val="24"/>
          <w:szCs w:val="24"/>
          <w:lang w:eastAsia="pl-PL"/>
        </w:rPr>
        <w:t>„The General Trust Fund”</w:t>
      </w:r>
      <w:r w:rsidRPr="00A535CD">
        <w:rPr>
          <w:rFonts w:ascii="Times New Roman" w:eastAsia="Times New Roman" w:hAnsi="Times New Roman" w:cs="Times New Roman"/>
          <w:i/>
          <w:iCs/>
          <w:sz w:val="24"/>
          <w:szCs w:val="24"/>
          <w:lang w:eastAsia="pl-PL"/>
        </w:rPr>
        <w:t xml:space="preserve">. </w:t>
      </w:r>
      <w:r w:rsidRPr="00A535CD">
        <w:rPr>
          <w:rFonts w:ascii="Times New Roman" w:eastAsia="Times New Roman" w:hAnsi="Times New Roman" w:cs="Times New Roman"/>
          <w:bCs/>
          <w:sz w:val="24"/>
          <w:szCs w:val="24"/>
          <w:lang w:eastAsia="en-US"/>
        </w:rPr>
        <w:t xml:space="preserve">Wielkość polskiej składki będzie proporcjonalna do wskaźnika określającego możliwości płatnicze kraju, uwzględniającego m.in. dochód narodowy i wielkość populacji. Można się spodziewać, że przyszła kwota składki na rzecz Konwencji może wynieść dla Polski od kilkunastu do kilkudziesięciu tysięcy USD rocznie.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535CD">
        <w:rPr>
          <w:rFonts w:ascii="Times New Roman" w:eastAsia="Times New Roman" w:hAnsi="Times New Roman" w:cs="Times New Roman"/>
          <w:sz w:val="24"/>
          <w:szCs w:val="24"/>
          <w:lang w:eastAsia="pl-PL"/>
        </w:rPr>
        <w:t>Przykładowo w 2019 r. wysokość składek niektórych państw UE wyniosła: Bułgaria 1,</w:t>
      </w:r>
      <w:r w:rsidR="00BE3CFA" w:rsidRPr="00A535CD">
        <w:rPr>
          <w:rFonts w:ascii="Times New Roman" w:eastAsia="Times New Roman" w:hAnsi="Times New Roman" w:cs="Times New Roman"/>
          <w:sz w:val="24"/>
          <w:szCs w:val="24"/>
          <w:lang w:eastAsia="pl-PL"/>
        </w:rPr>
        <w:t>9</w:t>
      </w:r>
      <w:r w:rsidR="00BE3CFA">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tys. USD, Litwa 3,1 tys. USD, Słowacja 7,0 tys. USD, Rumunia 8,1 tys. USD, Portugalia 17,3 tys. USD, Szwecja 42,2 tys. USD, Holandia 65,5 tys. USD, Niemcy 282,</w:t>
      </w:r>
      <w:r w:rsidR="00BE3CFA" w:rsidRPr="00A535CD">
        <w:rPr>
          <w:rFonts w:ascii="Times New Roman" w:eastAsia="Times New Roman" w:hAnsi="Times New Roman" w:cs="Times New Roman"/>
          <w:sz w:val="24"/>
          <w:szCs w:val="24"/>
          <w:lang w:eastAsia="pl-PL"/>
        </w:rPr>
        <w:t>4</w:t>
      </w:r>
      <w:r w:rsidR="00BE3CFA">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tys. USD.</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Podmiotem administracji rządowej odpowiedzialnym za zaplanowanie w budżecie środków na finansowanie przyszłej składki na rzecz Konwencji oraz pokrycie kosztów udziału w spotkaniach związanych z realizacją postanowień Konwencji jest Minister Klimatu i Środowiska.</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sz w:val="24"/>
          <w:szCs w:val="24"/>
          <w:lang w:eastAsia="pl-PL"/>
        </w:rPr>
        <w:t>Zgodnie z informacją otrzymaną z Sekretariatu Konwencji w 2021 roku szacowany wkład Polski do Konwencji</w:t>
      </w:r>
      <w:r w:rsidRPr="00A535CD">
        <w:rPr>
          <w:rFonts w:ascii="Times New Roman" w:hAnsi="Times New Roman" w:cs="Times New Roman"/>
          <w:sz w:val="24"/>
          <w:szCs w:val="24"/>
        </w:rPr>
        <w:t xml:space="preserve"> </w:t>
      </w:r>
      <w:r w:rsidRPr="00A535CD">
        <w:rPr>
          <w:rFonts w:ascii="Times New Roman" w:eastAsia="Times New Roman" w:hAnsi="Times New Roman" w:cs="Times New Roman"/>
          <w:sz w:val="24"/>
          <w:szCs w:val="24"/>
          <w:lang w:eastAsia="pl-PL"/>
        </w:rPr>
        <w:t xml:space="preserve">w ramach składki na „The General Trust Fund” wyniósłby blisko 38,5 tys. </w:t>
      </w:r>
      <w:r w:rsidR="00796E6D" w:rsidRPr="00A535CD">
        <w:rPr>
          <w:rFonts w:ascii="Times New Roman" w:eastAsia="Times New Roman" w:hAnsi="Times New Roman" w:cs="Times New Roman"/>
          <w:sz w:val="24"/>
          <w:szCs w:val="24"/>
          <w:lang w:eastAsia="pl-PL"/>
        </w:rPr>
        <w:t xml:space="preserve">USD </w:t>
      </w:r>
      <w:r w:rsidRPr="00A535CD">
        <w:rPr>
          <w:rFonts w:ascii="Times New Roman" w:eastAsia="Times New Roman" w:hAnsi="Times New Roman" w:cs="Times New Roman"/>
          <w:sz w:val="24"/>
          <w:szCs w:val="24"/>
          <w:lang w:eastAsia="pl-PL"/>
        </w:rPr>
        <w:t xml:space="preserve">(kwota szacunkowa). Kwota ta została zabezpieczona </w:t>
      </w:r>
      <w:r w:rsidR="00BE3CFA" w:rsidRPr="00A535CD">
        <w:rPr>
          <w:rFonts w:ascii="Times New Roman" w:eastAsia="Times New Roman" w:hAnsi="Times New Roman" w:cs="Times New Roman"/>
          <w:sz w:val="24"/>
          <w:szCs w:val="24"/>
          <w:lang w:eastAsia="pl-PL"/>
        </w:rPr>
        <w:t>w</w:t>
      </w:r>
      <w:r w:rsidR="00BE3CFA">
        <w:rPr>
          <w:rFonts w:ascii="Times New Roman" w:eastAsia="Times New Roman" w:hAnsi="Times New Roman" w:cs="Times New Roman"/>
          <w:sz w:val="24"/>
          <w:szCs w:val="24"/>
          <w:lang w:eastAsia="pl-PL"/>
        </w:rPr>
        <w:t> </w:t>
      </w:r>
      <w:r w:rsidRPr="00A535CD">
        <w:rPr>
          <w:rFonts w:ascii="Times New Roman" w:eastAsia="Times New Roman" w:hAnsi="Times New Roman" w:cs="Times New Roman"/>
          <w:sz w:val="24"/>
          <w:szCs w:val="24"/>
          <w:lang w:eastAsia="pl-PL"/>
        </w:rPr>
        <w:t>budżecie Ministra Klimatu i Środowiska na lata 2021</w:t>
      </w:r>
      <w:r w:rsidR="00F44930" w:rsidRPr="00E6579D">
        <w:rPr>
          <w:rFonts w:ascii="Times New Roman" w:eastAsia="Times New Roman" w:hAnsi="Times New Roman" w:cs="Times New Roman"/>
          <w:sz w:val="24"/>
          <w:szCs w:val="24"/>
          <w:lang w:eastAsia="pl-PL"/>
        </w:rPr>
        <w:t>–</w:t>
      </w:r>
      <w:r w:rsidRPr="00A535CD">
        <w:rPr>
          <w:rFonts w:ascii="Times New Roman" w:eastAsia="Times New Roman" w:hAnsi="Times New Roman" w:cs="Times New Roman"/>
          <w:sz w:val="24"/>
          <w:szCs w:val="24"/>
          <w:lang w:eastAsia="pl-PL"/>
        </w:rPr>
        <w:t>2023 (część 51, dział 750, rozdział 75001, paragraf wydatków 4540 składki do organizacji międzynarodowych).</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iCs/>
          <w:sz w:val="24"/>
          <w:szCs w:val="24"/>
          <w:lang w:val="en-GB" w:eastAsia="pl-PL"/>
        </w:rPr>
        <w:lastRenderedPageBreak/>
        <w:t xml:space="preserve">Wsparcie </w:t>
      </w:r>
      <w:r w:rsidRPr="00A535CD">
        <w:rPr>
          <w:rStyle w:val="Uwydatnienie"/>
          <w:rFonts w:ascii="Times New Roman" w:hAnsi="Times New Roman" w:cs="Times New Roman"/>
          <w:bCs/>
          <w:i w:val="0"/>
          <w:sz w:val="24"/>
          <w:szCs w:val="24"/>
          <w:lang w:val="en-GB"/>
        </w:rPr>
        <w:t>„The</w:t>
      </w:r>
      <w:r w:rsidR="00F44930" w:rsidRPr="00E6579D">
        <w:rPr>
          <w:rStyle w:val="Uwydatnienie"/>
          <w:rFonts w:ascii="Times New Roman" w:hAnsi="Times New Roman" w:cs="Times New Roman"/>
          <w:bCs/>
          <w:i w:val="0"/>
          <w:sz w:val="24"/>
          <w:szCs w:val="24"/>
          <w:lang w:val="en-GB"/>
        </w:rPr>
        <w:t xml:space="preserve"> </w:t>
      </w:r>
      <w:r w:rsidRPr="00A535CD">
        <w:rPr>
          <w:rStyle w:val="Uwydatnienie"/>
          <w:rFonts w:ascii="Times New Roman" w:hAnsi="Times New Roman" w:cs="Times New Roman"/>
          <w:bCs/>
          <w:i w:val="0"/>
          <w:sz w:val="24"/>
          <w:szCs w:val="24"/>
          <w:lang w:val="en-GB"/>
        </w:rPr>
        <w:t>Special Trust Fund” i „The</w:t>
      </w:r>
      <w:r w:rsidR="00F44930" w:rsidRPr="00E6579D">
        <w:rPr>
          <w:rFonts w:ascii="Times New Roman" w:hAnsi="Times New Roman" w:cs="Times New Roman"/>
          <w:sz w:val="24"/>
          <w:szCs w:val="24"/>
          <w:lang w:val="en-GB"/>
        </w:rPr>
        <w:t xml:space="preserve"> </w:t>
      </w:r>
      <w:r w:rsidRPr="00A535CD">
        <w:rPr>
          <w:rStyle w:val="Uwydatnienie"/>
          <w:rFonts w:ascii="Times New Roman" w:hAnsi="Times New Roman" w:cs="Times New Roman"/>
          <w:bCs/>
          <w:i w:val="0"/>
          <w:sz w:val="24"/>
          <w:szCs w:val="24"/>
          <w:lang w:val="en-GB"/>
        </w:rPr>
        <w:t xml:space="preserve">Specific Trust Fund” przez Strony jest dobrowolne. </w:t>
      </w:r>
      <w:r w:rsidRPr="00A535CD">
        <w:rPr>
          <w:rStyle w:val="Uwydatnienie"/>
          <w:rFonts w:ascii="Times New Roman" w:hAnsi="Times New Roman" w:cs="Times New Roman"/>
          <w:bCs/>
          <w:i w:val="0"/>
          <w:sz w:val="24"/>
          <w:szCs w:val="24"/>
        </w:rPr>
        <w:t xml:space="preserve">Decyzja </w:t>
      </w:r>
      <w:r w:rsidRPr="00A535CD">
        <w:rPr>
          <w:rFonts w:ascii="Times New Roman" w:eastAsia="Times New Roman" w:hAnsi="Times New Roman" w:cs="Times New Roman"/>
          <w:bCs/>
          <w:sz w:val="24"/>
          <w:szCs w:val="24"/>
          <w:lang w:eastAsia="en-US"/>
        </w:rPr>
        <w:t xml:space="preserve">w sprawie partycypacji Polski w </w:t>
      </w:r>
      <w:r w:rsidRPr="00A535CD">
        <w:rPr>
          <w:rFonts w:ascii="Times New Roman" w:hAnsi="Times New Roman" w:cs="Times New Roman"/>
          <w:color w:val="000000"/>
          <w:sz w:val="24"/>
          <w:szCs w:val="24"/>
        </w:rPr>
        <w:t xml:space="preserve">obu funduszach powierniczych nie została jeszcze podjęta. Ewentualne finansowanie powinno zostać zapewnione </w:t>
      </w:r>
      <w:r w:rsidR="00BE3CFA" w:rsidRPr="00A535CD">
        <w:rPr>
          <w:rFonts w:ascii="Times New Roman" w:hAnsi="Times New Roman" w:cs="Times New Roman"/>
          <w:color w:val="000000"/>
          <w:sz w:val="24"/>
          <w:szCs w:val="24"/>
        </w:rPr>
        <w:t>z</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budżetu Ministerstwa Klimatu i Środowiska.</w:t>
      </w:r>
    </w:p>
    <w:p w:rsidR="00BE3CFA" w:rsidRPr="00A535CD" w:rsidRDefault="003D2A9F" w:rsidP="00A535CD">
      <w:pPr>
        <w:autoSpaceDE w:val="0"/>
        <w:autoSpaceDN w:val="0"/>
        <w:adjustRightInd w:val="0"/>
        <w:spacing w:before="120" w:after="0" w:line="360" w:lineRule="auto"/>
        <w:jc w:val="both"/>
        <w:rPr>
          <w:rFonts w:ascii="Times New Roman" w:hAnsi="Times New Roman" w:cs="Times New Roman"/>
          <w:color w:val="000000"/>
          <w:sz w:val="24"/>
          <w:szCs w:val="24"/>
        </w:rPr>
      </w:pPr>
      <w:r w:rsidRPr="00A535CD">
        <w:rPr>
          <w:rFonts w:ascii="Times New Roman" w:eastAsia="Times New Roman" w:hAnsi="Times New Roman" w:cs="Times New Roman"/>
          <w:bCs/>
          <w:sz w:val="24"/>
          <w:szCs w:val="24"/>
          <w:lang w:eastAsia="en-US"/>
        </w:rPr>
        <w:t xml:space="preserve">Konwencja ustanawia również mechanizm </w:t>
      </w:r>
      <w:r w:rsidRPr="00A535CD">
        <w:rPr>
          <w:rFonts w:ascii="Times New Roman" w:hAnsi="Times New Roman" w:cs="Times New Roman"/>
          <w:color w:val="000000"/>
          <w:sz w:val="24"/>
          <w:szCs w:val="24"/>
        </w:rPr>
        <w:t xml:space="preserve">zapewniania nowych, adekwatnych, przewidywalnych i dostępnych w odpowiednim momencie środków finansowych. Mechanizm ma na celu wsparcie Stron będących państwami rozwijającymi się </w:t>
      </w:r>
      <w:r w:rsidR="00BE3CFA" w:rsidRPr="00A535CD">
        <w:rPr>
          <w:rFonts w:ascii="Times New Roman" w:hAnsi="Times New Roman" w:cs="Times New Roman"/>
          <w:color w:val="000000"/>
          <w:sz w:val="24"/>
          <w:szCs w:val="24"/>
        </w:rPr>
        <w:t>i</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państwami, których gospodarki są w okresie transformacji, w realizacji zobowiązań wynikających z Konwencji. Mechanizm obejmuje</w:t>
      </w:r>
      <w:r w:rsidRPr="00A535CD">
        <w:rPr>
          <w:rFonts w:ascii="Times New Roman" w:eastAsia="Times New Roman" w:hAnsi="Times New Roman" w:cs="Times New Roman"/>
          <w:bCs/>
          <w:sz w:val="24"/>
          <w:szCs w:val="24"/>
          <w:lang w:eastAsia="en-US"/>
        </w:rPr>
        <w:t>: f</w:t>
      </w:r>
      <w:r w:rsidRPr="00A535CD">
        <w:rPr>
          <w:rFonts w:ascii="Times New Roman" w:hAnsi="Times New Roman" w:cs="Times New Roman"/>
          <w:color w:val="000000"/>
          <w:sz w:val="24"/>
          <w:szCs w:val="24"/>
        </w:rPr>
        <w:t xml:space="preserve">undusz powierniczy „Global Environment Facility Trust Fund” oraz szczególny program międzynarodowy mający na celu wsparcie budowania zdolności instytucjonalnej oraz pomocy technicznej. </w:t>
      </w:r>
      <w:r w:rsidRPr="00A535CD">
        <w:rPr>
          <w:rFonts w:ascii="Times New Roman" w:eastAsia="Times New Roman" w:hAnsi="Times New Roman" w:cs="Times New Roman"/>
          <w:bCs/>
          <w:sz w:val="24"/>
          <w:szCs w:val="24"/>
          <w:lang w:eastAsia="en-US"/>
        </w:rPr>
        <w:t>Wpłaty Stron</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 xml:space="preserve">na rzecz instrumentów w ramach przedmiotowego mechanizmu są dobrowolne. Decyzja w sprawie partycypacji Polski w </w:t>
      </w:r>
      <w:r w:rsidRPr="00A535CD">
        <w:rPr>
          <w:rFonts w:ascii="Times New Roman" w:hAnsi="Times New Roman" w:cs="Times New Roman"/>
          <w:color w:val="000000"/>
          <w:sz w:val="24"/>
          <w:szCs w:val="24"/>
        </w:rPr>
        <w:t>„Global Environment Facility Trust Fund” nie została jeszcze podjęta. Ewentualne finansowanie powinno zostać zapewnione z budżetu Ministerstwa Klimatu i Środowiska.</w:t>
      </w:r>
    </w:p>
    <w:p w:rsidR="00BE3CFA" w:rsidRPr="00A535CD" w:rsidRDefault="003D2A9F" w:rsidP="00A535CD">
      <w:pPr>
        <w:autoSpaceDE w:val="0"/>
        <w:autoSpaceDN w:val="0"/>
        <w:adjustRightInd w:val="0"/>
        <w:spacing w:before="120" w:after="0" w:line="360" w:lineRule="auto"/>
        <w:jc w:val="both"/>
        <w:rPr>
          <w:rFonts w:ascii="Times New Roman" w:hAnsi="Times New Roman" w:cs="Times New Roman"/>
          <w:color w:val="000000"/>
          <w:sz w:val="24"/>
          <w:szCs w:val="24"/>
        </w:rPr>
      </w:pPr>
      <w:r w:rsidRPr="00A535CD">
        <w:rPr>
          <w:rFonts w:ascii="Times New Roman" w:eastAsia="Times New Roman" w:hAnsi="Times New Roman" w:cs="Times New Roman"/>
          <w:bCs/>
          <w:sz w:val="24"/>
          <w:szCs w:val="24"/>
          <w:lang w:eastAsia="en-US"/>
        </w:rPr>
        <w:t xml:space="preserve">Spotkania wielostronne związane z Konwencją odbywają się najwyżej kilka razy do roku, a spotkania COP co dwa lata. </w:t>
      </w:r>
      <w:r w:rsidRPr="00A535CD">
        <w:rPr>
          <w:rFonts w:ascii="Times New Roman" w:hAnsi="Times New Roman" w:cs="Times New Roman"/>
          <w:sz w:val="24"/>
          <w:szCs w:val="24"/>
        </w:rPr>
        <w:t xml:space="preserve">Dotychczas udział polskiej delegacji w spotkaniach związanych z Konwencją był finansowany z rezerwy celowej </w:t>
      </w:r>
      <w:r w:rsidRPr="00A535CD">
        <w:rPr>
          <w:rFonts w:ascii="Times New Roman" w:eastAsia="Times New Roman" w:hAnsi="Times New Roman" w:cs="Times New Roman"/>
          <w:bCs/>
          <w:sz w:val="24"/>
          <w:szCs w:val="24"/>
          <w:lang w:eastAsia="en-US"/>
        </w:rPr>
        <w:t xml:space="preserve">finansowanej ze środków Narodowego Funduszu Ochrony Środowiska i Gospodarki Wodnej </w:t>
      </w:r>
      <w:r w:rsidRPr="00A535CD">
        <w:rPr>
          <w:rFonts w:ascii="Times New Roman" w:hAnsi="Times New Roman" w:cs="Times New Roman"/>
          <w:sz w:val="24"/>
          <w:szCs w:val="24"/>
        </w:rPr>
        <w:t xml:space="preserve">i realizowany przez byłe Ministerstwo Klimatu, a wcześniej przez byłe Ministerstwo Środowiska. Nie przewiduje się zmian w tym zakresie. </w:t>
      </w:r>
      <w:r w:rsidRPr="00A535CD">
        <w:rPr>
          <w:rFonts w:ascii="Times New Roman" w:eastAsia="Times New Roman" w:hAnsi="Times New Roman" w:cs="Times New Roman"/>
          <w:bCs/>
          <w:sz w:val="24"/>
          <w:szCs w:val="24"/>
          <w:lang w:eastAsia="en-US"/>
        </w:rPr>
        <w:t xml:space="preserve">Dodatkowe koszty wdrażania postanowień Konwencji mogą wiązać się z </w:t>
      </w:r>
      <w:r w:rsidRPr="00A535CD">
        <w:rPr>
          <w:rFonts w:ascii="Times New Roman" w:hAnsi="Times New Roman" w:cs="Times New Roman"/>
          <w:color w:val="000000"/>
          <w:sz w:val="24"/>
          <w:szCs w:val="24"/>
        </w:rPr>
        <w:t xml:space="preserve">prowadzeniem współpracy ukierunkowanej na tworzenie i poprawę: </w:t>
      </w:r>
    </w:p>
    <w:p w:rsidR="00BE3CFA" w:rsidRPr="00A535CD" w:rsidRDefault="003D2A9F" w:rsidP="00A535CD">
      <w:pPr>
        <w:pStyle w:val="Akapitzlist"/>
        <w:numPr>
          <w:ilvl w:val="0"/>
          <w:numId w:val="15"/>
        </w:numPr>
        <w:autoSpaceDE w:val="0"/>
        <w:autoSpaceDN w:val="0"/>
        <w:adjustRightInd w:val="0"/>
        <w:spacing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rejestrów stosowania i używania rtęci i związków rtęci oraz antropogenicznych emisji rtęci i związków rtęci do atmosfery i uwalniania rtęci i związków rtęci do wody i gruntów</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5"/>
        </w:numPr>
        <w:autoSpaceDE w:val="0"/>
        <w:autoSpaceDN w:val="0"/>
        <w:adjustRightInd w:val="0"/>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modelowania i geograficznie reprezentatywnego monitorowania poziomów rtęci </w:t>
      </w:r>
      <w:r w:rsidR="00BE3CFA" w:rsidRPr="00A535CD">
        <w:rPr>
          <w:rFonts w:ascii="Times New Roman" w:hAnsi="Times New Roman" w:cs="Times New Roman"/>
          <w:color w:val="000000"/>
          <w:sz w:val="24"/>
          <w:szCs w:val="24"/>
        </w:rPr>
        <w:t>i</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związków rtęci w odniesieniu do grup szczególnie wrażliwych i w elementach środowiska, w tym elementach biotycznych, takich jak ryby, ssaki morskie, żółwie i ptaki morskie, a także współpracy przy pobieraniu oraz wymianie istotnych </w:t>
      </w:r>
      <w:r w:rsidR="00BE3CFA" w:rsidRPr="00A535CD">
        <w:rPr>
          <w:rFonts w:ascii="Times New Roman" w:hAnsi="Times New Roman" w:cs="Times New Roman"/>
          <w:color w:val="000000"/>
          <w:sz w:val="24"/>
          <w:szCs w:val="24"/>
        </w:rPr>
        <w:t>i</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odpowiednich próbek</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5"/>
        </w:numPr>
        <w:autoSpaceDE w:val="0"/>
        <w:autoSpaceDN w:val="0"/>
        <w:adjustRightInd w:val="0"/>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lastRenderedPageBreak/>
        <w:t xml:space="preserve">ocen wpływu rtęci i związków rtęci na zdrowie ludzi i środowisko, w uzupełnieniu oceny skutków społecznych, ekonomicznych i kulturowych, zwłaszcza </w:t>
      </w:r>
      <w:r w:rsidR="00BE3CFA" w:rsidRPr="00A535CD">
        <w:rPr>
          <w:rFonts w:ascii="Times New Roman" w:hAnsi="Times New Roman" w:cs="Times New Roman"/>
          <w:color w:val="000000"/>
          <w:sz w:val="24"/>
          <w:szCs w:val="24"/>
        </w:rPr>
        <w:t>w</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odniesieniu do grup szczególnie wrażliwych</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5"/>
        </w:numPr>
        <w:autoSpaceDE w:val="0"/>
        <w:autoSpaceDN w:val="0"/>
        <w:adjustRightInd w:val="0"/>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ujednoliconych metodologii ww. działań</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5"/>
        </w:numPr>
        <w:autoSpaceDE w:val="0"/>
        <w:autoSpaceDN w:val="0"/>
        <w:adjustRightInd w:val="0"/>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informacji na temat cyklu środowiskowego, rozprzestrzeniania się (w tym przemieszczania się na dalekie odległości i osiadania), przekształcania oraz zachowania się rtęci i związków rtęci w różnych ekosystemach, rozróżniając odpowiednio antropogeniczne i naturalne emisje oraz uwolnienia rtęci, a także wtórne uruchomienia rtęci ze składowisk historycznych</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5"/>
        </w:numPr>
        <w:autoSpaceDE w:val="0"/>
        <w:autoSpaceDN w:val="0"/>
        <w:adjustRightInd w:val="0"/>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informacji na temat handlu rtęcią i związkami rtęci oraz produktami z dodatkiem rtęci</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5"/>
        </w:numPr>
        <w:autoSpaceDE w:val="0"/>
        <w:autoSpaceDN w:val="0"/>
        <w:adjustRightInd w:val="0"/>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informacji i badań na temat technicznej i ekonomicznej dostępności produktów niezawierających rtęci i procesów niewymagających wykorzystywania rtęci oraz na temat najlepszych dostępnych technik i najlepszych praktyk w dziedzinie ochrony środowiska umożliwiających ograniczenie i monitorowanie emisji </w:t>
      </w:r>
      <w:r w:rsidR="00DB2925" w:rsidRPr="00A535CD">
        <w:rPr>
          <w:rFonts w:ascii="Times New Roman" w:hAnsi="Times New Roman" w:cs="Times New Roman"/>
          <w:color w:val="000000"/>
          <w:sz w:val="24"/>
          <w:szCs w:val="24"/>
        </w:rPr>
        <w:t>i</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uwolnień rtęci i związków rtęci. </w:t>
      </w:r>
    </w:p>
    <w:p w:rsidR="00BE3CFA" w:rsidRPr="00A535CD" w:rsidRDefault="003D2A9F" w:rsidP="00A535CD">
      <w:pPr>
        <w:tabs>
          <w:tab w:val="left" w:pos="7514"/>
        </w:tabs>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Ponadto dodatkowe koszty mogą wiązać się także ze:</w:t>
      </w:r>
    </w:p>
    <w:p w:rsidR="00BE3CFA" w:rsidRPr="00A535CD" w:rsidRDefault="003D2A9F" w:rsidP="00A535CD">
      <w:pPr>
        <w:pStyle w:val="Akapitzlist"/>
        <w:numPr>
          <w:ilvl w:val="0"/>
          <w:numId w:val="37"/>
        </w:numPr>
        <w:tabs>
          <w:tab w:val="left" w:pos="7514"/>
        </w:tabs>
        <w:spacing w:after="0" w:line="360" w:lineRule="auto"/>
        <w:ind w:left="518" w:hanging="504"/>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współpracą Stron w celu zapewnienia, w miarę swoich możliwości, budowania zdolności instytucjonalnej i pomocy technicznej w sposób adekwatny i dostępny </w:t>
      </w:r>
      <w:r w:rsidR="00BE3CFA" w:rsidRPr="00A535CD">
        <w:rPr>
          <w:rFonts w:ascii="Times New Roman" w:hAnsi="Times New Roman" w:cs="Times New Roman"/>
          <w:color w:val="000000"/>
          <w:sz w:val="24"/>
          <w:szCs w:val="24"/>
        </w:rPr>
        <w:t>w</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odpowiednim momencie dla Stron będących krajami rozwijającymi się, </w:t>
      </w:r>
      <w:r w:rsidR="00BE3CFA" w:rsidRPr="00A535CD">
        <w:rPr>
          <w:rFonts w:ascii="Times New Roman" w:hAnsi="Times New Roman" w:cs="Times New Roman"/>
          <w:color w:val="000000"/>
          <w:sz w:val="24"/>
          <w:szCs w:val="24"/>
        </w:rPr>
        <w:t>w</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szczególności Stron będących krajami najsłabiej rozwiniętymi lub małymi państwami wyspiarskimi oraz Stron, których gospodarki są w okresie transformacji, w celu wsparcia tych krajów w realizacji zobowiązań na mocy niniejszej Konwencji</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37"/>
        </w:numPr>
        <w:tabs>
          <w:tab w:val="left" w:pos="7514"/>
        </w:tabs>
        <w:spacing w:before="120" w:after="0" w:line="360" w:lineRule="auto"/>
        <w:ind w:left="518" w:hanging="504"/>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wspieraniem i ułatwianiem, w razie potrzeby z pomocą sektora prywatnego </w:t>
      </w:r>
      <w:r w:rsidR="00DB2925" w:rsidRPr="00A535CD">
        <w:rPr>
          <w:rFonts w:ascii="Times New Roman" w:hAnsi="Times New Roman" w:cs="Times New Roman"/>
          <w:color w:val="000000"/>
          <w:sz w:val="24"/>
          <w:szCs w:val="24"/>
        </w:rPr>
        <w:t>i</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innych interesariuszy, w miarę możliwości, rozwoju, transferu, rozpowszechniania </w:t>
      </w:r>
      <w:r w:rsidR="00BE3CFA" w:rsidRPr="00A535CD">
        <w:rPr>
          <w:rFonts w:ascii="Times New Roman" w:hAnsi="Times New Roman" w:cs="Times New Roman"/>
          <w:color w:val="000000"/>
          <w:sz w:val="24"/>
          <w:szCs w:val="24"/>
        </w:rPr>
        <w:t>i</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udostępniania najnowszych, bezpiecznych dla środowiska technologii alternatywnych, dla Stron będących krajami rozwijającymi się, </w:t>
      </w:r>
      <w:r w:rsidR="00DB2925" w:rsidRPr="00A535CD">
        <w:rPr>
          <w:rFonts w:ascii="Times New Roman" w:hAnsi="Times New Roman" w:cs="Times New Roman"/>
          <w:color w:val="000000"/>
          <w:sz w:val="24"/>
          <w:szCs w:val="24"/>
        </w:rPr>
        <w:t>w</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szczególności krajów najsłabiej rozwiniętych i małych państw wyspiarskich oraz Stron, których gospodarki są w okresie transformacji, w celu wzmocnienia ich zdolności do skutecznego wdrożenia postanowień Konwencji</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37"/>
        </w:numPr>
        <w:tabs>
          <w:tab w:val="left" w:pos="7514"/>
        </w:tabs>
        <w:spacing w:before="120" w:after="0" w:line="360" w:lineRule="auto"/>
        <w:ind w:left="518" w:hanging="504"/>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lastRenderedPageBreak/>
        <w:t xml:space="preserve">wspieraniem i ułatwianiem edukacji, szkoleniami i podnoszeniem świadomości społeczeństwa na temat skutków narażenia na działanie rtęci i związków rtęci dla zdrowia ludzi i środowiska w stosownych przypadkach we współpracy </w:t>
      </w:r>
      <w:r w:rsidR="00BE3CFA" w:rsidRPr="00A535CD">
        <w:rPr>
          <w:rFonts w:ascii="Times New Roman" w:hAnsi="Times New Roman" w:cs="Times New Roman"/>
          <w:color w:val="000000"/>
          <w:sz w:val="24"/>
          <w:szCs w:val="24"/>
        </w:rPr>
        <w:t>z</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odpowiednimi organizacjami międzyrządowymi i pozarządowymi oraz grupami szczególnie wrażliwymi.</w:t>
      </w:r>
    </w:p>
    <w:p w:rsidR="00BE3CFA" w:rsidRPr="00A535CD" w:rsidRDefault="003D2A9F" w:rsidP="00A535CD">
      <w:pPr>
        <w:tabs>
          <w:tab w:val="left" w:pos="7514"/>
        </w:tabs>
        <w:spacing w:before="120" w:after="0" w:line="360" w:lineRule="auto"/>
        <w:jc w:val="both"/>
        <w:rPr>
          <w:rFonts w:ascii="Times New Roman" w:hAnsi="Times New Roman" w:cs="Times New Roman"/>
          <w:color w:val="000000"/>
          <w:sz w:val="24"/>
          <w:szCs w:val="24"/>
        </w:rPr>
      </w:pPr>
      <w:r w:rsidRPr="00A535CD">
        <w:rPr>
          <w:rFonts w:ascii="Times New Roman" w:eastAsia="Times New Roman" w:hAnsi="Times New Roman" w:cs="Times New Roman"/>
          <w:bCs/>
          <w:sz w:val="24"/>
          <w:szCs w:val="24"/>
          <w:lang w:eastAsia="en-US"/>
        </w:rPr>
        <w:t xml:space="preserve">Dodatkowe koszty wdrażania postanowień Konwencji mogą wiązać się również </w:t>
      </w:r>
      <w:r w:rsidR="00BE3CFA" w:rsidRPr="00A535CD">
        <w:rPr>
          <w:rFonts w:ascii="Times New Roman" w:eastAsia="Times New Roman" w:hAnsi="Times New Roman" w:cs="Times New Roman"/>
          <w:bCs/>
          <w:sz w:val="24"/>
          <w:szCs w:val="24"/>
          <w:lang w:eastAsia="en-US"/>
        </w:rPr>
        <w:t>z</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realizacją nieobowiązkowych działań dotyczących: </w:t>
      </w:r>
    </w:p>
    <w:p w:rsidR="00BE3CFA" w:rsidRPr="00A535CD" w:rsidRDefault="003D2A9F" w:rsidP="00A535CD">
      <w:pPr>
        <w:pStyle w:val="Akapitzlist"/>
        <w:numPr>
          <w:ilvl w:val="0"/>
          <w:numId w:val="16"/>
        </w:numPr>
        <w:tabs>
          <w:tab w:val="left" w:pos="7514"/>
        </w:tabs>
        <w:spacing w:after="0" w:line="360" w:lineRule="auto"/>
        <w:ind w:left="518"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 xml:space="preserve">wspierania opracowywania i wdrażania strategii i programów mających na celu zidentyfikowanie i ochronę narażonych grup ludności, a zwłaszcza grup szczególnie wrażliwych, oraz takich strategii i programów, które mogą obejmować przyjmowanie potwierdzonych naukowo wytycznych zdrowotnych związanych </w:t>
      </w:r>
      <w:r w:rsidR="00BE3CFA" w:rsidRPr="00A535CD">
        <w:rPr>
          <w:rFonts w:ascii="Times New Roman" w:hAnsi="Times New Roman" w:cs="Times New Roman"/>
          <w:color w:val="000000"/>
          <w:sz w:val="24"/>
          <w:szCs w:val="24"/>
        </w:rPr>
        <w:t>z</w:t>
      </w:r>
      <w:r w:rsidR="00BE3CFA">
        <w:rPr>
          <w:rFonts w:ascii="Times New Roman" w:hAnsi="Times New Roman" w:cs="Times New Roman"/>
          <w:color w:val="000000"/>
          <w:sz w:val="24"/>
          <w:szCs w:val="24"/>
        </w:rPr>
        <w:t> </w:t>
      </w:r>
      <w:r w:rsidRPr="00A535CD">
        <w:rPr>
          <w:rFonts w:ascii="Times New Roman" w:hAnsi="Times New Roman" w:cs="Times New Roman"/>
          <w:color w:val="000000"/>
          <w:sz w:val="24"/>
          <w:szCs w:val="24"/>
        </w:rPr>
        <w:t xml:space="preserve">narażeniem na działanie rtęci i związków rtęci, a w stosownych przypadkach również określanie celów związanych z ograniczeniem narażenia na działanie rtęci, a także edukację społeczeństwa, z udziałem sektora zdrowia publicznego </w:t>
      </w:r>
      <w:r w:rsidR="00DB2925" w:rsidRPr="00A535CD">
        <w:rPr>
          <w:rFonts w:ascii="Times New Roman" w:hAnsi="Times New Roman" w:cs="Times New Roman"/>
          <w:color w:val="000000"/>
          <w:sz w:val="24"/>
          <w:szCs w:val="24"/>
        </w:rPr>
        <w:t>i</w:t>
      </w:r>
      <w:r w:rsidR="00DB2925">
        <w:rPr>
          <w:rFonts w:ascii="Times New Roman" w:hAnsi="Times New Roman" w:cs="Times New Roman"/>
          <w:color w:val="000000"/>
          <w:sz w:val="24"/>
          <w:szCs w:val="24"/>
        </w:rPr>
        <w:t> </w:t>
      </w:r>
      <w:r w:rsidRPr="00A535CD">
        <w:rPr>
          <w:rFonts w:ascii="Times New Roman" w:hAnsi="Times New Roman" w:cs="Times New Roman"/>
          <w:color w:val="000000"/>
          <w:sz w:val="24"/>
          <w:szCs w:val="24"/>
        </w:rPr>
        <w:t>innych zaangażowanych sektorów</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6"/>
        </w:numPr>
        <w:tabs>
          <w:tab w:val="left" w:pos="7514"/>
        </w:tabs>
        <w:spacing w:before="120" w:after="0" w:line="360" w:lineRule="auto"/>
        <w:ind w:left="518"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wspierania opracowywania i wdrażania naukowo ugruntowanych programów edukacyjnych i profilaktycznych dotyczących narażenia zawodowego na działanie rtęci i związków rtęci</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6"/>
        </w:numPr>
        <w:tabs>
          <w:tab w:val="left" w:pos="7514"/>
        </w:tabs>
        <w:spacing w:before="120" w:after="0" w:line="360" w:lineRule="auto"/>
        <w:ind w:left="518"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wspierania odpowiednich usług opieki zdrowotnej związanych z profilaktyką, leczeniem i opieką dla grup ludności narażonych na działanie rtęci i związków rtęci</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6"/>
        </w:numPr>
        <w:tabs>
          <w:tab w:val="left" w:pos="7514"/>
        </w:tabs>
        <w:spacing w:before="120" w:after="0" w:line="360" w:lineRule="auto"/>
        <w:ind w:left="518" w:hanging="518"/>
        <w:jc w:val="both"/>
        <w:rPr>
          <w:rFonts w:ascii="Times New Roman" w:hAnsi="Times New Roman" w:cs="Times New Roman"/>
          <w:color w:val="000000"/>
          <w:sz w:val="24"/>
          <w:szCs w:val="24"/>
        </w:rPr>
      </w:pPr>
      <w:r w:rsidRPr="00A535CD">
        <w:rPr>
          <w:rFonts w:ascii="Times New Roman" w:hAnsi="Times New Roman" w:cs="Times New Roman"/>
          <w:color w:val="000000"/>
          <w:sz w:val="24"/>
          <w:szCs w:val="24"/>
        </w:rPr>
        <w:t>ustanawiania i wzmacniania, w stosownych przypadkach, zdolności instytucjonalnych i zdolności pracowników służby zdrowia w zakresie profilaktyki, diagnozy, leczenia i monitorowania zagrożeń dla zdrowia związanych z narażeniem na działanie rtęci i związków rtęci.</w:t>
      </w:r>
    </w:p>
    <w:p w:rsidR="00BE3CFA" w:rsidRPr="00A535CD" w:rsidRDefault="003D2A9F" w:rsidP="00A535CD">
      <w:pPr>
        <w:suppressAutoHyphens w:val="0"/>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Zobowiązania wynikające z ratyfikacji Konwencji, w przypadku ich realizacji ze środków budżetu państwa, zostaną sfinansowane ze środków przewidzianych </w:t>
      </w:r>
      <w:r w:rsidR="00DB2925" w:rsidRPr="00A535CD">
        <w:rPr>
          <w:rFonts w:ascii="Times New Roman" w:eastAsia="Times New Roman" w:hAnsi="Times New Roman" w:cs="Times New Roman"/>
          <w:bCs/>
          <w:sz w:val="24"/>
          <w:szCs w:val="24"/>
          <w:lang w:eastAsia="en-US"/>
        </w:rPr>
        <w:t>w</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limitach dysponentów właściwych części budżetowych w poszczególnych latach i nie będą stanowiły podstaw do ubiegania się o dodatkowe środki z budżetu państwa na ten cel.</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
          <w:sz w:val="24"/>
          <w:szCs w:val="24"/>
          <w:lang w:eastAsia="en-US"/>
        </w:rPr>
      </w:pPr>
      <w:r w:rsidRPr="00A535CD">
        <w:rPr>
          <w:rFonts w:ascii="Times New Roman" w:eastAsia="Times New Roman" w:hAnsi="Times New Roman" w:cs="Times New Roman"/>
          <w:b/>
          <w:sz w:val="24"/>
          <w:szCs w:val="24"/>
          <w:lang w:eastAsia="en-US"/>
        </w:rPr>
        <w:t>Skutki polityczne</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lastRenderedPageBreak/>
        <w:t>Ratyfikacja Konwencji przez Polskę umożliwi aktywne włączenie się w dyskusje na poziomie globalnym w ramach Konwencji, w szczególności przez udział w COP. Ratyfikowanie Konwencji stanowi istotny sygnał dla społeczności międzynarodowej wskazujący, ż</w:t>
      </w:r>
      <w:r w:rsidR="009C174D">
        <w:rPr>
          <w:rFonts w:ascii="Times New Roman" w:eastAsia="Times New Roman" w:hAnsi="Times New Roman" w:cs="Times New Roman"/>
          <w:bCs/>
          <w:sz w:val="24"/>
          <w:szCs w:val="24"/>
          <w:lang w:eastAsia="en-US"/>
        </w:rPr>
        <w:t>e</w:t>
      </w:r>
      <w:r w:rsidRPr="00A535CD">
        <w:rPr>
          <w:rFonts w:ascii="Times New Roman" w:eastAsia="Times New Roman" w:hAnsi="Times New Roman" w:cs="Times New Roman"/>
          <w:bCs/>
          <w:sz w:val="24"/>
          <w:szCs w:val="24"/>
          <w:lang w:eastAsia="en-US"/>
        </w:rPr>
        <w:t xml:space="preserve"> Polska chce uczestniczyć we wszystkich ważnych procesach globalnych, które jej dotyczą i które niosą dla niej określone skutki. Ponadto potwierdza to, iż Polska jest zaangażowana w realizację polityki opartej o zasady zrównoważonego rozwoju.</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S</w:t>
      </w:r>
      <w:r w:rsidRPr="00A535CD">
        <w:rPr>
          <w:rFonts w:ascii="Times New Roman" w:eastAsia="Times New Roman" w:hAnsi="Times New Roman" w:cs="Times New Roman"/>
          <w:b/>
          <w:bCs/>
          <w:sz w:val="24"/>
          <w:szCs w:val="24"/>
          <w:lang w:eastAsia="en-US"/>
        </w:rPr>
        <w:t>kutki prawne</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Ratyfikacja Konwencji przez Polskę nie spowoduje skutków prawnych. Przepisy Konwencji nie nakładają nowych obowiązków na państwa członkowskie UE, ponieważ </w:t>
      </w:r>
      <w:r w:rsidRPr="00A535CD">
        <w:rPr>
          <w:rFonts w:ascii="Times New Roman" w:eastAsia="Times New Roman" w:hAnsi="Times New Roman" w:cs="Times New Roman"/>
          <w:sz w:val="24"/>
          <w:szCs w:val="24"/>
          <w:lang w:eastAsia="pl-PL"/>
        </w:rPr>
        <w:t>wszystkie postanowienia Konwencji są odzwierciedlone w prawie UE.</w:t>
      </w:r>
      <w:r w:rsidRPr="00A535CD">
        <w:rPr>
          <w:rFonts w:ascii="Times New Roman" w:eastAsia="Times New Roman" w:hAnsi="Times New Roman" w:cs="Times New Roman"/>
          <w:bCs/>
          <w:sz w:val="24"/>
          <w:szCs w:val="24"/>
          <w:lang w:eastAsia="en-US"/>
        </w:rPr>
        <w:t xml:space="preserv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Szczegółowe wytyczne są definiowane na podstawie decyzji COP. Dotychczas COP przyjął wytyczne w zakresie:</w:t>
      </w:r>
    </w:p>
    <w:p w:rsidR="00BE3CFA" w:rsidRPr="00A535CD" w:rsidRDefault="003D2A9F" w:rsidP="00A535CD">
      <w:pPr>
        <w:pStyle w:val="Akapitzlist"/>
        <w:numPr>
          <w:ilvl w:val="0"/>
          <w:numId w:val="16"/>
        </w:numPr>
        <w:tabs>
          <w:tab w:val="left" w:pos="7514"/>
        </w:tabs>
        <w:spacing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źródeł dostaw rtęci i handlu rtęcią</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6"/>
        </w:numPr>
        <w:tabs>
          <w:tab w:val="left" w:pos="7514"/>
        </w:tabs>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wypełniania formularzy wymaganych na mocy art. 3 w odniesieniu do handlu rtęcią</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6"/>
        </w:numPr>
        <w:tabs>
          <w:tab w:val="left" w:pos="7514"/>
        </w:tabs>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identyfikacji poszczególnych zasobów rtęci lub związków rtęci przekraczających 50 ton metrycznych oraz źródeł dostaw rtęci generujących zapasy przekraczające 10 ton metrycznych rocznie</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6"/>
        </w:numPr>
        <w:tabs>
          <w:tab w:val="left" w:pos="7514"/>
        </w:tabs>
        <w:spacing w:before="120" w:after="0" w:line="360" w:lineRule="auto"/>
        <w:ind w:left="518"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formatu rejestracji zwolnień dla produktów i procesów wymienionych w części I załączników A i B</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autoSpaceDE w:val="0"/>
        <w:autoSpaceDN w:val="0"/>
        <w:adjustRightInd w:val="0"/>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opracowania krajowego planu działania mającego na celu ograniczenie i, w miarę możliwości, wyeliminowanie stosowania rtęci w rzemieślniczym wydobyciu złota na małą skalę</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autoSpaceDE w:val="0"/>
        <w:autoSpaceDN w:val="0"/>
        <w:adjustRightInd w:val="0"/>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Najlepszych Dostępnych Technik i Najlepszych Praktyk Środowiskowych i ich kryteriów</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metodologii sporządzania inwentaryzacji emisji</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autoSpaceDE w:val="0"/>
        <w:autoSpaceDN w:val="0"/>
        <w:adjustRightInd w:val="0"/>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tymczasowego składowania rtęci innej niż rtęć odpadowa</w:t>
      </w:r>
      <w:r w:rsidRPr="00A535CD">
        <w:rPr>
          <w:rFonts w:ascii="Times New Roman" w:hAnsi="Times New Roman" w:cs="Times New Roman"/>
          <w:color w:val="000000"/>
          <w:sz w:val="24"/>
          <w:szCs w:val="24"/>
        </w:rPr>
        <w:t xml:space="preserve"> w sposób bezpieczny dla środowiska</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13"/>
        </w:numPr>
        <w:autoSpaceDE w:val="0"/>
        <w:autoSpaceDN w:val="0"/>
        <w:adjustRightInd w:val="0"/>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bezpiecznej dla środowiska gospodarki odpadami składającymi się z rtęci lub związków rtęci lub nimi skażonymi</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zarządzania terenami zanieczyszczonymi</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lastRenderedPageBreak/>
        <w:t xml:space="preserve">strategicznego planowania wdrażania artykułów Konwencji z Minamaty </w:t>
      </w:r>
      <w:r w:rsidR="00DB2925" w:rsidRPr="00A535CD">
        <w:rPr>
          <w:rFonts w:ascii="Times New Roman" w:eastAsia="Times New Roman" w:hAnsi="Times New Roman" w:cs="Times New Roman"/>
          <w:bCs/>
          <w:sz w:val="24"/>
          <w:szCs w:val="24"/>
          <w:lang w:eastAsia="en-US"/>
        </w:rPr>
        <w:t>w</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sprawie rtęci dotyczących zdrowia</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formatu raportowania</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13"/>
        </w:numPr>
        <w:spacing w:before="120" w:after="0" w:line="360" w:lineRule="auto"/>
        <w:ind w:left="532" w:hanging="518"/>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 xml:space="preserve">funduszu </w:t>
      </w:r>
      <w:r w:rsidRPr="00A535CD">
        <w:rPr>
          <w:rFonts w:ascii="Times New Roman" w:eastAsia="Times New Roman" w:hAnsi="Times New Roman" w:cs="Times New Roman"/>
          <w:bCs/>
          <w:sz w:val="24"/>
          <w:szCs w:val="24"/>
          <w:lang w:eastAsia="en-US"/>
        </w:rPr>
        <w:t>powierniczego</w:t>
      </w:r>
      <w:r w:rsidRPr="00A535CD">
        <w:rPr>
          <w:rFonts w:ascii="Times New Roman" w:hAnsi="Times New Roman" w:cs="Times New Roman"/>
          <w:color w:val="000000"/>
          <w:sz w:val="24"/>
          <w:szCs w:val="24"/>
        </w:rPr>
        <w:t xml:space="preserve"> „Global Environment Facility Trust Fund”.</w:t>
      </w:r>
    </w:p>
    <w:p w:rsidR="00BE3CFA" w:rsidRPr="00A535CD" w:rsidRDefault="003D2A9F" w:rsidP="00A535CD">
      <w:pPr>
        <w:autoSpaceDE w:val="0"/>
        <w:autoSpaceDN w:val="0"/>
        <w:adjustRightInd w:val="0"/>
        <w:spacing w:before="120" w:after="0" w:line="360" w:lineRule="auto"/>
        <w:jc w:val="both"/>
        <w:rPr>
          <w:rFonts w:ascii="Times New Roman" w:hAnsi="Times New Roman" w:cs="Times New Roman"/>
          <w:color w:val="000000"/>
          <w:sz w:val="24"/>
          <w:szCs w:val="24"/>
        </w:rPr>
      </w:pPr>
      <w:r w:rsidRPr="00A535CD">
        <w:rPr>
          <w:rFonts w:ascii="Times New Roman" w:eastAsia="Times New Roman" w:hAnsi="Times New Roman" w:cs="Times New Roman"/>
          <w:bCs/>
          <w:sz w:val="24"/>
          <w:szCs w:val="24"/>
          <w:lang w:eastAsia="en-US"/>
        </w:rPr>
        <w:t xml:space="preserve">Przepisy Konwencji stwierdzają, że COP przyjmie wytyczne </w:t>
      </w:r>
      <w:r w:rsidRPr="00A535CD">
        <w:rPr>
          <w:rFonts w:ascii="Times New Roman" w:hAnsi="Times New Roman" w:cs="Times New Roman"/>
          <w:color w:val="000000"/>
          <w:sz w:val="24"/>
          <w:szCs w:val="24"/>
        </w:rPr>
        <w:t>w zakresie uwolnień dotyczące:</w:t>
      </w:r>
    </w:p>
    <w:p w:rsidR="00BE3CFA" w:rsidRPr="00A535CD" w:rsidRDefault="003D2A9F" w:rsidP="00A535CD">
      <w:pPr>
        <w:pStyle w:val="Akapitzlist"/>
        <w:numPr>
          <w:ilvl w:val="0"/>
          <w:numId w:val="38"/>
        </w:numPr>
        <w:autoSpaceDE w:val="0"/>
        <w:autoSpaceDN w:val="0"/>
        <w:adjustRightInd w:val="0"/>
        <w:spacing w:after="0" w:line="360" w:lineRule="auto"/>
        <w:ind w:left="532" w:hanging="532"/>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najlepszych dostępnych technik oraz najlepszych praktyk w dziedzinie ochrony środowiska z uwzględnieniem wszelkich różnic między nowymi, a istniejącymi źródłami i z uwzględnieniem konieczności zminimalizowania skutków przenoszenia zanieczyszczeń między różnymi komponentami środowiska</w:t>
      </w:r>
      <w:r w:rsidR="008D0F00">
        <w:rPr>
          <w:rFonts w:ascii="Times New Roman" w:hAnsi="Times New Roman" w:cs="Times New Roman"/>
          <w:color w:val="000000"/>
          <w:sz w:val="24"/>
          <w:szCs w:val="24"/>
        </w:rPr>
        <w:t>,</w:t>
      </w:r>
    </w:p>
    <w:p w:rsidR="00BE3CFA" w:rsidRPr="00A535CD" w:rsidRDefault="003D2A9F" w:rsidP="00A535CD">
      <w:pPr>
        <w:pStyle w:val="Akapitzlist"/>
        <w:numPr>
          <w:ilvl w:val="0"/>
          <w:numId w:val="38"/>
        </w:numPr>
        <w:autoSpaceDE w:val="0"/>
        <w:autoSpaceDN w:val="0"/>
        <w:adjustRightInd w:val="0"/>
        <w:spacing w:before="120" w:after="0" w:line="360" w:lineRule="auto"/>
        <w:ind w:left="532" w:hanging="532"/>
        <w:jc w:val="both"/>
        <w:rPr>
          <w:rFonts w:ascii="Times New Roman" w:eastAsia="Times New Roman" w:hAnsi="Times New Roman" w:cs="Times New Roman"/>
          <w:bCs/>
          <w:sz w:val="24"/>
          <w:szCs w:val="24"/>
          <w:lang w:eastAsia="en-US"/>
        </w:rPr>
      </w:pPr>
      <w:r w:rsidRPr="00A535CD">
        <w:rPr>
          <w:rFonts w:ascii="Times New Roman" w:hAnsi="Times New Roman" w:cs="Times New Roman"/>
          <w:color w:val="000000"/>
          <w:sz w:val="24"/>
          <w:szCs w:val="24"/>
        </w:rPr>
        <w:t>metodyki przygotowywania rejestrów uwolnień.</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COP przyjmie w dodatkowym załączniku postanowienia w zakresie wymogów dotyczących zarządzania w sposób bezpieczny dla środowiska odpadami rtęciowymi. Przy opracowywaniu wymogów COP weźmie pod uwagę przepisy i programy Stron</w:t>
      </w:r>
      <w:r w:rsidR="00F44930" w:rsidRPr="00E6579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sz w:val="24"/>
          <w:szCs w:val="24"/>
          <w:lang w:eastAsia="en-US"/>
        </w:rPr>
        <w:t>dotyczące gospodarowania odpadami.</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Z tego też względu istotne jest, aby Polska miała wpływ na kształtowanie dokumentów przyjmowanych przez COP.</w:t>
      </w:r>
    </w:p>
    <w:p w:rsidR="00BE3CFA" w:rsidRPr="00A535CD" w:rsidRDefault="003D2A9F" w:rsidP="00A535CD">
      <w:pPr>
        <w:pStyle w:val="Akapitzlist"/>
        <w:numPr>
          <w:ilvl w:val="0"/>
          <w:numId w:val="1"/>
        </w:numPr>
        <w:autoSpaceDE w:val="0"/>
        <w:autoSpaceDN w:val="0"/>
        <w:adjustRightInd w:val="0"/>
        <w:spacing w:before="24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
          <w:bCs/>
          <w:sz w:val="24"/>
          <w:szCs w:val="24"/>
          <w:lang w:eastAsia="en-US"/>
        </w:rPr>
        <w:t>Wpływ Konwencji na podmioty prawa krajowego</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dotyczy następujących podmiotów prawa krajowego: </w:t>
      </w:r>
    </w:p>
    <w:p w:rsidR="00BE3CFA" w:rsidRPr="00A535CD" w:rsidRDefault="003D2A9F" w:rsidP="00A535CD">
      <w:pPr>
        <w:pStyle w:val="Akapitzlist"/>
        <w:numPr>
          <w:ilvl w:val="0"/>
          <w:numId w:val="35"/>
        </w:numPr>
        <w:autoSpaceDE w:val="0"/>
        <w:autoSpaceDN w:val="0"/>
        <w:adjustRightInd w:val="0"/>
        <w:spacing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organów administracji rządowej, w szczególności Ministra Klimatu i Środowiska, Ministra Rozwoju, Pracy i Technologii, Ministra Zdrowia, Ministra Rolnictwa </w:t>
      </w:r>
      <w:r w:rsidR="00BE3CFA" w:rsidRPr="00A535CD">
        <w:rPr>
          <w:rFonts w:ascii="Times New Roman" w:eastAsia="Times New Roman" w:hAnsi="Times New Roman" w:cs="Times New Roman"/>
          <w:bCs/>
          <w:sz w:val="24"/>
          <w:szCs w:val="24"/>
          <w:lang w:eastAsia="en-US"/>
        </w:rPr>
        <w:t>i</w:t>
      </w:r>
      <w:r w:rsidR="00BE3CFA">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Rozwoju Wsi, Głównego Inspektora Ochrony Środowiska, Generalnego Dyrektora Ochrony Środowiska, Prezesa Biura do spraw Substancji Chemicznych, Prezesa Urzędu Rejestracji Produktów Leczniczych, Wyrobów Medycznych </w:t>
      </w:r>
      <w:r w:rsidR="00072AC9" w:rsidRPr="00A535CD">
        <w:rPr>
          <w:rFonts w:ascii="Times New Roman" w:eastAsia="Times New Roman" w:hAnsi="Times New Roman" w:cs="Times New Roman"/>
          <w:bCs/>
          <w:sz w:val="24"/>
          <w:szCs w:val="24"/>
          <w:lang w:eastAsia="en-US"/>
        </w:rPr>
        <w:t>i</w:t>
      </w:r>
      <w:r w:rsidR="00072AC9">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Produktów Biobójczych</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35"/>
        </w:numPr>
        <w:autoSpaceDE w:val="0"/>
        <w:autoSpaceDN w:val="0"/>
        <w:adjustRightInd w:val="0"/>
        <w:spacing w:before="12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wojewódzkich inspektorów ochrony środowiska, regionalnych dyrektorów ochrony środowiska, Krajowego Ośrodka Bilansowania i Zarządzania Emisjami</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35"/>
        </w:numPr>
        <w:autoSpaceDE w:val="0"/>
        <w:autoSpaceDN w:val="0"/>
        <w:adjustRightInd w:val="0"/>
        <w:spacing w:before="12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organów jednostek samorządu terytorialnego, w szczególności marszałków województw oraz starostów</w:t>
      </w:r>
      <w:r w:rsidR="008D0F00">
        <w:rPr>
          <w:rFonts w:ascii="Times New Roman" w:eastAsia="Times New Roman" w:hAnsi="Times New Roman" w:cs="Times New Roman"/>
          <w:bCs/>
          <w:sz w:val="24"/>
          <w:szCs w:val="24"/>
          <w:lang w:eastAsia="en-US"/>
        </w:rPr>
        <w:t>,</w:t>
      </w:r>
    </w:p>
    <w:p w:rsidR="00BE3CFA" w:rsidRPr="00A535CD" w:rsidRDefault="003D2A9F" w:rsidP="00A535CD">
      <w:pPr>
        <w:pStyle w:val="Akapitzlist"/>
        <w:numPr>
          <w:ilvl w:val="0"/>
          <w:numId w:val="35"/>
        </w:numPr>
        <w:autoSpaceDE w:val="0"/>
        <w:autoSpaceDN w:val="0"/>
        <w:adjustRightInd w:val="0"/>
        <w:spacing w:before="120" w:after="0" w:line="360" w:lineRule="auto"/>
        <w:ind w:left="504" w:hanging="504"/>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przedsiębiorców, w szczególności prowadzących instalacje emitujące rtęć (zgodnie z kategoriami źródeł punktowych wymienionych w załączniku D do Konwencji), </w:t>
      </w:r>
      <w:r w:rsidRPr="00A535CD">
        <w:rPr>
          <w:rFonts w:ascii="Times New Roman" w:eastAsia="Times New Roman" w:hAnsi="Times New Roman" w:cs="Times New Roman"/>
          <w:bCs/>
          <w:sz w:val="24"/>
          <w:szCs w:val="24"/>
          <w:lang w:eastAsia="en-US"/>
        </w:rPr>
        <w:lastRenderedPageBreak/>
        <w:t xml:space="preserve">producentów produktów z dodatkiem rtęci (wymienionych w załączniku A do Konwencji).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Z uwagi na fakt, że </w:t>
      </w:r>
      <w:r w:rsidRPr="00A535CD">
        <w:rPr>
          <w:rFonts w:ascii="Times New Roman" w:eastAsia="Times New Roman" w:hAnsi="Times New Roman" w:cs="Times New Roman"/>
          <w:sz w:val="24"/>
          <w:szCs w:val="24"/>
          <w:lang w:eastAsia="pl-PL"/>
        </w:rPr>
        <w:t xml:space="preserve">wszystkie postanowienia Konwencji są odzwierciedlone w prawie UE i bezpośrednio obowiązują Polskę, przedsiębiorcy nie poniosą dodatkowych obciążeń finansowych ani organizacyjnych po ratyfikacji Konwencji przez Polskę. </w:t>
      </w:r>
    </w:p>
    <w:p w:rsidR="00BE3CFA" w:rsidRPr="00A535CD" w:rsidRDefault="003D2A9F" w:rsidP="00A535CD">
      <w:pPr>
        <w:pStyle w:val="Akapitzlist"/>
        <w:numPr>
          <w:ilvl w:val="0"/>
          <w:numId w:val="1"/>
        </w:numPr>
        <w:autoSpaceDE w:val="0"/>
        <w:autoSpaceDN w:val="0"/>
        <w:adjustRightInd w:val="0"/>
        <w:spacing w:before="240" w:after="0" w:line="360" w:lineRule="auto"/>
        <w:ind w:left="504" w:hanging="504"/>
        <w:jc w:val="both"/>
        <w:rPr>
          <w:rFonts w:ascii="Times New Roman" w:eastAsia="Times New Roman" w:hAnsi="Times New Roman" w:cs="Times New Roman"/>
          <w:b/>
          <w:bCs/>
          <w:sz w:val="24"/>
          <w:szCs w:val="24"/>
          <w:lang w:eastAsia="en-US"/>
        </w:rPr>
      </w:pPr>
      <w:r w:rsidRPr="00A535CD">
        <w:rPr>
          <w:rFonts w:ascii="Times New Roman" w:eastAsia="Times New Roman" w:hAnsi="Times New Roman" w:cs="Times New Roman"/>
          <w:b/>
          <w:bCs/>
          <w:sz w:val="24"/>
          <w:szCs w:val="24"/>
          <w:lang w:eastAsia="en-US"/>
        </w:rPr>
        <w:t xml:space="preserve">Wyjaśnienie wyboru trybu związania Rzeczypospolitej Polskiej Konwencją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Zasadne jest, aby Konwencja podlegała ratyfikacji za uprzednią zgodą wyrażoną </w:t>
      </w:r>
      <w:r w:rsidR="00DB2925" w:rsidRPr="00A535CD">
        <w:rPr>
          <w:rFonts w:ascii="Times New Roman" w:eastAsia="Times New Roman" w:hAnsi="Times New Roman" w:cs="Times New Roman"/>
          <w:bCs/>
          <w:sz w:val="24"/>
          <w:szCs w:val="24"/>
          <w:lang w:eastAsia="en-US"/>
        </w:rPr>
        <w:t>w</w:t>
      </w:r>
      <w:r w:rsidR="00DB2925">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ustawie, zgodnie z art. 89 ust. 1 pkt 5 </w:t>
      </w:r>
      <w:r w:rsidRPr="00A535CD">
        <w:rPr>
          <w:rFonts w:ascii="Times New Roman" w:eastAsia="Times New Roman" w:hAnsi="Times New Roman" w:cs="Times New Roman"/>
          <w:bCs/>
          <w:i/>
          <w:sz w:val="24"/>
          <w:szCs w:val="24"/>
          <w:lang w:eastAsia="en-US"/>
        </w:rPr>
        <w:t>Konstytucji Rzeczypospolitej Polskiej</w:t>
      </w:r>
      <w:r w:rsidRPr="00A535CD">
        <w:rPr>
          <w:rFonts w:ascii="Times New Roman" w:eastAsia="Times New Roman" w:hAnsi="Times New Roman" w:cs="Times New Roman"/>
          <w:bCs/>
          <w:sz w:val="24"/>
          <w:szCs w:val="24"/>
          <w:lang w:eastAsia="en-US"/>
        </w:rPr>
        <w:t xml:space="preserve"> (dalej: </w:t>
      </w:r>
      <w:r w:rsidRPr="00A535CD">
        <w:rPr>
          <w:rFonts w:ascii="Times New Roman" w:eastAsia="Times New Roman" w:hAnsi="Times New Roman" w:cs="Times New Roman"/>
          <w:bCs/>
          <w:i/>
          <w:sz w:val="24"/>
          <w:szCs w:val="24"/>
          <w:lang w:eastAsia="en-US"/>
        </w:rPr>
        <w:t>Konstytucja RP</w:t>
      </w:r>
      <w:r w:rsidRPr="00A535CD">
        <w:rPr>
          <w:rFonts w:ascii="Times New Roman" w:eastAsia="Times New Roman" w:hAnsi="Times New Roman" w:cs="Times New Roman"/>
          <w:bCs/>
          <w:sz w:val="24"/>
          <w:szCs w:val="24"/>
          <w:lang w:eastAsia="en-US"/>
        </w:rPr>
        <w:t xml:space="preserve">) i art. 12 ust. 2 ustawy z dnia 14 kwietnia 2000 r. </w:t>
      </w:r>
      <w:r w:rsidRPr="00A535CD">
        <w:rPr>
          <w:rFonts w:ascii="Times New Roman" w:eastAsia="Times New Roman" w:hAnsi="Times New Roman" w:cs="Times New Roman"/>
          <w:bCs/>
          <w:i/>
          <w:sz w:val="24"/>
          <w:szCs w:val="24"/>
          <w:lang w:eastAsia="en-US"/>
        </w:rPr>
        <w:t>o umowach międzynarodowych</w:t>
      </w:r>
      <w:r w:rsidRPr="00A535CD">
        <w:rPr>
          <w:rFonts w:ascii="Times New Roman" w:eastAsia="Times New Roman" w:hAnsi="Times New Roman" w:cs="Times New Roman"/>
          <w:bCs/>
          <w:sz w:val="24"/>
          <w:szCs w:val="24"/>
          <w:lang w:eastAsia="en-US"/>
        </w:rPr>
        <w:t xml:space="preserve"> (Dz. U. z 2020 r. poz. 127), ze względu na to, że dotyczy ona spraw uregulowanych w ustawie.</w:t>
      </w:r>
      <w:r w:rsidR="00F44930" w:rsidRPr="00E6579D">
        <w:rPr>
          <w:rFonts w:ascii="Times New Roman" w:eastAsia="Times New Roman" w:hAnsi="Times New Roman" w:cs="Times New Roman"/>
          <w:bCs/>
          <w:sz w:val="24"/>
          <w:szCs w:val="24"/>
          <w:lang w:eastAsia="en-US"/>
        </w:rPr>
        <w:t xml:space="preserve"> </w:t>
      </w:r>
    </w:p>
    <w:p w:rsidR="00BE3CFA" w:rsidRPr="00A535CD" w:rsidRDefault="003D2A9F" w:rsidP="00A535CD">
      <w:pPr>
        <w:autoSpaceDE w:val="0"/>
        <w:autoSpaceDN w:val="0"/>
        <w:adjustRightInd w:val="0"/>
        <w:spacing w:before="120" w:after="0" w:line="360" w:lineRule="auto"/>
        <w:jc w:val="both"/>
        <w:rPr>
          <w:rFonts w:ascii="Times New Roman" w:eastAsia="Times New Roman" w:hAnsi="Times New Roman" w:cs="Times New Roman"/>
          <w:bCs/>
          <w:sz w:val="24"/>
          <w:szCs w:val="24"/>
          <w:lang w:eastAsia="en-US"/>
        </w:rPr>
      </w:pPr>
      <w:r w:rsidRPr="00A535CD">
        <w:rPr>
          <w:rFonts w:ascii="Times New Roman" w:eastAsia="Times New Roman" w:hAnsi="Times New Roman" w:cs="Times New Roman"/>
          <w:bCs/>
          <w:sz w:val="24"/>
          <w:szCs w:val="24"/>
          <w:lang w:eastAsia="en-US"/>
        </w:rPr>
        <w:t xml:space="preserve">Konwencja dotyczy spraw uregulowanych w przepisach: ustawy z dnia 27 kwietnia 2001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sz w:val="24"/>
          <w:szCs w:val="24"/>
          <w:lang w:eastAsia="en-US"/>
        </w:rPr>
        <w:t>Prawo ochrony środowiska</w:t>
      </w:r>
      <w:r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iCs/>
          <w:sz w:val="24"/>
          <w:szCs w:val="24"/>
          <w:lang w:eastAsia="en-US"/>
        </w:rPr>
        <w:t xml:space="preserve"> </w:t>
      </w:r>
      <w:r w:rsidRPr="00A535CD">
        <w:rPr>
          <w:rFonts w:ascii="Times New Roman" w:eastAsia="Times New Roman" w:hAnsi="Times New Roman" w:cs="Times New Roman"/>
          <w:bCs/>
          <w:sz w:val="24"/>
          <w:szCs w:val="24"/>
          <w:lang w:eastAsia="en-US"/>
        </w:rPr>
        <w:t>ustawy z dnia 24 kwietnia 2009 r.</w:t>
      </w:r>
      <w:r w:rsidRPr="00A535CD">
        <w:rPr>
          <w:rFonts w:ascii="Times New Roman" w:eastAsia="Times New Roman" w:hAnsi="Times New Roman" w:cs="Times New Roman"/>
          <w:bCs/>
          <w:i/>
          <w:iCs/>
          <w:sz w:val="24"/>
          <w:szCs w:val="24"/>
          <w:lang w:eastAsia="en-US"/>
        </w:rPr>
        <w:t xml:space="preserve"> o bateriach </w:t>
      </w:r>
      <w:r w:rsidR="00072AC9" w:rsidRPr="00A535CD">
        <w:rPr>
          <w:rFonts w:ascii="Times New Roman" w:eastAsia="Times New Roman" w:hAnsi="Times New Roman" w:cs="Times New Roman"/>
          <w:bCs/>
          <w:i/>
          <w:iCs/>
          <w:sz w:val="24"/>
          <w:szCs w:val="24"/>
          <w:lang w:eastAsia="en-US"/>
        </w:rPr>
        <w:t>i</w:t>
      </w:r>
      <w:r w:rsidR="00072AC9">
        <w:rPr>
          <w:rFonts w:ascii="Times New Roman" w:eastAsia="Times New Roman" w:hAnsi="Times New Roman" w:cs="Times New Roman"/>
          <w:bCs/>
          <w:i/>
          <w:iCs/>
          <w:sz w:val="24"/>
          <w:szCs w:val="24"/>
          <w:lang w:eastAsia="en-US"/>
        </w:rPr>
        <w:t> </w:t>
      </w:r>
      <w:r w:rsidRPr="00A535CD">
        <w:rPr>
          <w:rFonts w:ascii="Times New Roman" w:eastAsia="Times New Roman" w:hAnsi="Times New Roman" w:cs="Times New Roman"/>
          <w:bCs/>
          <w:i/>
          <w:iCs/>
          <w:sz w:val="24"/>
          <w:szCs w:val="24"/>
          <w:lang w:eastAsia="en-US"/>
        </w:rPr>
        <w:t>akumulatorach</w:t>
      </w:r>
      <w:r w:rsidRPr="00A535C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i/>
          <w:iCs/>
          <w:sz w:val="24"/>
          <w:szCs w:val="24"/>
          <w:lang w:eastAsia="en-US"/>
        </w:rPr>
        <w:t xml:space="preserve"> </w:t>
      </w:r>
      <w:r w:rsidRPr="00A535CD">
        <w:rPr>
          <w:rFonts w:ascii="Times New Roman" w:eastAsia="Times New Roman" w:hAnsi="Times New Roman" w:cs="Times New Roman"/>
          <w:bCs/>
          <w:sz w:val="24"/>
          <w:szCs w:val="24"/>
          <w:lang w:eastAsia="en-US"/>
        </w:rPr>
        <w:t xml:space="preserve">ustawy z dnia 14 grudnia 2012 r. </w:t>
      </w:r>
      <w:r w:rsidRPr="00A535CD">
        <w:rPr>
          <w:rFonts w:ascii="Times New Roman" w:eastAsia="Times New Roman" w:hAnsi="Times New Roman" w:cs="Times New Roman"/>
          <w:bCs/>
          <w:i/>
          <w:iCs/>
          <w:sz w:val="24"/>
          <w:szCs w:val="24"/>
          <w:lang w:eastAsia="en-US"/>
        </w:rPr>
        <w:t>o odpadach</w:t>
      </w:r>
      <w:r w:rsidRPr="00A535CD">
        <w:rPr>
          <w:rFonts w:ascii="Times New Roman" w:eastAsia="Times New Roman" w:hAnsi="Times New Roman" w:cs="Times New Roman"/>
          <w:bCs/>
          <w:iCs/>
          <w:sz w:val="24"/>
          <w:szCs w:val="24"/>
          <w:lang w:eastAsia="en-US"/>
        </w:rPr>
        <w:t xml:space="preserve">, </w:t>
      </w:r>
      <w:r w:rsidRPr="00A535CD">
        <w:rPr>
          <w:rFonts w:ascii="Times New Roman" w:eastAsia="Times New Roman" w:hAnsi="Times New Roman" w:cs="Times New Roman"/>
          <w:bCs/>
          <w:sz w:val="24"/>
          <w:szCs w:val="24"/>
          <w:lang w:eastAsia="en-US"/>
        </w:rPr>
        <w:t xml:space="preserve">ustawy z dnia 20 lipca 2017 r. </w:t>
      </w:r>
      <w:r w:rsidR="00F44930" w:rsidRPr="00E6579D">
        <w:rPr>
          <w:rFonts w:ascii="Times New Roman" w:eastAsia="Times New Roman" w:hAnsi="Times New Roman" w:cs="Times New Roman"/>
          <w:bCs/>
          <w:sz w:val="24"/>
          <w:szCs w:val="24"/>
          <w:lang w:eastAsia="en-US"/>
        </w:rPr>
        <w:t>–</w:t>
      </w:r>
      <w:r w:rsidRPr="00A535CD">
        <w:rPr>
          <w:rFonts w:ascii="Times New Roman" w:eastAsia="Times New Roman" w:hAnsi="Times New Roman" w:cs="Times New Roman"/>
          <w:bCs/>
          <w:sz w:val="24"/>
          <w:szCs w:val="24"/>
          <w:lang w:eastAsia="en-US"/>
        </w:rPr>
        <w:t xml:space="preserve"> </w:t>
      </w:r>
      <w:r w:rsidRPr="00A535CD">
        <w:rPr>
          <w:rFonts w:ascii="Times New Roman" w:eastAsia="Times New Roman" w:hAnsi="Times New Roman" w:cs="Times New Roman"/>
          <w:bCs/>
          <w:i/>
          <w:iCs/>
          <w:sz w:val="24"/>
          <w:szCs w:val="24"/>
          <w:lang w:eastAsia="en-US"/>
        </w:rPr>
        <w:t xml:space="preserve">Prawo wodne </w:t>
      </w:r>
      <w:r w:rsidRPr="00A535CD">
        <w:rPr>
          <w:rFonts w:ascii="Times New Roman" w:eastAsia="Times New Roman" w:hAnsi="Times New Roman" w:cs="Times New Roman"/>
          <w:bCs/>
          <w:iCs/>
          <w:sz w:val="24"/>
          <w:szCs w:val="24"/>
          <w:lang w:eastAsia="en-US"/>
        </w:rPr>
        <w:t>oraz</w:t>
      </w:r>
      <w:r w:rsidRPr="00A535CD">
        <w:rPr>
          <w:rFonts w:ascii="Times New Roman" w:eastAsia="Times New Roman" w:hAnsi="Times New Roman" w:cs="Times New Roman"/>
          <w:bCs/>
          <w:i/>
          <w:iCs/>
          <w:sz w:val="24"/>
          <w:szCs w:val="24"/>
          <w:lang w:eastAsia="en-US"/>
        </w:rPr>
        <w:t xml:space="preserve"> </w:t>
      </w:r>
      <w:r w:rsidRPr="00A535CD">
        <w:rPr>
          <w:rFonts w:ascii="Times New Roman" w:eastAsia="Times New Roman" w:hAnsi="Times New Roman" w:cs="Times New Roman"/>
          <w:bCs/>
          <w:sz w:val="24"/>
          <w:szCs w:val="24"/>
          <w:lang w:eastAsia="en-US"/>
        </w:rPr>
        <w:t xml:space="preserve">ustawy z dnia 13 kwietnia 2007 r. </w:t>
      </w:r>
      <w:r w:rsidRPr="00A535CD">
        <w:rPr>
          <w:rFonts w:ascii="Times New Roman" w:eastAsia="Times New Roman" w:hAnsi="Times New Roman" w:cs="Times New Roman"/>
          <w:bCs/>
          <w:i/>
          <w:sz w:val="24"/>
          <w:szCs w:val="24"/>
          <w:lang w:eastAsia="en-US"/>
        </w:rPr>
        <w:t>o zapobieganiu szkodom w środowisku i ich naprawie</w:t>
      </w:r>
      <w:r w:rsidRPr="00A535CD">
        <w:rPr>
          <w:rFonts w:ascii="Times New Roman" w:eastAsia="Times New Roman" w:hAnsi="Times New Roman" w:cs="Times New Roman"/>
          <w:bCs/>
          <w:sz w:val="24"/>
          <w:szCs w:val="24"/>
          <w:lang w:eastAsia="en-US"/>
        </w:rPr>
        <w:t xml:space="preserve">. Ratyfikacja Konwencji nie będzie wiązała się </w:t>
      </w:r>
      <w:r w:rsidR="00072AC9" w:rsidRPr="00A535CD">
        <w:rPr>
          <w:rFonts w:ascii="Times New Roman" w:eastAsia="Times New Roman" w:hAnsi="Times New Roman" w:cs="Times New Roman"/>
          <w:bCs/>
          <w:sz w:val="24"/>
          <w:szCs w:val="24"/>
          <w:lang w:eastAsia="en-US"/>
        </w:rPr>
        <w:t>z</w:t>
      </w:r>
      <w:r w:rsidR="00072AC9">
        <w:rPr>
          <w:rFonts w:ascii="Times New Roman" w:eastAsia="Times New Roman" w:hAnsi="Times New Roman" w:cs="Times New Roman"/>
          <w:bCs/>
          <w:sz w:val="24"/>
          <w:szCs w:val="24"/>
          <w:lang w:eastAsia="en-US"/>
        </w:rPr>
        <w:t> </w:t>
      </w:r>
      <w:r w:rsidRPr="00A535CD">
        <w:rPr>
          <w:rFonts w:ascii="Times New Roman" w:eastAsia="Times New Roman" w:hAnsi="Times New Roman" w:cs="Times New Roman"/>
          <w:bCs/>
          <w:sz w:val="24"/>
          <w:szCs w:val="24"/>
          <w:lang w:eastAsia="en-US"/>
        </w:rPr>
        <w:t xml:space="preserve">koniecznością wprowadzenia nowych środków prawnych. </w:t>
      </w:r>
    </w:p>
    <w:p w:rsidR="00BE3CFA" w:rsidRPr="00A535CD" w:rsidRDefault="003D2A9F" w:rsidP="00A535CD">
      <w:pPr>
        <w:spacing w:before="120" w:after="0" w:line="360" w:lineRule="auto"/>
        <w:jc w:val="both"/>
        <w:rPr>
          <w:rFonts w:ascii="Times New Roman" w:hAnsi="Times New Roman" w:cs="Times New Roman"/>
          <w:sz w:val="24"/>
          <w:szCs w:val="24"/>
        </w:rPr>
      </w:pPr>
      <w:r w:rsidRPr="00A535CD">
        <w:rPr>
          <w:rFonts w:ascii="Times New Roman" w:eastAsia="Times New Roman" w:hAnsi="Times New Roman" w:cs="Times New Roman"/>
          <w:bCs/>
          <w:sz w:val="24"/>
          <w:szCs w:val="24"/>
          <w:lang w:eastAsia="en-US"/>
        </w:rPr>
        <w:t xml:space="preserve">W przypadku kolizji przepisów Konwencji i przepisów ww. ustaw, Konwencja będzie mieć pierwszeństwo przed ustawą zgodnie z art. 91 ust. 2 </w:t>
      </w:r>
      <w:r w:rsidRPr="00A535CD">
        <w:rPr>
          <w:rFonts w:ascii="Times New Roman" w:eastAsia="Times New Roman" w:hAnsi="Times New Roman" w:cs="Times New Roman"/>
          <w:bCs/>
          <w:i/>
          <w:sz w:val="24"/>
          <w:szCs w:val="24"/>
          <w:lang w:eastAsia="en-US"/>
        </w:rPr>
        <w:t>Konstytucji RP</w:t>
      </w:r>
      <w:r w:rsidRPr="00A535CD">
        <w:rPr>
          <w:rFonts w:ascii="Times New Roman" w:eastAsia="Times New Roman" w:hAnsi="Times New Roman" w:cs="Times New Roman"/>
          <w:bCs/>
          <w:sz w:val="24"/>
          <w:szCs w:val="24"/>
          <w:lang w:eastAsia="en-US"/>
        </w:rPr>
        <w:t>.</w:t>
      </w:r>
    </w:p>
    <w:sectPr w:rsidR="00BE3CFA" w:rsidRPr="00A535CD" w:rsidSect="00A535CD">
      <w:footerReference w:type="default" r:id="rId8"/>
      <w:headerReference w:type="first" r:id="rId9"/>
      <w:footerReference w:type="first" r:id="rId10"/>
      <w:pgSz w:w="11906" w:h="16838" w:code="9"/>
      <w:pgMar w:top="1588" w:right="1418" w:bottom="1418"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5E2" w:rsidRDefault="00B965E2">
      <w:pPr>
        <w:spacing w:after="0" w:line="240" w:lineRule="auto"/>
      </w:pPr>
      <w:r>
        <w:separator/>
      </w:r>
    </w:p>
  </w:endnote>
  <w:endnote w:type="continuationSeparator" w:id="0">
    <w:p w:rsidR="00B965E2" w:rsidRDefault="00B96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CFA" w:rsidRPr="00A535CD" w:rsidRDefault="00BE3CFA" w:rsidP="00A535CD">
    <w:pPr>
      <w:pStyle w:val="Stopka"/>
      <w:jc w:val="center"/>
      <w:rPr>
        <w:rFonts w:ascii="Times New Roman" w:hAnsi="Times New Roman" w:cs="Times New Roman"/>
        <w:sz w:val="24"/>
        <w:szCs w:val="24"/>
      </w:rPr>
    </w:pPr>
    <w:r w:rsidRPr="00A535CD">
      <w:rPr>
        <w:rFonts w:ascii="Times New Roman" w:hAnsi="Times New Roman" w:cs="Times New Roman"/>
        <w:sz w:val="24"/>
        <w:szCs w:val="24"/>
      </w:rPr>
      <w:fldChar w:fldCharType="begin"/>
    </w:r>
    <w:r w:rsidRPr="00A535CD">
      <w:rPr>
        <w:rFonts w:ascii="Times New Roman" w:hAnsi="Times New Roman" w:cs="Times New Roman"/>
        <w:sz w:val="24"/>
        <w:szCs w:val="24"/>
      </w:rPr>
      <w:instrText xml:space="preserve"> PAGE   \* MERGEFORMAT </w:instrText>
    </w:r>
    <w:r w:rsidRPr="00A535CD">
      <w:rPr>
        <w:rFonts w:ascii="Times New Roman" w:hAnsi="Times New Roman" w:cs="Times New Roman"/>
        <w:sz w:val="24"/>
        <w:szCs w:val="24"/>
      </w:rPr>
      <w:fldChar w:fldCharType="separate"/>
    </w:r>
    <w:r w:rsidR="00DB2925">
      <w:rPr>
        <w:rFonts w:ascii="Times New Roman" w:hAnsi="Times New Roman" w:cs="Times New Roman"/>
        <w:noProof/>
        <w:sz w:val="24"/>
        <w:szCs w:val="24"/>
      </w:rPr>
      <w:t>12</w:t>
    </w:r>
    <w:r w:rsidRPr="00A535CD">
      <w:rPr>
        <w:rFonts w:ascii="Times New Roman" w:hAnsi="Times New Roman" w:cs="Times New Roman"/>
        <w:sz w:val="24"/>
        <w:szCs w:val="24"/>
      </w:rPr>
      <w:fldChar w:fldCharType="end"/>
    </w:r>
  </w:p>
  <w:p w:rsidR="00BE3CFA" w:rsidRDefault="00BE3CF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CFA" w:rsidRPr="006F07B7" w:rsidRDefault="00BE3CFA" w:rsidP="00BE3CFA">
    <w:pPr>
      <w:pStyle w:val="Stopka"/>
      <w:spacing w:after="0"/>
      <w:jc w:val="center"/>
    </w:pPr>
  </w:p>
  <w:p w:rsidR="00BE3CFA" w:rsidRPr="006F07B7" w:rsidRDefault="00BE3CFA" w:rsidP="00BE3CFA">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5E2" w:rsidRDefault="00B965E2">
      <w:pPr>
        <w:spacing w:after="0" w:line="240" w:lineRule="auto"/>
      </w:pPr>
      <w:r>
        <w:separator/>
      </w:r>
    </w:p>
  </w:footnote>
  <w:footnote w:type="continuationSeparator" w:id="0">
    <w:p w:rsidR="00B965E2" w:rsidRDefault="00B96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CFA" w:rsidRPr="00FD2341" w:rsidRDefault="00BE3CFA" w:rsidP="00BE3CFA">
    <w:pPr>
      <w:pStyle w:val="Nagwek"/>
      <w:tabs>
        <w:tab w:val="clear" w:pos="4536"/>
        <w:tab w:val="clear" w:pos="9072"/>
        <w:tab w:val="right" w:pos="9070"/>
      </w:tabs>
      <w:spacing w:line="240" w:lineRule="auto"/>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35BC"/>
    <w:multiLevelType w:val="hybridMultilevel"/>
    <w:tmpl w:val="38903530"/>
    <w:lvl w:ilvl="0" w:tplc="0C8491D2">
      <w:start w:val="1"/>
      <w:numFmt w:val="bullet"/>
      <w:lvlText w:val=""/>
      <w:lvlJc w:val="left"/>
      <w:pPr>
        <w:ind w:left="720" w:hanging="360"/>
      </w:pPr>
      <w:rPr>
        <w:rFonts w:ascii="Wingdings" w:hAnsi="Wingdings" w:hint="default"/>
      </w:rPr>
    </w:lvl>
    <w:lvl w:ilvl="1" w:tplc="B0E84356" w:tentative="1">
      <w:start w:val="1"/>
      <w:numFmt w:val="bullet"/>
      <w:lvlText w:val="o"/>
      <w:lvlJc w:val="left"/>
      <w:pPr>
        <w:ind w:left="1440" w:hanging="360"/>
      </w:pPr>
      <w:rPr>
        <w:rFonts w:ascii="Courier New" w:hAnsi="Courier New" w:cs="Courier New" w:hint="default"/>
      </w:rPr>
    </w:lvl>
    <w:lvl w:ilvl="2" w:tplc="9FAE451A" w:tentative="1">
      <w:start w:val="1"/>
      <w:numFmt w:val="bullet"/>
      <w:lvlText w:val=""/>
      <w:lvlJc w:val="left"/>
      <w:pPr>
        <w:ind w:left="2160" w:hanging="360"/>
      </w:pPr>
      <w:rPr>
        <w:rFonts w:ascii="Wingdings" w:hAnsi="Wingdings" w:hint="default"/>
      </w:rPr>
    </w:lvl>
    <w:lvl w:ilvl="3" w:tplc="7B8AC900" w:tentative="1">
      <w:start w:val="1"/>
      <w:numFmt w:val="bullet"/>
      <w:lvlText w:val=""/>
      <w:lvlJc w:val="left"/>
      <w:pPr>
        <w:ind w:left="2880" w:hanging="360"/>
      </w:pPr>
      <w:rPr>
        <w:rFonts w:ascii="Symbol" w:hAnsi="Symbol" w:hint="default"/>
      </w:rPr>
    </w:lvl>
    <w:lvl w:ilvl="4" w:tplc="909C47C8" w:tentative="1">
      <w:start w:val="1"/>
      <w:numFmt w:val="bullet"/>
      <w:lvlText w:val="o"/>
      <w:lvlJc w:val="left"/>
      <w:pPr>
        <w:ind w:left="3600" w:hanging="360"/>
      </w:pPr>
      <w:rPr>
        <w:rFonts w:ascii="Courier New" w:hAnsi="Courier New" w:cs="Courier New" w:hint="default"/>
      </w:rPr>
    </w:lvl>
    <w:lvl w:ilvl="5" w:tplc="195A087C" w:tentative="1">
      <w:start w:val="1"/>
      <w:numFmt w:val="bullet"/>
      <w:lvlText w:val=""/>
      <w:lvlJc w:val="left"/>
      <w:pPr>
        <w:ind w:left="4320" w:hanging="360"/>
      </w:pPr>
      <w:rPr>
        <w:rFonts w:ascii="Wingdings" w:hAnsi="Wingdings" w:hint="default"/>
      </w:rPr>
    </w:lvl>
    <w:lvl w:ilvl="6" w:tplc="FE86E168" w:tentative="1">
      <w:start w:val="1"/>
      <w:numFmt w:val="bullet"/>
      <w:lvlText w:val=""/>
      <w:lvlJc w:val="left"/>
      <w:pPr>
        <w:ind w:left="5040" w:hanging="360"/>
      </w:pPr>
      <w:rPr>
        <w:rFonts w:ascii="Symbol" w:hAnsi="Symbol" w:hint="default"/>
      </w:rPr>
    </w:lvl>
    <w:lvl w:ilvl="7" w:tplc="CDA48942" w:tentative="1">
      <w:start w:val="1"/>
      <w:numFmt w:val="bullet"/>
      <w:lvlText w:val="o"/>
      <w:lvlJc w:val="left"/>
      <w:pPr>
        <w:ind w:left="5760" w:hanging="360"/>
      </w:pPr>
      <w:rPr>
        <w:rFonts w:ascii="Courier New" w:hAnsi="Courier New" w:cs="Courier New" w:hint="default"/>
      </w:rPr>
    </w:lvl>
    <w:lvl w:ilvl="8" w:tplc="088E8EF6" w:tentative="1">
      <w:start w:val="1"/>
      <w:numFmt w:val="bullet"/>
      <w:lvlText w:val=""/>
      <w:lvlJc w:val="left"/>
      <w:pPr>
        <w:ind w:left="6480" w:hanging="360"/>
      </w:pPr>
      <w:rPr>
        <w:rFonts w:ascii="Wingdings" w:hAnsi="Wingdings" w:hint="default"/>
      </w:rPr>
    </w:lvl>
  </w:abstractNum>
  <w:abstractNum w:abstractNumId="1" w15:restartNumberingAfterBreak="0">
    <w:nsid w:val="02506A9D"/>
    <w:multiLevelType w:val="hybridMultilevel"/>
    <w:tmpl w:val="A934D818"/>
    <w:lvl w:ilvl="0" w:tplc="3B80135E">
      <w:start w:val="1"/>
      <w:numFmt w:val="bullet"/>
      <w:lvlText w:val=""/>
      <w:lvlJc w:val="left"/>
      <w:pPr>
        <w:ind w:left="720" w:hanging="360"/>
      </w:pPr>
      <w:rPr>
        <w:rFonts w:ascii="Wingdings" w:hAnsi="Wingdings" w:hint="default"/>
      </w:rPr>
    </w:lvl>
    <w:lvl w:ilvl="1" w:tplc="3A7E46BA" w:tentative="1">
      <w:start w:val="1"/>
      <w:numFmt w:val="bullet"/>
      <w:lvlText w:val="o"/>
      <w:lvlJc w:val="left"/>
      <w:pPr>
        <w:ind w:left="1440" w:hanging="360"/>
      </w:pPr>
      <w:rPr>
        <w:rFonts w:ascii="Courier New" w:hAnsi="Courier New" w:cs="Courier New" w:hint="default"/>
      </w:rPr>
    </w:lvl>
    <w:lvl w:ilvl="2" w:tplc="D760F76A" w:tentative="1">
      <w:start w:val="1"/>
      <w:numFmt w:val="bullet"/>
      <w:lvlText w:val=""/>
      <w:lvlJc w:val="left"/>
      <w:pPr>
        <w:ind w:left="2160" w:hanging="360"/>
      </w:pPr>
      <w:rPr>
        <w:rFonts w:ascii="Wingdings" w:hAnsi="Wingdings" w:hint="default"/>
      </w:rPr>
    </w:lvl>
    <w:lvl w:ilvl="3" w:tplc="52B8DCC0" w:tentative="1">
      <w:start w:val="1"/>
      <w:numFmt w:val="bullet"/>
      <w:lvlText w:val=""/>
      <w:lvlJc w:val="left"/>
      <w:pPr>
        <w:ind w:left="2880" w:hanging="360"/>
      </w:pPr>
      <w:rPr>
        <w:rFonts w:ascii="Symbol" w:hAnsi="Symbol" w:hint="default"/>
      </w:rPr>
    </w:lvl>
    <w:lvl w:ilvl="4" w:tplc="5B9E1B3A" w:tentative="1">
      <w:start w:val="1"/>
      <w:numFmt w:val="bullet"/>
      <w:lvlText w:val="o"/>
      <w:lvlJc w:val="left"/>
      <w:pPr>
        <w:ind w:left="3600" w:hanging="360"/>
      </w:pPr>
      <w:rPr>
        <w:rFonts w:ascii="Courier New" w:hAnsi="Courier New" w:cs="Courier New" w:hint="default"/>
      </w:rPr>
    </w:lvl>
    <w:lvl w:ilvl="5" w:tplc="DE5639C2" w:tentative="1">
      <w:start w:val="1"/>
      <w:numFmt w:val="bullet"/>
      <w:lvlText w:val=""/>
      <w:lvlJc w:val="left"/>
      <w:pPr>
        <w:ind w:left="4320" w:hanging="360"/>
      </w:pPr>
      <w:rPr>
        <w:rFonts w:ascii="Wingdings" w:hAnsi="Wingdings" w:hint="default"/>
      </w:rPr>
    </w:lvl>
    <w:lvl w:ilvl="6" w:tplc="2ED654DE" w:tentative="1">
      <w:start w:val="1"/>
      <w:numFmt w:val="bullet"/>
      <w:lvlText w:val=""/>
      <w:lvlJc w:val="left"/>
      <w:pPr>
        <w:ind w:left="5040" w:hanging="360"/>
      </w:pPr>
      <w:rPr>
        <w:rFonts w:ascii="Symbol" w:hAnsi="Symbol" w:hint="default"/>
      </w:rPr>
    </w:lvl>
    <w:lvl w:ilvl="7" w:tplc="4BD45832" w:tentative="1">
      <w:start w:val="1"/>
      <w:numFmt w:val="bullet"/>
      <w:lvlText w:val="o"/>
      <w:lvlJc w:val="left"/>
      <w:pPr>
        <w:ind w:left="5760" w:hanging="360"/>
      </w:pPr>
      <w:rPr>
        <w:rFonts w:ascii="Courier New" w:hAnsi="Courier New" w:cs="Courier New" w:hint="default"/>
      </w:rPr>
    </w:lvl>
    <w:lvl w:ilvl="8" w:tplc="E70EA078" w:tentative="1">
      <w:start w:val="1"/>
      <w:numFmt w:val="bullet"/>
      <w:lvlText w:val=""/>
      <w:lvlJc w:val="left"/>
      <w:pPr>
        <w:ind w:left="6480" w:hanging="360"/>
      </w:pPr>
      <w:rPr>
        <w:rFonts w:ascii="Wingdings" w:hAnsi="Wingdings" w:hint="default"/>
      </w:rPr>
    </w:lvl>
  </w:abstractNum>
  <w:abstractNum w:abstractNumId="2" w15:restartNumberingAfterBreak="0">
    <w:nsid w:val="047C4815"/>
    <w:multiLevelType w:val="hybridMultilevel"/>
    <w:tmpl w:val="2320F488"/>
    <w:lvl w:ilvl="0" w:tplc="2A381F52">
      <w:start w:val="1"/>
      <w:numFmt w:val="bullet"/>
      <w:lvlText w:val=""/>
      <w:lvlJc w:val="left"/>
      <w:pPr>
        <w:ind w:left="720" w:hanging="360"/>
      </w:pPr>
      <w:rPr>
        <w:rFonts w:ascii="Wingdings" w:hAnsi="Wingdings" w:hint="default"/>
      </w:rPr>
    </w:lvl>
    <w:lvl w:ilvl="1" w:tplc="EA822C48" w:tentative="1">
      <w:start w:val="1"/>
      <w:numFmt w:val="bullet"/>
      <w:lvlText w:val="o"/>
      <w:lvlJc w:val="left"/>
      <w:pPr>
        <w:ind w:left="1440" w:hanging="360"/>
      </w:pPr>
      <w:rPr>
        <w:rFonts w:ascii="Courier New" w:hAnsi="Courier New" w:cs="Courier New" w:hint="default"/>
      </w:rPr>
    </w:lvl>
    <w:lvl w:ilvl="2" w:tplc="3EFA4FEC" w:tentative="1">
      <w:start w:val="1"/>
      <w:numFmt w:val="bullet"/>
      <w:lvlText w:val=""/>
      <w:lvlJc w:val="left"/>
      <w:pPr>
        <w:ind w:left="2160" w:hanging="360"/>
      </w:pPr>
      <w:rPr>
        <w:rFonts w:ascii="Wingdings" w:hAnsi="Wingdings" w:hint="default"/>
      </w:rPr>
    </w:lvl>
    <w:lvl w:ilvl="3" w:tplc="908482A8" w:tentative="1">
      <w:start w:val="1"/>
      <w:numFmt w:val="bullet"/>
      <w:lvlText w:val=""/>
      <w:lvlJc w:val="left"/>
      <w:pPr>
        <w:ind w:left="2880" w:hanging="360"/>
      </w:pPr>
      <w:rPr>
        <w:rFonts w:ascii="Symbol" w:hAnsi="Symbol" w:hint="default"/>
      </w:rPr>
    </w:lvl>
    <w:lvl w:ilvl="4" w:tplc="02388180" w:tentative="1">
      <w:start w:val="1"/>
      <w:numFmt w:val="bullet"/>
      <w:lvlText w:val="o"/>
      <w:lvlJc w:val="left"/>
      <w:pPr>
        <w:ind w:left="3600" w:hanging="360"/>
      </w:pPr>
      <w:rPr>
        <w:rFonts w:ascii="Courier New" w:hAnsi="Courier New" w:cs="Courier New" w:hint="default"/>
      </w:rPr>
    </w:lvl>
    <w:lvl w:ilvl="5" w:tplc="B0845B96" w:tentative="1">
      <w:start w:val="1"/>
      <w:numFmt w:val="bullet"/>
      <w:lvlText w:val=""/>
      <w:lvlJc w:val="left"/>
      <w:pPr>
        <w:ind w:left="4320" w:hanging="360"/>
      </w:pPr>
      <w:rPr>
        <w:rFonts w:ascii="Wingdings" w:hAnsi="Wingdings" w:hint="default"/>
      </w:rPr>
    </w:lvl>
    <w:lvl w:ilvl="6" w:tplc="E50A3886" w:tentative="1">
      <w:start w:val="1"/>
      <w:numFmt w:val="bullet"/>
      <w:lvlText w:val=""/>
      <w:lvlJc w:val="left"/>
      <w:pPr>
        <w:ind w:left="5040" w:hanging="360"/>
      </w:pPr>
      <w:rPr>
        <w:rFonts w:ascii="Symbol" w:hAnsi="Symbol" w:hint="default"/>
      </w:rPr>
    </w:lvl>
    <w:lvl w:ilvl="7" w:tplc="C57CA03A" w:tentative="1">
      <w:start w:val="1"/>
      <w:numFmt w:val="bullet"/>
      <w:lvlText w:val="o"/>
      <w:lvlJc w:val="left"/>
      <w:pPr>
        <w:ind w:left="5760" w:hanging="360"/>
      </w:pPr>
      <w:rPr>
        <w:rFonts w:ascii="Courier New" w:hAnsi="Courier New" w:cs="Courier New" w:hint="default"/>
      </w:rPr>
    </w:lvl>
    <w:lvl w:ilvl="8" w:tplc="64021636" w:tentative="1">
      <w:start w:val="1"/>
      <w:numFmt w:val="bullet"/>
      <w:lvlText w:val=""/>
      <w:lvlJc w:val="left"/>
      <w:pPr>
        <w:ind w:left="6480" w:hanging="360"/>
      </w:pPr>
      <w:rPr>
        <w:rFonts w:ascii="Wingdings" w:hAnsi="Wingdings" w:hint="default"/>
      </w:rPr>
    </w:lvl>
  </w:abstractNum>
  <w:abstractNum w:abstractNumId="3" w15:restartNumberingAfterBreak="0">
    <w:nsid w:val="075D3B63"/>
    <w:multiLevelType w:val="hybridMultilevel"/>
    <w:tmpl w:val="EDB6F298"/>
    <w:lvl w:ilvl="0" w:tplc="895E538E">
      <w:start w:val="1"/>
      <w:numFmt w:val="lowerLetter"/>
      <w:lvlText w:val="%1)"/>
      <w:lvlJc w:val="left"/>
      <w:pPr>
        <w:ind w:left="1080" w:hanging="360"/>
      </w:pPr>
    </w:lvl>
    <w:lvl w:ilvl="1" w:tplc="F7446D36" w:tentative="1">
      <w:start w:val="1"/>
      <w:numFmt w:val="lowerLetter"/>
      <w:lvlText w:val="%2."/>
      <w:lvlJc w:val="left"/>
      <w:pPr>
        <w:ind w:left="1800" w:hanging="360"/>
      </w:pPr>
    </w:lvl>
    <w:lvl w:ilvl="2" w:tplc="0EB0F1A0" w:tentative="1">
      <w:start w:val="1"/>
      <w:numFmt w:val="lowerRoman"/>
      <w:lvlText w:val="%3."/>
      <w:lvlJc w:val="right"/>
      <w:pPr>
        <w:ind w:left="2520" w:hanging="180"/>
      </w:pPr>
    </w:lvl>
    <w:lvl w:ilvl="3" w:tplc="4B90371C" w:tentative="1">
      <w:start w:val="1"/>
      <w:numFmt w:val="decimal"/>
      <w:lvlText w:val="%4."/>
      <w:lvlJc w:val="left"/>
      <w:pPr>
        <w:ind w:left="3240" w:hanging="360"/>
      </w:pPr>
    </w:lvl>
    <w:lvl w:ilvl="4" w:tplc="83FE193A" w:tentative="1">
      <w:start w:val="1"/>
      <w:numFmt w:val="lowerLetter"/>
      <w:lvlText w:val="%5."/>
      <w:lvlJc w:val="left"/>
      <w:pPr>
        <w:ind w:left="3960" w:hanging="360"/>
      </w:pPr>
    </w:lvl>
    <w:lvl w:ilvl="5" w:tplc="2FCE560E" w:tentative="1">
      <w:start w:val="1"/>
      <w:numFmt w:val="lowerRoman"/>
      <w:lvlText w:val="%6."/>
      <w:lvlJc w:val="right"/>
      <w:pPr>
        <w:ind w:left="4680" w:hanging="180"/>
      </w:pPr>
    </w:lvl>
    <w:lvl w:ilvl="6" w:tplc="E15E4FBC" w:tentative="1">
      <w:start w:val="1"/>
      <w:numFmt w:val="decimal"/>
      <w:lvlText w:val="%7."/>
      <w:lvlJc w:val="left"/>
      <w:pPr>
        <w:ind w:left="5400" w:hanging="360"/>
      </w:pPr>
    </w:lvl>
    <w:lvl w:ilvl="7" w:tplc="52FAB426" w:tentative="1">
      <w:start w:val="1"/>
      <w:numFmt w:val="lowerLetter"/>
      <w:lvlText w:val="%8."/>
      <w:lvlJc w:val="left"/>
      <w:pPr>
        <w:ind w:left="6120" w:hanging="360"/>
      </w:pPr>
    </w:lvl>
    <w:lvl w:ilvl="8" w:tplc="940C1262" w:tentative="1">
      <w:start w:val="1"/>
      <w:numFmt w:val="lowerRoman"/>
      <w:lvlText w:val="%9."/>
      <w:lvlJc w:val="right"/>
      <w:pPr>
        <w:ind w:left="6840" w:hanging="180"/>
      </w:pPr>
    </w:lvl>
  </w:abstractNum>
  <w:abstractNum w:abstractNumId="4" w15:restartNumberingAfterBreak="0">
    <w:nsid w:val="07B01D41"/>
    <w:multiLevelType w:val="hybridMultilevel"/>
    <w:tmpl w:val="F2BA4DCE"/>
    <w:lvl w:ilvl="0" w:tplc="6E24EBCA">
      <w:start w:val="1"/>
      <w:numFmt w:val="bullet"/>
      <w:lvlText w:val="–"/>
      <w:lvlJc w:val="left"/>
      <w:pPr>
        <w:ind w:left="720" w:hanging="360"/>
      </w:pPr>
      <w:rPr>
        <w:rFonts w:ascii="Times New Roman" w:hAnsi="Times New Roman" w:cs="Times New Roman" w:hint="default"/>
      </w:rPr>
    </w:lvl>
    <w:lvl w:ilvl="1" w:tplc="F20C454A" w:tentative="1">
      <w:start w:val="1"/>
      <w:numFmt w:val="bullet"/>
      <w:lvlText w:val="o"/>
      <w:lvlJc w:val="left"/>
      <w:pPr>
        <w:ind w:left="1440" w:hanging="360"/>
      </w:pPr>
      <w:rPr>
        <w:rFonts w:ascii="Courier New" w:hAnsi="Courier New" w:cs="Courier New" w:hint="default"/>
      </w:rPr>
    </w:lvl>
    <w:lvl w:ilvl="2" w:tplc="72D6DE20" w:tentative="1">
      <w:start w:val="1"/>
      <w:numFmt w:val="bullet"/>
      <w:lvlText w:val=""/>
      <w:lvlJc w:val="left"/>
      <w:pPr>
        <w:ind w:left="2160" w:hanging="360"/>
      </w:pPr>
      <w:rPr>
        <w:rFonts w:ascii="Wingdings" w:hAnsi="Wingdings" w:hint="default"/>
      </w:rPr>
    </w:lvl>
    <w:lvl w:ilvl="3" w:tplc="15D4B4A2" w:tentative="1">
      <w:start w:val="1"/>
      <w:numFmt w:val="bullet"/>
      <w:lvlText w:val=""/>
      <w:lvlJc w:val="left"/>
      <w:pPr>
        <w:ind w:left="2880" w:hanging="360"/>
      </w:pPr>
      <w:rPr>
        <w:rFonts w:ascii="Symbol" w:hAnsi="Symbol" w:hint="default"/>
      </w:rPr>
    </w:lvl>
    <w:lvl w:ilvl="4" w:tplc="22E63DD2" w:tentative="1">
      <w:start w:val="1"/>
      <w:numFmt w:val="bullet"/>
      <w:lvlText w:val="o"/>
      <w:lvlJc w:val="left"/>
      <w:pPr>
        <w:ind w:left="3600" w:hanging="360"/>
      </w:pPr>
      <w:rPr>
        <w:rFonts w:ascii="Courier New" w:hAnsi="Courier New" w:cs="Courier New" w:hint="default"/>
      </w:rPr>
    </w:lvl>
    <w:lvl w:ilvl="5" w:tplc="08B69836" w:tentative="1">
      <w:start w:val="1"/>
      <w:numFmt w:val="bullet"/>
      <w:lvlText w:val=""/>
      <w:lvlJc w:val="left"/>
      <w:pPr>
        <w:ind w:left="4320" w:hanging="360"/>
      </w:pPr>
      <w:rPr>
        <w:rFonts w:ascii="Wingdings" w:hAnsi="Wingdings" w:hint="default"/>
      </w:rPr>
    </w:lvl>
    <w:lvl w:ilvl="6" w:tplc="EE082D10" w:tentative="1">
      <w:start w:val="1"/>
      <w:numFmt w:val="bullet"/>
      <w:lvlText w:val=""/>
      <w:lvlJc w:val="left"/>
      <w:pPr>
        <w:ind w:left="5040" w:hanging="360"/>
      </w:pPr>
      <w:rPr>
        <w:rFonts w:ascii="Symbol" w:hAnsi="Symbol" w:hint="default"/>
      </w:rPr>
    </w:lvl>
    <w:lvl w:ilvl="7" w:tplc="0784C48A" w:tentative="1">
      <w:start w:val="1"/>
      <w:numFmt w:val="bullet"/>
      <w:lvlText w:val="o"/>
      <w:lvlJc w:val="left"/>
      <w:pPr>
        <w:ind w:left="5760" w:hanging="360"/>
      </w:pPr>
      <w:rPr>
        <w:rFonts w:ascii="Courier New" w:hAnsi="Courier New" w:cs="Courier New" w:hint="default"/>
      </w:rPr>
    </w:lvl>
    <w:lvl w:ilvl="8" w:tplc="72BE63CE" w:tentative="1">
      <w:start w:val="1"/>
      <w:numFmt w:val="bullet"/>
      <w:lvlText w:val=""/>
      <w:lvlJc w:val="left"/>
      <w:pPr>
        <w:ind w:left="6480" w:hanging="360"/>
      </w:pPr>
      <w:rPr>
        <w:rFonts w:ascii="Wingdings" w:hAnsi="Wingdings" w:hint="default"/>
      </w:rPr>
    </w:lvl>
  </w:abstractNum>
  <w:abstractNum w:abstractNumId="5" w15:restartNumberingAfterBreak="0">
    <w:nsid w:val="0C2A60F2"/>
    <w:multiLevelType w:val="hybridMultilevel"/>
    <w:tmpl w:val="C2F82916"/>
    <w:lvl w:ilvl="0" w:tplc="6E24EBCA">
      <w:start w:val="1"/>
      <w:numFmt w:val="bullet"/>
      <w:lvlText w:val="–"/>
      <w:lvlJc w:val="left"/>
      <w:pPr>
        <w:ind w:left="720" w:hanging="360"/>
      </w:pPr>
      <w:rPr>
        <w:rFonts w:ascii="Times New Roman" w:hAnsi="Times New Roman" w:cs="Times New Roman" w:hint="default"/>
      </w:rPr>
    </w:lvl>
    <w:lvl w:ilvl="1" w:tplc="AE8224A4" w:tentative="1">
      <w:start w:val="1"/>
      <w:numFmt w:val="bullet"/>
      <w:lvlText w:val="o"/>
      <w:lvlJc w:val="left"/>
      <w:pPr>
        <w:ind w:left="1440" w:hanging="360"/>
      </w:pPr>
      <w:rPr>
        <w:rFonts w:ascii="Courier New" w:hAnsi="Courier New" w:cs="Courier New" w:hint="default"/>
      </w:rPr>
    </w:lvl>
    <w:lvl w:ilvl="2" w:tplc="FCB65658" w:tentative="1">
      <w:start w:val="1"/>
      <w:numFmt w:val="bullet"/>
      <w:lvlText w:val=""/>
      <w:lvlJc w:val="left"/>
      <w:pPr>
        <w:ind w:left="2160" w:hanging="360"/>
      </w:pPr>
      <w:rPr>
        <w:rFonts w:ascii="Wingdings" w:hAnsi="Wingdings" w:hint="default"/>
      </w:rPr>
    </w:lvl>
    <w:lvl w:ilvl="3" w:tplc="D054B5F0" w:tentative="1">
      <w:start w:val="1"/>
      <w:numFmt w:val="bullet"/>
      <w:lvlText w:val=""/>
      <w:lvlJc w:val="left"/>
      <w:pPr>
        <w:ind w:left="2880" w:hanging="360"/>
      </w:pPr>
      <w:rPr>
        <w:rFonts w:ascii="Symbol" w:hAnsi="Symbol" w:hint="default"/>
      </w:rPr>
    </w:lvl>
    <w:lvl w:ilvl="4" w:tplc="2EBC3D80" w:tentative="1">
      <w:start w:val="1"/>
      <w:numFmt w:val="bullet"/>
      <w:lvlText w:val="o"/>
      <w:lvlJc w:val="left"/>
      <w:pPr>
        <w:ind w:left="3600" w:hanging="360"/>
      </w:pPr>
      <w:rPr>
        <w:rFonts w:ascii="Courier New" w:hAnsi="Courier New" w:cs="Courier New" w:hint="default"/>
      </w:rPr>
    </w:lvl>
    <w:lvl w:ilvl="5" w:tplc="CA6C09EA" w:tentative="1">
      <w:start w:val="1"/>
      <w:numFmt w:val="bullet"/>
      <w:lvlText w:val=""/>
      <w:lvlJc w:val="left"/>
      <w:pPr>
        <w:ind w:left="4320" w:hanging="360"/>
      </w:pPr>
      <w:rPr>
        <w:rFonts w:ascii="Wingdings" w:hAnsi="Wingdings" w:hint="default"/>
      </w:rPr>
    </w:lvl>
    <w:lvl w:ilvl="6" w:tplc="C4FEEF72" w:tentative="1">
      <w:start w:val="1"/>
      <w:numFmt w:val="bullet"/>
      <w:lvlText w:val=""/>
      <w:lvlJc w:val="left"/>
      <w:pPr>
        <w:ind w:left="5040" w:hanging="360"/>
      </w:pPr>
      <w:rPr>
        <w:rFonts w:ascii="Symbol" w:hAnsi="Symbol" w:hint="default"/>
      </w:rPr>
    </w:lvl>
    <w:lvl w:ilvl="7" w:tplc="7EF88840" w:tentative="1">
      <w:start w:val="1"/>
      <w:numFmt w:val="bullet"/>
      <w:lvlText w:val="o"/>
      <w:lvlJc w:val="left"/>
      <w:pPr>
        <w:ind w:left="5760" w:hanging="360"/>
      </w:pPr>
      <w:rPr>
        <w:rFonts w:ascii="Courier New" w:hAnsi="Courier New" w:cs="Courier New" w:hint="default"/>
      </w:rPr>
    </w:lvl>
    <w:lvl w:ilvl="8" w:tplc="96B64384" w:tentative="1">
      <w:start w:val="1"/>
      <w:numFmt w:val="bullet"/>
      <w:lvlText w:val=""/>
      <w:lvlJc w:val="left"/>
      <w:pPr>
        <w:ind w:left="6480" w:hanging="360"/>
      </w:pPr>
      <w:rPr>
        <w:rFonts w:ascii="Wingdings" w:hAnsi="Wingdings" w:hint="default"/>
      </w:rPr>
    </w:lvl>
  </w:abstractNum>
  <w:abstractNum w:abstractNumId="6" w15:restartNumberingAfterBreak="0">
    <w:nsid w:val="12A15FE7"/>
    <w:multiLevelType w:val="hybridMultilevel"/>
    <w:tmpl w:val="E08E2BB6"/>
    <w:lvl w:ilvl="0" w:tplc="4BF21750">
      <w:start w:val="1"/>
      <w:numFmt w:val="decimal"/>
      <w:lvlText w:val="%1."/>
      <w:lvlJc w:val="left"/>
      <w:pPr>
        <w:ind w:left="1080" w:hanging="360"/>
      </w:pPr>
    </w:lvl>
    <w:lvl w:ilvl="1" w:tplc="B7421592" w:tentative="1">
      <w:start w:val="1"/>
      <w:numFmt w:val="lowerLetter"/>
      <w:lvlText w:val="%2."/>
      <w:lvlJc w:val="left"/>
      <w:pPr>
        <w:ind w:left="1800" w:hanging="360"/>
      </w:pPr>
    </w:lvl>
    <w:lvl w:ilvl="2" w:tplc="D3E8F168" w:tentative="1">
      <w:start w:val="1"/>
      <w:numFmt w:val="lowerRoman"/>
      <w:lvlText w:val="%3."/>
      <w:lvlJc w:val="right"/>
      <w:pPr>
        <w:ind w:left="2520" w:hanging="180"/>
      </w:pPr>
    </w:lvl>
    <w:lvl w:ilvl="3" w:tplc="DF265BDC" w:tentative="1">
      <w:start w:val="1"/>
      <w:numFmt w:val="decimal"/>
      <w:lvlText w:val="%4."/>
      <w:lvlJc w:val="left"/>
      <w:pPr>
        <w:ind w:left="3240" w:hanging="360"/>
      </w:pPr>
    </w:lvl>
    <w:lvl w:ilvl="4" w:tplc="89121DCE" w:tentative="1">
      <w:start w:val="1"/>
      <w:numFmt w:val="lowerLetter"/>
      <w:lvlText w:val="%5."/>
      <w:lvlJc w:val="left"/>
      <w:pPr>
        <w:ind w:left="3960" w:hanging="360"/>
      </w:pPr>
    </w:lvl>
    <w:lvl w:ilvl="5" w:tplc="D7904B32" w:tentative="1">
      <w:start w:val="1"/>
      <w:numFmt w:val="lowerRoman"/>
      <w:lvlText w:val="%6."/>
      <w:lvlJc w:val="right"/>
      <w:pPr>
        <w:ind w:left="4680" w:hanging="180"/>
      </w:pPr>
    </w:lvl>
    <w:lvl w:ilvl="6" w:tplc="23BA236A" w:tentative="1">
      <w:start w:val="1"/>
      <w:numFmt w:val="decimal"/>
      <w:lvlText w:val="%7."/>
      <w:lvlJc w:val="left"/>
      <w:pPr>
        <w:ind w:left="5400" w:hanging="360"/>
      </w:pPr>
    </w:lvl>
    <w:lvl w:ilvl="7" w:tplc="E796E630" w:tentative="1">
      <w:start w:val="1"/>
      <w:numFmt w:val="lowerLetter"/>
      <w:lvlText w:val="%8."/>
      <w:lvlJc w:val="left"/>
      <w:pPr>
        <w:ind w:left="6120" w:hanging="360"/>
      </w:pPr>
    </w:lvl>
    <w:lvl w:ilvl="8" w:tplc="70AC191C" w:tentative="1">
      <w:start w:val="1"/>
      <w:numFmt w:val="lowerRoman"/>
      <w:lvlText w:val="%9."/>
      <w:lvlJc w:val="right"/>
      <w:pPr>
        <w:ind w:left="6840" w:hanging="180"/>
      </w:pPr>
    </w:lvl>
  </w:abstractNum>
  <w:abstractNum w:abstractNumId="7" w15:restartNumberingAfterBreak="0">
    <w:nsid w:val="136D7150"/>
    <w:multiLevelType w:val="hybridMultilevel"/>
    <w:tmpl w:val="C8B435BC"/>
    <w:lvl w:ilvl="0" w:tplc="4FCA58D2">
      <w:start w:val="1"/>
      <w:numFmt w:val="lowerLetter"/>
      <w:lvlText w:val="%1)"/>
      <w:lvlJc w:val="left"/>
      <w:pPr>
        <w:ind w:left="1440" w:hanging="360"/>
      </w:pPr>
    </w:lvl>
    <w:lvl w:ilvl="1" w:tplc="C80285F6" w:tentative="1">
      <w:start w:val="1"/>
      <w:numFmt w:val="lowerLetter"/>
      <w:lvlText w:val="%2."/>
      <w:lvlJc w:val="left"/>
      <w:pPr>
        <w:ind w:left="2160" w:hanging="360"/>
      </w:pPr>
    </w:lvl>
    <w:lvl w:ilvl="2" w:tplc="9C76D38A" w:tentative="1">
      <w:start w:val="1"/>
      <w:numFmt w:val="lowerRoman"/>
      <w:lvlText w:val="%3."/>
      <w:lvlJc w:val="right"/>
      <w:pPr>
        <w:ind w:left="2880" w:hanging="180"/>
      </w:pPr>
    </w:lvl>
    <w:lvl w:ilvl="3" w:tplc="13EEE102" w:tentative="1">
      <w:start w:val="1"/>
      <w:numFmt w:val="decimal"/>
      <w:lvlText w:val="%4."/>
      <w:lvlJc w:val="left"/>
      <w:pPr>
        <w:ind w:left="3600" w:hanging="360"/>
      </w:pPr>
    </w:lvl>
    <w:lvl w:ilvl="4" w:tplc="86D06BAA" w:tentative="1">
      <w:start w:val="1"/>
      <w:numFmt w:val="lowerLetter"/>
      <w:lvlText w:val="%5."/>
      <w:lvlJc w:val="left"/>
      <w:pPr>
        <w:ind w:left="4320" w:hanging="360"/>
      </w:pPr>
    </w:lvl>
    <w:lvl w:ilvl="5" w:tplc="B71E73FE" w:tentative="1">
      <w:start w:val="1"/>
      <w:numFmt w:val="lowerRoman"/>
      <w:lvlText w:val="%6."/>
      <w:lvlJc w:val="right"/>
      <w:pPr>
        <w:ind w:left="5040" w:hanging="180"/>
      </w:pPr>
    </w:lvl>
    <w:lvl w:ilvl="6" w:tplc="65F00734" w:tentative="1">
      <w:start w:val="1"/>
      <w:numFmt w:val="decimal"/>
      <w:lvlText w:val="%7."/>
      <w:lvlJc w:val="left"/>
      <w:pPr>
        <w:ind w:left="5760" w:hanging="360"/>
      </w:pPr>
    </w:lvl>
    <w:lvl w:ilvl="7" w:tplc="C0808F8C" w:tentative="1">
      <w:start w:val="1"/>
      <w:numFmt w:val="lowerLetter"/>
      <w:lvlText w:val="%8."/>
      <w:lvlJc w:val="left"/>
      <w:pPr>
        <w:ind w:left="6480" w:hanging="360"/>
      </w:pPr>
    </w:lvl>
    <w:lvl w:ilvl="8" w:tplc="90B4BA4E" w:tentative="1">
      <w:start w:val="1"/>
      <w:numFmt w:val="lowerRoman"/>
      <w:lvlText w:val="%9."/>
      <w:lvlJc w:val="right"/>
      <w:pPr>
        <w:ind w:left="7200" w:hanging="180"/>
      </w:pPr>
    </w:lvl>
  </w:abstractNum>
  <w:abstractNum w:abstractNumId="8" w15:restartNumberingAfterBreak="0">
    <w:nsid w:val="13E917FC"/>
    <w:multiLevelType w:val="hybridMultilevel"/>
    <w:tmpl w:val="AE66FC2E"/>
    <w:lvl w:ilvl="0" w:tplc="FC969002">
      <w:start w:val="1"/>
      <w:numFmt w:val="bullet"/>
      <w:lvlText w:val=""/>
      <w:lvlJc w:val="left"/>
      <w:pPr>
        <w:ind w:left="720" w:hanging="360"/>
      </w:pPr>
      <w:rPr>
        <w:rFonts w:ascii="Wingdings" w:hAnsi="Wingdings" w:hint="default"/>
      </w:rPr>
    </w:lvl>
    <w:lvl w:ilvl="1" w:tplc="265033A0" w:tentative="1">
      <w:start w:val="1"/>
      <w:numFmt w:val="bullet"/>
      <w:lvlText w:val="o"/>
      <w:lvlJc w:val="left"/>
      <w:pPr>
        <w:ind w:left="1440" w:hanging="360"/>
      </w:pPr>
      <w:rPr>
        <w:rFonts w:ascii="Courier New" w:hAnsi="Courier New" w:cs="Courier New" w:hint="default"/>
      </w:rPr>
    </w:lvl>
    <w:lvl w:ilvl="2" w:tplc="034E3C8C" w:tentative="1">
      <w:start w:val="1"/>
      <w:numFmt w:val="bullet"/>
      <w:lvlText w:val=""/>
      <w:lvlJc w:val="left"/>
      <w:pPr>
        <w:ind w:left="2160" w:hanging="360"/>
      </w:pPr>
      <w:rPr>
        <w:rFonts w:ascii="Wingdings" w:hAnsi="Wingdings" w:hint="default"/>
      </w:rPr>
    </w:lvl>
    <w:lvl w:ilvl="3" w:tplc="32B827C0" w:tentative="1">
      <w:start w:val="1"/>
      <w:numFmt w:val="bullet"/>
      <w:lvlText w:val=""/>
      <w:lvlJc w:val="left"/>
      <w:pPr>
        <w:ind w:left="2880" w:hanging="360"/>
      </w:pPr>
      <w:rPr>
        <w:rFonts w:ascii="Symbol" w:hAnsi="Symbol" w:hint="default"/>
      </w:rPr>
    </w:lvl>
    <w:lvl w:ilvl="4" w:tplc="6B982928" w:tentative="1">
      <w:start w:val="1"/>
      <w:numFmt w:val="bullet"/>
      <w:lvlText w:val="o"/>
      <w:lvlJc w:val="left"/>
      <w:pPr>
        <w:ind w:left="3600" w:hanging="360"/>
      </w:pPr>
      <w:rPr>
        <w:rFonts w:ascii="Courier New" w:hAnsi="Courier New" w:cs="Courier New" w:hint="default"/>
      </w:rPr>
    </w:lvl>
    <w:lvl w:ilvl="5" w:tplc="4C94257A" w:tentative="1">
      <w:start w:val="1"/>
      <w:numFmt w:val="bullet"/>
      <w:lvlText w:val=""/>
      <w:lvlJc w:val="left"/>
      <w:pPr>
        <w:ind w:left="4320" w:hanging="360"/>
      </w:pPr>
      <w:rPr>
        <w:rFonts w:ascii="Wingdings" w:hAnsi="Wingdings" w:hint="default"/>
      </w:rPr>
    </w:lvl>
    <w:lvl w:ilvl="6" w:tplc="FCF25BB8" w:tentative="1">
      <w:start w:val="1"/>
      <w:numFmt w:val="bullet"/>
      <w:lvlText w:val=""/>
      <w:lvlJc w:val="left"/>
      <w:pPr>
        <w:ind w:left="5040" w:hanging="360"/>
      </w:pPr>
      <w:rPr>
        <w:rFonts w:ascii="Symbol" w:hAnsi="Symbol" w:hint="default"/>
      </w:rPr>
    </w:lvl>
    <w:lvl w:ilvl="7" w:tplc="F3B62878" w:tentative="1">
      <w:start w:val="1"/>
      <w:numFmt w:val="bullet"/>
      <w:lvlText w:val="o"/>
      <w:lvlJc w:val="left"/>
      <w:pPr>
        <w:ind w:left="5760" w:hanging="360"/>
      </w:pPr>
      <w:rPr>
        <w:rFonts w:ascii="Courier New" w:hAnsi="Courier New" w:cs="Courier New" w:hint="default"/>
      </w:rPr>
    </w:lvl>
    <w:lvl w:ilvl="8" w:tplc="11C04456" w:tentative="1">
      <w:start w:val="1"/>
      <w:numFmt w:val="bullet"/>
      <w:lvlText w:val=""/>
      <w:lvlJc w:val="left"/>
      <w:pPr>
        <w:ind w:left="6480" w:hanging="360"/>
      </w:pPr>
      <w:rPr>
        <w:rFonts w:ascii="Wingdings" w:hAnsi="Wingdings" w:hint="default"/>
      </w:rPr>
    </w:lvl>
  </w:abstractNum>
  <w:abstractNum w:abstractNumId="9" w15:restartNumberingAfterBreak="0">
    <w:nsid w:val="151739A2"/>
    <w:multiLevelType w:val="hybridMultilevel"/>
    <w:tmpl w:val="943A0EC4"/>
    <w:lvl w:ilvl="0" w:tplc="6E24EBCA">
      <w:start w:val="1"/>
      <w:numFmt w:val="bullet"/>
      <w:lvlText w:val="–"/>
      <w:lvlJc w:val="left"/>
      <w:pPr>
        <w:ind w:left="720" w:hanging="360"/>
      </w:pPr>
      <w:rPr>
        <w:rFonts w:ascii="Times New Roman" w:hAnsi="Times New Roman" w:cs="Times New Roman" w:hint="default"/>
      </w:rPr>
    </w:lvl>
    <w:lvl w:ilvl="1" w:tplc="B3B81E9C" w:tentative="1">
      <w:start w:val="1"/>
      <w:numFmt w:val="bullet"/>
      <w:lvlText w:val="o"/>
      <w:lvlJc w:val="left"/>
      <w:pPr>
        <w:ind w:left="1440" w:hanging="360"/>
      </w:pPr>
      <w:rPr>
        <w:rFonts w:ascii="Courier New" w:hAnsi="Courier New" w:cs="Courier New" w:hint="default"/>
      </w:rPr>
    </w:lvl>
    <w:lvl w:ilvl="2" w:tplc="B3C298C4" w:tentative="1">
      <w:start w:val="1"/>
      <w:numFmt w:val="bullet"/>
      <w:lvlText w:val=""/>
      <w:lvlJc w:val="left"/>
      <w:pPr>
        <w:ind w:left="2160" w:hanging="360"/>
      </w:pPr>
      <w:rPr>
        <w:rFonts w:ascii="Wingdings" w:hAnsi="Wingdings" w:hint="default"/>
      </w:rPr>
    </w:lvl>
    <w:lvl w:ilvl="3" w:tplc="26668F16" w:tentative="1">
      <w:start w:val="1"/>
      <w:numFmt w:val="bullet"/>
      <w:lvlText w:val=""/>
      <w:lvlJc w:val="left"/>
      <w:pPr>
        <w:ind w:left="2880" w:hanging="360"/>
      </w:pPr>
      <w:rPr>
        <w:rFonts w:ascii="Symbol" w:hAnsi="Symbol" w:hint="default"/>
      </w:rPr>
    </w:lvl>
    <w:lvl w:ilvl="4" w:tplc="DEE23B5C" w:tentative="1">
      <w:start w:val="1"/>
      <w:numFmt w:val="bullet"/>
      <w:lvlText w:val="o"/>
      <w:lvlJc w:val="left"/>
      <w:pPr>
        <w:ind w:left="3600" w:hanging="360"/>
      </w:pPr>
      <w:rPr>
        <w:rFonts w:ascii="Courier New" w:hAnsi="Courier New" w:cs="Courier New" w:hint="default"/>
      </w:rPr>
    </w:lvl>
    <w:lvl w:ilvl="5" w:tplc="82126730" w:tentative="1">
      <w:start w:val="1"/>
      <w:numFmt w:val="bullet"/>
      <w:lvlText w:val=""/>
      <w:lvlJc w:val="left"/>
      <w:pPr>
        <w:ind w:left="4320" w:hanging="360"/>
      </w:pPr>
      <w:rPr>
        <w:rFonts w:ascii="Wingdings" w:hAnsi="Wingdings" w:hint="default"/>
      </w:rPr>
    </w:lvl>
    <w:lvl w:ilvl="6" w:tplc="02EA1592" w:tentative="1">
      <w:start w:val="1"/>
      <w:numFmt w:val="bullet"/>
      <w:lvlText w:val=""/>
      <w:lvlJc w:val="left"/>
      <w:pPr>
        <w:ind w:left="5040" w:hanging="360"/>
      </w:pPr>
      <w:rPr>
        <w:rFonts w:ascii="Symbol" w:hAnsi="Symbol" w:hint="default"/>
      </w:rPr>
    </w:lvl>
    <w:lvl w:ilvl="7" w:tplc="E186884A" w:tentative="1">
      <w:start w:val="1"/>
      <w:numFmt w:val="bullet"/>
      <w:lvlText w:val="o"/>
      <w:lvlJc w:val="left"/>
      <w:pPr>
        <w:ind w:left="5760" w:hanging="360"/>
      </w:pPr>
      <w:rPr>
        <w:rFonts w:ascii="Courier New" w:hAnsi="Courier New" w:cs="Courier New" w:hint="default"/>
      </w:rPr>
    </w:lvl>
    <w:lvl w:ilvl="8" w:tplc="E85C9410" w:tentative="1">
      <w:start w:val="1"/>
      <w:numFmt w:val="bullet"/>
      <w:lvlText w:val=""/>
      <w:lvlJc w:val="left"/>
      <w:pPr>
        <w:ind w:left="6480" w:hanging="360"/>
      </w:pPr>
      <w:rPr>
        <w:rFonts w:ascii="Wingdings" w:hAnsi="Wingdings" w:hint="default"/>
      </w:rPr>
    </w:lvl>
  </w:abstractNum>
  <w:abstractNum w:abstractNumId="10" w15:restartNumberingAfterBreak="0">
    <w:nsid w:val="1A321BCE"/>
    <w:multiLevelType w:val="hybridMultilevel"/>
    <w:tmpl w:val="B8D69B96"/>
    <w:lvl w:ilvl="0" w:tplc="3FD8BDD2">
      <w:start w:val="1"/>
      <w:numFmt w:val="lowerLetter"/>
      <w:lvlText w:val="%1)"/>
      <w:lvlJc w:val="left"/>
      <w:pPr>
        <w:ind w:left="1440" w:hanging="360"/>
      </w:pPr>
    </w:lvl>
    <w:lvl w:ilvl="1" w:tplc="B132532C" w:tentative="1">
      <w:start w:val="1"/>
      <w:numFmt w:val="lowerLetter"/>
      <w:lvlText w:val="%2."/>
      <w:lvlJc w:val="left"/>
      <w:pPr>
        <w:ind w:left="2160" w:hanging="360"/>
      </w:pPr>
    </w:lvl>
    <w:lvl w:ilvl="2" w:tplc="51767E12" w:tentative="1">
      <w:start w:val="1"/>
      <w:numFmt w:val="lowerRoman"/>
      <w:lvlText w:val="%3."/>
      <w:lvlJc w:val="right"/>
      <w:pPr>
        <w:ind w:left="2880" w:hanging="180"/>
      </w:pPr>
    </w:lvl>
    <w:lvl w:ilvl="3" w:tplc="F7AC459C" w:tentative="1">
      <w:start w:val="1"/>
      <w:numFmt w:val="decimal"/>
      <w:lvlText w:val="%4."/>
      <w:lvlJc w:val="left"/>
      <w:pPr>
        <w:ind w:left="3600" w:hanging="360"/>
      </w:pPr>
    </w:lvl>
    <w:lvl w:ilvl="4" w:tplc="F95E4A10" w:tentative="1">
      <w:start w:val="1"/>
      <w:numFmt w:val="lowerLetter"/>
      <w:lvlText w:val="%5."/>
      <w:lvlJc w:val="left"/>
      <w:pPr>
        <w:ind w:left="4320" w:hanging="360"/>
      </w:pPr>
    </w:lvl>
    <w:lvl w:ilvl="5" w:tplc="DD0A6F64" w:tentative="1">
      <w:start w:val="1"/>
      <w:numFmt w:val="lowerRoman"/>
      <w:lvlText w:val="%6."/>
      <w:lvlJc w:val="right"/>
      <w:pPr>
        <w:ind w:left="5040" w:hanging="180"/>
      </w:pPr>
    </w:lvl>
    <w:lvl w:ilvl="6" w:tplc="C75E02DA" w:tentative="1">
      <w:start w:val="1"/>
      <w:numFmt w:val="decimal"/>
      <w:lvlText w:val="%7."/>
      <w:lvlJc w:val="left"/>
      <w:pPr>
        <w:ind w:left="5760" w:hanging="360"/>
      </w:pPr>
    </w:lvl>
    <w:lvl w:ilvl="7" w:tplc="D8086658" w:tentative="1">
      <w:start w:val="1"/>
      <w:numFmt w:val="lowerLetter"/>
      <w:lvlText w:val="%8."/>
      <w:lvlJc w:val="left"/>
      <w:pPr>
        <w:ind w:left="6480" w:hanging="360"/>
      </w:pPr>
    </w:lvl>
    <w:lvl w:ilvl="8" w:tplc="989280FC" w:tentative="1">
      <w:start w:val="1"/>
      <w:numFmt w:val="lowerRoman"/>
      <w:lvlText w:val="%9."/>
      <w:lvlJc w:val="right"/>
      <w:pPr>
        <w:ind w:left="7200" w:hanging="180"/>
      </w:pPr>
    </w:lvl>
  </w:abstractNum>
  <w:abstractNum w:abstractNumId="11" w15:restartNumberingAfterBreak="0">
    <w:nsid w:val="1B39063A"/>
    <w:multiLevelType w:val="hybridMultilevel"/>
    <w:tmpl w:val="F0D4A98C"/>
    <w:lvl w:ilvl="0" w:tplc="8FD0B518">
      <w:start w:val="1"/>
      <w:numFmt w:val="decimal"/>
      <w:lvlText w:val="%1)"/>
      <w:lvlJc w:val="left"/>
      <w:pPr>
        <w:ind w:left="4897" w:hanging="360"/>
      </w:pPr>
    </w:lvl>
    <w:lvl w:ilvl="1" w:tplc="EA205026" w:tentative="1">
      <w:start w:val="1"/>
      <w:numFmt w:val="lowerLetter"/>
      <w:lvlText w:val="%2."/>
      <w:lvlJc w:val="left"/>
      <w:pPr>
        <w:ind w:left="1440" w:hanging="360"/>
      </w:pPr>
    </w:lvl>
    <w:lvl w:ilvl="2" w:tplc="26FE608C" w:tentative="1">
      <w:start w:val="1"/>
      <w:numFmt w:val="lowerRoman"/>
      <w:lvlText w:val="%3."/>
      <w:lvlJc w:val="right"/>
      <w:pPr>
        <w:ind w:left="2160" w:hanging="180"/>
      </w:pPr>
    </w:lvl>
    <w:lvl w:ilvl="3" w:tplc="76A61A74" w:tentative="1">
      <w:start w:val="1"/>
      <w:numFmt w:val="decimal"/>
      <w:lvlText w:val="%4."/>
      <w:lvlJc w:val="left"/>
      <w:pPr>
        <w:ind w:left="2880" w:hanging="360"/>
      </w:pPr>
    </w:lvl>
    <w:lvl w:ilvl="4" w:tplc="5344C72E" w:tentative="1">
      <w:start w:val="1"/>
      <w:numFmt w:val="lowerLetter"/>
      <w:lvlText w:val="%5."/>
      <w:lvlJc w:val="left"/>
      <w:pPr>
        <w:ind w:left="3600" w:hanging="360"/>
      </w:pPr>
    </w:lvl>
    <w:lvl w:ilvl="5" w:tplc="AE383BCC" w:tentative="1">
      <w:start w:val="1"/>
      <w:numFmt w:val="lowerRoman"/>
      <w:lvlText w:val="%6."/>
      <w:lvlJc w:val="right"/>
      <w:pPr>
        <w:ind w:left="4320" w:hanging="180"/>
      </w:pPr>
    </w:lvl>
    <w:lvl w:ilvl="6" w:tplc="7E0AC7E6" w:tentative="1">
      <w:start w:val="1"/>
      <w:numFmt w:val="decimal"/>
      <w:lvlText w:val="%7."/>
      <w:lvlJc w:val="left"/>
      <w:pPr>
        <w:ind w:left="5040" w:hanging="360"/>
      </w:pPr>
    </w:lvl>
    <w:lvl w:ilvl="7" w:tplc="475C0338" w:tentative="1">
      <w:start w:val="1"/>
      <w:numFmt w:val="lowerLetter"/>
      <w:lvlText w:val="%8."/>
      <w:lvlJc w:val="left"/>
      <w:pPr>
        <w:ind w:left="5760" w:hanging="360"/>
      </w:pPr>
    </w:lvl>
    <w:lvl w:ilvl="8" w:tplc="D0F0421C" w:tentative="1">
      <w:start w:val="1"/>
      <w:numFmt w:val="lowerRoman"/>
      <w:lvlText w:val="%9."/>
      <w:lvlJc w:val="right"/>
      <w:pPr>
        <w:ind w:left="6480" w:hanging="180"/>
      </w:pPr>
    </w:lvl>
  </w:abstractNum>
  <w:abstractNum w:abstractNumId="12" w15:restartNumberingAfterBreak="0">
    <w:nsid w:val="1C9E045B"/>
    <w:multiLevelType w:val="hybridMultilevel"/>
    <w:tmpl w:val="B37C24C0"/>
    <w:lvl w:ilvl="0" w:tplc="7D024398">
      <w:start w:val="1"/>
      <w:numFmt w:val="bullet"/>
      <w:lvlText w:val=""/>
      <w:lvlJc w:val="left"/>
      <w:pPr>
        <w:ind w:left="720" w:hanging="360"/>
      </w:pPr>
      <w:rPr>
        <w:rFonts w:ascii="Wingdings" w:hAnsi="Wingdings" w:hint="default"/>
      </w:rPr>
    </w:lvl>
    <w:lvl w:ilvl="1" w:tplc="73448110" w:tentative="1">
      <w:start w:val="1"/>
      <w:numFmt w:val="bullet"/>
      <w:lvlText w:val="o"/>
      <w:lvlJc w:val="left"/>
      <w:pPr>
        <w:ind w:left="1440" w:hanging="360"/>
      </w:pPr>
      <w:rPr>
        <w:rFonts w:ascii="Courier New" w:hAnsi="Courier New" w:cs="Courier New" w:hint="default"/>
      </w:rPr>
    </w:lvl>
    <w:lvl w:ilvl="2" w:tplc="AE6AACC0" w:tentative="1">
      <w:start w:val="1"/>
      <w:numFmt w:val="bullet"/>
      <w:lvlText w:val=""/>
      <w:lvlJc w:val="left"/>
      <w:pPr>
        <w:ind w:left="2160" w:hanging="360"/>
      </w:pPr>
      <w:rPr>
        <w:rFonts w:ascii="Wingdings" w:hAnsi="Wingdings" w:hint="default"/>
      </w:rPr>
    </w:lvl>
    <w:lvl w:ilvl="3" w:tplc="D80E49FE" w:tentative="1">
      <w:start w:val="1"/>
      <w:numFmt w:val="bullet"/>
      <w:lvlText w:val=""/>
      <w:lvlJc w:val="left"/>
      <w:pPr>
        <w:ind w:left="2880" w:hanging="360"/>
      </w:pPr>
      <w:rPr>
        <w:rFonts w:ascii="Symbol" w:hAnsi="Symbol" w:hint="default"/>
      </w:rPr>
    </w:lvl>
    <w:lvl w:ilvl="4" w:tplc="0F92D60A" w:tentative="1">
      <w:start w:val="1"/>
      <w:numFmt w:val="bullet"/>
      <w:lvlText w:val="o"/>
      <w:lvlJc w:val="left"/>
      <w:pPr>
        <w:ind w:left="3600" w:hanging="360"/>
      </w:pPr>
      <w:rPr>
        <w:rFonts w:ascii="Courier New" w:hAnsi="Courier New" w:cs="Courier New" w:hint="default"/>
      </w:rPr>
    </w:lvl>
    <w:lvl w:ilvl="5" w:tplc="E260228C" w:tentative="1">
      <w:start w:val="1"/>
      <w:numFmt w:val="bullet"/>
      <w:lvlText w:val=""/>
      <w:lvlJc w:val="left"/>
      <w:pPr>
        <w:ind w:left="4320" w:hanging="360"/>
      </w:pPr>
      <w:rPr>
        <w:rFonts w:ascii="Wingdings" w:hAnsi="Wingdings" w:hint="default"/>
      </w:rPr>
    </w:lvl>
    <w:lvl w:ilvl="6" w:tplc="DC16FBF0" w:tentative="1">
      <w:start w:val="1"/>
      <w:numFmt w:val="bullet"/>
      <w:lvlText w:val=""/>
      <w:lvlJc w:val="left"/>
      <w:pPr>
        <w:ind w:left="5040" w:hanging="360"/>
      </w:pPr>
      <w:rPr>
        <w:rFonts w:ascii="Symbol" w:hAnsi="Symbol" w:hint="default"/>
      </w:rPr>
    </w:lvl>
    <w:lvl w:ilvl="7" w:tplc="B75022C2" w:tentative="1">
      <w:start w:val="1"/>
      <w:numFmt w:val="bullet"/>
      <w:lvlText w:val="o"/>
      <w:lvlJc w:val="left"/>
      <w:pPr>
        <w:ind w:left="5760" w:hanging="360"/>
      </w:pPr>
      <w:rPr>
        <w:rFonts w:ascii="Courier New" w:hAnsi="Courier New" w:cs="Courier New" w:hint="default"/>
      </w:rPr>
    </w:lvl>
    <w:lvl w:ilvl="8" w:tplc="C2B42700" w:tentative="1">
      <w:start w:val="1"/>
      <w:numFmt w:val="bullet"/>
      <w:lvlText w:val=""/>
      <w:lvlJc w:val="left"/>
      <w:pPr>
        <w:ind w:left="6480" w:hanging="360"/>
      </w:pPr>
      <w:rPr>
        <w:rFonts w:ascii="Wingdings" w:hAnsi="Wingdings" w:hint="default"/>
      </w:rPr>
    </w:lvl>
  </w:abstractNum>
  <w:abstractNum w:abstractNumId="13" w15:restartNumberingAfterBreak="0">
    <w:nsid w:val="1F8038B7"/>
    <w:multiLevelType w:val="hybridMultilevel"/>
    <w:tmpl w:val="061EF8F6"/>
    <w:lvl w:ilvl="0" w:tplc="2820DAA2">
      <w:start w:val="1"/>
      <w:numFmt w:val="decimal"/>
      <w:lvlText w:val="%1)"/>
      <w:lvlJc w:val="left"/>
      <w:pPr>
        <w:ind w:left="720" w:hanging="360"/>
      </w:pPr>
    </w:lvl>
    <w:lvl w:ilvl="1" w:tplc="20C0BA2E" w:tentative="1">
      <w:start w:val="1"/>
      <w:numFmt w:val="lowerLetter"/>
      <w:lvlText w:val="%2."/>
      <w:lvlJc w:val="left"/>
      <w:pPr>
        <w:ind w:left="1440" w:hanging="360"/>
      </w:pPr>
    </w:lvl>
    <w:lvl w:ilvl="2" w:tplc="1CA65822" w:tentative="1">
      <w:start w:val="1"/>
      <w:numFmt w:val="lowerRoman"/>
      <w:lvlText w:val="%3."/>
      <w:lvlJc w:val="right"/>
      <w:pPr>
        <w:ind w:left="2160" w:hanging="180"/>
      </w:pPr>
    </w:lvl>
    <w:lvl w:ilvl="3" w:tplc="767CE5B2" w:tentative="1">
      <w:start w:val="1"/>
      <w:numFmt w:val="decimal"/>
      <w:lvlText w:val="%4."/>
      <w:lvlJc w:val="left"/>
      <w:pPr>
        <w:ind w:left="2880" w:hanging="360"/>
      </w:pPr>
    </w:lvl>
    <w:lvl w:ilvl="4" w:tplc="96AE23B0" w:tentative="1">
      <w:start w:val="1"/>
      <w:numFmt w:val="lowerLetter"/>
      <w:lvlText w:val="%5."/>
      <w:lvlJc w:val="left"/>
      <w:pPr>
        <w:ind w:left="3600" w:hanging="360"/>
      </w:pPr>
    </w:lvl>
    <w:lvl w:ilvl="5" w:tplc="7F6E1340" w:tentative="1">
      <w:start w:val="1"/>
      <w:numFmt w:val="lowerRoman"/>
      <w:lvlText w:val="%6."/>
      <w:lvlJc w:val="right"/>
      <w:pPr>
        <w:ind w:left="4320" w:hanging="180"/>
      </w:pPr>
    </w:lvl>
    <w:lvl w:ilvl="6" w:tplc="E7AC7090" w:tentative="1">
      <w:start w:val="1"/>
      <w:numFmt w:val="decimal"/>
      <w:lvlText w:val="%7."/>
      <w:lvlJc w:val="left"/>
      <w:pPr>
        <w:ind w:left="5040" w:hanging="360"/>
      </w:pPr>
    </w:lvl>
    <w:lvl w:ilvl="7" w:tplc="E174C21E" w:tentative="1">
      <w:start w:val="1"/>
      <w:numFmt w:val="lowerLetter"/>
      <w:lvlText w:val="%8."/>
      <w:lvlJc w:val="left"/>
      <w:pPr>
        <w:ind w:left="5760" w:hanging="360"/>
      </w:pPr>
    </w:lvl>
    <w:lvl w:ilvl="8" w:tplc="A2F2869A" w:tentative="1">
      <w:start w:val="1"/>
      <w:numFmt w:val="lowerRoman"/>
      <w:lvlText w:val="%9."/>
      <w:lvlJc w:val="right"/>
      <w:pPr>
        <w:ind w:left="6480" w:hanging="180"/>
      </w:pPr>
    </w:lvl>
  </w:abstractNum>
  <w:abstractNum w:abstractNumId="14" w15:restartNumberingAfterBreak="0">
    <w:nsid w:val="21487DBF"/>
    <w:multiLevelType w:val="hybridMultilevel"/>
    <w:tmpl w:val="1C4AC5A0"/>
    <w:lvl w:ilvl="0" w:tplc="6E24EBCA">
      <w:start w:val="1"/>
      <w:numFmt w:val="bullet"/>
      <w:lvlText w:val="–"/>
      <w:lvlJc w:val="left"/>
      <w:pPr>
        <w:ind w:left="720" w:hanging="360"/>
      </w:pPr>
      <w:rPr>
        <w:rFonts w:ascii="Times New Roman" w:hAnsi="Times New Roman" w:cs="Times New Roman" w:hint="default"/>
      </w:rPr>
    </w:lvl>
    <w:lvl w:ilvl="1" w:tplc="68CE20AC" w:tentative="1">
      <w:start w:val="1"/>
      <w:numFmt w:val="bullet"/>
      <w:lvlText w:val="o"/>
      <w:lvlJc w:val="left"/>
      <w:pPr>
        <w:ind w:left="1440" w:hanging="360"/>
      </w:pPr>
      <w:rPr>
        <w:rFonts w:ascii="Courier New" w:hAnsi="Courier New" w:cs="Courier New" w:hint="default"/>
      </w:rPr>
    </w:lvl>
    <w:lvl w:ilvl="2" w:tplc="F2FC336C" w:tentative="1">
      <w:start w:val="1"/>
      <w:numFmt w:val="bullet"/>
      <w:lvlText w:val=""/>
      <w:lvlJc w:val="left"/>
      <w:pPr>
        <w:ind w:left="2160" w:hanging="360"/>
      </w:pPr>
      <w:rPr>
        <w:rFonts w:ascii="Wingdings" w:hAnsi="Wingdings" w:hint="default"/>
      </w:rPr>
    </w:lvl>
    <w:lvl w:ilvl="3" w:tplc="0BE0DAD6" w:tentative="1">
      <w:start w:val="1"/>
      <w:numFmt w:val="bullet"/>
      <w:lvlText w:val=""/>
      <w:lvlJc w:val="left"/>
      <w:pPr>
        <w:ind w:left="2880" w:hanging="360"/>
      </w:pPr>
      <w:rPr>
        <w:rFonts w:ascii="Symbol" w:hAnsi="Symbol" w:hint="default"/>
      </w:rPr>
    </w:lvl>
    <w:lvl w:ilvl="4" w:tplc="DE7826BE" w:tentative="1">
      <w:start w:val="1"/>
      <w:numFmt w:val="bullet"/>
      <w:lvlText w:val="o"/>
      <w:lvlJc w:val="left"/>
      <w:pPr>
        <w:ind w:left="3600" w:hanging="360"/>
      </w:pPr>
      <w:rPr>
        <w:rFonts w:ascii="Courier New" w:hAnsi="Courier New" w:cs="Courier New" w:hint="default"/>
      </w:rPr>
    </w:lvl>
    <w:lvl w:ilvl="5" w:tplc="B7D4BCD6" w:tentative="1">
      <w:start w:val="1"/>
      <w:numFmt w:val="bullet"/>
      <w:lvlText w:val=""/>
      <w:lvlJc w:val="left"/>
      <w:pPr>
        <w:ind w:left="4320" w:hanging="360"/>
      </w:pPr>
      <w:rPr>
        <w:rFonts w:ascii="Wingdings" w:hAnsi="Wingdings" w:hint="default"/>
      </w:rPr>
    </w:lvl>
    <w:lvl w:ilvl="6" w:tplc="11E6FC9A" w:tentative="1">
      <w:start w:val="1"/>
      <w:numFmt w:val="bullet"/>
      <w:lvlText w:val=""/>
      <w:lvlJc w:val="left"/>
      <w:pPr>
        <w:ind w:left="5040" w:hanging="360"/>
      </w:pPr>
      <w:rPr>
        <w:rFonts w:ascii="Symbol" w:hAnsi="Symbol" w:hint="default"/>
      </w:rPr>
    </w:lvl>
    <w:lvl w:ilvl="7" w:tplc="42949ED2" w:tentative="1">
      <w:start w:val="1"/>
      <w:numFmt w:val="bullet"/>
      <w:lvlText w:val="o"/>
      <w:lvlJc w:val="left"/>
      <w:pPr>
        <w:ind w:left="5760" w:hanging="360"/>
      </w:pPr>
      <w:rPr>
        <w:rFonts w:ascii="Courier New" w:hAnsi="Courier New" w:cs="Courier New" w:hint="default"/>
      </w:rPr>
    </w:lvl>
    <w:lvl w:ilvl="8" w:tplc="5784E038" w:tentative="1">
      <w:start w:val="1"/>
      <w:numFmt w:val="bullet"/>
      <w:lvlText w:val=""/>
      <w:lvlJc w:val="left"/>
      <w:pPr>
        <w:ind w:left="6480" w:hanging="360"/>
      </w:pPr>
      <w:rPr>
        <w:rFonts w:ascii="Wingdings" w:hAnsi="Wingdings" w:hint="default"/>
      </w:rPr>
    </w:lvl>
  </w:abstractNum>
  <w:abstractNum w:abstractNumId="15" w15:restartNumberingAfterBreak="0">
    <w:nsid w:val="247D0C9F"/>
    <w:multiLevelType w:val="hybridMultilevel"/>
    <w:tmpl w:val="64FC8994"/>
    <w:lvl w:ilvl="0" w:tplc="6E24EBCA">
      <w:start w:val="1"/>
      <w:numFmt w:val="bullet"/>
      <w:lvlText w:val="–"/>
      <w:lvlJc w:val="left"/>
      <w:pPr>
        <w:ind w:left="720" w:hanging="360"/>
      </w:pPr>
      <w:rPr>
        <w:rFonts w:ascii="Times New Roman" w:hAnsi="Times New Roman" w:cs="Times New Roman" w:hint="default"/>
      </w:rPr>
    </w:lvl>
    <w:lvl w:ilvl="1" w:tplc="192AA052" w:tentative="1">
      <w:start w:val="1"/>
      <w:numFmt w:val="bullet"/>
      <w:lvlText w:val="o"/>
      <w:lvlJc w:val="left"/>
      <w:pPr>
        <w:ind w:left="1440" w:hanging="360"/>
      </w:pPr>
      <w:rPr>
        <w:rFonts w:ascii="Courier New" w:hAnsi="Courier New" w:cs="Courier New" w:hint="default"/>
      </w:rPr>
    </w:lvl>
    <w:lvl w:ilvl="2" w:tplc="D0C6DB0E" w:tentative="1">
      <w:start w:val="1"/>
      <w:numFmt w:val="bullet"/>
      <w:lvlText w:val=""/>
      <w:lvlJc w:val="left"/>
      <w:pPr>
        <w:ind w:left="2160" w:hanging="360"/>
      </w:pPr>
      <w:rPr>
        <w:rFonts w:ascii="Wingdings" w:hAnsi="Wingdings" w:hint="default"/>
      </w:rPr>
    </w:lvl>
    <w:lvl w:ilvl="3" w:tplc="6A00114C" w:tentative="1">
      <w:start w:val="1"/>
      <w:numFmt w:val="bullet"/>
      <w:lvlText w:val=""/>
      <w:lvlJc w:val="left"/>
      <w:pPr>
        <w:ind w:left="2880" w:hanging="360"/>
      </w:pPr>
      <w:rPr>
        <w:rFonts w:ascii="Symbol" w:hAnsi="Symbol" w:hint="default"/>
      </w:rPr>
    </w:lvl>
    <w:lvl w:ilvl="4" w:tplc="CC04294E" w:tentative="1">
      <w:start w:val="1"/>
      <w:numFmt w:val="bullet"/>
      <w:lvlText w:val="o"/>
      <w:lvlJc w:val="left"/>
      <w:pPr>
        <w:ind w:left="3600" w:hanging="360"/>
      </w:pPr>
      <w:rPr>
        <w:rFonts w:ascii="Courier New" w:hAnsi="Courier New" w:cs="Courier New" w:hint="default"/>
      </w:rPr>
    </w:lvl>
    <w:lvl w:ilvl="5" w:tplc="105279CC" w:tentative="1">
      <w:start w:val="1"/>
      <w:numFmt w:val="bullet"/>
      <w:lvlText w:val=""/>
      <w:lvlJc w:val="left"/>
      <w:pPr>
        <w:ind w:left="4320" w:hanging="360"/>
      </w:pPr>
      <w:rPr>
        <w:rFonts w:ascii="Wingdings" w:hAnsi="Wingdings" w:hint="default"/>
      </w:rPr>
    </w:lvl>
    <w:lvl w:ilvl="6" w:tplc="05AA9394" w:tentative="1">
      <w:start w:val="1"/>
      <w:numFmt w:val="bullet"/>
      <w:lvlText w:val=""/>
      <w:lvlJc w:val="left"/>
      <w:pPr>
        <w:ind w:left="5040" w:hanging="360"/>
      </w:pPr>
      <w:rPr>
        <w:rFonts w:ascii="Symbol" w:hAnsi="Symbol" w:hint="default"/>
      </w:rPr>
    </w:lvl>
    <w:lvl w:ilvl="7" w:tplc="390AAFC0" w:tentative="1">
      <w:start w:val="1"/>
      <w:numFmt w:val="bullet"/>
      <w:lvlText w:val="o"/>
      <w:lvlJc w:val="left"/>
      <w:pPr>
        <w:ind w:left="5760" w:hanging="360"/>
      </w:pPr>
      <w:rPr>
        <w:rFonts w:ascii="Courier New" w:hAnsi="Courier New" w:cs="Courier New" w:hint="default"/>
      </w:rPr>
    </w:lvl>
    <w:lvl w:ilvl="8" w:tplc="DE920A00" w:tentative="1">
      <w:start w:val="1"/>
      <w:numFmt w:val="bullet"/>
      <w:lvlText w:val=""/>
      <w:lvlJc w:val="left"/>
      <w:pPr>
        <w:ind w:left="6480" w:hanging="360"/>
      </w:pPr>
      <w:rPr>
        <w:rFonts w:ascii="Wingdings" w:hAnsi="Wingdings" w:hint="default"/>
      </w:rPr>
    </w:lvl>
  </w:abstractNum>
  <w:abstractNum w:abstractNumId="16" w15:restartNumberingAfterBreak="0">
    <w:nsid w:val="298467BF"/>
    <w:multiLevelType w:val="hybridMultilevel"/>
    <w:tmpl w:val="434E919C"/>
    <w:lvl w:ilvl="0" w:tplc="6E24EBCA">
      <w:start w:val="1"/>
      <w:numFmt w:val="bullet"/>
      <w:lvlText w:val="–"/>
      <w:lvlJc w:val="left"/>
      <w:pPr>
        <w:ind w:left="720" w:hanging="360"/>
      </w:pPr>
      <w:rPr>
        <w:rFonts w:ascii="Times New Roman" w:hAnsi="Times New Roman" w:cs="Times New Roman" w:hint="default"/>
      </w:rPr>
    </w:lvl>
    <w:lvl w:ilvl="1" w:tplc="D4787706" w:tentative="1">
      <w:start w:val="1"/>
      <w:numFmt w:val="bullet"/>
      <w:lvlText w:val="o"/>
      <w:lvlJc w:val="left"/>
      <w:pPr>
        <w:ind w:left="1440" w:hanging="360"/>
      </w:pPr>
      <w:rPr>
        <w:rFonts w:ascii="Courier New" w:hAnsi="Courier New" w:cs="Courier New" w:hint="default"/>
      </w:rPr>
    </w:lvl>
    <w:lvl w:ilvl="2" w:tplc="AF2839CC" w:tentative="1">
      <w:start w:val="1"/>
      <w:numFmt w:val="bullet"/>
      <w:lvlText w:val=""/>
      <w:lvlJc w:val="left"/>
      <w:pPr>
        <w:ind w:left="2160" w:hanging="360"/>
      </w:pPr>
      <w:rPr>
        <w:rFonts w:ascii="Wingdings" w:hAnsi="Wingdings" w:hint="default"/>
      </w:rPr>
    </w:lvl>
    <w:lvl w:ilvl="3" w:tplc="BA865A84" w:tentative="1">
      <w:start w:val="1"/>
      <w:numFmt w:val="bullet"/>
      <w:lvlText w:val=""/>
      <w:lvlJc w:val="left"/>
      <w:pPr>
        <w:ind w:left="2880" w:hanging="360"/>
      </w:pPr>
      <w:rPr>
        <w:rFonts w:ascii="Symbol" w:hAnsi="Symbol" w:hint="default"/>
      </w:rPr>
    </w:lvl>
    <w:lvl w:ilvl="4" w:tplc="E3B07906" w:tentative="1">
      <w:start w:val="1"/>
      <w:numFmt w:val="bullet"/>
      <w:lvlText w:val="o"/>
      <w:lvlJc w:val="left"/>
      <w:pPr>
        <w:ind w:left="3600" w:hanging="360"/>
      </w:pPr>
      <w:rPr>
        <w:rFonts w:ascii="Courier New" w:hAnsi="Courier New" w:cs="Courier New" w:hint="default"/>
      </w:rPr>
    </w:lvl>
    <w:lvl w:ilvl="5" w:tplc="775C5FAC" w:tentative="1">
      <w:start w:val="1"/>
      <w:numFmt w:val="bullet"/>
      <w:lvlText w:val=""/>
      <w:lvlJc w:val="left"/>
      <w:pPr>
        <w:ind w:left="4320" w:hanging="360"/>
      </w:pPr>
      <w:rPr>
        <w:rFonts w:ascii="Wingdings" w:hAnsi="Wingdings" w:hint="default"/>
      </w:rPr>
    </w:lvl>
    <w:lvl w:ilvl="6" w:tplc="C6567D5E" w:tentative="1">
      <w:start w:val="1"/>
      <w:numFmt w:val="bullet"/>
      <w:lvlText w:val=""/>
      <w:lvlJc w:val="left"/>
      <w:pPr>
        <w:ind w:left="5040" w:hanging="360"/>
      </w:pPr>
      <w:rPr>
        <w:rFonts w:ascii="Symbol" w:hAnsi="Symbol" w:hint="default"/>
      </w:rPr>
    </w:lvl>
    <w:lvl w:ilvl="7" w:tplc="09321EB8" w:tentative="1">
      <w:start w:val="1"/>
      <w:numFmt w:val="bullet"/>
      <w:lvlText w:val="o"/>
      <w:lvlJc w:val="left"/>
      <w:pPr>
        <w:ind w:left="5760" w:hanging="360"/>
      </w:pPr>
      <w:rPr>
        <w:rFonts w:ascii="Courier New" w:hAnsi="Courier New" w:cs="Courier New" w:hint="default"/>
      </w:rPr>
    </w:lvl>
    <w:lvl w:ilvl="8" w:tplc="D1821460" w:tentative="1">
      <w:start w:val="1"/>
      <w:numFmt w:val="bullet"/>
      <w:lvlText w:val=""/>
      <w:lvlJc w:val="left"/>
      <w:pPr>
        <w:ind w:left="6480" w:hanging="360"/>
      </w:pPr>
      <w:rPr>
        <w:rFonts w:ascii="Wingdings" w:hAnsi="Wingdings" w:hint="default"/>
      </w:rPr>
    </w:lvl>
  </w:abstractNum>
  <w:abstractNum w:abstractNumId="17" w15:restartNumberingAfterBreak="0">
    <w:nsid w:val="2A675F68"/>
    <w:multiLevelType w:val="hybridMultilevel"/>
    <w:tmpl w:val="3E629214"/>
    <w:lvl w:ilvl="0" w:tplc="FDA06906">
      <w:start w:val="1"/>
      <w:numFmt w:val="decimal"/>
      <w:lvlText w:val="%1."/>
      <w:lvlJc w:val="left"/>
      <w:pPr>
        <w:ind w:left="8724" w:hanging="360"/>
      </w:pPr>
      <w:rPr>
        <w:b/>
      </w:rPr>
    </w:lvl>
    <w:lvl w:ilvl="1" w:tplc="6D70FBCA" w:tentative="1">
      <w:start w:val="1"/>
      <w:numFmt w:val="lowerLetter"/>
      <w:lvlText w:val="%2."/>
      <w:lvlJc w:val="left"/>
      <w:pPr>
        <w:ind w:left="1440" w:hanging="360"/>
      </w:pPr>
    </w:lvl>
    <w:lvl w:ilvl="2" w:tplc="207452A2" w:tentative="1">
      <w:start w:val="1"/>
      <w:numFmt w:val="lowerRoman"/>
      <w:lvlText w:val="%3."/>
      <w:lvlJc w:val="right"/>
      <w:pPr>
        <w:ind w:left="2160" w:hanging="180"/>
      </w:pPr>
    </w:lvl>
    <w:lvl w:ilvl="3" w:tplc="7FBCB90C" w:tentative="1">
      <w:start w:val="1"/>
      <w:numFmt w:val="decimal"/>
      <w:lvlText w:val="%4."/>
      <w:lvlJc w:val="left"/>
      <w:pPr>
        <w:ind w:left="2880" w:hanging="360"/>
      </w:pPr>
    </w:lvl>
    <w:lvl w:ilvl="4" w:tplc="9A926F0A" w:tentative="1">
      <w:start w:val="1"/>
      <w:numFmt w:val="lowerLetter"/>
      <w:lvlText w:val="%5."/>
      <w:lvlJc w:val="left"/>
      <w:pPr>
        <w:ind w:left="3600" w:hanging="360"/>
      </w:pPr>
    </w:lvl>
    <w:lvl w:ilvl="5" w:tplc="2CB6BCFE" w:tentative="1">
      <w:start w:val="1"/>
      <w:numFmt w:val="lowerRoman"/>
      <w:lvlText w:val="%6."/>
      <w:lvlJc w:val="right"/>
      <w:pPr>
        <w:ind w:left="4320" w:hanging="180"/>
      </w:pPr>
    </w:lvl>
    <w:lvl w:ilvl="6" w:tplc="1744F678" w:tentative="1">
      <w:start w:val="1"/>
      <w:numFmt w:val="decimal"/>
      <w:lvlText w:val="%7."/>
      <w:lvlJc w:val="left"/>
      <w:pPr>
        <w:ind w:left="5040" w:hanging="360"/>
      </w:pPr>
    </w:lvl>
    <w:lvl w:ilvl="7" w:tplc="1F5E9E50" w:tentative="1">
      <w:start w:val="1"/>
      <w:numFmt w:val="lowerLetter"/>
      <w:lvlText w:val="%8."/>
      <w:lvlJc w:val="left"/>
      <w:pPr>
        <w:ind w:left="5760" w:hanging="360"/>
      </w:pPr>
    </w:lvl>
    <w:lvl w:ilvl="8" w:tplc="1388AFB0" w:tentative="1">
      <w:start w:val="1"/>
      <w:numFmt w:val="lowerRoman"/>
      <w:lvlText w:val="%9."/>
      <w:lvlJc w:val="right"/>
      <w:pPr>
        <w:ind w:left="6480" w:hanging="180"/>
      </w:pPr>
    </w:lvl>
  </w:abstractNum>
  <w:abstractNum w:abstractNumId="18" w15:restartNumberingAfterBreak="0">
    <w:nsid w:val="304F788C"/>
    <w:multiLevelType w:val="hybridMultilevel"/>
    <w:tmpl w:val="EC52AB66"/>
    <w:lvl w:ilvl="0" w:tplc="EC88CD06">
      <w:start w:val="1"/>
      <w:numFmt w:val="lowerLetter"/>
      <w:lvlText w:val="%1)"/>
      <w:lvlJc w:val="left"/>
      <w:pPr>
        <w:ind w:left="1080" w:hanging="360"/>
      </w:pPr>
    </w:lvl>
    <w:lvl w:ilvl="1" w:tplc="DF5A2DE8" w:tentative="1">
      <w:start w:val="1"/>
      <w:numFmt w:val="lowerLetter"/>
      <w:lvlText w:val="%2."/>
      <w:lvlJc w:val="left"/>
      <w:pPr>
        <w:ind w:left="1800" w:hanging="360"/>
      </w:pPr>
    </w:lvl>
    <w:lvl w:ilvl="2" w:tplc="A00A3A56" w:tentative="1">
      <w:start w:val="1"/>
      <w:numFmt w:val="lowerRoman"/>
      <w:lvlText w:val="%3."/>
      <w:lvlJc w:val="right"/>
      <w:pPr>
        <w:ind w:left="2520" w:hanging="180"/>
      </w:pPr>
    </w:lvl>
    <w:lvl w:ilvl="3" w:tplc="6F22F3A0" w:tentative="1">
      <w:start w:val="1"/>
      <w:numFmt w:val="decimal"/>
      <w:lvlText w:val="%4."/>
      <w:lvlJc w:val="left"/>
      <w:pPr>
        <w:ind w:left="3240" w:hanging="360"/>
      </w:pPr>
    </w:lvl>
    <w:lvl w:ilvl="4" w:tplc="C800367A" w:tentative="1">
      <w:start w:val="1"/>
      <w:numFmt w:val="lowerLetter"/>
      <w:lvlText w:val="%5."/>
      <w:lvlJc w:val="left"/>
      <w:pPr>
        <w:ind w:left="3960" w:hanging="360"/>
      </w:pPr>
    </w:lvl>
    <w:lvl w:ilvl="5" w:tplc="6DB2E172" w:tentative="1">
      <w:start w:val="1"/>
      <w:numFmt w:val="lowerRoman"/>
      <w:lvlText w:val="%6."/>
      <w:lvlJc w:val="right"/>
      <w:pPr>
        <w:ind w:left="4680" w:hanging="180"/>
      </w:pPr>
    </w:lvl>
    <w:lvl w:ilvl="6" w:tplc="758AB82E" w:tentative="1">
      <w:start w:val="1"/>
      <w:numFmt w:val="decimal"/>
      <w:lvlText w:val="%7."/>
      <w:lvlJc w:val="left"/>
      <w:pPr>
        <w:ind w:left="5400" w:hanging="360"/>
      </w:pPr>
    </w:lvl>
    <w:lvl w:ilvl="7" w:tplc="349480B8" w:tentative="1">
      <w:start w:val="1"/>
      <w:numFmt w:val="lowerLetter"/>
      <w:lvlText w:val="%8."/>
      <w:lvlJc w:val="left"/>
      <w:pPr>
        <w:ind w:left="6120" w:hanging="360"/>
      </w:pPr>
    </w:lvl>
    <w:lvl w:ilvl="8" w:tplc="97FC22A8" w:tentative="1">
      <w:start w:val="1"/>
      <w:numFmt w:val="lowerRoman"/>
      <w:lvlText w:val="%9."/>
      <w:lvlJc w:val="right"/>
      <w:pPr>
        <w:ind w:left="6840" w:hanging="180"/>
      </w:pPr>
    </w:lvl>
  </w:abstractNum>
  <w:abstractNum w:abstractNumId="19" w15:restartNumberingAfterBreak="0">
    <w:nsid w:val="365D4A5C"/>
    <w:multiLevelType w:val="hybridMultilevel"/>
    <w:tmpl w:val="F15A9EB6"/>
    <w:lvl w:ilvl="0" w:tplc="C234C2C2">
      <w:start w:val="1"/>
      <w:numFmt w:val="bullet"/>
      <w:lvlText w:val=""/>
      <w:lvlJc w:val="left"/>
      <w:pPr>
        <w:ind w:left="720" w:hanging="360"/>
      </w:pPr>
      <w:rPr>
        <w:rFonts w:ascii="Wingdings" w:hAnsi="Wingdings" w:hint="default"/>
      </w:rPr>
    </w:lvl>
    <w:lvl w:ilvl="1" w:tplc="3D4CFB08" w:tentative="1">
      <w:start w:val="1"/>
      <w:numFmt w:val="bullet"/>
      <w:lvlText w:val="o"/>
      <w:lvlJc w:val="left"/>
      <w:pPr>
        <w:ind w:left="1440" w:hanging="360"/>
      </w:pPr>
      <w:rPr>
        <w:rFonts w:ascii="Courier New" w:hAnsi="Courier New" w:cs="Courier New" w:hint="default"/>
      </w:rPr>
    </w:lvl>
    <w:lvl w:ilvl="2" w:tplc="044AC8CA" w:tentative="1">
      <w:start w:val="1"/>
      <w:numFmt w:val="bullet"/>
      <w:lvlText w:val=""/>
      <w:lvlJc w:val="left"/>
      <w:pPr>
        <w:ind w:left="2160" w:hanging="360"/>
      </w:pPr>
      <w:rPr>
        <w:rFonts w:ascii="Wingdings" w:hAnsi="Wingdings" w:hint="default"/>
      </w:rPr>
    </w:lvl>
    <w:lvl w:ilvl="3" w:tplc="67F235D4" w:tentative="1">
      <w:start w:val="1"/>
      <w:numFmt w:val="bullet"/>
      <w:lvlText w:val=""/>
      <w:lvlJc w:val="left"/>
      <w:pPr>
        <w:ind w:left="2880" w:hanging="360"/>
      </w:pPr>
      <w:rPr>
        <w:rFonts w:ascii="Symbol" w:hAnsi="Symbol" w:hint="default"/>
      </w:rPr>
    </w:lvl>
    <w:lvl w:ilvl="4" w:tplc="7E4EFD3C" w:tentative="1">
      <w:start w:val="1"/>
      <w:numFmt w:val="bullet"/>
      <w:lvlText w:val="o"/>
      <w:lvlJc w:val="left"/>
      <w:pPr>
        <w:ind w:left="3600" w:hanging="360"/>
      </w:pPr>
      <w:rPr>
        <w:rFonts w:ascii="Courier New" w:hAnsi="Courier New" w:cs="Courier New" w:hint="default"/>
      </w:rPr>
    </w:lvl>
    <w:lvl w:ilvl="5" w:tplc="AFA4CB64" w:tentative="1">
      <w:start w:val="1"/>
      <w:numFmt w:val="bullet"/>
      <w:lvlText w:val=""/>
      <w:lvlJc w:val="left"/>
      <w:pPr>
        <w:ind w:left="4320" w:hanging="360"/>
      </w:pPr>
      <w:rPr>
        <w:rFonts w:ascii="Wingdings" w:hAnsi="Wingdings" w:hint="default"/>
      </w:rPr>
    </w:lvl>
    <w:lvl w:ilvl="6" w:tplc="5186D448" w:tentative="1">
      <w:start w:val="1"/>
      <w:numFmt w:val="bullet"/>
      <w:lvlText w:val=""/>
      <w:lvlJc w:val="left"/>
      <w:pPr>
        <w:ind w:left="5040" w:hanging="360"/>
      </w:pPr>
      <w:rPr>
        <w:rFonts w:ascii="Symbol" w:hAnsi="Symbol" w:hint="default"/>
      </w:rPr>
    </w:lvl>
    <w:lvl w:ilvl="7" w:tplc="45CCFC4E" w:tentative="1">
      <w:start w:val="1"/>
      <w:numFmt w:val="bullet"/>
      <w:lvlText w:val="o"/>
      <w:lvlJc w:val="left"/>
      <w:pPr>
        <w:ind w:left="5760" w:hanging="360"/>
      </w:pPr>
      <w:rPr>
        <w:rFonts w:ascii="Courier New" w:hAnsi="Courier New" w:cs="Courier New" w:hint="default"/>
      </w:rPr>
    </w:lvl>
    <w:lvl w:ilvl="8" w:tplc="FE549C50" w:tentative="1">
      <w:start w:val="1"/>
      <w:numFmt w:val="bullet"/>
      <w:lvlText w:val=""/>
      <w:lvlJc w:val="left"/>
      <w:pPr>
        <w:ind w:left="6480" w:hanging="360"/>
      </w:pPr>
      <w:rPr>
        <w:rFonts w:ascii="Wingdings" w:hAnsi="Wingdings" w:hint="default"/>
      </w:rPr>
    </w:lvl>
  </w:abstractNum>
  <w:abstractNum w:abstractNumId="20" w15:restartNumberingAfterBreak="0">
    <w:nsid w:val="3C7C0EE4"/>
    <w:multiLevelType w:val="hybridMultilevel"/>
    <w:tmpl w:val="D70A3236"/>
    <w:lvl w:ilvl="0" w:tplc="D890979C">
      <w:start w:val="1"/>
      <w:numFmt w:val="bullet"/>
      <w:lvlText w:val=""/>
      <w:lvlJc w:val="left"/>
      <w:pPr>
        <w:ind w:left="720" w:hanging="360"/>
      </w:pPr>
      <w:rPr>
        <w:rFonts w:ascii="Wingdings" w:hAnsi="Wingdings" w:hint="default"/>
      </w:rPr>
    </w:lvl>
    <w:lvl w:ilvl="1" w:tplc="B3B81E9C" w:tentative="1">
      <w:start w:val="1"/>
      <w:numFmt w:val="bullet"/>
      <w:lvlText w:val="o"/>
      <w:lvlJc w:val="left"/>
      <w:pPr>
        <w:ind w:left="1440" w:hanging="360"/>
      </w:pPr>
      <w:rPr>
        <w:rFonts w:ascii="Courier New" w:hAnsi="Courier New" w:cs="Courier New" w:hint="default"/>
      </w:rPr>
    </w:lvl>
    <w:lvl w:ilvl="2" w:tplc="B3C298C4" w:tentative="1">
      <w:start w:val="1"/>
      <w:numFmt w:val="bullet"/>
      <w:lvlText w:val=""/>
      <w:lvlJc w:val="left"/>
      <w:pPr>
        <w:ind w:left="2160" w:hanging="360"/>
      </w:pPr>
      <w:rPr>
        <w:rFonts w:ascii="Wingdings" w:hAnsi="Wingdings" w:hint="default"/>
      </w:rPr>
    </w:lvl>
    <w:lvl w:ilvl="3" w:tplc="26668F16" w:tentative="1">
      <w:start w:val="1"/>
      <w:numFmt w:val="bullet"/>
      <w:lvlText w:val=""/>
      <w:lvlJc w:val="left"/>
      <w:pPr>
        <w:ind w:left="2880" w:hanging="360"/>
      </w:pPr>
      <w:rPr>
        <w:rFonts w:ascii="Symbol" w:hAnsi="Symbol" w:hint="default"/>
      </w:rPr>
    </w:lvl>
    <w:lvl w:ilvl="4" w:tplc="DEE23B5C" w:tentative="1">
      <w:start w:val="1"/>
      <w:numFmt w:val="bullet"/>
      <w:lvlText w:val="o"/>
      <w:lvlJc w:val="left"/>
      <w:pPr>
        <w:ind w:left="3600" w:hanging="360"/>
      </w:pPr>
      <w:rPr>
        <w:rFonts w:ascii="Courier New" w:hAnsi="Courier New" w:cs="Courier New" w:hint="default"/>
      </w:rPr>
    </w:lvl>
    <w:lvl w:ilvl="5" w:tplc="82126730" w:tentative="1">
      <w:start w:val="1"/>
      <w:numFmt w:val="bullet"/>
      <w:lvlText w:val=""/>
      <w:lvlJc w:val="left"/>
      <w:pPr>
        <w:ind w:left="4320" w:hanging="360"/>
      </w:pPr>
      <w:rPr>
        <w:rFonts w:ascii="Wingdings" w:hAnsi="Wingdings" w:hint="default"/>
      </w:rPr>
    </w:lvl>
    <w:lvl w:ilvl="6" w:tplc="02EA1592" w:tentative="1">
      <w:start w:val="1"/>
      <w:numFmt w:val="bullet"/>
      <w:lvlText w:val=""/>
      <w:lvlJc w:val="left"/>
      <w:pPr>
        <w:ind w:left="5040" w:hanging="360"/>
      </w:pPr>
      <w:rPr>
        <w:rFonts w:ascii="Symbol" w:hAnsi="Symbol" w:hint="default"/>
      </w:rPr>
    </w:lvl>
    <w:lvl w:ilvl="7" w:tplc="E186884A" w:tentative="1">
      <w:start w:val="1"/>
      <w:numFmt w:val="bullet"/>
      <w:lvlText w:val="o"/>
      <w:lvlJc w:val="left"/>
      <w:pPr>
        <w:ind w:left="5760" w:hanging="360"/>
      </w:pPr>
      <w:rPr>
        <w:rFonts w:ascii="Courier New" w:hAnsi="Courier New" w:cs="Courier New" w:hint="default"/>
      </w:rPr>
    </w:lvl>
    <w:lvl w:ilvl="8" w:tplc="E85C9410" w:tentative="1">
      <w:start w:val="1"/>
      <w:numFmt w:val="bullet"/>
      <w:lvlText w:val=""/>
      <w:lvlJc w:val="left"/>
      <w:pPr>
        <w:ind w:left="6480" w:hanging="360"/>
      </w:pPr>
      <w:rPr>
        <w:rFonts w:ascii="Wingdings" w:hAnsi="Wingdings" w:hint="default"/>
      </w:rPr>
    </w:lvl>
  </w:abstractNum>
  <w:abstractNum w:abstractNumId="21" w15:restartNumberingAfterBreak="0">
    <w:nsid w:val="3FFD0FCF"/>
    <w:multiLevelType w:val="hybridMultilevel"/>
    <w:tmpl w:val="66A0613A"/>
    <w:lvl w:ilvl="0" w:tplc="6E24EBCA">
      <w:start w:val="1"/>
      <w:numFmt w:val="bullet"/>
      <w:lvlText w:val="–"/>
      <w:lvlJc w:val="left"/>
      <w:pPr>
        <w:ind w:left="720" w:hanging="360"/>
      </w:pPr>
      <w:rPr>
        <w:rFonts w:ascii="Times New Roman" w:hAnsi="Times New Roman" w:cs="Times New Roman" w:hint="default"/>
      </w:rPr>
    </w:lvl>
    <w:lvl w:ilvl="1" w:tplc="8370C522" w:tentative="1">
      <w:start w:val="1"/>
      <w:numFmt w:val="bullet"/>
      <w:lvlText w:val="o"/>
      <w:lvlJc w:val="left"/>
      <w:pPr>
        <w:ind w:left="1440" w:hanging="360"/>
      </w:pPr>
      <w:rPr>
        <w:rFonts w:ascii="Courier New" w:hAnsi="Courier New" w:cs="Courier New" w:hint="default"/>
      </w:rPr>
    </w:lvl>
    <w:lvl w:ilvl="2" w:tplc="5ED0C830" w:tentative="1">
      <w:start w:val="1"/>
      <w:numFmt w:val="bullet"/>
      <w:lvlText w:val=""/>
      <w:lvlJc w:val="left"/>
      <w:pPr>
        <w:ind w:left="2160" w:hanging="360"/>
      </w:pPr>
      <w:rPr>
        <w:rFonts w:ascii="Wingdings" w:hAnsi="Wingdings" w:hint="default"/>
      </w:rPr>
    </w:lvl>
    <w:lvl w:ilvl="3" w:tplc="94B0A68A" w:tentative="1">
      <w:start w:val="1"/>
      <w:numFmt w:val="bullet"/>
      <w:lvlText w:val=""/>
      <w:lvlJc w:val="left"/>
      <w:pPr>
        <w:ind w:left="2880" w:hanging="360"/>
      </w:pPr>
      <w:rPr>
        <w:rFonts w:ascii="Symbol" w:hAnsi="Symbol" w:hint="default"/>
      </w:rPr>
    </w:lvl>
    <w:lvl w:ilvl="4" w:tplc="926A52CA" w:tentative="1">
      <w:start w:val="1"/>
      <w:numFmt w:val="bullet"/>
      <w:lvlText w:val="o"/>
      <w:lvlJc w:val="left"/>
      <w:pPr>
        <w:ind w:left="3600" w:hanging="360"/>
      </w:pPr>
      <w:rPr>
        <w:rFonts w:ascii="Courier New" w:hAnsi="Courier New" w:cs="Courier New" w:hint="default"/>
      </w:rPr>
    </w:lvl>
    <w:lvl w:ilvl="5" w:tplc="96142380" w:tentative="1">
      <w:start w:val="1"/>
      <w:numFmt w:val="bullet"/>
      <w:lvlText w:val=""/>
      <w:lvlJc w:val="left"/>
      <w:pPr>
        <w:ind w:left="4320" w:hanging="360"/>
      </w:pPr>
      <w:rPr>
        <w:rFonts w:ascii="Wingdings" w:hAnsi="Wingdings" w:hint="default"/>
      </w:rPr>
    </w:lvl>
    <w:lvl w:ilvl="6" w:tplc="530A1892" w:tentative="1">
      <w:start w:val="1"/>
      <w:numFmt w:val="bullet"/>
      <w:lvlText w:val=""/>
      <w:lvlJc w:val="left"/>
      <w:pPr>
        <w:ind w:left="5040" w:hanging="360"/>
      </w:pPr>
      <w:rPr>
        <w:rFonts w:ascii="Symbol" w:hAnsi="Symbol" w:hint="default"/>
      </w:rPr>
    </w:lvl>
    <w:lvl w:ilvl="7" w:tplc="EA4CE6CA" w:tentative="1">
      <w:start w:val="1"/>
      <w:numFmt w:val="bullet"/>
      <w:lvlText w:val="o"/>
      <w:lvlJc w:val="left"/>
      <w:pPr>
        <w:ind w:left="5760" w:hanging="360"/>
      </w:pPr>
      <w:rPr>
        <w:rFonts w:ascii="Courier New" w:hAnsi="Courier New" w:cs="Courier New" w:hint="default"/>
      </w:rPr>
    </w:lvl>
    <w:lvl w:ilvl="8" w:tplc="987E8610" w:tentative="1">
      <w:start w:val="1"/>
      <w:numFmt w:val="bullet"/>
      <w:lvlText w:val=""/>
      <w:lvlJc w:val="left"/>
      <w:pPr>
        <w:ind w:left="6480" w:hanging="360"/>
      </w:pPr>
      <w:rPr>
        <w:rFonts w:ascii="Wingdings" w:hAnsi="Wingdings" w:hint="default"/>
      </w:rPr>
    </w:lvl>
  </w:abstractNum>
  <w:abstractNum w:abstractNumId="22" w15:restartNumberingAfterBreak="0">
    <w:nsid w:val="415B70EE"/>
    <w:multiLevelType w:val="hybridMultilevel"/>
    <w:tmpl w:val="67D0FF52"/>
    <w:lvl w:ilvl="0" w:tplc="6E24EBCA">
      <w:start w:val="1"/>
      <w:numFmt w:val="bullet"/>
      <w:lvlText w:val="–"/>
      <w:lvlJc w:val="left"/>
      <w:pPr>
        <w:ind w:left="720" w:hanging="360"/>
      </w:pPr>
      <w:rPr>
        <w:rFonts w:ascii="Times New Roman" w:hAnsi="Times New Roman" w:cs="Times New Roman" w:hint="default"/>
      </w:rPr>
    </w:lvl>
    <w:lvl w:ilvl="1" w:tplc="D6C00100" w:tentative="1">
      <w:start w:val="1"/>
      <w:numFmt w:val="bullet"/>
      <w:lvlText w:val="o"/>
      <w:lvlJc w:val="left"/>
      <w:pPr>
        <w:ind w:left="1440" w:hanging="360"/>
      </w:pPr>
      <w:rPr>
        <w:rFonts w:ascii="Courier New" w:hAnsi="Courier New" w:cs="Courier New" w:hint="default"/>
      </w:rPr>
    </w:lvl>
    <w:lvl w:ilvl="2" w:tplc="AFB65884" w:tentative="1">
      <w:start w:val="1"/>
      <w:numFmt w:val="bullet"/>
      <w:lvlText w:val=""/>
      <w:lvlJc w:val="left"/>
      <w:pPr>
        <w:ind w:left="2160" w:hanging="360"/>
      </w:pPr>
      <w:rPr>
        <w:rFonts w:ascii="Wingdings" w:hAnsi="Wingdings" w:hint="default"/>
      </w:rPr>
    </w:lvl>
    <w:lvl w:ilvl="3" w:tplc="38BAB9FA" w:tentative="1">
      <w:start w:val="1"/>
      <w:numFmt w:val="bullet"/>
      <w:lvlText w:val=""/>
      <w:lvlJc w:val="left"/>
      <w:pPr>
        <w:ind w:left="2880" w:hanging="360"/>
      </w:pPr>
      <w:rPr>
        <w:rFonts w:ascii="Symbol" w:hAnsi="Symbol" w:hint="default"/>
      </w:rPr>
    </w:lvl>
    <w:lvl w:ilvl="4" w:tplc="4B94D7C8" w:tentative="1">
      <w:start w:val="1"/>
      <w:numFmt w:val="bullet"/>
      <w:lvlText w:val="o"/>
      <w:lvlJc w:val="left"/>
      <w:pPr>
        <w:ind w:left="3600" w:hanging="360"/>
      </w:pPr>
      <w:rPr>
        <w:rFonts w:ascii="Courier New" w:hAnsi="Courier New" w:cs="Courier New" w:hint="default"/>
      </w:rPr>
    </w:lvl>
    <w:lvl w:ilvl="5" w:tplc="91A01CE4" w:tentative="1">
      <w:start w:val="1"/>
      <w:numFmt w:val="bullet"/>
      <w:lvlText w:val=""/>
      <w:lvlJc w:val="left"/>
      <w:pPr>
        <w:ind w:left="4320" w:hanging="360"/>
      </w:pPr>
      <w:rPr>
        <w:rFonts w:ascii="Wingdings" w:hAnsi="Wingdings" w:hint="default"/>
      </w:rPr>
    </w:lvl>
    <w:lvl w:ilvl="6" w:tplc="A9B893EC" w:tentative="1">
      <w:start w:val="1"/>
      <w:numFmt w:val="bullet"/>
      <w:lvlText w:val=""/>
      <w:lvlJc w:val="left"/>
      <w:pPr>
        <w:ind w:left="5040" w:hanging="360"/>
      </w:pPr>
      <w:rPr>
        <w:rFonts w:ascii="Symbol" w:hAnsi="Symbol" w:hint="default"/>
      </w:rPr>
    </w:lvl>
    <w:lvl w:ilvl="7" w:tplc="5324E56C" w:tentative="1">
      <w:start w:val="1"/>
      <w:numFmt w:val="bullet"/>
      <w:lvlText w:val="o"/>
      <w:lvlJc w:val="left"/>
      <w:pPr>
        <w:ind w:left="5760" w:hanging="360"/>
      </w:pPr>
      <w:rPr>
        <w:rFonts w:ascii="Courier New" w:hAnsi="Courier New" w:cs="Courier New" w:hint="default"/>
      </w:rPr>
    </w:lvl>
    <w:lvl w:ilvl="8" w:tplc="1E1EC886" w:tentative="1">
      <w:start w:val="1"/>
      <w:numFmt w:val="bullet"/>
      <w:lvlText w:val=""/>
      <w:lvlJc w:val="left"/>
      <w:pPr>
        <w:ind w:left="6480" w:hanging="360"/>
      </w:pPr>
      <w:rPr>
        <w:rFonts w:ascii="Wingdings" w:hAnsi="Wingdings" w:hint="default"/>
      </w:rPr>
    </w:lvl>
  </w:abstractNum>
  <w:abstractNum w:abstractNumId="23" w15:restartNumberingAfterBreak="0">
    <w:nsid w:val="4393157F"/>
    <w:multiLevelType w:val="hybridMultilevel"/>
    <w:tmpl w:val="E892ACCC"/>
    <w:lvl w:ilvl="0" w:tplc="8D183734">
      <w:start w:val="1"/>
      <w:numFmt w:val="lowerLetter"/>
      <w:lvlText w:val="%1)"/>
      <w:lvlJc w:val="left"/>
      <w:pPr>
        <w:ind w:left="720" w:hanging="360"/>
      </w:pPr>
    </w:lvl>
    <w:lvl w:ilvl="1" w:tplc="2A3215DC" w:tentative="1">
      <w:start w:val="1"/>
      <w:numFmt w:val="lowerLetter"/>
      <w:lvlText w:val="%2."/>
      <w:lvlJc w:val="left"/>
      <w:pPr>
        <w:ind w:left="1440" w:hanging="360"/>
      </w:pPr>
    </w:lvl>
    <w:lvl w:ilvl="2" w:tplc="1B086FDA" w:tentative="1">
      <w:start w:val="1"/>
      <w:numFmt w:val="lowerRoman"/>
      <w:lvlText w:val="%3."/>
      <w:lvlJc w:val="right"/>
      <w:pPr>
        <w:ind w:left="2160" w:hanging="180"/>
      </w:pPr>
    </w:lvl>
    <w:lvl w:ilvl="3" w:tplc="5C6E5B16" w:tentative="1">
      <w:start w:val="1"/>
      <w:numFmt w:val="decimal"/>
      <w:lvlText w:val="%4."/>
      <w:lvlJc w:val="left"/>
      <w:pPr>
        <w:ind w:left="2880" w:hanging="360"/>
      </w:pPr>
    </w:lvl>
    <w:lvl w:ilvl="4" w:tplc="D83639D4" w:tentative="1">
      <w:start w:val="1"/>
      <w:numFmt w:val="lowerLetter"/>
      <w:lvlText w:val="%5."/>
      <w:lvlJc w:val="left"/>
      <w:pPr>
        <w:ind w:left="3600" w:hanging="360"/>
      </w:pPr>
    </w:lvl>
    <w:lvl w:ilvl="5" w:tplc="079C6702" w:tentative="1">
      <w:start w:val="1"/>
      <w:numFmt w:val="lowerRoman"/>
      <w:lvlText w:val="%6."/>
      <w:lvlJc w:val="right"/>
      <w:pPr>
        <w:ind w:left="4320" w:hanging="180"/>
      </w:pPr>
    </w:lvl>
    <w:lvl w:ilvl="6" w:tplc="44CE167A" w:tentative="1">
      <w:start w:val="1"/>
      <w:numFmt w:val="decimal"/>
      <w:lvlText w:val="%7."/>
      <w:lvlJc w:val="left"/>
      <w:pPr>
        <w:ind w:left="5040" w:hanging="360"/>
      </w:pPr>
    </w:lvl>
    <w:lvl w:ilvl="7" w:tplc="AB6CCB72" w:tentative="1">
      <w:start w:val="1"/>
      <w:numFmt w:val="lowerLetter"/>
      <w:lvlText w:val="%8."/>
      <w:lvlJc w:val="left"/>
      <w:pPr>
        <w:ind w:left="5760" w:hanging="360"/>
      </w:pPr>
    </w:lvl>
    <w:lvl w:ilvl="8" w:tplc="77DCA3FE" w:tentative="1">
      <w:start w:val="1"/>
      <w:numFmt w:val="lowerRoman"/>
      <w:lvlText w:val="%9."/>
      <w:lvlJc w:val="right"/>
      <w:pPr>
        <w:ind w:left="6480" w:hanging="180"/>
      </w:pPr>
    </w:lvl>
  </w:abstractNum>
  <w:abstractNum w:abstractNumId="24" w15:restartNumberingAfterBreak="0">
    <w:nsid w:val="47414509"/>
    <w:multiLevelType w:val="hybridMultilevel"/>
    <w:tmpl w:val="35EAC814"/>
    <w:lvl w:ilvl="0" w:tplc="6E24EBCA">
      <w:start w:val="1"/>
      <w:numFmt w:val="bullet"/>
      <w:lvlText w:val="–"/>
      <w:lvlJc w:val="left"/>
      <w:pPr>
        <w:ind w:left="720" w:hanging="360"/>
      </w:pPr>
      <w:rPr>
        <w:rFonts w:ascii="Times New Roman" w:hAnsi="Times New Roman" w:cs="Times New Roman" w:hint="default"/>
      </w:rPr>
    </w:lvl>
    <w:lvl w:ilvl="1" w:tplc="056A214E" w:tentative="1">
      <w:start w:val="1"/>
      <w:numFmt w:val="bullet"/>
      <w:lvlText w:val="o"/>
      <w:lvlJc w:val="left"/>
      <w:pPr>
        <w:ind w:left="1440" w:hanging="360"/>
      </w:pPr>
      <w:rPr>
        <w:rFonts w:ascii="Courier New" w:hAnsi="Courier New" w:cs="Courier New" w:hint="default"/>
      </w:rPr>
    </w:lvl>
    <w:lvl w:ilvl="2" w:tplc="0EAE90C0" w:tentative="1">
      <w:start w:val="1"/>
      <w:numFmt w:val="bullet"/>
      <w:lvlText w:val=""/>
      <w:lvlJc w:val="left"/>
      <w:pPr>
        <w:ind w:left="2160" w:hanging="360"/>
      </w:pPr>
      <w:rPr>
        <w:rFonts w:ascii="Wingdings" w:hAnsi="Wingdings" w:hint="default"/>
      </w:rPr>
    </w:lvl>
    <w:lvl w:ilvl="3" w:tplc="953A4A70" w:tentative="1">
      <w:start w:val="1"/>
      <w:numFmt w:val="bullet"/>
      <w:lvlText w:val=""/>
      <w:lvlJc w:val="left"/>
      <w:pPr>
        <w:ind w:left="2880" w:hanging="360"/>
      </w:pPr>
      <w:rPr>
        <w:rFonts w:ascii="Symbol" w:hAnsi="Symbol" w:hint="default"/>
      </w:rPr>
    </w:lvl>
    <w:lvl w:ilvl="4" w:tplc="3CC81988" w:tentative="1">
      <w:start w:val="1"/>
      <w:numFmt w:val="bullet"/>
      <w:lvlText w:val="o"/>
      <w:lvlJc w:val="left"/>
      <w:pPr>
        <w:ind w:left="3600" w:hanging="360"/>
      </w:pPr>
      <w:rPr>
        <w:rFonts w:ascii="Courier New" w:hAnsi="Courier New" w:cs="Courier New" w:hint="default"/>
      </w:rPr>
    </w:lvl>
    <w:lvl w:ilvl="5" w:tplc="E24290C2" w:tentative="1">
      <w:start w:val="1"/>
      <w:numFmt w:val="bullet"/>
      <w:lvlText w:val=""/>
      <w:lvlJc w:val="left"/>
      <w:pPr>
        <w:ind w:left="4320" w:hanging="360"/>
      </w:pPr>
      <w:rPr>
        <w:rFonts w:ascii="Wingdings" w:hAnsi="Wingdings" w:hint="default"/>
      </w:rPr>
    </w:lvl>
    <w:lvl w:ilvl="6" w:tplc="D658701C" w:tentative="1">
      <w:start w:val="1"/>
      <w:numFmt w:val="bullet"/>
      <w:lvlText w:val=""/>
      <w:lvlJc w:val="left"/>
      <w:pPr>
        <w:ind w:left="5040" w:hanging="360"/>
      </w:pPr>
      <w:rPr>
        <w:rFonts w:ascii="Symbol" w:hAnsi="Symbol" w:hint="default"/>
      </w:rPr>
    </w:lvl>
    <w:lvl w:ilvl="7" w:tplc="5FDE5EC8" w:tentative="1">
      <w:start w:val="1"/>
      <w:numFmt w:val="bullet"/>
      <w:lvlText w:val="o"/>
      <w:lvlJc w:val="left"/>
      <w:pPr>
        <w:ind w:left="5760" w:hanging="360"/>
      </w:pPr>
      <w:rPr>
        <w:rFonts w:ascii="Courier New" w:hAnsi="Courier New" w:cs="Courier New" w:hint="default"/>
      </w:rPr>
    </w:lvl>
    <w:lvl w:ilvl="8" w:tplc="9A7C2172" w:tentative="1">
      <w:start w:val="1"/>
      <w:numFmt w:val="bullet"/>
      <w:lvlText w:val=""/>
      <w:lvlJc w:val="left"/>
      <w:pPr>
        <w:ind w:left="6480" w:hanging="360"/>
      </w:pPr>
      <w:rPr>
        <w:rFonts w:ascii="Wingdings" w:hAnsi="Wingdings" w:hint="default"/>
      </w:rPr>
    </w:lvl>
  </w:abstractNum>
  <w:abstractNum w:abstractNumId="25" w15:restartNumberingAfterBreak="0">
    <w:nsid w:val="4FA2441B"/>
    <w:multiLevelType w:val="hybridMultilevel"/>
    <w:tmpl w:val="E1E6D480"/>
    <w:lvl w:ilvl="0" w:tplc="B48AC090">
      <w:start w:val="1"/>
      <w:numFmt w:val="decimal"/>
      <w:lvlText w:val="%1."/>
      <w:lvlJc w:val="left"/>
      <w:pPr>
        <w:ind w:left="720" w:hanging="360"/>
      </w:pPr>
    </w:lvl>
    <w:lvl w:ilvl="1" w:tplc="D72A046A" w:tentative="1">
      <w:start w:val="1"/>
      <w:numFmt w:val="lowerLetter"/>
      <w:lvlText w:val="%2."/>
      <w:lvlJc w:val="left"/>
      <w:pPr>
        <w:ind w:left="1440" w:hanging="360"/>
      </w:pPr>
    </w:lvl>
    <w:lvl w:ilvl="2" w:tplc="D6F2A420" w:tentative="1">
      <w:start w:val="1"/>
      <w:numFmt w:val="lowerRoman"/>
      <w:lvlText w:val="%3."/>
      <w:lvlJc w:val="right"/>
      <w:pPr>
        <w:ind w:left="2160" w:hanging="180"/>
      </w:pPr>
    </w:lvl>
    <w:lvl w:ilvl="3" w:tplc="D5D0143A" w:tentative="1">
      <w:start w:val="1"/>
      <w:numFmt w:val="decimal"/>
      <w:lvlText w:val="%4."/>
      <w:lvlJc w:val="left"/>
      <w:pPr>
        <w:ind w:left="2880" w:hanging="360"/>
      </w:pPr>
    </w:lvl>
    <w:lvl w:ilvl="4" w:tplc="39A246C6" w:tentative="1">
      <w:start w:val="1"/>
      <w:numFmt w:val="lowerLetter"/>
      <w:lvlText w:val="%5."/>
      <w:lvlJc w:val="left"/>
      <w:pPr>
        <w:ind w:left="3600" w:hanging="360"/>
      </w:pPr>
    </w:lvl>
    <w:lvl w:ilvl="5" w:tplc="8F7AE706" w:tentative="1">
      <w:start w:val="1"/>
      <w:numFmt w:val="lowerRoman"/>
      <w:lvlText w:val="%6."/>
      <w:lvlJc w:val="right"/>
      <w:pPr>
        <w:ind w:left="4320" w:hanging="180"/>
      </w:pPr>
    </w:lvl>
    <w:lvl w:ilvl="6" w:tplc="736677E0" w:tentative="1">
      <w:start w:val="1"/>
      <w:numFmt w:val="decimal"/>
      <w:lvlText w:val="%7."/>
      <w:lvlJc w:val="left"/>
      <w:pPr>
        <w:ind w:left="5040" w:hanging="360"/>
      </w:pPr>
    </w:lvl>
    <w:lvl w:ilvl="7" w:tplc="715C76B6" w:tentative="1">
      <w:start w:val="1"/>
      <w:numFmt w:val="lowerLetter"/>
      <w:lvlText w:val="%8."/>
      <w:lvlJc w:val="left"/>
      <w:pPr>
        <w:ind w:left="5760" w:hanging="360"/>
      </w:pPr>
    </w:lvl>
    <w:lvl w:ilvl="8" w:tplc="BDC23642" w:tentative="1">
      <w:start w:val="1"/>
      <w:numFmt w:val="lowerRoman"/>
      <w:lvlText w:val="%9."/>
      <w:lvlJc w:val="right"/>
      <w:pPr>
        <w:ind w:left="6480" w:hanging="180"/>
      </w:pPr>
    </w:lvl>
  </w:abstractNum>
  <w:abstractNum w:abstractNumId="26" w15:restartNumberingAfterBreak="0">
    <w:nsid w:val="520D7D6E"/>
    <w:multiLevelType w:val="hybridMultilevel"/>
    <w:tmpl w:val="9E9EACCC"/>
    <w:lvl w:ilvl="0" w:tplc="6E24EBCA">
      <w:start w:val="1"/>
      <w:numFmt w:val="bullet"/>
      <w:lvlText w:val="–"/>
      <w:lvlJc w:val="left"/>
      <w:pPr>
        <w:ind w:left="720" w:hanging="360"/>
      </w:pPr>
      <w:rPr>
        <w:rFonts w:ascii="Times New Roman" w:hAnsi="Times New Roman" w:cs="Times New Roman" w:hint="default"/>
      </w:rPr>
    </w:lvl>
    <w:lvl w:ilvl="1" w:tplc="9FE231D2" w:tentative="1">
      <w:start w:val="1"/>
      <w:numFmt w:val="bullet"/>
      <w:lvlText w:val="o"/>
      <w:lvlJc w:val="left"/>
      <w:pPr>
        <w:ind w:left="1440" w:hanging="360"/>
      </w:pPr>
      <w:rPr>
        <w:rFonts w:ascii="Courier New" w:hAnsi="Courier New" w:cs="Courier New" w:hint="default"/>
      </w:rPr>
    </w:lvl>
    <w:lvl w:ilvl="2" w:tplc="8A6A70B4" w:tentative="1">
      <w:start w:val="1"/>
      <w:numFmt w:val="bullet"/>
      <w:lvlText w:val=""/>
      <w:lvlJc w:val="left"/>
      <w:pPr>
        <w:ind w:left="2160" w:hanging="360"/>
      </w:pPr>
      <w:rPr>
        <w:rFonts w:ascii="Wingdings" w:hAnsi="Wingdings" w:hint="default"/>
      </w:rPr>
    </w:lvl>
    <w:lvl w:ilvl="3" w:tplc="3A2ACF50" w:tentative="1">
      <w:start w:val="1"/>
      <w:numFmt w:val="bullet"/>
      <w:lvlText w:val=""/>
      <w:lvlJc w:val="left"/>
      <w:pPr>
        <w:ind w:left="2880" w:hanging="360"/>
      </w:pPr>
      <w:rPr>
        <w:rFonts w:ascii="Symbol" w:hAnsi="Symbol" w:hint="default"/>
      </w:rPr>
    </w:lvl>
    <w:lvl w:ilvl="4" w:tplc="B1EAFD42" w:tentative="1">
      <w:start w:val="1"/>
      <w:numFmt w:val="bullet"/>
      <w:lvlText w:val="o"/>
      <w:lvlJc w:val="left"/>
      <w:pPr>
        <w:ind w:left="3600" w:hanging="360"/>
      </w:pPr>
      <w:rPr>
        <w:rFonts w:ascii="Courier New" w:hAnsi="Courier New" w:cs="Courier New" w:hint="default"/>
      </w:rPr>
    </w:lvl>
    <w:lvl w:ilvl="5" w:tplc="6C52E7F2" w:tentative="1">
      <w:start w:val="1"/>
      <w:numFmt w:val="bullet"/>
      <w:lvlText w:val=""/>
      <w:lvlJc w:val="left"/>
      <w:pPr>
        <w:ind w:left="4320" w:hanging="360"/>
      </w:pPr>
      <w:rPr>
        <w:rFonts w:ascii="Wingdings" w:hAnsi="Wingdings" w:hint="default"/>
      </w:rPr>
    </w:lvl>
    <w:lvl w:ilvl="6" w:tplc="F40ACD68" w:tentative="1">
      <w:start w:val="1"/>
      <w:numFmt w:val="bullet"/>
      <w:lvlText w:val=""/>
      <w:lvlJc w:val="left"/>
      <w:pPr>
        <w:ind w:left="5040" w:hanging="360"/>
      </w:pPr>
      <w:rPr>
        <w:rFonts w:ascii="Symbol" w:hAnsi="Symbol" w:hint="default"/>
      </w:rPr>
    </w:lvl>
    <w:lvl w:ilvl="7" w:tplc="855449DC" w:tentative="1">
      <w:start w:val="1"/>
      <w:numFmt w:val="bullet"/>
      <w:lvlText w:val="o"/>
      <w:lvlJc w:val="left"/>
      <w:pPr>
        <w:ind w:left="5760" w:hanging="360"/>
      </w:pPr>
      <w:rPr>
        <w:rFonts w:ascii="Courier New" w:hAnsi="Courier New" w:cs="Courier New" w:hint="default"/>
      </w:rPr>
    </w:lvl>
    <w:lvl w:ilvl="8" w:tplc="F6B2AC78" w:tentative="1">
      <w:start w:val="1"/>
      <w:numFmt w:val="bullet"/>
      <w:lvlText w:val=""/>
      <w:lvlJc w:val="left"/>
      <w:pPr>
        <w:ind w:left="6480" w:hanging="360"/>
      </w:pPr>
      <w:rPr>
        <w:rFonts w:ascii="Wingdings" w:hAnsi="Wingdings" w:hint="default"/>
      </w:rPr>
    </w:lvl>
  </w:abstractNum>
  <w:abstractNum w:abstractNumId="27" w15:restartNumberingAfterBreak="0">
    <w:nsid w:val="5F341894"/>
    <w:multiLevelType w:val="hybridMultilevel"/>
    <w:tmpl w:val="3E5E218C"/>
    <w:lvl w:ilvl="0" w:tplc="3B5E05AC">
      <w:start w:val="1"/>
      <w:numFmt w:val="decimal"/>
      <w:lvlText w:val="%1."/>
      <w:lvlJc w:val="left"/>
      <w:pPr>
        <w:ind w:left="720" w:hanging="360"/>
      </w:pPr>
    </w:lvl>
    <w:lvl w:ilvl="1" w:tplc="D3120540" w:tentative="1">
      <w:start w:val="1"/>
      <w:numFmt w:val="lowerLetter"/>
      <w:lvlText w:val="%2."/>
      <w:lvlJc w:val="left"/>
      <w:pPr>
        <w:ind w:left="1440" w:hanging="360"/>
      </w:pPr>
    </w:lvl>
    <w:lvl w:ilvl="2" w:tplc="B6C67E36" w:tentative="1">
      <w:start w:val="1"/>
      <w:numFmt w:val="lowerRoman"/>
      <w:lvlText w:val="%3."/>
      <w:lvlJc w:val="right"/>
      <w:pPr>
        <w:ind w:left="2160" w:hanging="180"/>
      </w:pPr>
    </w:lvl>
    <w:lvl w:ilvl="3" w:tplc="4880B046" w:tentative="1">
      <w:start w:val="1"/>
      <w:numFmt w:val="decimal"/>
      <w:lvlText w:val="%4."/>
      <w:lvlJc w:val="left"/>
      <w:pPr>
        <w:ind w:left="2880" w:hanging="360"/>
      </w:pPr>
    </w:lvl>
    <w:lvl w:ilvl="4" w:tplc="DBFC1484" w:tentative="1">
      <w:start w:val="1"/>
      <w:numFmt w:val="lowerLetter"/>
      <w:lvlText w:val="%5."/>
      <w:lvlJc w:val="left"/>
      <w:pPr>
        <w:ind w:left="3600" w:hanging="360"/>
      </w:pPr>
    </w:lvl>
    <w:lvl w:ilvl="5" w:tplc="88F6AD44" w:tentative="1">
      <w:start w:val="1"/>
      <w:numFmt w:val="lowerRoman"/>
      <w:lvlText w:val="%6."/>
      <w:lvlJc w:val="right"/>
      <w:pPr>
        <w:ind w:left="4320" w:hanging="180"/>
      </w:pPr>
    </w:lvl>
    <w:lvl w:ilvl="6" w:tplc="A8100F30" w:tentative="1">
      <w:start w:val="1"/>
      <w:numFmt w:val="decimal"/>
      <w:lvlText w:val="%7."/>
      <w:lvlJc w:val="left"/>
      <w:pPr>
        <w:ind w:left="5040" w:hanging="360"/>
      </w:pPr>
    </w:lvl>
    <w:lvl w:ilvl="7" w:tplc="0422E1F0" w:tentative="1">
      <w:start w:val="1"/>
      <w:numFmt w:val="lowerLetter"/>
      <w:lvlText w:val="%8."/>
      <w:lvlJc w:val="left"/>
      <w:pPr>
        <w:ind w:left="5760" w:hanging="360"/>
      </w:pPr>
    </w:lvl>
    <w:lvl w:ilvl="8" w:tplc="46C44812" w:tentative="1">
      <w:start w:val="1"/>
      <w:numFmt w:val="lowerRoman"/>
      <w:lvlText w:val="%9."/>
      <w:lvlJc w:val="right"/>
      <w:pPr>
        <w:ind w:left="6480" w:hanging="180"/>
      </w:pPr>
    </w:lvl>
  </w:abstractNum>
  <w:abstractNum w:abstractNumId="28" w15:restartNumberingAfterBreak="0">
    <w:nsid w:val="658F7BE0"/>
    <w:multiLevelType w:val="hybridMultilevel"/>
    <w:tmpl w:val="17C8B800"/>
    <w:lvl w:ilvl="0" w:tplc="6E24EBCA">
      <w:start w:val="1"/>
      <w:numFmt w:val="bullet"/>
      <w:lvlText w:val="–"/>
      <w:lvlJc w:val="left"/>
      <w:pPr>
        <w:ind w:left="720" w:hanging="360"/>
      </w:pPr>
      <w:rPr>
        <w:rFonts w:ascii="Times New Roman" w:hAnsi="Times New Roman" w:cs="Times New Roman" w:hint="default"/>
      </w:rPr>
    </w:lvl>
    <w:lvl w:ilvl="1" w:tplc="A2DAEE42" w:tentative="1">
      <w:start w:val="1"/>
      <w:numFmt w:val="bullet"/>
      <w:lvlText w:val="o"/>
      <w:lvlJc w:val="left"/>
      <w:pPr>
        <w:ind w:left="1440" w:hanging="360"/>
      </w:pPr>
      <w:rPr>
        <w:rFonts w:ascii="Courier New" w:hAnsi="Courier New" w:cs="Courier New" w:hint="default"/>
      </w:rPr>
    </w:lvl>
    <w:lvl w:ilvl="2" w:tplc="F07C8D08" w:tentative="1">
      <w:start w:val="1"/>
      <w:numFmt w:val="bullet"/>
      <w:lvlText w:val=""/>
      <w:lvlJc w:val="left"/>
      <w:pPr>
        <w:ind w:left="2160" w:hanging="360"/>
      </w:pPr>
      <w:rPr>
        <w:rFonts w:ascii="Wingdings" w:hAnsi="Wingdings" w:hint="default"/>
      </w:rPr>
    </w:lvl>
    <w:lvl w:ilvl="3" w:tplc="DF50A732" w:tentative="1">
      <w:start w:val="1"/>
      <w:numFmt w:val="bullet"/>
      <w:lvlText w:val=""/>
      <w:lvlJc w:val="left"/>
      <w:pPr>
        <w:ind w:left="2880" w:hanging="360"/>
      </w:pPr>
      <w:rPr>
        <w:rFonts w:ascii="Symbol" w:hAnsi="Symbol" w:hint="default"/>
      </w:rPr>
    </w:lvl>
    <w:lvl w:ilvl="4" w:tplc="CD56F6F2" w:tentative="1">
      <w:start w:val="1"/>
      <w:numFmt w:val="bullet"/>
      <w:lvlText w:val="o"/>
      <w:lvlJc w:val="left"/>
      <w:pPr>
        <w:ind w:left="3600" w:hanging="360"/>
      </w:pPr>
      <w:rPr>
        <w:rFonts w:ascii="Courier New" w:hAnsi="Courier New" w:cs="Courier New" w:hint="default"/>
      </w:rPr>
    </w:lvl>
    <w:lvl w:ilvl="5" w:tplc="623CF33E" w:tentative="1">
      <w:start w:val="1"/>
      <w:numFmt w:val="bullet"/>
      <w:lvlText w:val=""/>
      <w:lvlJc w:val="left"/>
      <w:pPr>
        <w:ind w:left="4320" w:hanging="360"/>
      </w:pPr>
      <w:rPr>
        <w:rFonts w:ascii="Wingdings" w:hAnsi="Wingdings" w:hint="default"/>
      </w:rPr>
    </w:lvl>
    <w:lvl w:ilvl="6" w:tplc="24C03700" w:tentative="1">
      <w:start w:val="1"/>
      <w:numFmt w:val="bullet"/>
      <w:lvlText w:val=""/>
      <w:lvlJc w:val="left"/>
      <w:pPr>
        <w:ind w:left="5040" w:hanging="360"/>
      </w:pPr>
      <w:rPr>
        <w:rFonts w:ascii="Symbol" w:hAnsi="Symbol" w:hint="default"/>
      </w:rPr>
    </w:lvl>
    <w:lvl w:ilvl="7" w:tplc="6A18B9C8" w:tentative="1">
      <w:start w:val="1"/>
      <w:numFmt w:val="bullet"/>
      <w:lvlText w:val="o"/>
      <w:lvlJc w:val="left"/>
      <w:pPr>
        <w:ind w:left="5760" w:hanging="360"/>
      </w:pPr>
      <w:rPr>
        <w:rFonts w:ascii="Courier New" w:hAnsi="Courier New" w:cs="Courier New" w:hint="default"/>
      </w:rPr>
    </w:lvl>
    <w:lvl w:ilvl="8" w:tplc="9C96C330" w:tentative="1">
      <w:start w:val="1"/>
      <w:numFmt w:val="bullet"/>
      <w:lvlText w:val=""/>
      <w:lvlJc w:val="left"/>
      <w:pPr>
        <w:ind w:left="6480" w:hanging="360"/>
      </w:pPr>
      <w:rPr>
        <w:rFonts w:ascii="Wingdings" w:hAnsi="Wingdings" w:hint="default"/>
      </w:rPr>
    </w:lvl>
  </w:abstractNum>
  <w:abstractNum w:abstractNumId="29" w15:restartNumberingAfterBreak="0">
    <w:nsid w:val="69885D94"/>
    <w:multiLevelType w:val="hybridMultilevel"/>
    <w:tmpl w:val="9AB6B792"/>
    <w:lvl w:ilvl="0" w:tplc="6E24EBCA">
      <w:start w:val="1"/>
      <w:numFmt w:val="bullet"/>
      <w:lvlText w:val="–"/>
      <w:lvlJc w:val="left"/>
      <w:pPr>
        <w:ind w:left="720" w:hanging="360"/>
      </w:pPr>
      <w:rPr>
        <w:rFonts w:ascii="Times New Roman" w:hAnsi="Times New Roman" w:cs="Times New Roman" w:hint="default"/>
      </w:rPr>
    </w:lvl>
    <w:lvl w:ilvl="1" w:tplc="526669A6" w:tentative="1">
      <w:start w:val="1"/>
      <w:numFmt w:val="bullet"/>
      <w:lvlText w:val="o"/>
      <w:lvlJc w:val="left"/>
      <w:pPr>
        <w:ind w:left="1440" w:hanging="360"/>
      </w:pPr>
      <w:rPr>
        <w:rFonts w:ascii="Courier New" w:hAnsi="Courier New" w:cs="Courier New" w:hint="default"/>
      </w:rPr>
    </w:lvl>
    <w:lvl w:ilvl="2" w:tplc="9916579A" w:tentative="1">
      <w:start w:val="1"/>
      <w:numFmt w:val="bullet"/>
      <w:lvlText w:val=""/>
      <w:lvlJc w:val="left"/>
      <w:pPr>
        <w:ind w:left="2160" w:hanging="360"/>
      </w:pPr>
      <w:rPr>
        <w:rFonts w:ascii="Wingdings" w:hAnsi="Wingdings" w:hint="default"/>
      </w:rPr>
    </w:lvl>
    <w:lvl w:ilvl="3" w:tplc="3B7EB6CE" w:tentative="1">
      <w:start w:val="1"/>
      <w:numFmt w:val="bullet"/>
      <w:lvlText w:val=""/>
      <w:lvlJc w:val="left"/>
      <w:pPr>
        <w:ind w:left="2880" w:hanging="360"/>
      </w:pPr>
      <w:rPr>
        <w:rFonts w:ascii="Symbol" w:hAnsi="Symbol" w:hint="default"/>
      </w:rPr>
    </w:lvl>
    <w:lvl w:ilvl="4" w:tplc="A7A621C4" w:tentative="1">
      <w:start w:val="1"/>
      <w:numFmt w:val="bullet"/>
      <w:lvlText w:val="o"/>
      <w:lvlJc w:val="left"/>
      <w:pPr>
        <w:ind w:left="3600" w:hanging="360"/>
      </w:pPr>
      <w:rPr>
        <w:rFonts w:ascii="Courier New" w:hAnsi="Courier New" w:cs="Courier New" w:hint="default"/>
      </w:rPr>
    </w:lvl>
    <w:lvl w:ilvl="5" w:tplc="C62C0A52" w:tentative="1">
      <w:start w:val="1"/>
      <w:numFmt w:val="bullet"/>
      <w:lvlText w:val=""/>
      <w:lvlJc w:val="left"/>
      <w:pPr>
        <w:ind w:left="4320" w:hanging="360"/>
      </w:pPr>
      <w:rPr>
        <w:rFonts w:ascii="Wingdings" w:hAnsi="Wingdings" w:hint="default"/>
      </w:rPr>
    </w:lvl>
    <w:lvl w:ilvl="6" w:tplc="4F88A804" w:tentative="1">
      <w:start w:val="1"/>
      <w:numFmt w:val="bullet"/>
      <w:lvlText w:val=""/>
      <w:lvlJc w:val="left"/>
      <w:pPr>
        <w:ind w:left="5040" w:hanging="360"/>
      </w:pPr>
      <w:rPr>
        <w:rFonts w:ascii="Symbol" w:hAnsi="Symbol" w:hint="default"/>
      </w:rPr>
    </w:lvl>
    <w:lvl w:ilvl="7" w:tplc="53CE7F6E" w:tentative="1">
      <w:start w:val="1"/>
      <w:numFmt w:val="bullet"/>
      <w:lvlText w:val="o"/>
      <w:lvlJc w:val="left"/>
      <w:pPr>
        <w:ind w:left="5760" w:hanging="360"/>
      </w:pPr>
      <w:rPr>
        <w:rFonts w:ascii="Courier New" w:hAnsi="Courier New" w:cs="Courier New" w:hint="default"/>
      </w:rPr>
    </w:lvl>
    <w:lvl w:ilvl="8" w:tplc="2104E214" w:tentative="1">
      <w:start w:val="1"/>
      <w:numFmt w:val="bullet"/>
      <w:lvlText w:val=""/>
      <w:lvlJc w:val="left"/>
      <w:pPr>
        <w:ind w:left="6480" w:hanging="360"/>
      </w:pPr>
      <w:rPr>
        <w:rFonts w:ascii="Wingdings" w:hAnsi="Wingdings" w:hint="default"/>
      </w:rPr>
    </w:lvl>
  </w:abstractNum>
  <w:abstractNum w:abstractNumId="30" w15:restartNumberingAfterBreak="0">
    <w:nsid w:val="71924A61"/>
    <w:multiLevelType w:val="hybridMultilevel"/>
    <w:tmpl w:val="D3F85532"/>
    <w:lvl w:ilvl="0" w:tplc="6E24EBCA">
      <w:start w:val="1"/>
      <w:numFmt w:val="bullet"/>
      <w:lvlText w:val="–"/>
      <w:lvlJc w:val="left"/>
      <w:pPr>
        <w:ind w:left="720" w:hanging="360"/>
      </w:pPr>
      <w:rPr>
        <w:rFonts w:ascii="Times New Roman" w:hAnsi="Times New Roman" w:cs="Times New Roman" w:hint="default"/>
      </w:rPr>
    </w:lvl>
    <w:lvl w:ilvl="1" w:tplc="738058EC" w:tentative="1">
      <w:start w:val="1"/>
      <w:numFmt w:val="bullet"/>
      <w:lvlText w:val="o"/>
      <w:lvlJc w:val="left"/>
      <w:pPr>
        <w:ind w:left="1440" w:hanging="360"/>
      </w:pPr>
      <w:rPr>
        <w:rFonts w:ascii="Courier New" w:hAnsi="Courier New" w:cs="Courier New" w:hint="default"/>
      </w:rPr>
    </w:lvl>
    <w:lvl w:ilvl="2" w:tplc="F1166C04" w:tentative="1">
      <w:start w:val="1"/>
      <w:numFmt w:val="bullet"/>
      <w:lvlText w:val=""/>
      <w:lvlJc w:val="left"/>
      <w:pPr>
        <w:ind w:left="2160" w:hanging="360"/>
      </w:pPr>
      <w:rPr>
        <w:rFonts w:ascii="Wingdings" w:hAnsi="Wingdings" w:hint="default"/>
      </w:rPr>
    </w:lvl>
    <w:lvl w:ilvl="3" w:tplc="61B84438" w:tentative="1">
      <w:start w:val="1"/>
      <w:numFmt w:val="bullet"/>
      <w:lvlText w:val=""/>
      <w:lvlJc w:val="left"/>
      <w:pPr>
        <w:ind w:left="2880" w:hanging="360"/>
      </w:pPr>
      <w:rPr>
        <w:rFonts w:ascii="Symbol" w:hAnsi="Symbol" w:hint="default"/>
      </w:rPr>
    </w:lvl>
    <w:lvl w:ilvl="4" w:tplc="AB3CB228" w:tentative="1">
      <w:start w:val="1"/>
      <w:numFmt w:val="bullet"/>
      <w:lvlText w:val="o"/>
      <w:lvlJc w:val="left"/>
      <w:pPr>
        <w:ind w:left="3600" w:hanging="360"/>
      </w:pPr>
      <w:rPr>
        <w:rFonts w:ascii="Courier New" w:hAnsi="Courier New" w:cs="Courier New" w:hint="default"/>
      </w:rPr>
    </w:lvl>
    <w:lvl w:ilvl="5" w:tplc="57585E02" w:tentative="1">
      <w:start w:val="1"/>
      <w:numFmt w:val="bullet"/>
      <w:lvlText w:val=""/>
      <w:lvlJc w:val="left"/>
      <w:pPr>
        <w:ind w:left="4320" w:hanging="360"/>
      </w:pPr>
      <w:rPr>
        <w:rFonts w:ascii="Wingdings" w:hAnsi="Wingdings" w:hint="default"/>
      </w:rPr>
    </w:lvl>
    <w:lvl w:ilvl="6" w:tplc="DC1CAC06" w:tentative="1">
      <w:start w:val="1"/>
      <w:numFmt w:val="bullet"/>
      <w:lvlText w:val=""/>
      <w:lvlJc w:val="left"/>
      <w:pPr>
        <w:ind w:left="5040" w:hanging="360"/>
      </w:pPr>
      <w:rPr>
        <w:rFonts w:ascii="Symbol" w:hAnsi="Symbol" w:hint="default"/>
      </w:rPr>
    </w:lvl>
    <w:lvl w:ilvl="7" w:tplc="07F232C6" w:tentative="1">
      <w:start w:val="1"/>
      <w:numFmt w:val="bullet"/>
      <w:lvlText w:val="o"/>
      <w:lvlJc w:val="left"/>
      <w:pPr>
        <w:ind w:left="5760" w:hanging="360"/>
      </w:pPr>
      <w:rPr>
        <w:rFonts w:ascii="Courier New" w:hAnsi="Courier New" w:cs="Courier New" w:hint="default"/>
      </w:rPr>
    </w:lvl>
    <w:lvl w:ilvl="8" w:tplc="539015CA" w:tentative="1">
      <w:start w:val="1"/>
      <w:numFmt w:val="bullet"/>
      <w:lvlText w:val=""/>
      <w:lvlJc w:val="left"/>
      <w:pPr>
        <w:ind w:left="6480" w:hanging="360"/>
      </w:pPr>
      <w:rPr>
        <w:rFonts w:ascii="Wingdings" w:hAnsi="Wingdings" w:hint="default"/>
      </w:rPr>
    </w:lvl>
  </w:abstractNum>
  <w:abstractNum w:abstractNumId="31" w15:restartNumberingAfterBreak="0">
    <w:nsid w:val="72062854"/>
    <w:multiLevelType w:val="hybridMultilevel"/>
    <w:tmpl w:val="B72832D2"/>
    <w:lvl w:ilvl="0" w:tplc="6E24EBCA">
      <w:start w:val="1"/>
      <w:numFmt w:val="bullet"/>
      <w:lvlText w:val="–"/>
      <w:lvlJc w:val="left"/>
      <w:pPr>
        <w:ind w:left="720" w:hanging="360"/>
      </w:pPr>
      <w:rPr>
        <w:rFonts w:ascii="Times New Roman" w:hAnsi="Times New Roman" w:cs="Times New Roman" w:hint="default"/>
      </w:rPr>
    </w:lvl>
    <w:lvl w:ilvl="1" w:tplc="518E3360" w:tentative="1">
      <w:start w:val="1"/>
      <w:numFmt w:val="bullet"/>
      <w:lvlText w:val="o"/>
      <w:lvlJc w:val="left"/>
      <w:pPr>
        <w:ind w:left="1440" w:hanging="360"/>
      </w:pPr>
      <w:rPr>
        <w:rFonts w:ascii="Courier New" w:hAnsi="Courier New" w:cs="Courier New" w:hint="default"/>
      </w:rPr>
    </w:lvl>
    <w:lvl w:ilvl="2" w:tplc="4E987BE0" w:tentative="1">
      <w:start w:val="1"/>
      <w:numFmt w:val="bullet"/>
      <w:lvlText w:val=""/>
      <w:lvlJc w:val="left"/>
      <w:pPr>
        <w:ind w:left="2160" w:hanging="360"/>
      </w:pPr>
      <w:rPr>
        <w:rFonts w:ascii="Wingdings" w:hAnsi="Wingdings" w:hint="default"/>
      </w:rPr>
    </w:lvl>
    <w:lvl w:ilvl="3" w:tplc="E4AA131E" w:tentative="1">
      <w:start w:val="1"/>
      <w:numFmt w:val="bullet"/>
      <w:lvlText w:val=""/>
      <w:lvlJc w:val="left"/>
      <w:pPr>
        <w:ind w:left="2880" w:hanging="360"/>
      </w:pPr>
      <w:rPr>
        <w:rFonts w:ascii="Symbol" w:hAnsi="Symbol" w:hint="default"/>
      </w:rPr>
    </w:lvl>
    <w:lvl w:ilvl="4" w:tplc="BEB0060E" w:tentative="1">
      <w:start w:val="1"/>
      <w:numFmt w:val="bullet"/>
      <w:lvlText w:val="o"/>
      <w:lvlJc w:val="left"/>
      <w:pPr>
        <w:ind w:left="3600" w:hanging="360"/>
      </w:pPr>
      <w:rPr>
        <w:rFonts w:ascii="Courier New" w:hAnsi="Courier New" w:cs="Courier New" w:hint="default"/>
      </w:rPr>
    </w:lvl>
    <w:lvl w:ilvl="5" w:tplc="BB3A2978" w:tentative="1">
      <w:start w:val="1"/>
      <w:numFmt w:val="bullet"/>
      <w:lvlText w:val=""/>
      <w:lvlJc w:val="left"/>
      <w:pPr>
        <w:ind w:left="4320" w:hanging="360"/>
      </w:pPr>
      <w:rPr>
        <w:rFonts w:ascii="Wingdings" w:hAnsi="Wingdings" w:hint="default"/>
      </w:rPr>
    </w:lvl>
    <w:lvl w:ilvl="6" w:tplc="32543B34" w:tentative="1">
      <w:start w:val="1"/>
      <w:numFmt w:val="bullet"/>
      <w:lvlText w:val=""/>
      <w:lvlJc w:val="left"/>
      <w:pPr>
        <w:ind w:left="5040" w:hanging="360"/>
      </w:pPr>
      <w:rPr>
        <w:rFonts w:ascii="Symbol" w:hAnsi="Symbol" w:hint="default"/>
      </w:rPr>
    </w:lvl>
    <w:lvl w:ilvl="7" w:tplc="8ACE703A" w:tentative="1">
      <w:start w:val="1"/>
      <w:numFmt w:val="bullet"/>
      <w:lvlText w:val="o"/>
      <w:lvlJc w:val="left"/>
      <w:pPr>
        <w:ind w:left="5760" w:hanging="360"/>
      </w:pPr>
      <w:rPr>
        <w:rFonts w:ascii="Courier New" w:hAnsi="Courier New" w:cs="Courier New" w:hint="default"/>
      </w:rPr>
    </w:lvl>
    <w:lvl w:ilvl="8" w:tplc="C3E8151C" w:tentative="1">
      <w:start w:val="1"/>
      <w:numFmt w:val="bullet"/>
      <w:lvlText w:val=""/>
      <w:lvlJc w:val="left"/>
      <w:pPr>
        <w:ind w:left="6480" w:hanging="360"/>
      </w:pPr>
      <w:rPr>
        <w:rFonts w:ascii="Wingdings" w:hAnsi="Wingdings" w:hint="default"/>
      </w:rPr>
    </w:lvl>
  </w:abstractNum>
  <w:abstractNum w:abstractNumId="32" w15:restartNumberingAfterBreak="0">
    <w:nsid w:val="748C6F59"/>
    <w:multiLevelType w:val="hybridMultilevel"/>
    <w:tmpl w:val="A328A242"/>
    <w:lvl w:ilvl="0" w:tplc="6E24EBCA">
      <w:start w:val="1"/>
      <w:numFmt w:val="bullet"/>
      <w:lvlText w:val="–"/>
      <w:lvlJc w:val="left"/>
      <w:pPr>
        <w:ind w:left="720" w:hanging="360"/>
      </w:pPr>
      <w:rPr>
        <w:rFonts w:ascii="Times New Roman" w:hAnsi="Times New Roman" w:cs="Times New Roman" w:hint="default"/>
      </w:rPr>
    </w:lvl>
    <w:lvl w:ilvl="1" w:tplc="73447600" w:tentative="1">
      <w:start w:val="1"/>
      <w:numFmt w:val="bullet"/>
      <w:lvlText w:val="o"/>
      <w:lvlJc w:val="left"/>
      <w:pPr>
        <w:ind w:left="1440" w:hanging="360"/>
      </w:pPr>
      <w:rPr>
        <w:rFonts w:ascii="Courier New" w:hAnsi="Courier New" w:cs="Courier New" w:hint="default"/>
      </w:rPr>
    </w:lvl>
    <w:lvl w:ilvl="2" w:tplc="828E1428" w:tentative="1">
      <w:start w:val="1"/>
      <w:numFmt w:val="bullet"/>
      <w:lvlText w:val=""/>
      <w:lvlJc w:val="left"/>
      <w:pPr>
        <w:ind w:left="2160" w:hanging="360"/>
      </w:pPr>
      <w:rPr>
        <w:rFonts w:ascii="Wingdings" w:hAnsi="Wingdings" w:hint="default"/>
      </w:rPr>
    </w:lvl>
    <w:lvl w:ilvl="3" w:tplc="C818F8D2" w:tentative="1">
      <w:start w:val="1"/>
      <w:numFmt w:val="bullet"/>
      <w:lvlText w:val=""/>
      <w:lvlJc w:val="left"/>
      <w:pPr>
        <w:ind w:left="2880" w:hanging="360"/>
      </w:pPr>
      <w:rPr>
        <w:rFonts w:ascii="Symbol" w:hAnsi="Symbol" w:hint="default"/>
      </w:rPr>
    </w:lvl>
    <w:lvl w:ilvl="4" w:tplc="5D22706C" w:tentative="1">
      <w:start w:val="1"/>
      <w:numFmt w:val="bullet"/>
      <w:lvlText w:val="o"/>
      <w:lvlJc w:val="left"/>
      <w:pPr>
        <w:ind w:left="3600" w:hanging="360"/>
      </w:pPr>
      <w:rPr>
        <w:rFonts w:ascii="Courier New" w:hAnsi="Courier New" w:cs="Courier New" w:hint="default"/>
      </w:rPr>
    </w:lvl>
    <w:lvl w:ilvl="5" w:tplc="47C4A106" w:tentative="1">
      <w:start w:val="1"/>
      <w:numFmt w:val="bullet"/>
      <w:lvlText w:val=""/>
      <w:lvlJc w:val="left"/>
      <w:pPr>
        <w:ind w:left="4320" w:hanging="360"/>
      </w:pPr>
      <w:rPr>
        <w:rFonts w:ascii="Wingdings" w:hAnsi="Wingdings" w:hint="default"/>
      </w:rPr>
    </w:lvl>
    <w:lvl w:ilvl="6" w:tplc="0AFCCE42" w:tentative="1">
      <w:start w:val="1"/>
      <w:numFmt w:val="bullet"/>
      <w:lvlText w:val=""/>
      <w:lvlJc w:val="left"/>
      <w:pPr>
        <w:ind w:left="5040" w:hanging="360"/>
      </w:pPr>
      <w:rPr>
        <w:rFonts w:ascii="Symbol" w:hAnsi="Symbol" w:hint="default"/>
      </w:rPr>
    </w:lvl>
    <w:lvl w:ilvl="7" w:tplc="73866AA2" w:tentative="1">
      <w:start w:val="1"/>
      <w:numFmt w:val="bullet"/>
      <w:lvlText w:val="o"/>
      <w:lvlJc w:val="left"/>
      <w:pPr>
        <w:ind w:left="5760" w:hanging="360"/>
      </w:pPr>
      <w:rPr>
        <w:rFonts w:ascii="Courier New" w:hAnsi="Courier New" w:cs="Courier New" w:hint="default"/>
      </w:rPr>
    </w:lvl>
    <w:lvl w:ilvl="8" w:tplc="4188641A" w:tentative="1">
      <w:start w:val="1"/>
      <w:numFmt w:val="bullet"/>
      <w:lvlText w:val=""/>
      <w:lvlJc w:val="left"/>
      <w:pPr>
        <w:ind w:left="6480" w:hanging="360"/>
      </w:pPr>
      <w:rPr>
        <w:rFonts w:ascii="Wingdings" w:hAnsi="Wingdings" w:hint="default"/>
      </w:rPr>
    </w:lvl>
  </w:abstractNum>
  <w:abstractNum w:abstractNumId="33" w15:restartNumberingAfterBreak="0">
    <w:nsid w:val="777935D3"/>
    <w:multiLevelType w:val="hybridMultilevel"/>
    <w:tmpl w:val="455AF8A2"/>
    <w:lvl w:ilvl="0" w:tplc="1206F134">
      <w:start w:val="1"/>
      <w:numFmt w:val="lowerLetter"/>
      <w:lvlText w:val="%1)"/>
      <w:lvlJc w:val="left"/>
      <w:pPr>
        <w:ind w:left="1080" w:hanging="360"/>
      </w:pPr>
    </w:lvl>
    <w:lvl w:ilvl="1" w:tplc="1E481222" w:tentative="1">
      <w:start w:val="1"/>
      <w:numFmt w:val="lowerLetter"/>
      <w:lvlText w:val="%2."/>
      <w:lvlJc w:val="left"/>
      <w:pPr>
        <w:ind w:left="1800" w:hanging="360"/>
      </w:pPr>
    </w:lvl>
    <w:lvl w:ilvl="2" w:tplc="F2D4717C" w:tentative="1">
      <w:start w:val="1"/>
      <w:numFmt w:val="lowerRoman"/>
      <w:lvlText w:val="%3."/>
      <w:lvlJc w:val="right"/>
      <w:pPr>
        <w:ind w:left="2520" w:hanging="180"/>
      </w:pPr>
    </w:lvl>
    <w:lvl w:ilvl="3" w:tplc="2E12C2E0" w:tentative="1">
      <w:start w:val="1"/>
      <w:numFmt w:val="decimal"/>
      <w:lvlText w:val="%4."/>
      <w:lvlJc w:val="left"/>
      <w:pPr>
        <w:ind w:left="3240" w:hanging="360"/>
      </w:pPr>
    </w:lvl>
    <w:lvl w:ilvl="4" w:tplc="B87887DE" w:tentative="1">
      <w:start w:val="1"/>
      <w:numFmt w:val="lowerLetter"/>
      <w:lvlText w:val="%5."/>
      <w:lvlJc w:val="left"/>
      <w:pPr>
        <w:ind w:left="3960" w:hanging="360"/>
      </w:pPr>
    </w:lvl>
    <w:lvl w:ilvl="5" w:tplc="DD301F82" w:tentative="1">
      <w:start w:val="1"/>
      <w:numFmt w:val="lowerRoman"/>
      <w:lvlText w:val="%6."/>
      <w:lvlJc w:val="right"/>
      <w:pPr>
        <w:ind w:left="4680" w:hanging="180"/>
      </w:pPr>
    </w:lvl>
    <w:lvl w:ilvl="6" w:tplc="1CC077B6" w:tentative="1">
      <w:start w:val="1"/>
      <w:numFmt w:val="decimal"/>
      <w:lvlText w:val="%7."/>
      <w:lvlJc w:val="left"/>
      <w:pPr>
        <w:ind w:left="5400" w:hanging="360"/>
      </w:pPr>
    </w:lvl>
    <w:lvl w:ilvl="7" w:tplc="053413EC" w:tentative="1">
      <w:start w:val="1"/>
      <w:numFmt w:val="lowerLetter"/>
      <w:lvlText w:val="%8."/>
      <w:lvlJc w:val="left"/>
      <w:pPr>
        <w:ind w:left="6120" w:hanging="360"/>
      </w:pPr>
    </w:lvl>
    <w:lvl w:ilvl="8" w:tplc="A0C4FEF4" w:tentative="1">
      <w:start w:val="1"/>
      <w:numFmt w:val="lowerRoman"/>
      <w:lvlText w:val="%9."/>
      <w:lvlJc w:val="right"/>
      <w:pPr>
        <w:ind w:left="6840" w:hanging="180"/>
      </w:pPr>
    </w:lvl>
  </w:abstractNum>
  <w:abstractNum w:abstractNumId="34" w15:restartNumberingAfterBreak="0">
    <w:nsid w:val="798E0534"/>
    <w:multiLevelType w:val="hybridMultilevel"/>
    <w:tmpl w:val="FEDCE7EE"/>
    <w:lvl w:ilvl="0" w:tplc="CC325232">
      <w:start w:val="1"/>
      <w:numFmt w:val="decimal"/>
      <w:lvlText w:val="%1."/>
      <w:lvlJc w:val="left"/>
      <w:pPr>
        <w:ind w:left="720" w:hanging="360"/>
      </w:pPr>
    </w:lvl>
    <w:lvl w:ilvl="1" w:tplc="B93CC96A" w:tentative="1">
      <w:start w:val="1"/>
      <w:numFmt w:val="lowerLetter"/>
      <w:lvlText w:val="%2."/>
      <w:lvlJc w:val="left"/>
      <w:pPr>
        <w:ind w:left="1440" w:hanging="360"/>
      </w:pPr>
    </w:lvl>
    <w:lvl w:ilvl="2" w:tplc="7DCEDE08" w:tentative="1">
      <w:start w:val="1"/>
      <w:numFmt w:val="lowerRoman"/>
      <w:lvlText w:val="%3."/>
      <w:lvlJc w:val="right"/>
      <w:pPr>
        <w:ind w:left="2160" w:hanging="180"/>
      </w:pPr>
    </w:lvl>
    <w:lvl w:ilvl="3" w:tplc="8D42C87A" w:tentative="1">
      <w:start w:val="1"/>
      <w:numFmt w:val="decimal"/>
      <w:lvlText w:val="%4."/>
      <w:lvlJc w:val="left"/>
      <w:pPr>
        <w:ind w:left="2880" w:hanging="360"/>
      </w:pPr>
    </w:lvl>
    <w:lvl w:ilvl="4" w:tplc="7424256E" w:tentative="1">
      <w:start w:val="1"/>
      <w:numFmt w:val="lowerLetter"/>
      <w:lvlText w:val="%5."/>
      <w:lvlJc w:val="left"/>
      <w:pPr>
        <w:ind w:left="3600" w:hanging="360"/>
      </w:pPr>
    </w:lvl>
    <w:lvl w:ilvl="5" w:tplc="5B8A5454" w:tentative="1">
      <w:start w:val="1"/>
      <w:numFmt w:val="lowerRoman"/>
      <w:lvlText w:val="%6."/>
      <w:lvlJc w:val="right"/>
      <w:pPr>
        <w:ind w:left="4320" w:hanging="180"/>
      </w:pPr>
    </w:lvl>
    <w:lvl w:ilvl="6" w:tplc="7D607026" w:tentative="1">
      <w:start w:val="1"/>
      <w:numFmt w:val="decimal"/>
      <w:lvlText w:val="%7."/>
      <w:lvlJc w:val="left"/>
      <w:pPr>
        <w:ind w:left="5040" w:hanging="360"/>
      </w:pPr>
    </w:lvl>
    <w:lvl w:ilvl="7" w:tplc="E7180DDC" w:tentative="1">
      <w:start w:val="1"/>
      <w:numFmt w:val="lowerLetter"/>
      <w:lvlText w:val="%8."/>
      <w:lvlJc w:val="left"/>
      <w:pPr>
        <w:ind w:left="5760" w:hanging="360"/>
      </w:pPr>
    </w:lvl>
    <w:lvl w:ilvl="8" w:tplc="2CBED27C" w:tentative="1">
      <w:start w:val="1"/>
      <w:numFmt w:val="lowerRoman"/>
      <w:lvlText w:val="%9."/>
      <w:lvlJc w:val="right"/>
      <w:pPr>
        <w:ind w:left="6480" w:hanging="180"/>
      </w:pPr>
    </w:lvl>
  </w:abstractNum>
  <w:abstractNum w:abstractNumId="35" w15:restartNumberingAfterBreak="0">
    <w:nsid w:val="7C5477EF"/>
    <w:multiLevelType w:val="hybridMultilevel"/>
    <w:tmpl w:val="C60C6070"/>
    <w:lvl w:ilvl="0" w:tplc="0B46D828">
      <w:start w:val="1"/>
      <w:numFmt w:val="bullet"/>
      <w:lvlText w:val=""/>
      <w:lvlJc w:val="left"/>
      <w:pPr>
        <w:ind w:left="720" w:hanging="360"/>
      </w:pPr>
      <w:rPr>
        <w:rFonts w:ascii="Wingdings" w:hAnsi="Wingdings" w:hint="default"/>
      </w:rPr>
    </w:lvl>
    <w:lvl w:ilvl="1" w:tplc="F20C454A" w:tentative="1">
      <w:start w:val="1"/>
      <w:numFmt w:val="bullet"/>
      <w:lvlText w:val="o"/>
      <w:lvlJc w:val="left"/>
      <w:pPr>
        <w:ind w:left="1440" w:hanging="360"/>
      </w:pPr>
      <w:rPr>
        <w:rFonts w:ascii="Courier New" w:hAnsi="Courier New" w:cs="Courier New" w:hint="default"/>
      </w:rPr>
    </w:lvl>
    <w:lvl w:ilvl="2" w:tplc="72D6DE20" w:tentative="1">
      <w:start w:val="1"/>
      <w:numFmt w:val="bullet"/>
      <w:lvlText w:val=""/>
      <w:lvlJc w:val="left"/>
      <w:pPr>
        <w:ind w:left="2160" w:hanging="360"/>
      </w:pPr>
      <w:rPr>
        <w:rFonts w:ascii="Wingdings" w:hAnsi="Wingdings" w:hint="default"/>
      </w:rPr>
    </w:lvl>
    <w:lvl w:ilvl="3" w:tplc="15D4B4A2" w:tentative="1">
      <w:start w:val="1"/>
      <w:numFmt w:val="bullet"/>
      <w:lvlText w:val=""/>
      <w:lvlJc w:val="left"/>
      <w:pPr>
        <w:ind w:left="2880" w:hanging="360"/>
      </w:pPr>
      <w:rPr>
        <w:rFonts w:ascii="Symbol" w:hAnsi="Symbol" w:hint="default"/>
      </w:rPr>
    </w:lvl>
    <w:lvl w:ilvl="4" w:tplc="22E63DD2" w:tentative="1">
      <w:start w:val="1"/>
      <w:numFmt w:val="bullet"/>
      <w:lvlText w:val="o"/>
      <w:lvlJc w:val="left"/>
      <w:pPr>
        <w:ind w:left="3600" w:hanging="360"/>
      </w:pPr>
      <w:rPr>
        <w:rFonts w:ascii="Courier New" w:hAnsi="Courier New" w:cs="Courier New" w:hint="default"/>
      </w:rPr>
    </w:lvl>
    <w:lvl w:ilvl="5" w:tplc="08B69836" w:tentative="1">
      <w:start w:val="1"/>
      <w:numFmt w:val="bullet"/>
      <w:lvlText w:val=""/>
      <w:lvlJc w:val="left"/>
      <w:pPr>
        <w:ind w:left="4320" w:hanging="360"/>
      </w:pPr>
      <w:rPr>
        <w:rFonts w:ascii="Wingdings" w:hAnsi="Wingdings" w:hint="default"/>
      </w:rPr>
    </w:lvl>
    <w:lvl w:ilvl="6" w:tplc="EE082D10" w:tentative="1">
      <w:start w:val="1"/>
      <w:numFmt w:val="bullet"/>
      <w:lvlText w:val=""/>
      <w:lvlJc w:val="left"/>
      <w:pPr>
        <w:ind w:left="5040" w:hanging="360"/>
      </w:pPr>
      <w:rPr>
        <w:rFonts w:ascii="Symbol" w:hAnsi="Symbol" w:hint="default"/>
      </w:rPr>
    </w:lvl>
    <w:lvl w:ilvl="7" w:tplc="0784C48A" w:tentative="1">
      <w:start w:val="1"/>
      <w:numFmt w:val="bullet"/>
      <w:lvlText w:val="o"/>
      <w:lvlJc w:val="left"/>
      <w:pPr>
        <w:ind w:left="5760" w:hanging="360"/>
      </w:pPr>
      <w:rPr>
        <w:rFonts w:ascii="Courier New" w:hAnsi="Courier New" w:cs="Courier New" w:hint="default"/>
      </w:rPr>
    </w:lvl>
    <w:lvl w:ilvl="8" w:tplc="72BE63CE" w:tentative="1">
      <w:start w:val="1"/>
      <w:numFmt w:val="bullet"/>
      <w:lvlText w:val=""/>
      <w:lvlJc w:val="left"/>
      <w:pPr>
        <w:ind w:left="6480" w:hanging="360"/>
      </w:pPr>
      <w:rPr>
        <w:rFonts w:ascii="Wingdings" w:hAnsi="Wingdings" w:hint="default"/>
      </w:rPr>
    </w:lvl>
  </w:abstractNum>
  <w:abstractNum w:abstractNumId="36" w15:restartNumberingAfterBreak="0">
    <w:nsid w:val="7E107C43"/>
    <w:multiLevelType w:val="hybridMultilevel"/>
    <w:tmpl w:val="736ED71C"/>
    <w:lvl w:ilvl="0" w:tplc="6E24EBCA">
      <w:start w:val="1"/>
      <w:numFmt w:val="bullet"/>
      <w:lvlText w:val="–"/>
      <w:lvlJc w:val="left"/>
      <w:pPr>
        <w:ind w:left="720" w:hanging="360"/>
      </w:pPr>
      <w:rPr>
        <w:rFonts w:ascii="Times New Roman" w:hAnsi="Times New Roman" w:cs="Times New Roman" w:hint="default"/>
      </w:rPr>
    </w:lvl>
    <w:lvl w:ilvl="1" w:tplc="EB604D82" w:tentative="1">
      <w:start w:val="1"/>
      <w:numFmt w:val="bullet"/>
      <w:lvlText w:val="o"/>
      <w:lvlJc w:val="left"/>
      <w:pPr>
        <w:ind w:left="1440" w:hanging="360"/>
      </w:pPr>
      <w:rPr>
        <w:rFonts w:ascii="Courier New" w:hAnsi="Courier New" w:cs="Courier New" w:hint="default"/>
      </w:rPr>
    </w:lvl>
    <w:lvl w:ilvl="2" w:tplc="FAEA9DBC" w:tentative="1">
      <w:start w:val="1"/>
      <w:numFmt w:val="bullet"/>
      <w:lvlText w:val=""/>
      <w:lvlJc w:val="left"/>
      <w:pPr>
        <w:ind w:left="2160" w:hanging="360"/>
      </w:pPr>
      <w:rPr>
        <w:rFonts w:ascii="Wingdings" w:hAnsi="Wingdings" w:hint="default"/>
      </w:rPr>
    </w:lvl>
    <w:lvl w:ilvl="3" w:tplc="B72A4BF4" w:tentative="1">
      <w:start w:val="1"/>
      <w:numFmt w:val="bullet"/>
      <w:lvlText w:val=""/>
      <w:lvlJc w:val="left"/>
      <w:pPr>
        <w:ind w:left="2880" w:hanging="360"/>
      </w:pPr>
      <w:rPr>
        <w:rFonts w:ascii="Symbol" w:hAnsi="Symbol" w:hint="default"/>
      </w:rPr>
    </w:lvl>
    <w:lvl w:ilvl="4" w:tplc="354A9F78" w:tentative="1">
      <w:start w:val="1"/>
      <w:numFmt w:val="bullet"/>
      <w:lvlText w:val="o"/>
      <w:lvlJc w:val="left"/>
      <w:pPr>
        <w:ind w:left="3600" w:hanging="360"/>
      </w:pPr>
      <w:rPr>
        <w:rFonts w:ascii="Courier New" w:hAnsi="Courier New" w:cs="Courier New" w:hint="default"/>
      </w:rPr>
    </w:lvl>
    <w:lvl w:ilvl="5" w:tplc="462A32B0" w:tentative="1">
      <w:start w:val="1"/>
      <w:numFmt w:val="bullet"/>
      <w:lvlText w:val=""/>
      <w:lvlJc w:val="left"/>
      <w:pPr>
        <w:ind w:left="4320" w:hanging="360"/>
      </w:pPr>
      <w:rPr>
        <w:rFonts w:ascii="Wingdings" w:hAnsi="Wingdings" w:hint="default"/>
      </w:rPr>
    </w:lvl>
    <w:lvl w:ilvl="6" w:tplc="E0300B96" w:tentative="1">
      <w:start w:val="1"/>
      <w:numFmt w:val="bullet"/>
      <w:lvlText w:val=""/>
      <w:lvlJc w:val="left"/>
      <w:pPr>
        <w:ind w:left="5040" w:hanging="360"/>
      </w:pPr>
      <w:rPr>
        <w:rFonts w:ascii="Symbol" w:hAnsi="Symbol" w:hint="default"/>
      </w:rPr>
    </w:lvl>
    <w:lvl w:ilvl="7" w:tplc="CB503AAA" w:tentative="1">
      <w:start w:val="1"/>
      <w:numFmt w:val="bullet"/>
      <w:lvlText w:val="o"/>
      <w:lvlJc w:val="left"/>
      <w:pPr>
        <w:ind w:left="5760" w:hanging="360"/>
      </w:pPr>
      <w:rPr>
        <w:rFonts w:ascii="Courier New" w:hAnsi="Courier New" w:cs="Courier New" w:hint="default"/>
      </w:rPr>
    </w:lvl>
    <w:lvl w:ilvl="8" w:tplc="F3C2F958" w:tentative="1">
      <w:start w:val="1"/>
      <w:numFmt w:val="bullet"/>
      <w:lvlText w:val=""/>
      <w:lvlJc w:val="left"/>
      <w:pPr>
        <w:ind w:left="6480" w:hanging="360"/>
      </w:pPr>
      <w:rPr>
        <w:rFonts w:ascii="Wingdings" w:hAnsi="Wingdings" w:hint="default"/>
      </w:rPr>
    </w:lvl>
  </w:abstractNum>
  <w:abstractNum w:abstractNumId="37" w15:restartNumberingAfterBreak="0">
    <w:nsid w:val="7E957E4E"/>
    <w:multiLevelType w:val="hybridMultilevel"/>
    <w:tmpl w:val="D068E444"/>
    <w:lvl w:ilvl="0" w:tplc="6E24EBCA">
      <w:start w:val="1"/>
      <w:numFmt w:val="bullet"/>
      <w:lvlText w:val="–"/>
      <w:lvlJc w:val="left"/>
      <w:pPr>
        <w:ind w:left="780" w:hanging="360"/>
      </w:pPr>
      <w:rPr>
        <w:rFonts w:ascii="Times New Roman" w:hAnsi="Times New Roman" w:cs="Times New Roman" w:hint="default"/>
      </w:rPr>
    </w:lvl>
    <w:lvl w:ilvl="1" w:tplc="FBC0801C" w:tentative="1">
      <w:start w:val="1"/>
      <w:numFmt w:val="bullet"/>
      <w:lvlText w:val="o"/>
      <w:lvlJc w:val="left"/>
      <w:pPr>
        <w:ind w:left="1500" w:hanging="360"/>
      </w:pPr>
      <w:rPr>
        <w:rFonts w:ascii="Courier New" w:hAnsi="Courier New" w:cs="Courier New" w:hint="default"/>
      </w:rPr>
    </w:lvl>
    <w:lvl w:ilvl="2" w:tplc="4CC45CB2" w:tentative="1">
      <w:start w:val="1"/>
      <w:numFmt w:val="bullet"/>
      <w:lvlText w:val=""/>
      <w:lvlJc w:val="left"/>
      <w:pPr>
        <w:ind w:left="2220" w:hanging="360"/>
      </w:pPr>
      <w:rPr>
        <w:rFonts w:ascii="Wingdings" w:hAnsi="Wingdings" w:hint="default"/>
      </w:rPr>
    </w:lvl>
    <w:lvl w:ilvl="3" w:tplc="81507D4E" w:tentative="1">
      <w:start w:val="1"/>
      <w:numFmt w:val="bullet"/>
      <w:lvlText w:val=""/>
      <w:lvlJc w:val="left"/>
      <w:pPr>
        <w:ind w:left="2940" w:hanging="360"/>
      </w:pPr>
      <w:rPr>
        <w:rFonts w:ascii="Symbol" w:hAnsi="Symbol" w:hint="default"/>
      </w:rPr>
    </w:lvl>
    <w:lvl w:ilvl="4" w:tplc="ACDE5538" w:tentative="1">
      <w:start w:val="1"/>
      <w:numFmt w:val="bullet"/>
      <w:lvlText w:val="o"/>
      <w:lvlJc w:val="left"/>
      <w:pPr>
        <w:ind w:left="3660" w:hanging="360"/>
      </w:pPr>
      <w:rPr>
        <w:rFonts w:ascii="Courier New" w:hAnsi="Courier New" w:cs="Courier New" w:hint="default"/>
      </w:rPr>
    </w:lvl>
    <w:lvl w:ilvl="5" w:tplc="DFEAA96A" w:tentative="1">
      <w:start w:val="1"/>
      <w:numFmt w:val="bullet"/>
      <w:lvlText w:val=""/>
      <w:lvlJc w:val="left"/>
      <w:pPr>
        <w:ind w:left="4380" w:hanging="360"/>
      </w:pPr>
      <w:rPr>
        <w:rFonts w:ascii="Wingdings" w:hAnsi="Wingdings" w:hint="default"/>
      </w:rPr>
    </w:lvl>
    <w:lvl w:ilvl="6" w:tplc="C41E348E" w:tentative="1">
      <w:start w:val="1"/>
      <w:numFmt w:val="bullet"/>
      <w:lvlText w:val=""/>
      <w:lvlJc w:val="left"/>
      <w:pPr>
        <w:ind w:left="5100" w:hanging="360"/>
      </w:pPr>
      <w:rPr>
        <w:rFonts w:ascii="Symbol" w:hAnsi="Symbol" w:hint="default"/>
      </w:rPr>
    </w:lvl>
    <w:lvl w:ilvl="7" w:tplc="791EFF26" w:tentative="1">
      <w:start w:val="1"/>
      <w:numFmt w:val="bullet"/>
      <w:lvlText w:val="o"/>
      <w:lvlJc w:val="left"/>
      <w:pPr>
        <w:ind w:left="5820" w:hanging="360"/>
      </w:pPr>
      <w:rPr>
        <w:rFonts w:ascii="Courier New" w:hAnsi="Courier New" w:cs="Courier New" w:hint="default"/>
      </w:rPr>
    </w:lvl>
    <w:lvl w:ilvl="8" w:tplc="0C5A57E6" w:tentative="1">
      <w:start w:val="1"/>
      <w:numFmt w:val="bullet"/>
      <w:lvlText w:val=""/>
      <w:lvlJc w:val="left"/>
      <w:pPr>
        <w:ind w:left="6540" w:hanging="360"/>
      </w:pPr>
      <w:rPr>
        <w:rFonts w:ascii="Wingdings" w:hAnsi="Wingdings" w:hint="default"/>
      </w:rPr>
    </w:lvl>
  </w:abstractNum>
  <w:num w:numId="1">
    <w:abstractNumId w:val="17"/>
  </w:num>
  <w:num w:numId="2">
    <w:abstractNumId w:val="16"/>
  </w:num>
  <w:num w:numId="3">
    <w:abstractNumId w:val="13"/>
  </w:num>
  <w:num w:numId="4">
    <w:abstractNumId w:val="11"/>
  </w:num>
  <w:num w:numId="5">
    <w:abstractNumId w:val="23"/>
  </w:num>
  <w:num w:numId="6">
    <w:abstractNumId w:val="24"/>
  </w:num>
  <w:num w:numId="7">
    <w:abstractNumId w:val="12"/>
  </w:num>
  <w:num w:numId="8">
    <w:abstractNumId w:val="19"/>
  </w:num>
  <w:num w:numId="9">
    <w:abstractNumId w:val="0"/>
  </w:num>
  <w:num w:numId="10">
    <w:abstractNumId w:val="1"/>
  </w:num>
  <w:num w:numId="11">
    <w:abstractNumId w:val="2"/>
  </w:num>
  <w:num w:numId="12">
    <w:abstractNumId w:val="15"/>
  </w:num>
  <w:num w:numId="13">
    <w:abstractNumId w:val="37"/>
  </w:num>
  <w:num w:numId="14">
    <w:abstractNumId w:val="20"/>
  </w:num>
  <w:num w:numId="15">
    <w:abstractNumId w:val="29"/>
  </w:num>
  <w:num w:numId="16">
    <w:abstractNumId w:val="14"/>
  </w:num>
  <w:num w:numId="17">
    <w:abstractNumId w:val="35"/>
  </w:num>
  <w:num w:numId="18">
    <w:abstractNumId w:val="8"/>
  </w:num>
  <w:num w:numId="19">
    <w:abstractNumId w:val="36"/>
  </w:num>
  <w:num w:numId="20">
    <w:abstractNumId w:val="5"/>
  </w:num>
  <w:num w:numId="21">
    <w:abstractNumId w:val="28"/>
  </w:num>
  <w:num w:numId="22">
    <w:abstractNumId w:val="27"/>
  </w:num>
  <w:num w:numId="23">
    <w:abstractNumId w:val="33"/>
  </w:num>
  <w:num w:numId="24">
    <w:abstractNumId w:val="30"/>
  </w:num>
  <w:num w:numId="25">
    <w:abstractNumId w:val="25"/>
  </w:num>
  <w:num w:numId="26">
    <w:abstractNumId w:val="18"/>
  </w:num>
  <w:num w:numId="27">
    <w:abstractNumId w:val="26"/>
  </w:num>
  <w:num w:numId="28">
    <w:abstractNumId w:val="6"/>
  </w:num>
  <w:num w:numId="29">
    <w:abstractNumId w:val="7"/>
  </w:num>
  <w:num w:numId="30">
    <w:abstractNumId w:val="10"/>
  </w:num>
  <w:num w:numId="31">
    <w:abstractNumId w:val="22"/>
  </w:num>
  <w:num w:numId="32">
    <w:abstractNumId w:val="31"/>
  </w:num>
  <w:num w:numId="33">
    <w:abstractNumId w:val="34"/>
  </w:num>
  <w:num w:numId="34">
    <w:abstractNumId w:val="3"/>
  </w:num>
  <w:num w:numId="35">
    <w:abstractNumId w:val="21"/>
  </w:num>
  <w:num w:numId="36">
    <w:abstractNumId w:val="32"/>
  </w:num>
  <w:num w:numId="37">
    <w:abstractNumId w:val="4"/>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696"/>
    <w:rsid w:val="00072AC9"/>
    <w:rsid w:val="00076F43"/>
    <w:rsid w:val="000D2716"/>
    <w:rsid w:val="00100447"/>
    <w:rsid w:val="00234DA1"/>
    <w:rsid w:val="0024397E"/>
    <w:rsid w:val="002C3F2A"/>
    <w:rsid w:val="00322262"/>
    <w:rsid w:val="00356991"/>
    <w:rsid w:val="00370874"/>
    <w:rsid w:val="0039374C"/>
    <w:rsid w:val="003D2A9F"/>
    <w:rsid w:val="00435A2A"/>
    <w:rsid w:val="004B795C"/>
    <w:rsid w:val="00525DD7"/>
    <w:rsid w:val="00662696"/>
    <w:rsid w:val="00667B04"/>
    <w:rsid w:val="00686A39"/>
    <w:rsid w:val="006B39F5"/>
    <w:rsid w:val="006F69A0"/>
    <w:rsid w:val="00745DFE"/>
    <w:rsid w:val="00796E6D"/>
    <w:rsid w:val="008141D3"/>
    <w:rsid w:val="00883A03"/>
    <w:rsid w:val="008D0F00"/>
    <w:rsid w:val="0098046A"/>
    <w:rsid w:val="0099315A"/>
    <w:rsid w:val="009B2C9D"/>
    <w:rsid w:val="009C174D"/>
    <w:rsid w:val="00A06199"/>
    <w:rsid w:val="00A535CD"/>
    <w:rsid w:val="00AD7AF7"/>
    <w:rsid w:val="00B24E87"/>
    <w:rsid w:val="00B27652"/>
    <w:rsid w:val="00B33121"/>
    <w:rsid w:val="00B965E2"/>
    <w:rsid w:val="00BE3CFA"/>
    <w:rsid w:val="00C01114"/>
    <w:rsid w:val="00CC4E4B"/>
    <w:rsid w:val="00CE3559"/>
    <w:rsid w:val="00DB2925"/>
    <w:rsid w:val="00DE1E6D"/>
    <w:rsid w:val="00E6579D"/>
    <w:rsid w:val="00EB3DD1"/>
    <w:rsid w:val="00EE31C6"/>
    <w:rsid w:val="00F44930"/>
    <w:rsid w:val="00F642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AB8A5"/>
  <w15:docId w15:val="{3F8717A2-747D-4BFF-B62B-EEDCDBC45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22B02"/>
    <w:pPr>
      <w:suppressAutoHyphens/>
      <w:spacing w:after="200" w:line="276" w:lineRule="auto"/>
    </w:pPr>
    <w:rPr>
      <w:rFonts w:ascii="Calibri" w:eastAsia="Calibri" w:hAnsi="Calibri" w:cs="Calibri"/>
      <w:sz w:val="22"/>
      <w:szCs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C22B02"/>
    <w:pPr>
      <w:tabs>
        <w:tab w:val="center" w:pos="4536"/>
        <w:tab w:val="right" w:pos="9072"/>
      </w:tabs>
    </w:pPr>
  </w:style>
  <w:style w:type="paragraph" w:styleId="Stopka">
    <w:name w:val="footer"/>
    <w:basedOn w:val="Normalny"/>
    <w:link w:val="StopkaZnak"/>
    <w:uiPriority w:val="99"/>
    <w:rsid w:val="00C22B02"/>
    <w:pPr>
      <w:tabs>
        <w:tab w:val="center" w:pos="4536"/>
        <w:tab w:val="right" w:pos="9072"/>
      </w:tabs>
    </w:pPr>
  </w:style>
  <w:style w:type="character" w:customStyle="1" w:styleId="StopkaZnak">
    <w:name w:val="Stopka Znak"/>
    <w:link w:val="Stopka"/>
    <w:uiPriority w:val="99"/>
    <w:rsid w:val="00093A11"/>
    <w:rPr>
      <w:rFonts w:ascii="Calibri" w:eastAsia="Calibri" w:hAnsi="Calibri" w:cs="Calibri"/>
      <w:sz w:val="22"/>
      <w:szCs w:val="22"/>
      <w:lang w:eastAsia="ar-SA"/>
    </w:rPr>
  </w:style>
  <w:style w:type="character" w:styleId="Hipercze">
    <w:name w:val="Hyperlink"/>
    <w:rsid w:val="00FB4A52"/>
    <w:rPr>
      <w:color w:val="0000FF"/>
      <w:u w:val="single"/>
    </w:rPr>
  </w:style>
  <w:style w:type="paragraph" w:styleId="Tekstdymka">
    <w:name w:val="Balloon Text"/>
    <w:basedOn w:val="Normalny"/>
    <w:link w:val="TekstdymkaZnak"/>
    <w:rsid w:val="00342FF6"/>
    <w:pPr>
      <w:spacing w:after="0" w:line="240" w:lineRule="auto"/>
    </w:pPr>
    <w:rPr>
      <w:rFonts w:ascii="Tahoma" w:hAnsi="Tahoma" w:cs="Tahoma"/>
      <w:sz w:val="16"/>
      <w:szCs w:val="16"/>
    </w:rPr>
  </w:style>
  <w:style w:type="character" w:customStyle="1" w:styleId="TekstdymkaZnak">
    <w:name w:val="Tekst dymka Znak"/>
    <w:link w:val="Tekstdymka"/>
    <w:rsid w:val="00342FF6"/>
    <w:rPr>
      <w:rFonts w:ascii="Tahoma" w:eastAsia="Calibri" w:hAnsi="Tahoma" w:cs="Tahoma"/>
      <w:sz w:val="16"/>
      <w:szCs w:val="16"/>
      <w:lang w:eastAsia="ar-SA"/>
    </w:rPr>
  </w:style>
  <w:style w:type="paragraph" w:customStyle="1" w:styleId="menfont">
    <w:name w:val="men font"/>
    <w:basedOn w:val="Normalny"/>
    <w:rsid w:val="00AB6E01"/>
    <w:pPr>
      <w:suppressAutoHyphens w:val="0"/>
      <w:spacing w:after="0" w:line="240" w:lineRule="auto"/>
    </w:pPr>
    <w:rPr>
      <w:rFonts w:ascii="Arial" w:eastAsia="Times New Roman" w:hAnsi="Arial" w:cs="Arial"/>
      <w:sz w:val="24"/>
      <w:szCs w:val="24"/>
      <w:lang w:eastAsia="pl-PL"/>
    </w:rPr>
  </w:style>
  <w:style w:type="paragraph" w:styleId="Akapitzlist">
    <w:name w:val="List Paragraph"/>
    <w:basedOn w:val="Normalny"/>
    <w:uiPriority w:val="34"/>
    <w:qFormat/>
    <w:rsid w:val="001D3DB6"/>
    <w:pPr>
      <w:ind w:left="720"/>
      <w:contextualSpacing/>
    </w:pPr>
  </w:style>
  <w:style w:type="character" w:styleId="Odwoaniedokomentarza">
    <w:name w:val="annotation reference"/>
    <w:basedOn w:val="Domylnaczcionkaakapitu"/>
    <w:semiHidden/>
    <w:unhideWhenUsed/>
    <w:rsid w:val="002E61F4"/>
    <w:rPr>
      <w:sz w:val="16"/>
      <w:szCs w:val="16"/>
    </w:rPr>
  </w:style>
  <w:style w:type="paragraph" w:styleId="Tekstkomentarza">
    <w:name w:val="annotation text"/>
    <w:basedOn w:val="Normalny"/>
    <w:link w:val="TekstkomentarzaZnak"/>
    <w:semiHidden/>
    <w:unhideWhenUsed/>
    <w:rsid w:val="002E61F4"/>
    <w:pPr>
      <w:spacing w:line="240" w:lineRule="auto"/>
    </w:pPr>
    <w:rPr>
      <w:sz w:val="20"/>
      <w:szCs w:val="20"/>
    </w:rPr>
  </w:style>
  <w:style w:type="character" w:customStyle="1" w:styleId="TekstkomentarzaZnak">
    <w:name w:val="Tekst komentarza Znak"/>
    <w:basedOn w:val="Domylnaczcionkaakapitu"/>
    <w:link w:val="Tekstkomentarza"/>
    <w:semiHidden/>
    <w:rsid w:val="002E61F4"/>
    <w:rPr>
      <w:rFonts w:ascii="Calibri" w:eastAsia="Calibri" w:hAnsi="Calibri" w:cs="Calibri"/>
      <w:lang w:eastAsia="ar-SA"/>
    </w:rPr>
  </w:style>
  <w:style w:type="paragraph" w:styleId="Tematkomentarza">
    <w:name w:val="annotation subject"/>
    <w:basedOn w:val="Tekstkomentarza"/>
    <w:next w:val="Tekstkomentarza"/>
    <w:link w:val="TematkomentarzaZnak"/>
    <w:semiHidden/>
    <w:unhideWhenUsed/>
    <w:rsid w:val="002E61F4"/>
    <w:rPr>
      <w:b/>
      <w:bCs/>
    </w:rPr>
  </w:style>
  <w:style w:type="character" w:customStyle="1" w:styleId="TematkomentarzaZnak">
    <w:name w:val="Temat komentarza Znak"/>
    <w:basedOn w:val="TekstkomentarzaZnak"/>
    <w:link w:val="Tematkomentarza"/>
    <w:semiHidden/>
    <w:rsid w:val="002E61F4"/>
    <w:rPr>
      <w:rFonts w:ascii="Calibri" w:eastAsia="Calibri" w:hAnsi="Calibri" w:cs="Calibri"/>
      <w:b/>
      <w:bCs/>
      <w:lang w:eastAsia="ar-SA"/>
    </w:rPr>
  </w:style>
  <w:style w:type="character" w:styleId="Uwydatnienie">
    <w:name w:val="Emphasis"/>
    <w:basedOn w:val="Domylnaczcionkaakapitu"/>
    <w:uiPriority w:val="20"/>
    <w:qFormat/>
    <w:rsid w:val="00194D55"/>
    <w:rPr>
      <w:i/>
      <w:iCs/>
    </w:rPr>
  </w:style>
  <w:style w:type="paragraph" w:customStyle="1" w:styleId="CM4">
    <w:name w:val="CM4"/>
    <w:basedOn w:val="Normalny"/>
    <w:next w:val="Normalny"/>
    <w:uiPriority w:val="99"/>
    <w:rsid w:val="000B5F42"/>
    <w:pPr>
      <w:suppressAutoHyphens w:val="0"/>
      <w:autoSpaceDE w:val="0"/>
      <w:autoSpaceDN w:val="0"/>
      <w:adjustRightInd w:val="0"/>
      <w:spacing w:after="0" w:line="240" w:lineRule="auto"/>
    </w:pPr>
    <w:rPr>
      <w:rFonts w:ascii="Times New Roman" w:eastAsiaTheme="minorHAnsi" w:hAnsi="Times New Roman" w:cs="Times New Roman"/>
      <w:sz w:val="24"/>
      <w:szCs w:val="24"/>
      <w:lang w:eastAsia="en-US"/>
    </w:rPr>
  </w:style>
  <w:style w:type="character" w:customStyle="1" w:styleId="Nierozpoznanawzmianka1">
    <w:name w:val="Nierozpoznana wzmianka1"/>
    <w:basedOn w:val="Domylnaczcionkaakapitu"/>
    <w:uiPriority w:val="99"/>
    <w:semiHidden/>
    <w:unhideWhenUsed/>
    <w:rsid w:val="00ED4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5F328-1F4D-4DCF-BEB5-85A5A29D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23</Pages>
  <Words>6792</Words>
  <Characters>40755</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Szablon ogólny</vt:lpstr>
    </vt:vector>
  </TitlesOfParts>
  <Company/>
  <LinksUpToDate>false</LinksUpToDate>
  <CharactersWithSpaces>47453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ogólny</dc:title>
  <dc:subject>standard</dc:subject>
  <dc:creator>Ola Puczniewska</dc:creator>
  <cp:lastModifiedBy>Rybkowska Bożena</cp:lastModifiedBy>
  <cp:revision>7</cp:revision>
  <cp:lastPrinted>2020-07-28T09:43:00Z</cp:lastPrinted>
  <dcterms:created xsi:type="dcterms:W3CDTF">2021-04-08T14:04:00Z</dcterms:created>
  <dcterms:modified xsi:type="dcterms:W3CDTF">2021-04-09T12:09:00Z</dcterms:modified>
  <cp:category>Ogólny</cp:category>
</cp:coreProperties>
</file>