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F04B6" w:rsidRPr="00363B84" w:rsidRDefault="00CC42EE">
      <w:pPr>
        <w:spacing w:line="360" w:lineRule="auto"/>
        <w:jc w:val="right"/>
        <w:rPr>
          <w:rFonts w:ascii="Tahoma" w:eastAsia="Times New Roman" w:hAnsi="Tahoma" w:cs="Tahoma"/>
          <w:i/>
          <w:sz w:val="24"/>
          <w:szCs w:val="24"/>
          <w:u w:val="single"/>
        </w:rPr>
      </w:pPr>
      <w:r w:rsidRPr="00363B84">
        <w:rPr>
          <w:rFonts w:ascii="Tahoma" w:eastAsia="Times New Roman" w:hAnsi="Tahoma" w:cs="Tahoma"/>
          <w:i/>
          <w:sz w:val="24"/>
          <w:szCs w:val="24"/>
          <w:u w:val="single"/>
        </w:rPr>
        <w:t>projekt</w:t>
      </w:r>
    </w:p>
    <w:p w14:paraId="00000002" w14:textId="77777777" w:rsidR="00AF04B6" w:rsidRPr="00363B84" w:rsidRDefault="00AF04B6">
      <w:pPr>
        <w:spacing w:line="360" w:lineRule="auto"/>
        <w:jc w:val="right"/>
        <w:rPr>
          <w:rFonts w:ascii="Tahoma" w:eastAsia="Times New Roman" w:hAnsi="Tahoma" w:cs="Tahoma"/>
          <w:i/>
          <w:sz w:val="24"/>
          <w:szCs w:val="24"/>
          <w:u w:val="single"/>
        </w:rPr>
      </w:pPr>
    </w:p>
    <w:p w14:paraId="00000003" w14:textId="1B5A4169" w:rsidR="00AF04B6" w:rsidRPr="00363B84" w:rsidRDefault="0069682C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363B84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00000004" w14:textId="77777777" w:rsidR="00AF04B6" w:rsidRPr="00363B84" w:rsidRDefault="00AF04B6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5" w14:textId="37CE0C83" w:rsidR="00AF04B6" w:rsidRPr="00363B84" w:rsidRDefault="0069682C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 xml:space="preserve">z dnia </w:t>
      </w:r>
      <w:r w:rsidR="00CC42EE" w:rsidRPr="00363B84">
        <w:rPr>
          <w:rFonts w:ascii="Tahoma" w:eastAsia="Times New Roman" w:hAnsi="Tahoma" w:cs="Tahoma"/>
          <w:sz w:val="24"/>
          <w:szCs w:val="24"/>
        </w:rPr>
        <w:t>… 2021 r.</w:t>
      </w:r>
    </w:p>
    <w:p w14:paraId="00000006" w14:textId="77777777" w:rsidR="00AF04B6" w:rsidRPr="00363B84" w:rsidRDefault="00AF04B6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7" w14:textId="77777777" w:rsidR="00AF04B6" w:rsidRPr="00363B84" w:rsidRDefault="00CC42EE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363B84">
        <w:rPr>
          <w:rFonts w:ascii="Tahoma" w:eastAsia="Times New Roman" w:hAnsi="Tahoma" w:cs="Tahoma"/>
          <w:b/>
          <w:sz w:val="24"/>
          <w:szCs w:val="24"/>
        </w:rPr>
        <w:t>o zmianie ustawy o Państwowej Inspekcji Pracy oraz ustawy – Kodeks postępowania cywilnego</w:t>
      </w:r>
    </w:p>
    <w:p w14:paraId="00000008" w14:textId="77777777" w:rsidR="00AF04B6" w:rsidRPr="00363B84" w:rsidRDefault="00AF04B6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9" w14:textId="77777777" w:rsidR="00AF04B6" w:rsidRPr="00363B84" w:rsidRDefault="00CC42EE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ab/>
      </w:r>
      <w:r w:rsidRPr="00363B84">
        <w:rPr>
          <w:rFonts w:ascii="Tahoma" w:eastAsia="Times New Roman" w:hAnsi="Tahoma" w:cs="Tahoma"/>
          <w:b/>
          <w:sz w:val="24"/>
          <w:szCs w:val="24"/>
        </w:rPr>
        <w:t>Art. 1.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W ustawie z dnia 13 kwietnia 2007 r. o Państwowej Inspekcji Pracy (Dz. U. z 2019 r. poz. 1251) wprowadza się następujące zmiany:</w:t>
      </w:r>
    </w:p>
    <w:p w14:paraId="0000000B" w14:textId="485596D5" w:rsidR="00AF04B6" w:rsidRPr="00363B84" w:rsidRDefault="00CC42EE" w:rsidP="00363B84">
      <w:pPr>
        <w:numPr>
          <w:ilvl w:val="0"/>
          <w:numId w:val="2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 xml:space="preserve"> po art. 11b dodaje się art. 11c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 xml:space="preserve">„Art. 11c. W razie stwierdzenia, że łączący strony stosunek prawny, wbrew zawartej między nimi umowie, </w:t>
      </w:r>
      <w:r w:rsidR="00363B84">
        <w:rPr>
          <w:rFonts w:ascii="Tahoma" w:eastAsia="Times New Roman" w:hAnsi="Tahoma" w:cs="Tahoma"/>
          <w:sz w:val="24"/>
          <w:szCs w:val="24"/>
        </w:rPr>
        <w:t>posiada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cechy stosunku pracy, właściwe organy Państwowej Inspekcji Pracy są uprawnione do ustalenia istnienia stosunku pracy.”;</w:t>
      </w:r>
    </w:p>
    <w:p w14:paraId="0000000D" w14:textId="45F1D147" w:rsidR="00AF04B6" w:rsidRPr="00363B84" w:rsidRDefault="00CC42EE" w:rsidP="00363B84">
      <w:pPr>
        <w:numPr>
          <w:ilvl w:val="0"/>
          <w:numId w:val="2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18 w ust. 1 pkt 2 otrzymuje brzmienie:</w:t>
      </w:r>
      <w:r w:rsidR="00363B84">
        <w:rPr>
          <w:rFonts w:ascii="Tahoma" w:eastAsia="Times New Roman" w:hAnsi="Tahoma" w:cs="Tahoma"/>
          <w:sz w:val="24"/>
          <w:szCs w:val="24"/>
        </w:rPr>
        <w:t xml:space="preserve"> „2) </w:t>
      </w:r>
      <w:r w:rsidRPr="00363B84">
        <w:rPr>
          <w:rFonts w:ascii="Tahoma" w:eastAsia="Times New Roman" w:hAnsi="Tahoma" w:cs="Tahoma"/>
          <w:sz w:val="24"/>
          <w:szCs w:val="24"/>
        </w:rPr>
        <w:t>rozpatrywanie odwołań od decyzji okręgowych inspektorów pracy, chyba że ustawa stanowi inaczej;”;</w:t>
      </w:r>
    </w:p>
    <w:p w14:paraId="0000000E" w14:textId="77777777" w:rsidR="00AF04B6" w:rsidRPr="00363B84" w:rsidRDefault="00CC42EE" w:rsidP="00363B84">
      <w:pPr>
        <w:numPr>
          <w:ilvl w:val="0"/>
          <w:numId w:val="2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19 w ust. 1 w pkt 4 wyrazy „art. 11 pkt 5” zastępuje się wyrazami „art. 11 pkt 5 i art. 11c”;</w:t>
      </w:r>
    </w:p>
    <w:p w14:paraId="0000000F" w14:textId="77777777" w:rsidR="00AF04B6" w:rsidRPr="00363B84" w:rsidRDefault="00CC42EE" w:rsidP="00363B84">
      <w:pPr>
        <w:numPr>
          <w:ilvl w:val="0"/>
          <w:numId w:val="2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24 w ust. 1 wyrazy „art. 10 ust. 1 pkt 3 i 4” zastępuje się wyrazami „art. 10 ust. 1 pkt 3 i 4 lub art. 11c”;</w:t>
      </w:r>
    </w:p>
    <w:p w14:paraId="00000010" w14:textId="77777777" w:rsidR="00AF04B6" w:rsidRPr="00363B84" w:rsidRDefault="00CC42EE" w:rsidP="00363B84">
      <w:pPr>
        <w:numPr>
          <w:ilvl w:val="0"/>
          <w:numId w:val="2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33 w ust. 1 w pkt 1 wyrazy „art. 11 pkt 1–4 i pkt 6–7 oraz art. 11a” zastępuje się wyrazami „art. 11 pkt 1–4 i pkt 6–7, art. 11a oraz art. 11c”;</w:t>
      </w:r>
    </w:p>
    <w:p w14:paraId="00000011" w14:textId="77777777" w:rsidR="00AF04B6" w:rsidRPr="00363B84" w:rsidRDefault="00CC42EE" w:rsidP="00363B84">
      <w:pPr>
        <w:numPr>
          <w:ilvl w:val="0"/>
          <w:numId w:val="2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34:</w:t>
      </w:r>
    </w:p>
    <w:p w14:paraId="00000013" w14:textId="5847A914" w:rsidR="00AF04B6" w:rsidRPr="00363B84" w:rsidRDefault="00CC42EE" w:rsidP="00363B84">
      <w:pPr>
        <w:numPr>
          <w:ilvl w:val="1"/>
          <w:numId w:val="2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po ust. 1b dodaje się ust. 1c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>„1c. Decyzja, o której mowa w art. 11c, wydawana jest w formie pisemnej.”,</w:t>
      </w:r>
    </w:p>
    <w:p w14:paraId="00000015" w14:textId="6A6774E1" w:rsidR="00AF04B6" w:rsidRPr="00363B84" w:rsidRDefault="00CC42EE" w:rsidP="00363B84">
      <w:pPr>
        <w:numPr>
          <w:ilvl w:val="1"/>
          <w:numId w:val="2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po ust. 2 dodaje się ust. 2a-2c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 xml:space="preserve">„2a. Decyzja, o której mowa w art. 11c, powinna zawierać: oznaczenie organu Państwowej Inspekcji Pracy, datę wydania, oznaczenie pracodawcy i pracownika, rodzaj umowy o pracę, datę nawiązania stosunku pracy oraz warunki pracy i płacy, rodzaj pracy, miejsce wykonywania pracy, wynagrodzenie za pracę ze wskazaniem składników wynagrodzenia, wymiar czasu pracy, </w:t>
      </w:r>
      <w:r w:rsidRPr="00363B84">
        <w:rPr>
          <w:rFonts w:ascii="Tahoma" w:eastAsia="Times New Roman" w:hAnsi="Tahoma" w:cs="Tahoma"/>
          <w:sz w:val="24"/>
          <w:szCs w:val="24"/>
        </w:rPr>
        <w:lastRenderedPageBreak/>
        <w:t>powołanie podstawy prawnej, rozstrzygnięcie i uzasadnienie oraz pouczenie o przysługujących środkach odwoławczych. Decyzję doręcza się również pracownikowi.</w:t>
      </w:r>
    </w:p>
    <w:p w14:paraId="00000016" w14:textId="77777777" w:rsidR="00AF04B6" w:rsidRPr="00363B84" w:rsidRDefault="00CC42EE" w:rsidP="00363B84">
      <w:pPr>
        <w:spacing w:line="360" w:lineRule="auto"/>
        <w:ind w:left="144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2b. Wysokość wynagrodzenia za pracę ustalonego w decyzji, o której mowa w art. 11c, po potrąceniu składek na ubezpieczenia społeczne finansowanych ze środków ubezpieczonego, składek na ubezpieczenie zdrowotne oraz zaliczek na podatek dochodowy od osób fizycznych na zasadach określonych w przepisach o podatku dochodowym od osób fizycznych nie może być niższa niż wysokość wynikającego z dotychczasowej umowy wynagrodzenia tego pracownika po potrąceniu składek na ubezpieczenia społeczne finansowanych ze środków ubezpieczonego, składek na ubezpieczenie zdrowotne oraz zaliczek na podatek dochodowy od osób fizycznych.</w:t>
      </w:r>
    </w:p>
    <w:p w14:paraId="00000017" w14:textId="77777777" w:rsidR="00AF04B6" w:rsidRPr="00363B84" w:rsidRDefault="00CC42EE" w:rsidP="00363B84">
      <w:pPr>
        <w:spacing w:line="360" w:lineRule="auto"/>
        <w:ind w:left="144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2c. Decyzja, o której mowa w art. 11c, wywołuje skutki takie jak wynikające z zawarcia umowy o pracę i jest natychmiast wykonalna.”,</w:t>
      </w:r>
    </w:p>
    <w:p w14:paraId="00000019" w14:textId="09E0C111" w:rsidR="00AF04B6" w:rsidRPr="00363B84" w:rsidRDefault="00CC42EE" w:rsidP="00363B84">
      <w:pPr>
        <w:numPr>
          <w:ilvl w:val="1"/>
          <w:numId w:val="2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po ust. 5 dodaje się ust. 5a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>„5a. Od decyzji, o której mowa w art. 11c, przysługuje pracodawcy odwołanie do sądu rejonowego – sądu pracy. Do odwołania i postępowania sądowego stosuje się przepisy ustawy z dnia 17 listopada 1964 r. – Kodeks postępowania cywilnego (Dz. U. z 2020 r. poz. 1575, 1578 i 1747 oraz z  2021 r. poz. 11 i …). Wniesienie odwołania nie wstrzymuje wykonania decyzji.”.</w:t>
      </w:r>
    </w:p>
    <w:p w14:paraId="0000001A" w14:textId="77777777" w:rsidR="00AF04B6" w:rsidRPr="00363B84" w:rsidRDefault="00AF04B6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1B" w14:textId="77777777" w:rsidR="00AF04B6" w:rsidRPr="00363B84" w:rsidRDefault="00CC42EE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ab/>
      </w:r>
      <w:r w:rsidRPr="00363B84">
        <w:rPr>
          <w:rFonts w:ascii="Tahoma" w:eastAsia="Times New Roman" w:hAnsi="Tahoma" w:cs="Tahoma"/>
          <w:b/>
          <w:sz w:val="24"/>
          <w:szCs w:val="24"/>
        </w:rPr>
        <w:t xml:space="preserve">Art. 2. </w:t>
      </w:r>
      <w:r w:rsidRPr="00363B84">
        <w:rPr>
          <w:rFonts w:ascii="Tahoma" w:eastAsia="Times New Roman" w:hAnsi="Tahoma" w:cs="Tahoma"/>
          <w:sz w:val="24"/>
          <w:szCs w:val="24"/>
        </w:rPr>
        <w:t>W ustawie z dnia 17 listopada 1964 r. – Kodeks postępowania cywilnego (Dz. U. z 2020 r. poz. 1575, 1578 i 1747 oraz z 2021 r. poz. 11) wprowadza się następujące zmiany:</w:t>
      </w:r>
    </w:p>
    <w:p w14:paraId="0000001D" w14:textId="5A48436E" w:rsidR="00AF04B6" w:rsidRPr="00363B84" w:rsidRDefault="00CC42EE" w:rsidP="00363B84">
      <w:pPr>
        <w:numPr>
          <w:ilvl w:val="0"/>
          <w:numId w:val="1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63</w:t>
      </w:r>
      <w:r w:rsidRPr="00363B84">
        <w:rPr>
          <w:rFonts w:ascii="Tahoma" w:eastAsia="Times New Roman" w:hAnsi="Tahoma" w:cs="Tahoma"/>
          <w:sz w:val="24"/>
          <w:szCs w:val="24"/>
          <w:vertAlign w:val="superscript"/>
        </w:rPr>
        <w:t>1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dotychczasową treść oznacza się jako § 1 i dodaje się § 2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>„§ 2. W sprawach odwołań od decyzji, o których mowa w art. 11c ustawy z dnia 13 kwietnia 2007 r. o Państwowej Inspekcji Pracy (Dz. U. z 2019 r. poz. 1251 oraz z … r. poz. …), inspektor pracy jest stroną postępowania.”;</w:t>
      </w:r>
    </w:p>
    <w:p w14:paraId="0000001F" w14:textId="54009D56" w:rsidR="00AF04B6" w:rsidRPr="00363B84" w:rsidRDefault="00CC42EE" w:rsidP="00363B84">
      <w:pPr>
        <w:numPr>
          <w:ilvl w:val="0"/>
          <w:numId w:val="1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w art. 461 po § 2</w:t>
      </w:r>
      <w:r w:rsidRPr="00363B84">
        <w:rPr>
          <w:rFonts w:ascii="Tahoma" w:eastAsia="Times New Roman" w:hAnsi="Tahoma" w:cs="Tahoma"/>
          <w:sz w:val="24"/>
          <w:szCs w:val="24"/>
          <w:vertAlign w:val="superscript"/>
        </w:rPr>
        <w:t>2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dodaje się § 2a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 xml:space="preserve">„§ 2a. W sprawach, w których wniesiono odwołanie od decyzji, o której mowa w art. 11c ustawy z dnia 13 kwietnia 2007 r. o Państwowej Inspekcji Pracy (Dz. U. z 2019 r. poz. 1251 oraz </w:t>
      </w:r>
      <w:r w:rsidRPr="00363B84">
        <w:rPr>
          <w:rFonts w:ascii="Tahoma" w:eastAsia="Times New Roman" w:hAnsi="Tahoma" w:cs="Tahoma"/>
          <w:sz w:val="24"/>
          <w:szCs w:val="24"/>
        </w:rPr>
        <w:lastRenderedPageBreak/>
        <w:t>z … r. poz. …), właściwy jest sąd rejonowy, w którego obszarze właściwości praca jest, była lub miała być wykonywana.”;</w:t>
      </w:r>
    </w:p>
    <w:p w14:paraId="00000021" w14:textId="6BC198C0" w:rsidR="00AF04B6" w:rsidRPr="00363B84" w:rsidRDefault="00CC42EE" w:rsidP="00363B84">
      <w:pPr>
        <w:numPr>
          <w:ilvl w:val="0"/>
          <w:numId w:val="1"/>
        </w:numPr>
        <w:spacing w:line="360" w:lineRule="auto"/>
        <w:ind w:hanging="436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po art. 477</w:t>
      </w:r>
      <w:r w:rsidRPr="00363B84">
        <w:rPr>
          <w:rFonts w:ascii="Tahoma" w:eastAsia="Times New Roman" w:hAnsi="Tahoma" w:cs="Tahoma"/>
          <w:sz w:val="24"/>
          <w:szCs w:val="24"/>
          <w:vertAlign w:val="superscript"/>
        </w:rPr>
        <w:t>7a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dodaje się art. 477</w:t>
      </w:r>
      <w:r w:rsidRPr="00363B84">
        <w:rPr>
          <w:rFonts w:ascii="Tahoma" w:eastAsia="Times New Roman" w:hAnsi="Tahoma" w:cs="Tahoma"/>
          <w:sz w:val="24"/>
          <w:szCs w:val="24"/>
          <w:vertAlign w:val="superscript"/>
        </w:rPr>
        <w:t>7b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w brzmieniu:</w:t>
      </w:r>
      <w:r w:rsidR="00363B84">
        <w:rPr>
          <w:rFonts w:ascii="Tahoma" w:eastAsia="Times New Roman" w:hAnsi="Tahoma" w:cs="Tahoma"/>
          <w:sz w:val="24"/>
          <w:szCs w:val="24"/>
        </w:rPr>
        <w:t xml:space="preserve"> </w:t>
      </w:r>
      <w:r w:rsidRPr="00363B84">
        <w:rPr>
          <w:rFonts w:ascii="Tahoma" w:eastAsia="Times New Roman" w:hAnsi="Tahoma" w:cs="Tahoma"/>
          <w:sz w:val="24"/>
          <w:szCs w:val="24"/>
        </w:rPr>
        <w:t>„Art. 477</w:t>
      </w:r>
      <w:r w:rsidRPr="00363B84">
        <w:rPr>
          <w:rFonts w:ascii="Tahoma" w:eastAsia="Times New Roman" w:hAnsi="Tahoma" w:cs="Tahoma"/>
          <w:sz w:val="24"/>
          <w:szCs w:val="24"/>
          <w:vertAlign w:val="superscript"/>
        </w:rPr>
        <w:t>7b</w:t>
      </w:r>
      <w:r w:rsidRPr="00363B84">
        <w:rPr>
          <w:rFonts w:ascii="Tahoma" w:eastAsia="Times New Roman" w:hAnsi="Tahoma" w:cs="Tahoma"/>
          <w:sz w:val="24"/>
          <w:szCs w:val="24"/>
        </w:rPr>
        <w:t>. § 1. Odwołania od decyzji, o której mowa w art. 11c ustawy z dnia 13 kwietnia 2007 r. o Państwowej Inspekcji Pracy (Dz. U. z 2019 r. poz. 1251 oraz z … r. poz. …), wnosi się za pośrednictwem inspektora pracy, który wydał decyzję, do sądu rejonowego – sądu pracy, w którego obszarze właściwości praca jest, była lub miała być wykonywana.</w:t>
      </w:r>
    </w:p>
    <w:p w14:paraId="00000022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2. Odwołanie wnosi się terminie dwutygodniowym od dnia doręczenia decyzji.</w:t>
      </w:r>
    </w:p>
    <w:p w14:paraId="00000023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3. Sąd odrzuca odwołanie wniesione po upływie terminu do jego wniesienia, niedopuszczalne z innych przyczyn, a także wtedy, gdy nie uzupełniono w wyznaczonym terminie braków odwołania.</w:t>
      </w:r>
    </w:p>
    <w:p w14:paraId="00000024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4. Inspektor pracy przekazuje niezwłocznie odwołanie wraz z aktami sprawy do sądu.</w:t>
      </w:r>
    </w:p>
    <w:p w14:paraId="00000025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5. Odwołanie od decyzji inspektora pracy powinno czynić zadość wymaganiom przepisanym dla pisma procesowego oraz zawierać oznaczenie zaskarżonej decyzji i wartości przedmiotu sporu, przytoczenie zarzutów, zwięzłe ich uzasadnienie, wskazanie dowodów, a także zawierać wniosek o uchylenie albo zmianę decyzji w całości lub w części.</w:t>
      </w:r>
    </w:p>
    <w:p w14:paraId="00000026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6. W przypadku wniesienia odwołania od decyzji inspektora pracy, sąd może na wniosek strony, która wniosła odwołanie, wstrzymać wykonanie decyzji do czasu rozstrzygnięcia sprawy.</w:t>
      </w:r>
    </w:p>
    <w:p w14:paraId="00000027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7. Stronami są inspektor pracy oraz odwołujący się od decyzji inspektora pracy.</w:t>
      </w:r>
    </w:p>
    <w:p w14:paraId="00000028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8. Zainteresowanym jest ten, czyje prawa lub obowiązki zależą od rozstrzygnięcia sprawy. Jeżeli zainteresowany nie bierze udziału w sprawie, sąd zawiadomi go o toczącym się postępowaniu. Zainteresowany może przystąpić do sprawy w ciągu dwóch tygodni od dnia doręczenia zawiadomienia. Do zainteresowanego przepisu art. 174 § 1 nie stosuje się.</w:t>
      </w:r>
    </w:p>
    <w:p w14:paraId="00000029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9. Nie jest dopuszczalne zawarcie ugody, skierowanie sprawy do mediacji, ani poddanie sporu pod rozstrzygnięcie sądu polubownego.</w:t>
      </w:r>
    </w:p>
    <w:p w14:paraId="0000002A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10. Sąd oddala odwołanie, jeżeli nie ma podstaw do jego uwzględnienia.</w:t>
      </w:r>
    </w:p>
    <w:p w14:paraId="0000002B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lastRenderedPageBreak/>
        <w:t>§ 11. W przypadku uwzględnienia odwołania sąd zmienia w całości lub w części zaskarżoną decyzję inspektora pracy i orzeka co do istoty sprawy.</w:t>
      </w:r>
    </w:p>
    <w:p w14:paraId="0000002C" w14:textId="77777777" w:rsidR="00AF04B6" w:rsidRPr="00363B84" w:rsidRDefault="00CC42EE" w:rsidP="00363B84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sz w:val="24"/>
          <w:szCs w:val="24"/>
        </w:rPr>
        <w:t>§ 12. Sąd drugiej instancji, uchylając wyrok, przekazuje sprawę do ponownego rozpoznania sądowi pierwszej instancji.”.</w:t>
      </w:r>
    </w:p>
    <w:p w14:paraId="0000002D" w14:textId="77777777" w:rsidR="00AF04B6" w:rsidRPr="00363B84" w:rsidRDefault="00AF04B6">
      <w:pPr>
        <w:spacing w:line="360" w:lineRule="auto"/>
        <w:ind w:left="720"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2E" w14:textId="77777777" w:rsidR="00AF04B6" w:rsidRPr="00363B84" w:rsidRDefault="00CC42EE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363B84">
        <w:rPr>
          <w:rFonts w:ascii="Tahoma" w:eastAsia="Times New Roman" w:hAnsi="Tahoma" w:cs="Tahoma"/>
          <w:b/>
          <w:sz w:val="24"/>
          <w:szCs w:val="24"/>
        </w:rPr>
        <w:t>Art. 3.</w:t>
      </w:r>
      <w:r w:rsidRPr="00363B84">
        <w:rPr>
          <w:rFonts w:ascii="Tahoma" w:eastAsia="Times New Roman" w:hAnsi="Tahoma" w:cs="Tahoma"/>
          <w:sz w:val="24"/>
          <w:szCs w:val="24"/>
        </w:rPr>
        <w:t xml:space="preserve"> Ustawa wchodzi w życie po upływie 90 dni od dnia ogłoszenia.</w:t>
      </w:r>
    </w:p>
    <w:p w14:paraId="0000002F" w14:textId="77777777" w:rsidR="00AF04B6" w:rsidRPr="00363B84" w:rsidRDefault="00AF04B6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30" w14:textId="52CCE834" w:rsidR="00AF04B6" w:rsidRPr="00363B84" w:rsidRDefault="00AF04B6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bookmarkStart w:id="0" w:name="_GoBack"/>
      <w:bookmarkEnd w:id="0"/>
    </w:p>
    <w:sectPr w:rsidR="00AF04B6" w:rsidRPr="00363B84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AAADD" w14:textId="77777777" w:rsidR="00556A9F" w:rsidRDefault="00556A9F">
      <w:pPr>
        <w:spacing w:line="240" w:lineRule="auto"/>
      </w:pPr>
      <w:r>
        <w:separator/>
      </w:r>
    </w:p>
  </w:endnote>
  <w:endnote w:type="continuationSeparator" w:id="0">
    <w:p w14:paraId="662389BD" w14:textId="77777777" w:rsidR="00556A9F" w:rsidRDefault="00556A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ahoma" w:hAnsi="Tahoma" w:cs="Tahoma"/>
      </w:rPr>
      <w:id w:val="742681934"/>
      <w:docPartObj>
        <w:docPartGallery w:val="Page Numbers (Bottom of Page)"/>
        <w:docPartUnique/>
      </w:docPartObj>
    </w:sdtPr>
    <w:sdtEndPr/>
    <w:sdtContent>
      <w:p w14:paraId="59C06006" w14:textId="59F10660" w:rsidR="00363B84" w:rsidRPr="00363B84" w:rsidRDefault="00363B84">
        <w:pPr>
          <w:pStyle w:val="Stopka"/>
          <w:jc w:val="center"/>
          <w:rPr>
            <w:rFonts w:ascii="Tahoma" w:hAnsi="Tahoma" w:cs="Tahoma"/>
          </w:rPr>
        </w:pPr>
        <w:r w:rsidRPr="00363B84">
          <w:rPr>
            <w:rFonts w:ascii="Tahoma" w:hAnsi="Tahoma" w:cs="Tahoma"/>
          </w:rPr>
          <w:fldChar w:fldCharType="begin"/>
        </w:r>
        <w:r w:rsidRPr="00363B84">
          <w:rPr>
            <w:rFonts w:ascii="Tahoma" w:hAnsi="Tahoma" w:cs="Tahoma"/>
          </w:rPr>
          <w:instrText>PAGE   \* MERGEFORMAT</w:instrText>
        </w:r>
        <w:r w:rsidRPr="00363B84">
          <w:rPr>
            <w:rFonts w:ascii="Tahoma" w:hAnsi="Tahoma" w:cs="Tahoma"/>
          </w:rPr>
          <w:fldChar w:fldCharType="separate"/>
        </w:r>
        <w:r w:rsidR="00B73728" w:rsidRPr="00B73728">
          <w:rPr>
            <w:rFonts w:ascii="Tahoma" w:hAnsi="Tahoma" w:cs="Tahoma"/>
            <w:noProof/>
            <w:lang w:val="pl-PL"/>
          </w:rPr>
          <w:t>4</w:t>
        </w:r>
        <w:r w:rsidRPr="00363B84">
          <w:rPr>
            <w:rFonts w:ascii="Tahoma" w:hAnsi="Tahoma" w:cs="Tahoma"/>
          </w:rPr>
          <w:fldChar w:fldCharType="end"/>
        </w:r>
      </w:p>
    </w:sdtContent>
  </w:sdt>
  <w:p w14:paraId="58F6B97E" w14:textId="77777777" w:rsidR="00363B84" w:rsidRPr="00363B84" w:rsidRDefault="00363B84">
    <w:pPr>
      <w:pStyle w:val="Stopka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D9ED9" w14:textId="77777777" w:rsidR="00556A9F" w:rsidRDefault="00556A9F">
      <w:pPr>
        <w:spacing w:line="240" w:lineRule="auto"/>
      </w:pPr>
      <w:r>
        <w:separator/>
      </w:r>
    </w:p>
  </w:footnote>
  <w:footnote w:type="continuationSeparator" w:id="0">
    <w:p w14:paraId="7E6CE71C" w14:textId="77777777" w:rsidR="00556A9F" w:rsidRDefault="00556A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E5D04"/>
    <w:multiLevelType w:val="multilevel"/>
    <w:tmpl w:val="4E08122E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F10D3E"/>
    <w:multiLevelType w:val="multilevel"/>
    <w:tmpl w:val="8324A054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b/>
        <w:color w:val="000000"/>
        <w:u w:val="none"/>
      </w:rPr>
    </w:lvl>
    <w:lvl w:ilvl="1">
      <w:start w:val="1"/>
      <w:numFmt w:val="decimal"/>
      <w:lvlText w:val="%1.%2."/>
      <w:lvlJc w:val="right"/>
      <w:pPr>
        <w:ind w:left="0" w:firstLine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43A414C"/>
    <w:multiLevelType w:val="multilevel"/>
    <w:tmpl w:val="713468B4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72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B6"/>
    <w:rsid w:val="00363B84"/>
    <w:rsid w:val="00556A9F"/>
    <w:rsid w:val="005C7270"/>
    <w:rsid w:val="0069682C"/>
    <w:rsid w:val="00AF04B6"/>
    <w:rsid w:val="00B73728"/>
    <w:rsid w:val="00CC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C90A"/>
  <w15:docId w15:val="{E26D926C-36D8-4392-BB55-F74680A8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63B8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63B8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B84"/>
  </w:style>
  <w:style w:type="paragraph" w:styleId="Stopka">
    <w:name w:val="footer"/>
    <w:basedOn w:val="Normalny"/>
    <w:link w:val="StopkaZnak"/>
    <w:uiPriority w:val="99"/>
    <w:unhideWhenUsed/>
    <w:rsid w:val="00363B8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3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4</cp:revision>
  <dcterms:created xsi:type="dcterms:W3CDTF">2021-03-17T07:34:00Z</dcterms:created>
  <dcterms:modified xsi:type="dcterms:W3CDTF">2021-05-04T15:59:00Z</dcterms:modified>
</cp:coreProperties>
</file>