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31" w14:textId="77777777" w:rsidR="00AF04B6" w:rsidRPr="00363B84" w:rsidRDefault="00CC42EE">
      <w:pPr>
        <w:spacing w:line="360" w:lineRule="auto"/>
        <w:jc w:val="center"/>
        <w:rPr>
          <w:rFonts w:ascii="Tahoma" w:eastAsia="Times New Roman" w:hAnsi="Tahoma" w:cs="Tahoma"/>
          <w:b/>
          <w:sz w:val="24"/>
          <w:szCs w:val="24"/>
        </w:rPr>
      </w:pPr>
      <w:bookmarkStart w:id="0" w:name="_GoBack"/>
      <w:bookmarkEnd w:id="0"/>
      <w:r w:rsidRPr="00363B84">
        <w:rPr>
          <w:rFonts w:ascii="Tahoma" w:eastAsia="Times New Roman" w:hAnsi="Tahoma" w:cs="Tahoma"/>
          <w:b/>
          <w:sz w:val="24"/>
          <w:szCs w:val="24"/>
        </w:rPr>
        <w:t>UZASADNIENIE</w:t>
      </w:r>
    </w:p>
    <w:p w14:paraId="00000032" w14:textId="77777777" w:rsidR="00AF04B6" w:rsidRPr="00363B84" w:rsidRDefault="00AF04B6">
      <w:pPr>
        <w:spacing w:line="360" w:lineRule="auto"/>
        <w:jc w:val="both"/>
        <w:rPr>
          <w:rFonts w:ascii="Tahoma" w:eastAsia="Times New Roman" w:hAnsi="Tahoma" w:cs="Tahoma"/>
          <w:b/>
          <w:sz w:val="24"/>
          <w:szCs w:val="24"/>
        </w:rPr>
      </w:pPr>
    </w:p>
    <w:p w14:paraId="00000033" w14:textId="77777777" w:rsidR="00AF04B6" w:rsidRPr="00363B84" w:rsidRDefault="00CC42EE">
      <w:pPr>
        <w:numPr>
          <w:ilvl w:val="0"/>
          <w:numId w:val="3"/>
        </w:numPr>
        <w:spacing w:line="360" w:lineRule="auto"/>
        <w:jc w:val="both"/>
        <w:rPr>
          <w:rFonts w:ascii="Tahoma" w:eastAsia="Times New Roman" w:hAnsi="Tahoma" w:cs="Tahoma"/>
          <w:sz w:val="24"/>
          <w:szCs w:val="24"/>
        </w:rPr>
      </w:pPr>
      <w:r w:rsidRPr="00363B84">
        <w:rPr>
          <w:rFonts w:ascii="Tahoma" w:eastAsia="Times New Roman" w:hAnsi="Tahoma" w:cs="Tahoma"/>
          <w:b/>
          <w:sz w:val="24"/>
          <w:szCs w:val="24"/>
        </w:rPr>
        <w:t>Potrzeba i cel uchwalenia ustawy</w:t>
      </w:r>
    </w:p>
    <w:p w14:paraId="00000034" w14:textId="77777777" w:rsidR="00AF04B6" w:rsidRPr="00363B84" w:rsidRDefault="00AF04B6">
      <w:pPr>
        <w:spacing w:line="360" w:lineRule="auto"/>
        <w:jc w:val="both"/>
        <w:rPr>
          <w:rFonts w:ascii="Tahoma" w:eastAsia="Times New Roman" w:hAnsi="Tahoma" w:cs="Tahoma"/>
          <w:b/>
          <w:sz w:val="24"/>
          <w:szCs w:val="24"/>
        </w:rPr>
      </w:pPr>
    </w:p>
    <w:p w14:paraId="00000035" w14:textId="77777777" w:rsidR="00AF04B6" w:rsidRPr="00363B84" w:rsidRDefault="00CC42EE" w:rsidP="00363B84">
      <w:pPr>
        <w:spacing w:line="360" w:lineRule="auto"/>
        <w:ind w:firstLine="720"/>
        <w:jc w:val="both"/>
        <w:rPr>
          <w:rFonts w:ascii="Tahoma" w:eastAsia="Times New Roman" w:hAnsi="Tahoma" w:cs="Tahoma"/>
          <w:sz w:val="24"/>
          <w:szCs w:val="24"/>
        </w:rPr>
      </w:pPr>
      <w:r w:rsidRPr="00363B84">
        <w:rPr>
          <w:rFonts w:ascii="Tahoma" w:eastAsia="Times New Roman" w:hAnsi="Tahoma" w:cs="Tahoma"/>
          <w:sz w:val="24"/>
          <w:szCs w:val="24"/>
        </w:rPr>
        <w:t>Projektowana ustawa o zmianie ustawy o Państwowej Inspekcji Pracy oraz ustawy – Kodeks postępowania cywilnego dotyczy nadania inspektorom pracy uprawnienia do ustalania w drodze decyzji istnienia stosunku pracy w razie stwierdzenia, że stosunek prawny łączący strony ma – wbrew zawartej między nimi umowie – cechy stosunku pracy. Ponadto projekt ustawy określa tryb postępowania w sprawach odwołań od decyzji o ustaleniu istnienia stosunku pracy.</w:t>
      </w:r>
    </w:p>
    <w:p w14:paraId="00000037" w14:textId="77777777" w:rsidR="00AF04B6" w:rsidRPr="00363B84" w:rsidRDefault="00CC42EE" w:rsidP="00363B84">
      <w:pPr>
        <w:spacing w:line="360" w:lineRule="auto"/>
        <w:ind w:firstLine="720"/>
        <w:jc w:val="both"/>
        <w:rPr>
          <w:rFonts w:ascii="Tahoma" w:eastAsia="Times New Roman" w:hAnsi="Tahoma" w:cs="Tahoma"/>
          <w:sz w:val="24"/>
          <w:szCs w:val="24"/>
        </w:rPr>
      </w:pPr>
      <w:r w:rsidRPr="00363B84">
        <w:rPr>
          <w:rFonts w:ascii="Tahoma" w:eastAsia="Times New Roman" w:hAnsi="Tahoma" w:cs="Tahoma"/>
          <w:sz w:val="24"/>
          <w:szCs w:val="24"/>
        </w:rPr>
        <w:t>Zgodnie z art. 22 § 1 ustawy z dnia 26 czerwca 1974 r. – Kodeks pracy (Dz. U. z 2020 r. poz. 1320; dalej: „Kodeks pracy”) stosunek pracy zachodzi, jeżeli pracownik zobowiązuje się do wykonywania pracy na rzecz i pod kierownictwem pracodawcy oraz w miejscu i czasie wyznaczonym przez pracodawcę, a pracodawca – do zatrudniania pracownika za wynagrodzeniem. Właściwym rodzajem umowy dla takiego stosunku między pracownikiem a pracodawcą jest umowa o pracę, a zastąpienie jej umową cywilnoprawną jest niedopuszczalne (art. 22 § 1</w:t>
      </w:r>
      <w:r w:rsidRPr="00363B84">
        <w:rPr>
          <w:rFonts w:ascii="Tahoma" w:eastAsia="Times New Roman" w:hAnsi="Tahoma" w:cs="Tahoma"/>
          <w:sz w:val="24"/>
          <w:szCs w:val="24"/>
          <w:vertAlign w:val="superscript"/>
        </w:rPr>
        <w:t>2</w:t>
      </w:r>
      <w:r w:rsidRPr="00363B84">
        <w:rPr>
          <w:rFonts w:ascii="Tahoma" w:eastAsia="Times New Roman" w:hAnsi="Tahoma" w:cs="Tahoma"/>
          <w:sz w:val="24"/>
          <w:szCs w:val="24"/>
        </w:rPr>
        <w:t xml:space="preserve"> Kodeksu pracy). Umowa cywilnoprawna – w tym uregulowana w tytule XV ustawy z dnia 23 kwietnia 1964 r. – Kodeks cywilny (Dz. U. z 2020 r. poz. 1740; dalej: „Kodeks cywilny”) umowa o dzieło i określona w tytule XXI Kodeksu cywilnego umowa zlecenia – może zostać zawarta, aby określać warunki wykonania pracy, gdy przesłanki zachodzenia stosunku pracy nie są faktycznie spełnione.</w:t>
      </w:r>
    </w:p>
    <w:p w14:paraId="00000039" w14:textId="77777777" w:rsidR="00AF04B6" w:rsidRPr="00363B84" w:rsidRDefault="00CC42EE" w:rsidP="00363B84">
      <w:pPr>
        <w:spacing w:line="360" w:lineRule="auto"/>
        <w:ind w:firstLine="720"/>
        <w:jc w:val="both"/>
        <w:rPr>
          <w:rFonts w:ascii="Tahoma" w:eastAsia="Times New Roman" w:hAnsi="Tahoma" w:cs="Tahoma"/>
          <w:sz w:val="24"/>
          <w:szCs w:val="24"/>
        </w:rPr>
      </w:pPr>
      <w:r w:rsidRPr="00363B84">
        <w:rPr>
          <w:rFonts w:ascii="Tahoma" w:eastAsia="Times New Roman" w:hAnsi="Tahoma" w:cs="Tahoma"/>
          <w:sz w:val="24"/>
          <w:szCs w:val="24"/>
        </w:rPr>
        <w:t>Zastępowanie umów o pracę umowami zlecenia i o dzieło jest jednym z przejawów prekaryzacji pracy w Polsce. Umowy cywilnoprawne zawarte w sytuacji, gdy zachodzi stosunek pracy, potocznie nazywa się umowami śmieciowymi. Zatrudnieni na umowach cywilnoprawnych są pozbawieni stabilności i istotnej części praw pracowniczych. Zjawisko zatrudniania na umowach śmieciowych dotyczy w istotnym stopniu pracowników młodych, niskowykwalifikowanych, o słabszej pozycji przetargowej na rynku. W wyniku zatrudnienia na umowach śmieciowych są oni pozbawieni części uprawnień wynikających z Kodeksu pracy oraz – w niektórych przypadkach – ubezpieczeń społecznych.</w:t>
      </w:r>
    </w:p>
    <w:p w14:paraId="0000003A" w14:textId="77777777" w:rsidR="00AF04B6" w:rsidRPr="00363B84" w:rsidRDefault="00AF04B6">
      <w:pPr>
        <w:spacing w:line="360" w:lineRule="auto"/>
        <w:jc w:val="both"/>
        <w:rPr>
          <w:rFonts w:ascii="Tahoma" w:eastAsia="Times New Roman" w:hAnsi="Tahoma" w:cs="Tahoma"/>
          <w:sz w:val="24"/>
          <w:szCs w:val="24"/>
        </w:rPr>
      </w:pPr>
    </w:p>
    <w:p w14:paraId="0000003B" w14:textId="77777777" w:rsidR="00AF04B6" w:rsidRPr="00363B84" w:rsidRDefault="00CC42EE">
      <w:pPr>
        <w:spacing w:line="360" w:lineRule="auto"/>
        <w:jc w:val="both"/>
        <w:rPr>
          <w:rFonts w:ascii="Tahoma" w:eastAsia="Times New Roman" w:hAnsi="Tahoma" w:cs="Tahoma"/>
          <w:sz w:val="24"/>
          <w:szCs w:val="24"/>
        </w:rPr>
      </w:pPr>
      <w:r w:rsidRPr="00363B84">
        <w:rPr>
          <w:rFonts w:ascii="Tahoma" w:eastAsia="Times New Roman" w:hAnsi="Tahoma" w:cs="Tahoma"/>
          <w:sz w:val="24"/>
          <w:szCs w:val="24"/>
        </w:rPr>
        <w:lastRenderedPageBreak/>
        <w:t>Przyczyny tego zjawiska mają zazwyczaj charakter ekonomiczny. Przedsiębiorcy zatrudniają w sposób niezgodny z prawem pracy, aby ograniczyć koszty i przenieść ryzyko prowadzenia działalności gospodarczej na pracowników</w:t>
      </w:r>
      <w:r w:rsidRPr="00363B84">
        <w:rPr>
          <w:rFonts w:ascii="Tahoma" w:eastAsia="Times New Roman" w:hAnsi="Tahoma" w:cs="Tahoma"/>
          <w:sz w:val="24"/>
          <w:szCs w:val="24"/>
          <w:vertAlign w:val="superscript"/>
        </w:rPr>
        <w:footnoteReference w:id="1"/>
      </w:r>
      <w:r w:rsidRPr="00363B84">
        <w:rPr>
          <w:rFonts w:ascii="Tahoma" w:eastAsia="Times New Roman" w:hAnsi="Tahoma" w:cs="Tahoma"/>
          <w:sz w:val="24"/>
          <w:szCs w:val="24"/>
        </w:rPr>
        <w:t>. Pomimo pewnego ograniczenia skali zjawiska w ostatnich latach, wciąż ma ono charakter masowy. W trakcie kontroli przeprowadzonych w 2019 roku inspektorzy pracy zakwestionowali prawie co dziesiątą kontrolowaną umowę zlecenia (9,53%). Zakwestionowana została także niemal jedna czwarta skontrolowanych przez Państwową Inspekcję Pracy umów o dzieło (22,36%). Umowy śmieciowe występowały najczęściej w budownictwie, gastronomii i handlu, ale inspektorzy stwierdzili ich nadużywanie niemal we wszystkich branżach gospodarki</w:t>
      </w:r>
      <w:r w:rsidRPr="00363B84">
        <w:rPr>
          <w:rFonts w:ascii="Tahoma" w:eastAsia="Times New Roman" w:hAnsi="Tahoma" w:cs="Tahoma"/>
          <w:sz w:val="24"/>
          <w:szCs w:val="24"/>
          <w:vertAlign w:val="superscript"/>
        </w:rPr>
        <w:footnoteReference w:id="2"/>
      </w:r>
      <w:r w:rsidRPr="00363B84">
        <w:rPr>
          <w:rFonts w:ascii="Tahoma" w:eastAsia="Times New Roman" w:hAnsi="Tahoma" w:cs="Tahoma"/>
          <w:sz w:val="24"/>
          <w:szCs w:val="24"/>
        </w:rPr>
        <w:t>.</w:t>
      </w:r>
    </w:p>
    <w:p w14:paraId="0000003D" w14:textId="77777777" w:rsidR="00AF04B6" w:rsidRPr="00363B84" w:rsidRDefault="00CC42EE" w:rsidP="00363B84">
      <w:pPr>
        <w:spacing w:line="360" w:lineRule="auto"/>
        <w:ind w:firstLine="720"/>
        <w:jc w:val="both"/>
        <w:rPr>
          <w:rFonts w:ascii="Tahoma" w:eastAsia="Times New Roman" w:hAnsi="Tahoma" w:cs="Tahoma"/>
          <w:sz w:val="24"/>
          <w:szCs w:val="24"/>
        </w:rPr>
      </w:pPr>
      <w:r w:rsidRPr="00363B84">
        <w:rPr>
          <w:rFonts w:ascii="Tahoma" w:eastAsia="Times New Roman" w:hAnsi="Tahoma" w:cs="Tahoma"/>
          <w:sz w:val="24"/>
          <w:szCs w:val="24"/>
        </w:rPr>
        <w:t>Na potrzebę wprowadzenia do polskiego ustawodawstwa instrumentów, które pozwalą na skuteczne egzekwowanie zakazu zastępowania umów o pracę umowami cywilnoprawnymi, wskazywał Główny Inspektor Pracy</w:t>
      </w:r>
      <w:r w:rsidRPr="00363B84">
        <w:rPr>
          <w:rFonts w:ascii="Tahoma" w:eastAsia="Times New Roman" w:hAnsi="Tahoma" w:cs="Tahoma"/>
          <w:sz w:val="24"/>
          <w:szCs w:val="24"/>
          <w:vertAlign w:val="superscript"/>
        </w:rPr>
        <w:footnoteReference w:id="3"/>
      </w:r>
      <w:r w:rsidRPr="00363B84">
        <w:rPr>
          <w:rFonts w:ascii="Tahoma" w:eastAsia="Times New Roman" w:hAnsi="Tahoma" w:cs="Tahoma"/>
          <w:sz w:val="24"/>
          <w:szCs w:val="24"/>
        </w:rPr>
        <w:t>. Inspekcja wielokrotnie zwracała się do parlamentu z wnioskiem o wzmocnienie kompetencji inspektorów i wyposażenie ich w skuteczniejsze narzędzia prawne. Podobne stanowisko zajmują także organizacje zrzeszające pracowników. Ogólnopolskie Porozumienie Związków Zawodowych postuluje „przyznanie inspektorom pracy prawa do wydawania decyzji administracyjnych skutecznie przekształcających umowy cywilnoprawne w umowy o pracę w sytuacjach, gdy praca świadczona jest w warunkach charakterystycznych dla stosunku pracy”</w:t>
      </w:r>
      <w:r w:rsidRPr="00363B84">
        <w:rPr>
          <w:rFonts w:ascii="Tahoma" w:eastAsia="Times New Roman" w:hAnsi="Tahoma" w:cs="Tahoma"/>
          <w:sz w:val="24"/>
          <w:szCs w:val="24"/>
          <w:vertAlign w:val="superscript"/>
        </w:rPr>
        <w:footnoteReference w:id="4"/>
      </w:r>
      <w:r w:rsidRPr="00363B84">
        <w:rPr>
          <w:rFonts w:ascii="Tahoma" w:eastAsia="Times New Roman" w:hAnsi="Tahoma" w:cs="Tahoma"/>
          <w:sz w:val="24"/>
          <w:szCs w:val="24"/>
        </w:rPr>
        <w:t>.</w:t>
      </w:r>
    </w:p>
    <w:p w14:paraId="0000003F" w14:textId="77777777" w:rsidR="00AF04B6" w:rsidRPr="00363B84" w:rsidRDefault="00CC42EE" w:rsidP="00363B84">
      <w:pPr>
        <w:spacing w:line="360" w:lineRule="auto"/>
        <w:ind w:firstLine="720"/>
        <w:jc w:val="both"/>
        <w:rPr>
          <w:rFonts w:ascii="Tahoma" w:eastAsia="Times New Roman" w:hAnsi="Tahoma" w:cs="Tahoma"/>
          <w:sz w:val="24"/>
          <w:szCs w:val="24"/>
        </w:rPr>
      </w:pPr>
      <w:r w:rsidRPr="00363B84">
        <w:rPr>
          <w:rFonts w:ascii="Tahoma" w:eastAsia="Times New Roman" w:hAnsi="Tahoma" w:cs="Tahoma"/>
          <w:sz w:val="24"/>
          <w:szCs w:val="24"/>
        </w:rPr>
        <w:t>W obecnie obowiązującym stanie prawnym, Państwowa Inspekcja Pracy, po stwierdzeniu że doszło do naruszenia przepisów Kodeksu pracy poprzez zatrudnienie pracownika na umowie cywilnoprawnej w sytuacji, gdy jego warunki pracy spełniają wszystkie kodeksowe przesłanki stosunku pracy, może wnieść powództwo o ustalenie istnienia stosunku pracy. Jest to uprawnienie niewystarczające – sprawy przed sądami pracy trwają zbyt długo.</w:t>
      </w:r>
    </w:p>
    <w:p w14:paraId="00000040" w14:textId="77777777" w:rsidR="00AF04B6" w:rsidRPr="00363B84" w:rsidRDefault="00CC42EE">
      <w:pPr>
        <w:numPr>
          <w:ilvl w:val="0"/>
          <w:numId w:val="3"/>
        </w:numPr>
        <w:spacing w:before="240" w:after="240" w:line="360" w:lineRule="auto"/>
        <w:rPr>
          <w:rFonts w:ascii="Tahoma" w:eastAsia="Times New Roman" w:hAnsi="Tahoma" w:cs="Tahoma"/>
          <w:sz w:val="24"/>
          <w:szCs w:val="24"/>
        </w:rPr>
      </w:pPr>
      <w:r w:rsidRPr="00363B84">
        <w:rPr>
          <w:rFonts w:ascii="Tahoma" w:eastAsia="Times New Roman" w:hAnsi="Tahoma" w:cs="Tahoma"/>
          <w:b/>
          <w:sz w:val="24"/>
          <w:szCs w:val="24"/>
        </w:rPr>
        <w:lastRenderedPageBreak/>
        <w:t>Różnica między dotychczasowym a projektowanym stanem prawnym</w:t>
      </w:r>
    </w:p>
    <w:p w14:paraId="00000041" w14:textId="539A946A" w:rsidR="00AF04B6" w:rsidRPr="00363B84" w:rsidRDefault="00CC42EE" w:rsidP="00363B84">
      <w:pPr>
        <w:shd w:val="clear" w:color="auto" w:fill="FFFFFF"/>
        <w:spacing w:before="240" w:line="360" w:lineRule="auto"/>
        <w:ind w:firstLine="720"/>
        <w:jc w:val="both"/>
        <w:rPr>
          <w:rFonts w:ascii="Tahoma" w:eastAsia="Times New Roman" w:hAnsi="Tahoma" w:cs="Tahoma"/>
          <w:sz w:val="24"/>
          <w:szCs w:val="24"/>
        </w:rPr>
      </w:pPr>
      <w:r w:rsidRPr="00363B84">
        <w:rPr>
          <w:rFonts w:ascii="Tahoma" w:eastAsia="Times New Roman" w:hAnsi="Tahoma" w:cs="Tahoma"/>
          <w:b/>
          <w:sz w:val="24"/>
          <w:szCs w:val="24"/>
        </w:rPr>
        <w:t>Art. 1</w:t>
      </w:r>
      <w:r w:rsidRPr="00363B84">
        <w:rPr>
          <w:rFonts w:ascii="Tahoma" w:eastAsia="Times New Roman" w:hAnsi="Tahoma" w:cs="Tahoma"/>
          <w:sz w:val="24"/>
          <w:szCs w:val="24"/>
        </w:rPr>
        <w:t xml:space="preserve"> projektu ustawy wprowadza zmiany w ustawie z dnia 13 kwietnia 2007 r. o Państwowej Inspekcji Pracy (Dz. U. z 2019 r. poz. 1251; dalej: „ustawa o PIP”). Projektowany art. 11c ustawy o PIP nadaje inspektorom pracy uprawnienie do ustalania istnienia stosunku pracy w razie stwierdzenia, że łączący strony stosunek prawny, wbrew zawartej między nimi umowie, ma cechy stosunku pracy. Ustalenie to następować ma w drodze decyzji w formie pisemnej (projektowany art. 34 ust. 1c) wydawanej przez okręgowego inspektora pracy (projektowane brzmienie art. 19 ust. 1 pkt 4). Projektowany art. 34 ust. 2a określa elementy, jakie zawierać musi decyzja, w tym ustalenie wysokości wynagrodzenia ze wskazaniem składników wynagrodzenia, która zgodnie projektowanym ust. 2b po potrąceniu składek na ubezpieczenia społeczne finansowanych ze środków ubezpieczonego, składek na ubezpieczenie zdrowotne oraz zaliczek na PIT nie może być niższa niż wysokość wynikającego z dotychczasowej umowy wynagrodzenia tego pracownika po potrąceniu składek i zaliczek na PIT. Decyzja ma wywoływać skutki takie jak wynikające z zawarcia umowy o pracę i być natychmiast wykonalna (projektowany art. 34 ust. 2c). Pracodawcy ma przysługiwać odwołanie od decyzji do sądu rejonowego, przy czym wniesienie odwołania nie będzie wstrzymywać wykonania decyzji (projektowany art. 34 ust. 5a).</w:t>
      </w:r>
    </w:p>
    <w:p w14:paraId="1729639C" w14:textId="77777777" w:rsidR="00363B84" w:rsidRDefault="00CC42EE" w:rsidP="00363B84">
      <w:pPr>
        <w:shd w:val="clear" w:color="auto" w:fill="FFFFFF"/>
        <w:spacing w:line="360" w:lineRule="auto"/>
        <w:ind w:firstLine="720"/>
        <w:jc w:val="both"/>
        <w:rPr>
          <w:rFonts w:ascii="Tahoma" w:eastAsia="Times New Roman" w:hAnsi="Tahoma" w:cs="Tahoma"/>
          <w:sz w:val="24"/>
          <w:szCs w:val="24"/>
        </w:rPr>
      </w:pPr>
      <w:r w:rsidRPr="00363B84">
        <w:rPr>
          <w:rFonts w:ascii="Tahoma" w:eastAsia="Times New Roman" w:hAnsi="Tahoma" w:cs="Tahoma"/>
          <w:b/>
          <w:sz w:val="24"/>
          <w:szCs w:val="24"/>
        </w:rPr>
        <w:t xml:space="preserve">Art. 2 </w:t>
      </w:r>
      <w:r w:rsidRPr="00363B84">
        <w:rPr>
          <w:rFonts w:ascii="Tahoma" w:eastAsia="Times New Roman" w:hAnsi="Tahoma" w:cs="Tahoma"/>
          <w:sz w:val="24"/>
          <w:szCs w:val="24"/>
        </w:rPr>
        <w:t>projektu ustawy zawiera zmiany w ustawie z dnia 17 listopada 1964 r. – Kodeks postępowania cywilnego (Dz. U. z 2020 r. poz. 1575, 1578 i 1747 oraz z 2021 r. poz. 11; dalej: „Kodeks postępowania cywilnego”) dotyczące postępowań w sprawie odwołań od decyzji inspektora pracy o ustaleniu istnienia stosunku pracy. Projektowane art. 63</w:t>
      </w:r>
      <w:r w:rsidRPr="00363B84">
        <w:rPr>
          <w:rFonts w:ascii="Tahoma" w:eastAsia="Times New Roman" w:hAnsi="Tahoma" w:cs="Tahoma"/>
          <w:sz w:val="24"/>
          <w:szCs w:val="24"/>
          <w:vertAlign w:val="superscript"/>
        </w:rPr>
        <w:t>1</w:t>
      </w:r>
      <w:r w:rsidRPr="00363B84">
        <w:rPr>
          <w:rFonts w:ascii="Tahoma" w:eastAsia="Times New Roman" w:hAnsi="Tahoma" w:cs="Tahoma"/>
          <w:sz w:val="24"/>
          <w:szCs w:val="24"/>
        </w:rPr>
        <w:t xml:space="preserve"> § 2 i art. 461 § 2a Kodeksu postępowania cywilnego określają odpowiednio strony postępowania i właściwość miejscową sądu. Projektowany art. 477</w:t>
      </w:r>
      <w:r w:rsidRPr="00363B84">
        <w:rPr>
          <w:rFonts w:ascii="Tahoma" w:eastAsia="Times New Roman" w:hAnsi="Tahoma" w:cs="Tahoma"/>
          <w:sz w:val="24"/>
          <w:szCs w:val="24"/>
          <w:vertAlign w:val="superscript"/>
        </w:rPr>
        <w:t>7b</w:t>
      </w:r>
      <w:r w:rsidRPr="00363B84">
        <w:rPr>
          <w:rFonts w:ascii="Tahoma" w:eastAsia="Times New Roman" w:hAnsi="Tahoma" w:cs="Tahoma"/>
          <w:sz w:val="24"/>
          <w:szCs w:val="24"/>
        </w:rPr>
        <w:t xml:space="preserve"> określa, że odwołanie wnosi się za pośrednictwem inspektora pracy, który wydał decyzję (§ 1), w nieprzekraczalnym terminie dwóch tygodni od dnia doręczenia decyzji (§ 2 i § 3), a także wskazuje wymogi, jakie odwołanie musi spełniać (§ 5). Stronami w postępowaniu są inspektor pracy, który wydał decyzję, oraz wnoszący odwołań od decyzji inspektora pracy (art. 477</w:t>
      </w:r>
      <w:r w:rsidRPr="00363B84">
        <w:rPr>
          <w:rFonts w:ascii="Tahoma" w:eastAsia="Times New Roman" w:hAnsi="Tahoma" w:cs="Tahoma"/>
          <w:sz w:val="24"/>
          <w:szCs w:val="24"/>
          <w:vertAlign w:val="superscript"/>
        </w:rPr>
        <w:t>7b</w:t>
      </w:r>
      <w:r w:rsidRPr="00363B84">
        <w:rPr>
          <w:rFonts w:ascii="Tahoma" w:eastAsia="Times New Roman" w:hAnsi="Tahoma" w:cs="Tahoma"/>
          <w:sz w:val="24"/>
          <w:szCs w:val="24"/>
        </w:rPr>
        <w:t xml:space="preserve"> § 7). Pracownika, jako zainteresowanego, należy poinformować o toczącym się postępowaniu, do którego może przystąpić w ciągu </w:t>
      </w:r>
      <w:r w:rsidRPr="00363B84">
        <w:rPr>
          <w:rFonts w:ascii="Tahoma" w:eastAsia="Times New Roman" w:hAnsi="Tahoma" w:cs="Tahoma"/>
          <w:sz w:val="24"/>
          <w:szCs w:val="24"/>
        </w:rPr>
        <w:lastRenderedPageBreak/>
        <w:t>dwóch tygodni od dnia doręczenia zawiadomienia (art. 477</w:t>
      </w:r>
      <w:r w:rsidRPr="00363B84">
        <w:rPr>
          <w:rFonts w:ascii="Tahoma" w:eastAsia="Times New Roman" w:hAnsi="Tahoma" w:cs="Tahoma"/>
          <w:sz w:val="24"/>
          <w:szCs w:val="24"/>
          <w:vertAlign w:val="superscript"/>
        </w:rPr>
        <w:t>7b</w:t>
      </w:r>
      <w:r w:rsidRPr="00363B84">
        <w:rPr>
          <w:rFonts w:ascii="Tahoma" w:eastAsia="Times New Roman" w:hAnsi="Tahoma" w:cs="Tahoma"/>
          <w:sz w:val="24"/>
          <w:szCs w:val="24"/>
        </w:rPr>
        <w:t xml:space="preserve"> § 8). Zgodnie z projektowanym art. 477</w:t>
      </w:r>
      <w:r w:rsidRPr="00363B84">
        <w:rPr>
          <w:rFonts w:ascii="Tahoma" w:eastAsia="Times New Roman" w:hAnsi="Tahoma" w:cs="Tahoma"/>
          <w:sz w:val="24"/>
          <w:szCs w:val="24"/>
          <w:vertAlign w:val="superscript"/>
        </w:rPr>
        <w:t>7b</w:t>
      </w:r>
      <w:r w:rsidRPr="00363B84">
        <w:rPr>
          <w:rFonts w:ascii="Tahoma" w:eastAsia="Times New Roman" w:hAnsi="Tahoma" w:cs="Tahoma"/>
          <w:sz w:val="24"/>
          <w:szCs w:val="24"/>
        </w:rPr>
        <w:t xml:space="preserve"> § 6 sąd może na wniosek wnoszącego odwołanie wstrzymać wykonanie decyzji, co stanowi zabezpieczenie dla pracodawcy w przypadku, gdy decyzja będzie w oczywisty sposób wadliwa.</w:t>
      </w:r>
    </w:p>
    <w:p w14:paraId="00000043" w14:textId="11056611" w:rsidR="00AF04B6" w:rsidRPr="00363B84" w:rsidRDefault="00CC42EE" w:rsidP="00363B84">
      <w:pPr>
        <w:shd w:val="clear" w:color="auto" w:fill="FFFFFF"/>
        <w:spacing w:line="360" w:lineRule="auto"/>
        <w:ind w:firstLine="720"/>
        <w:jc w:val="both"/>
        <w:rPr>
          <w:rFonts w:ascii="Tahoma" w:eastAsia="Times New Roman" w:hAnsi="Tahoma" w:cs="Tahoma"/>
          <w:sz w:val="24"/>
          <w:szCs w:val="24"/>
        </w:rPr>
      </w:pPr>
      <w:r w:rsidRPr="00363B84">
        <w:rPr>
          <w:rFonts w:ascii="Tahoma" w:eastAsia="Times New Roman" w:hAnsi="Tahoma" w:cs="Tahoma"/>
          <w:sz w:val="24"/>
          <w:szCs w:val="24"/>
        </w:rPr>
        <w:t xml:space="preserve">W </w:t>
      </w:r>
      <w:r w:rsidRPr="00363B84">
        <w:rPr>
          <w:rFonts w:ascii="Tahoma" w:eastAsia="Times New Roman" w:hAnsi="Tahoma" w:cs="Tahoma"/>
          <w:b/>
          <w:sz w:val="24"/>
          <w:szCs w:val="24"/>
        </w:rPr>
        <w:t>art. 3</w:t>
      </w:r>
      <w:r w:rsidRPr="00363B84">
        <w:rPr>
          <w:rFonts w:ascii="Tahoma" w:eastAsia="Times New Roman" w:hAnsi="Tahoma" w:cs="Tahoma"/>
          <w:sz w:val="24"/>
          <w:szCs w:val="24"/>
        </w:rPr>
        <w:t xml:space="preserve"> proponuje się wydłużenie okresu spoczywania ustawy ze standardowych 14 dni do 90 dni.</w:t>
      </w:r>
    </w:p>
    <w:p w14:paraId="00000044" w14:textId="77777777" w:rsidR="00AF04B6" w:rsidRPr="00363B84" w:rsidRDefault="00CC42EE">
      <w:pPr>
        <w:numPr>
          <w:ilvl w:val="0"/>
          <w:numId w:val="3"/>
        </w:numPr>
        <w:spacing w:before="240" w:after="240" w:line="360" w:lineRule="auto"/>
        <w:rPr>
          <w:rFonts w:ascii="Tahoma" w:eastAsia="Times New Roman" w:hAnsi="Tahoma" w:cs="Tahoma"/>
          <w:sz w:val="24"/>
          <w:szCs w:val="24"/>
        </w:rPr>
      </w:pPr>
      <w:r w:rsidRPr="00363B84">
        <w:rPr>
          <w:rFonts w:ascii="Tahoma" w:eastAsia="Times New Roman" w:hAnsi="Tahoma" w:cs="Tahoma"/>
          <w:b/>
          <w:sz w:val="24"/>
          <w:szCs w:val="24"/>
        </w:rPr>
        <w:t>Przewidywane skutki społeczne i finansowe</w:t>
      </w:r>
    </w:p>
    <w:p w14:paraId="00000046" w14:textId="77777777" w:rsidR="00AF04B6" w:rsidRPr="00363B84" w:rsidRDefault="00CC42EE" w:rsidP="00363B84">
      <w:pPr>
        <w:spacing w:line="360" w:lineRule="auto"/>
        <w:ind w:firstLine="720"/>
        <w:jc w:val="both"/>
        <w:rPr>
          <w:rFonts w:ascii="Tahoma" w:eastAsia="Times New Roman" w:hAnsi="Tahoma" w:cs="Tahoma"/>
          <w:sz w:val="24"/>
          <w:szCs w:val="24"/>
        </w:rPr>
      </w:pPr>
      <w:r w:rsidRPr="00363B84">
        <w:rPr>
          <w:rFonts w:ascii="Tahoma" w:eastAsia="Times New Roman" w:hAnsi="Tahoma" w:cs="Tahoma"/>
          <w:sz w:val="24"/>
          <w:szCs w:val="24"/>
        </w:rPr>
        <w:t>Wprowadzenie uprawnienia do ustalania istnienia stosunku pracy w drodze decyzji umożliwi Państwowej Inspekcji Pracy skuteczniejsze egzekwowanie prawa pracy. Wpływ wejścia w życie ustawy będzie odczuwalny nie tylko bezpośrednio – to jest w przypadkach, gdy inspektor wyda decyzję – ale także pośrednio dzięki zmniejszeniu przyzwolenia na łamanie prawa pracy. Efektem będzie więc zwiększenie stabilności zatrudnienia w Polsce i wzmocnienie pozycji pracowników.</w:t>
      </w:r>
    </w:p>
    <w:p w14:paraId="00000047" w14:textId="5EFAFA07" w:rsidR="00AF04B6" w:rsidRDefault="00CC42EE" w:rsidP="00363B84">
      <w:pPr>
        <w:spacing w:line="360" w:lineRule="auto"/>
        <w:ind w:firstLine="720"/>
        <w:jc w:val="both"/>
        <w:rPr>
          <w:rFonts w:ascii="Tahoma" w:eastAsia="Times New Roman" w:hAnsi="Tahoma" w:cs="Tahoma"/>
          <w:sz w:val="24"/>
          <w:szCs w:val="24"/>
        </w:rPr>
      </w:pPr>
      <w:r w:rsidRPr="00363B84">
        <w:rPr>
          <w:rFonts w:ascii="Tahoma" w:eastAsia="Times New Roman" w:hAnsi="Tahoma" w:cs="Tahoma"/>
          <w:sz w:val="24"/>
          <w:szCs w:val="24"/>
        </w:rPr>
        <w:t>Projekt nie pociąga za sobą bezpośrednich kosztów dla budżetu państwa. Niezależnie od przyjęcia proponowanego rozwiązania, dla skutecznego funkcjonowania inspekcji pracy koniecznie jest zasadnicze zwiększenie budżetu PIP.</w:t>
      </w:r>
    </w:p>
    <w:p w14:paraId="5D56C498" w14:textId="77777777" w:rsidR="00363B84" w:rsidRPr="00363B84" w:rsidRDefault="00363B84" w:rsidP="00363B84">
      <w:pPr>
        <w:spacing w:line="360" w:lineRule="auto"/>
        <w:ind w:firstLine="720"/>
        <w:jc w:val="both"/>
        <w:rPr>
          <w:rFonts w:ascii="Tahoma" w:eastAsia="Times New Roman" w:hAnsi="Tahoma" w:cs="Tahoma"/>
          <w:sz w:val="24"/>
          <w:szCs w:val="24"/>
        </w:rPr>
      </w:pPr>
    </w:p>
    <w:p w14:paraId="00000048" w14:textId="77777777" w:rsidR="00AF04B6" w:rsidRPr="00363B84" w:rsidRDefault="00CC42EE" w:rsidP="00363B84">
      <w:pPr>
        <w:numPr>
          <w:ilvl w:val="0"/>
          <w:numId w:val="3"/>
        </w:numPr>
        <w:spacing w:line="360" w:lineRule="auto"/>
        <w:rPr>
          <w:rFonts w:ascii="Tahoma" w:eastAsia="Times New Roman" w:hAnsi="Tahoma" w:cs="Tahoma"/>
          <w:sz w:val="24"/>
          <w:szCs w:val="24"/>
        </w:rPr>
      </w:pPr>
      <w:r w:rsidRPr="00363B84">
        <w:rPr>
          <w:rFonts w:ascii="Tahoma" w:eastAsia="Times New Roman" w:hAnsi="Tahoma" w:cs="Tahoma"/>
          <w:b/>
          <w:sz w:val="24"/>
          <w:szCs w:val="24"/>
        </w:rPr>
        <w:t>Wpływ na działalność mikro-, małych i średnich przedsiębiorców</w:t>
      </w:r>
    </w:p>
    <w:p w14:paraId="56FF17FF" w14:textId="77777777" w:rsidR="00363B84" w:rsidRDefault="00363B84" w:rsidP="00363B84">
      <w:pPr>
        <w:spacing w:line="360" w:lineRule="auto"/>
        <w:jc w:val="both"/>
        <w:rPr>
          <w:rFonts w:ascii="Tahoma" w:eastAsia="Times New Roman" w:hAnsi="Tahoma" w:cs="Tahoma"/>
          <w:sz w:val="24"/>
          <w:szCs w:val="24"/>
        </w:rPr>
      </w:pPr>
    </w:p>
    <w:p w14:paraId="00000049" w14:textId="13487691" w:rsidR="00AF04B6" w:rsidRDefault="00CC42EE" w:rsidP="00363B84">
      <w:pPr>
        <w:spacing w:line="360" w:lineRule="auto"/>
        <w:ind w:firstLine="720"/>
        <w:jc w:val="both"/>
        <w:rPr>
          <w:rFonts w:ascii="Tahoma" w:eastAsia="Times New Roman" w:hAnsi="Tahoma" w:cs="Tahoma"/>
          <w:sz w:val="24"/>
          <w:szCs w:val="24"/>
        </w:rPr>
      </w:pPr>
      <w:r w:rsidRPr="00363B84">
        <w:rPr>
          <w:rFonts w:ascii="Tahoma" w:eastAsia="Times New Roman" w:hAnsi="Tahoma" w:cs="Tahoma"/>
          <w:sz w:val="24"/>
          <w:szCs w:val="24"/>
        </w:rPr>
        <w:t>Zwiększenie skuteczności działania Państwowej Inspekcji Pracy, dzięki eliminacji nieuczciwej przewagi konkurencyjnej przedsiębiorstw nieprzestrzegających prawa pracy, przyczyni się do wyrównania konkurencyjności przedsiębiorstw.</w:t>
      </w:r>
    </w:p>
    <w:p w14:paraId="5DF965DA" w14:textId="77777777" w:rsidR="00363B84" w:rsidRPr="00363B84" w:rsidRDefault="00363B84" w:rsidP="00363B84">
      <w:pPr>
        <w:spacing w:line="360" w:lineRule="auto"/>
        <w:ind w:firstLine="720"/>
        <w:jc w:val="both"/>
        <w:rPr>
          <w:rFonts w:ascii="Tahoma" w:eastAsia="Times New Roman" w:hAnsi="Tahoma" w:cs="Tahoma"/>
          <w:sz w:val="24"/>
          <w:szCs w:val="24"/>
        </w:rPr>
      </w:pPr>
    </w:p>
    <w:p w14:paraId="0000004A" w14:textId="77777777" w:rsidR="00AF04B6" w:rsidRPr="00363B84" w:rsidRDefault="00CC42EE" w:rsidP="00363B84">
      <w:pPr>
        <w:numPr>
          <w:ilvl w:val="0"/>
          <w:numId w:val="3"/>
        </w:numPr>
        <w:spacing w:line="360" w:lineRule="auto"/>
        <w:jc w:val="both"/>
        <w:rPr>
          <w:rFonts w:ascii="Tahoma" w:eastAsia="Times New Roman" w:hAnsi="Tahoma" w:cs="Tahoma"/>
          <w:sz w:val="24"/>
          <w:szCs w:val="24"/>
        </w:rPr>
      </w:pPr>
      <w:r w:rsidRPr="00363B84">
        <w:rPr>
          <w:rFonts w:ascii="Tahoma" w:eastAsia="Times New Roman" w:hAnsi="Tahoma" w:cs="Tahoma"/>
          <w:b/>
          <w:sz w:val="24"/>
          <w:szCs w:val="24"/>
        </w:rPr>
        <w:t>Założenia aktów wykonawczych</w:t>
      </w:r>
    </w:p>
    <w:p w14:paraId="0000004B" w14:textId="43C5397B" w:rsidR="00AF04B6" w:rsidRDefault="00CC42EE" w:rsidP="00363B84">
      <w:pPr>
        <w:spacing w:line="360" w:lineRule="auto"/>
        <w:ind w:firstLine="720"/>
        <w:jc w:val="both"/>
        <w:rPr>
          <w:rFonts w:ascii="Tahoma" w:eastAsia="Times New Roman" w:hAnsi="Tahoma" w:cs="Tahoma"/>
          <w:sz w:val="24"/>
          <w:szCs w:val="24"/>
        </w:rPr>
      </w:pPr>
      <w:r w:rsidRPr="00363B84">
        <w:rPr>
          <w:rFonts w:ascii="Tahoma" w:eastAsia="Times New Roman" w:hAnsi="Tahoma" w:cs="Tahoma"/>
          <w:sz w:val="24"/>
          <w:szCs w:val="24"/>
        </w:rPr>
        <w:t>Wejście ustawy w życie nie wymaga wydania nowych aktów wykonawczych.</w:t>
      </w:r>
    </w:p>
    <w:p w14:paraId="003B02FF" w14:textId="77777777" w:rsidR="00363B84" w:rsidRPr="00363B84" w:rsidRDefault="00363B84" w:rsidP="00363B84">
      <w:pPr>
        <w:spacing w:line="360" w:lineRule="auto"/>
        <w:ind w:firstLine="720"/>
        <w:jc w:val="both"/>
        <w:rPr>
          <w:rFonts w:ascii="Tahoma" w:eastAsia="Times New Roman" w:hAnsi="Tahoma" w:cs="Tahoma"/>
          <w:sz w:val="24"/>
          <w:szCs w:val="24"/>
        </w:rPr>
      </w:pPr>
    </w:p>
    <w:p w14:paraId="0000004C" w14:textId="77777777" w:rsidR="00AF04B6" w:rsidRPr="00363B84" w:rsidRDefault="00CC42EE" w:rsidP="00363B84">
      <w:pPr>
        <w:numPr>
          <w:ilvl w:val="0"/>
          <w:numId w:val="3"/>
        </w:numPr>
        <w:spacing w:line="360" w:lineRule="auto"/>
        <w:jc w:val="both"/>
        <w:rPr>
          <w:rFonts w:ascii="Tahoma" w:eastAsia="Times New Roman" w:hAnsi="Tahoma" w:cs="Tahoma"/>
          <w:b/>
          <w:sz w:val="24"/>
          <w:szCs w:val="24"/>
        </w:rPr>
      </w:pPr>
      <w:r w:rsidRPr="00363B84">
        <w:rPr>
          <w:rFonts w:ascii="Tahoma" w:eastAsia="Times New Roman" w:hAnsi="Tahoma" w:cs="Tahoma"/>
          <w:b/>
          <w:sz w:val="24"/>
          <w:szCs w:val="24"/>
        </w:rPr>
        <w:t>Oświadczenie o zgodności z prawem Unii Europejskiej</w:t>
      </w:r>
    </w:p>
    <w:p w14:paraId="0000004D" w14:textId="25A44C97" w:rsidR="00AF04B6" w:rsidRDefault="00CC42EE" w:rsidP="00363B84">
      <w:pPr>
        <w:spacing w:line="360" w:lineRule="auto"/>
        <w:ind w:firstLine="720"/>
        <w:jc w:val="both"/>
        <w:rPr>
          <w:rFonts w:ascii="Tahoma" w:eastAsia="Times New Roman" w:hAnsi="Tahoma" w:cs="Tahoma"/>
          <w:sz w:val="24"/>
          <w:szCs w:val="24"/>
        </w:rPr>
      </w:pPr>
      <w:r w:rsidRPr="00363B84">
        <w:rPr>
          <w:rFonts w:ascii="Tahoma" w:eastAsia="Times New Roman" w:hAnsi="Tahoma" w:cs="Tahoma"/>
          <w:sz w:val="24"/>
          <w:szCs w:val="24"/>
        </w:rPr>
        <w:t>Przedmiot projektowanej regulacji nie jest objęty prawem Unii Europejskiej.</w:t>
      </w:r>
    </w:p>
    <w:p w14:paraId="2B1B02FD" w14:textId="464E7E59" w:rsidR="00363B84" w:rsidRDefault="00363B84" w:rsidP="00363B84">
      <w:pPr>
        <w:spacing w:line="360" w:lineRule="auto"/>
        <w:ind w:firstLine="720"/>
        <w:jc w:val="both"/>
        <w:rPr>
          <w:rFonts w:ascii="Tahoma" w:eastAsia="Times New Roman" w:hAnsi="Tahoma" w:cs="Tahoma"/>
          <w:sz w:val="24"/>
          <w:szCs w:val="24"/>
        </w:rPr>
      </w:pPr>
    </w:p>
    <w:p w14:paraId="5D9120A5" w14:textId="365E0F8A" w:rsidR="00363B84" w:rsidRDefault="00363B84" w:rsidP="00363B84">
      <w:pPr>
        <w:pStyle w:val="Akapitzlist"/>
        <w:numPr>
          <w:ilvl w:val="0"/>
          <w:numId w:val="3"/>
        </w:numPr>
        <w:spacing w:before="240" w:after="240" w:line="360" w:lineRule="auto"/>
        <w:jc w:val="both"/>
        <w:rPr>
          <w:rFonts w:ascii="Tahoma" w:eastAsia="Times New Roman" w:hAnsi="Tahoma" w:cs="Tahoma"/>
          <w:b/>
          <w:sz w:val="24"/>
          <w:szCs w:val="24"/>
          <w:highlight w:val="white"/>
        </w:rPr>
      </w:pPr>
      <w:r w:rsidRPr="00363B84">
        <w:rPr>
          <w:rFonts w:ascii="Tahoma" w:eastAsia="Times New Roman" w:hAnsi="Tahoma" w:cs="Tahoma"/>
          <w:b/>
          <w:sz w:val="24"/>
          <w:szCs w:val="24"/>
          <w:highlight w:val="white"/>
        </w:rPr>
        <w:lastRenderedPageBreak/>
        <w:t>Oświadczenie o notyfikacji zgodnie z przepisami dotyczącymi funkcjonowania krajowego sytemu notyfikacji norm i aktów prawnych</w:t>
      </w:r>
      <w:r>
        <w:rPr>
          <w:rFonts w:ascii="Tahoma" w:eastAsia="Times New Roman" w:hAnsi="Tahoma" w:cs="Tahoma"/>
          <w:b/>
          <w:sz w:val="24"/>
          <w:szCs w:val="24"/>
          <w:highlight w:val="white"/>
        </w:rPr>
        <w:t xml:space="preserve"> </w:t>
      </w:r>
    </w:p>
    <w:p w14:paraId="5187028A" w14:textId="77777777" w:rsidR="00363B84" w:rsidRDefault="00363B84" w:rsidP="00363B84">
      <w:pPr>
        <w:pStyle w:val="Akapitzlist"/>
        <w:spacing w:before="240" w:after="240" w:line="360" w:lineRule="auto"/>
        <w:jc w:val="both"/>
        <w:rPr>
          <w:rFonts w:ascii="Tahoma" w:eastAsia="Times New Roman" w:hAnsi="Tahoma" w:cs="Tahoma"/>
          <w:b/>
          <w:sz w:val="24"/>
          <w:szCs w:val="24"/>
          <w:highlight w:val="white"/>
        </w:rPr>
      </w:pPr>
    </w:p>
    <w:p w14:paraId="232096C6" w14:textId="77777777" w:rsidR="00363B84" w:rsidRDefault="00363B84" w:rsidP="00363B84">
      <w:pPr>
        <w:pStyle w:val="Akapitzlist"/>
        <w:spacing w:before="240" w:after="240" w:line="360" w:lineRule="auto"/>
        <w:ind w:left="0" w:firstLine="360"/>
        <w:jc w:val="both"/>
        <w:rPr>
          <w:rFonts w:ascii="Tahoma" w:eastAsia="Times New Roman" w:hAnsi="Tahoma" w:cs="Tahoma"/>
          <w:b/>
          <w:sz w:val="24"/>
          <w:szCs w:val="24"/>
          <w:highlight w:val="white"/>
        </w:rPr>
      </w:pPr>
      <w:r w:rsidRPr="00B92A9B">
        <w:rPr>
          <w:rFonts w:ascii="Tahoma" w:eastAsia="Times New Roman" w:hAnsi="Tahoma" w:cs="Tahoma"/>
          <w:sz w:val="24"/>
          <w:szCs w:val="24"/>
          <w:highlight w:val="white"/>
        </w:rPr>
        <w:t>Projekt ustawy nie wymaga przedstawienia właściwym organom i instytucjom Unii Europejskiej w tym Europejskiemu Bankowi Centralnemu, w celu uzyskania opinii, dokonania powiadomienia, konsultacji lub uzgodnienia.</w:t>
      </w:r>
      <w:r w:rsidRPr="00363B84">
        <w:rPr>
          <w:rFonts w:ascii="Tahoma" w:eastAsia="Times New Roman" w:hAnsi="Tahoma" w:cs="Tahoma"/>
          <w:b/>
          <w:sz w:val="24"/>
          <w:szCs w:val="24"/>
          <w:highlight w:val="white"/>
        </w:rPr>
        <w:t xml:space="preserve"> </w:t>
      </w:r>
    </w:p>
    <w:p w14:paraId="53CE8F58" w14:textId="77777777" w:rsidR="00363B84" w:rsidRDefault="00363B84" w:rsidP="00363B84">
      <w:pPr>
        <w:pStyle w:val="Akapitzlist"/>
        <w:spacing w:before="240" w:after="240" w:line="360" w:lineRule="auto"/>
        <w:jc w:val="both"/>
        <w:rPr>
          <w:rFonts w:ascii="Tahoma" w:eastAsia="Times New Roman" w:hAnsi="Tahoma" w:cs="Tahoma"/>
          <w:b/>
          <w:sz w:val="24"/>
          <w:szCs w:val="24"/>
          <w:highlight w:val="white"/>
        </w:rPr>
      </w:pPr>
    </w:p>
    <w:p w14:paraId="44E3BA4A" w14:textId="3444F097" w:rsidR="00363B84" w:rsidRPr="00363B84" w:rsidRDefault="00363B84" w:rsidP="00363B84">
      <w:pPr>
        <w:pStyle w:val="Akapitzlist"/>
        <w:numPr>
          <w:ilvl w:val="0"/>
          <w:numId w:val="3"/>
        </w:numPr>
        <w:spacing w:before="240" w:after="240" w:line="360" w:lineRule="auto"/>
        <w:jc w:val="both"/>
        <w:rPr>
          <w:rFonts w:ascii="Tahoma" w:eastAsia="Times New Roman" w:hAnsi="Tahoma" w:cs="Tahoma"/>
          <w:b/>
          <w:sz w:val="24"/>
          <w:szCs w:val="24"/>
          <w:highlight w:val="white"/>
        </w:rPr>
      </w:pPr>
      <w:r>
        <w:rPr>
          <w:rFonts w:ascii="Tahoma" w:eastAsia="Times New Roman" w:hAnsi="Tahoma" w:cs="Tahoma"/>
          <w:b/>
          <w:sz w:val="24"/>
          <w:szCs w:val="24"/>
          <w:highlight w:val="white"/>
        </w:rPr>
        <w:t>Konsultacje społeczne</w:t>
      </w:r>
    </w:p>
    <w:p w14:paraId="7BA49EAE" w14:textId="77777777" w:rsidR="00363B84" w:rsidRPr="00B92A9B" w:rsidRDefault="00363B84" w:rsidP="00363B84">
      <w:pPr>
        <w:spacing w:before="240" w:after="240" w:line="360" w:lineRule="auto"/>
        <w:ind w:firstLine="720"/>
        <w:jc w:val="both"/>
        <w:rPr>
          <w:rFonts w:ascii="Tahoma" w:hAnsi="Tahoma" w:cs="Tahoma"/>
          <w:sz w:val="24"/>
          <w:szCs w:val="24"/>
        </w:rPr>
      </w:pPr>
      <w:r w:rsidRPr="00B92A9B">
        <w:rPr>
          <w:rFonts w:ascii="Tahoma" w:eastAsia="Times New Roman" w:hAnsi="Tahoma" w:cs="Tahoma"/>
          <w:sz w:val="24"/>
          <w:szCs w:val="24"/>
          <w:highlight w:val="white"/>
        </w:rPr>
        <w:t>Proponowany projekt nie był dotychczas poddawany konsultacjom społecznym.</w:t>
      </w:r>
    </w:p>
    <w:p w14:paraId="33CB9D74" w14:textId="77777777" w:rsidR="00363B84" w:rsidRPr="00B92A9B" w:rsidRDefault="00363B84" w:rsidP="00363B84">
      <w:pPr>
        <w:spacing w:before="240" w:after="240" w:line="360" w:lineRule="auto"/>
        <w:ind w:firstLine="720"/>
        <w:jc w:val="both"/>
        <w:rPr>
          <w:rFonts w:ascii="Tahoma" w:eastAsia="Times New Roman" w:hAnsi="Tahoma" w:cs="Tahoma"/>
          <w:sz w:val="24"/>
          <w:szCs w:val="24"/>
          <w:highlight w:val="white"/>
        </w:rPr>
      </w:pPr>
    </w:p>
    <w:p w14:paraId="4C51FF63" w14:textId="77777777" w:rsidR="00363B84" w:rsidRDefault="00363B84" w:rsidP="00363B84">
      <w:pPr>
        <w:spacing w:line="360" w:lineRule="auto"/>
        <w:ind w:firstLine="720"/>
        <w:jc w:val="both"/>
        <w:rPr>
          <w:rFonts w:ascii="Tahoma" w:eastAsia="Times New Roman" w:hAnsi="Tahoma" w:cs="Tahoma"/>
          <w:sz w:val="24"/>
          <w:szCs w:val="24"/>
        </w:rPr>
      </w:pPr>
    </w:p>
    <w:p w14:paraId="485FBB1B" w14:textId="1B99CC68" w:rsidR="00363B84" w:rsidRDefault="00363B84" w:rsidP="00363B84">
      <w:pPr>
        <w:spacing w:line="360" w:lineRule="auto"/>
        <w:ind w:firstLine="720"/>
        <w:jc w:val="both"/>
        <w:rPr>
          <w:rFonts w:ascii="Tahoma" w:eastAsia="Times New Roman" w:hAnsi="Tahoma" w:cs="Tahoma"/>
          <w:sz w:val="24"/>
          <w:szCs w:val="24"/>
        </w:rPr>
      </w:pPr>
    </w:p>
    <w:p w14:paraId="76438433" w14:textId="77777777" w:rsidR="00363B84" w:rsidRPr="00363B84" w:rsidRDefault="00363B84" w:rsidP="00363B84">
      <w:pPr>
        <w:spacing w:line="360" w:lineRule="auto"/>
        <w:ind w:firstLine="720"/>
        <w:jc w:val="both"/>
        <w:rPr>
          <w:rFonts w:ascii="Tahoma" w:hAnsi="Tahoma" w:cs="Tahoma"/>
          <w:sz w:val="24"/>
          <w:szCs w:val="24"/>
        </w:rPr>
      </w:pPr>
    </w:p>
    <w:sectPr w:rsidR="00363B84" w:rsidRPr="00363B84">
      <w:footerReference w:type="default" r:id="rId7"/>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ACC77C" w14:textId="77777777" w:rsidR="00CB6FBA" w:rsidRDefault="00CB6FBA">
      <w:pPr>
        <w:spacing w:line="240" w:lineRule="auto"/>
      </w:pPr>
      <w:r>
        <w:separator/>
      </w:r>
    </w:p>
  </w:endnote>
  <w:endnote w:type="continuationSeparator" w:id="0">
    <w:p w14:paraId="2313D00E" w14:textId="77777777" w:rsidR="00CB6FBA" w:rsidRDefault="00CB6F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ahoma" w:hAnsi="Tahoma" w:cs="Tahoma"/>
      </w:rPr>
      <w:id w:val="742681934"/>
      <w:docPartObj>
        <w:docPartGallery w:val="Page Numbers (Bottom of Page)"/>
        <w:docPartUnique/>
      </w:docPartObj>
    </w:sdtPr>
    <w:sdtEndPr/>
    <w:sdtContent>
      <w:p w14:paraId="59C06006" w14:textId="59F10660" w:rsidR="00363B84" w:rsidRPr="00363B84" w:rsidRDefault="00363B84">
        <w:pPr>
          <w:pStyle w:val="Stopka"/>
          <w:jc w:val="center"/>
          <w:rPr>
            <w:rFonts w:ascii="Tahoma" w:hAnsi="Tahoma" w:cs="Tahoma"/>
          </w:rPr>
        </w:pPr>
        <w:r w:rsidRPr="00363B84">
          <w:rPr>
            <w:rFonts w:ascii="Tahoma" w:hAnsi="Tahoma" w:cs="Tahoma"/>
          </w:rPr>
          <w:fldChar w:fldCharType="begin"/>
        </w:r>
        <w:r w:rsidRPr="00363B84">
          <w:rPr>
            <w:rFonts w:ascii="Tahoma" w:hAnsi="Tahoma" w:cs="Tahoma"/>
          </w:rPr>
          <w:instrText>PAGE   \* MERGEFORMAT</w:instrText>
        </w:r>
        <w:r w:rsidRPr="00363B84">
          <w:rPr>
            <w:rFonts w:ascii="Tahoma" w:hAnsi="Tahoma" w:cs="Tahoma"/>
          </w:rPr>
          <w:fldChar w:fldCharType="separate"/>
        </w:r>
        <w:r w:rsidR="007B2739" w:rsidRPr="007B2739">
          <w:rPr>
            <w:rFonts w:ascii="Tahoma" w:hAnsi="Tahoma" w:cs="Tahoma"/>
            <w:noProof/>
            <w:lang w:val="pl-PL"/>
          </w:rPr>
          <w:t>5</w:t>
        </w:r>
        <w:r w:rsidRPr="00363B84">
          <w:rPr>
            <w:rFonts w:ascii="Tahoma" w:hAnsi="Tahoma" w:cs="Tahoma"/>
          </w:rPr>
          <w:fldChar w:fldCharType="end"/>
        </w:r>
      </w:p>
    </w:sdtContent>
  </w:sdt>
  <w:p w14:paraId="58F6B97E" w14:textId="77777777" w:rsidR="00363B84" w:rsidRPr="00363B84" w:rsidRDefault="00363B84">
    <w:pPr>
      <w:pStyle w:val="Stopka"/>
      <w:rPr>
        <w:rFonts w:ascii="Tahoma" w:hAnsi="Tahoma" w:cs="Tahom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4C2B49" w14:textId="77777777" w:rsidR="00CB6FBA" w:rsidRDefault="00CB6FBA">
      <w:pPr>
        <w:spacing w:line="240" w:lineRule="auto"/>
      </w:pPr>
      <w:r>
        <w:separator/>
      </w:r>
    </w:p>
  </w:footnote>
  <w:footnote w:type="continuationSeparator" w:id="0">
    <w:p w14:paraId="27932AC6" w14:textId="77777777" w:rsidR="00CB6FBA" w:rsidRDefault="00CB6FBA">
      <w:pPr>
        <w:spacing w:line="240" w:lineRule="auto"/>
      </w:pPr>
      <w:r>
        <w:continuationSeparator/>
      </w:r>
    </w:p>
  </w:footnote>
  <w:footnote w:id="1">
    <w:p w14:paraId="0000004E" w14:textId="77777777" w:rsidR="00AF04B6" w:rsidRPr="00363B84" w:rsidRDefault="00CC42EE">
      <w:pPr>
        <w:spacing w:line="240" w:lineRule="auto"/>
        <w:jc w:val="both"/>
        <w:rPr>
          <w:rFonts w:ascii="Tahoma" w:eastAsia="Times New Roman" w:hAnsi="Tahoma" w:cs="Tahoma"/>
          <w:sz w:val="20"/>
          <w:szCs w:val="20"/>
        </w:rPr>
      </w:pPr>
      <w:r w:rsidRPr="00363B84">
        <w:rPr>
          <w:rFonts w:ascii="Tahoma" w:hAnsi="Tahoma" w:cs="Tahoma"/>
          <w:vertAlign w:val="superscript"/>
        </w:rPr>
        <w:footnoteRef/>
      </w:r>
      <w:r w:rsidRPr="00363B84">
        <w:rPr>
          <w:rFonts w:ascii="Tahoma" w:eastAsia="Times New Roman" w:hAnsi="Tahoma" w:cs="Tahoma"/>
          <w:sz w:val="20"/>
          <w:szCs w:val="20"/>
        </w:rPr>
        <w:t xml:space="preserve"> Sprawozdanie z działalności Państwowej Inspekcji Pracy w 2019 roku, druk nr 470 w IX kadencji Sejmu, s. 97.</w:t>
      </w:r>
    </w:p>
  </w:footnote>
  <w:footnote w:id="2">
    <w:p w14:paraId="0000004F" w14:textId="77777777" w:rsidR="00AF04B6" w:rsidRPr="00363B84" w:rsidRDefault="00CC42EE">
      <w:pPr>
        <w:spacing w:line="240" w:lineRule="auto"/>
        <w:jc w:val="both"/>
        <w:rPr>
          <w:rFonts w:ascii="Tahoma" w:hAnsi="Tahoma" w:cs="Tahoma"/>
          <w:sz w:val="20"/>
          <w:szCs w:val="20"/>
        </w:rPr>
      </w:pPr>
      <w:r w:rsidRPr="00363B84">
        <w:rPr>
          <w:rFonts w:ascii="Tahoma" w:hAnsi="Tahoma" w:cs="Tahoma"/>
          <w:vertAlign w:val="superscript"/>
        </w:rPr>
        <w:footnoteRef/>
      </w:r>
      <w:r w:rsidRPr="00363B84">
        <w:rPr>
          <w:rFonts w:ascii="Tahoma" w:eastAsia="Times New Roman" w:hAnsi="Tahoma" w:cs="Tahoma"/>
          <w:sz w:val="20"/>
          <w:szCs w:val="20"/>
        </w:rPr>
        <w:t xml:space="preserve"> Ibid., s. 96.</w:t>
      </w:r>
    </w:p>
  </w:footnote>
  <w:footnote w:id="3">
    <w:p w14:paraId="00000050" w14:textId="77777777" w:rsidR="00AF04B6" w:rsidRPr="00363B84" w:rsidRDefault="00CC42EE">
      <w:pPr>
        <w:spacing w:line="240" w:lineRule="auto"/>
        <w:rPr>
          <w:rFonts w:ascii="Tahoma" w:eastAsia="Times New Roman" w:hAnsi="Tahoma" w:cs="Tahoma"/>
          <w:sz w:val="20"/>
          <w:szCs w:val="20"/>
        </w:rPr>
      </w:pPr>
      <w:r w:rsidRPr="00363B84">
        <w:rPr>
          <w:rFonts w:ascii="Tahoma" w:hAnsi="Tahoma" w:cs="Tahoma"/>
          <w:vertAlign w:val="superscript"/>
        </w:rPr>
        <w:footnoteRef/>
      </w:r>
      <w:r w:rsidRPr="00363B84">
        <w:rPr>
          <w:rFonts w:ascii="Tahoma" w:eastAsia="Times New Roman" w:hAnsi="Tahoma" w:cs="Tahoma"/>
          <w:sz w:val="20"/>
          <w:szCs w:val="20"/>
        </w:rPr>
        <w:t xml:space="preserve"> Ibid., s. 98.</w:t>
      </w:r>
    </w:p>
  </w:footnote>
  <w:footnote w:id="4">
    <w:p w14:paraId="00000051" w14:textId="77777777" w:rsidR="00AF04B6" w:rsidRPr="00363B84" w:rsidRDefault="00CC42EE">
      <w:pPr>
        <w:spacing w:line="240" w:lineRule="auto"/>
        <w:rPr>
          <w:rFonts w:ascii="Tahoma" w:eastAsia="Times New Roman" w:hAnsi="Tahoma" w:cs="Tahoma"/>
          <w:sz w:val="20"/>
          <w:szCs w:val="20"/>
        </w:rPr>
      </w:pPr>
      <w:r w:rsidRPr="00363B84">
        <w:rPr>
          <w:rFonts w:ascii="Tahoma" w:hAnsi="Tahoma" w:cs="Tahoma"/>
          <w:vertAlign w:val="superscript"/>
        </w:rPr>
        <w:footnoteRef/>
      </w:r>
      <w:r w:rsidRPr="00363B84">
        <w:rPr>
          <w:rFonts w:ascii="Tahoma" w:eastAsia="Times New Roman" w:hAnsi="Tahoma" w:cs="Tahoma"/>
          <w:sz w:val="20"/>
          <w:szCs w:val="20"/>
        </w:rPr>
        <w:t xml:space="preserve"> Program Ogólnopolskiego Porozumienia Związków Zawodowych na lata 2018-2022, Warszawa 2018, s. 14.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7E5D04"/>
    <w:multiLevelType w:val="multilevel"/>
    <w:tmpl w:val="4E08122E"/>
    <w:lvl w:ilvl="0">
      <w:start w:val="1"/>
      <w:numFmt w:val="decimal"/>
      <w:lvlText w:val="%1)"/>
      <w:lvlJc w:val="left"/>
      <w:pPr>
        <w:ind w:left="72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3F10D3E"/>
    <w:multiLevelType w:val="multilevel"/>
    <w:tmpl w:val="8324A054"/>
    <w:lvl w:ilvl="0">
      <w:start w:val="1"/>
      <w:numFmt w:val="decimal"/>
      <w:lvlText w:val="%1."/>
      <w:lvlJc w:val="right"/>
      <w:pPr>
        <w:ind w:left="720" w:hanging="360"/>
      </w:pPr>
      <w:rPr>
        <w:rFonts w:ascii="Arial" w:eastAsia="Arial" w:hAnsi="Arial" w:cs="Arial"/>
        <w:b/>
        <w:color w:val="000000"/>
        <w:u w:val="none"/>
      </w:rPr>
    </w:lvl>
    <w:lvl w:ilvl="1">
      <w:start w:val="1"/>
      <w:numFmt w:val="decimal"/>
      <w:lvlText w:val="%1.%2."/>
      <w:lvlJc w:val="right"/>
      <w:pPr>
        <w:ind w:left="0" w:firstLine="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2" w15:restartNumberingAfterBreak="0">
    <w:nsid w:val="643A414C"/>
    <w:multiLevelType w:val="multilevel"/>
    <w:tmpl w:val="713468B4"/>
    <w:lvl w:ilvl="0">
      <w:start w:val="1"/>
      <w:numFmt w:val="decimal"/>
      <w:lvlText w:val="%1)"/>
      <w:lvlJc w:val="left"/>
      <w:pPr>
        <w:ind w:left="720" w:hanging="720"/>
      </w:pPr>
      <w:rPr>
        <w:u w:val="none"/>
      </w:rPr>
    </w:lvl>
    <w:lvl w:ilvl="1">
      <w:start w:val="1"/>
      <w:numFmt w:val="lowerLetter"/>
      <w:lvlText w:val="%2)"/>
      <w:lvlJc w:val="left"/>
      <w:pPr>
        <w:ind w:left="1440" w:hanging="72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04B6"/>
    <w:rsid w:val="00363B84"/>
    <w:rsid w:val="005C7270"/>
    <w:rsid w:val="0069682C"/>
    <w:rsid w:val="007B2739"/>
    <w:rsid w:val="00AF04B6"/>
    <w:rsid w:val="00CB6FBA"/>
    <w:rsid w:val="00CC42E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6C90A"/>
  <w15:docId w15:val="{E26D926C-36D8-4392-BB55-F74680A84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pl" w:eastAsia="pl-PL"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style>
  <w:style w:type="paragraph" w:styleId="Nagwek1">
    <w:name w:val="heading 1"/>
    <w:basedOn w:val="Normalny"/>
    <w:next w:val="Normalny"/>
    <w:pPr>
      <w:keepNext/>
      <w:keepLines/>
      <w:spacing w:before="400" w:after="120"/>
      <w:outlineLvl w:val="0"/>
    </w:pPr>
    <w:rPr>
      <w:sz w:val="40"/>
      <w:szCs w:val="40"/>
    </w:rPr>
  </w:style>
  <w:style w:type="paragraph" w:styleId="Nagwek2">
    <w:name w:val="heading 2"/>
    <w:basedOn w:val="Normalny"/>
    <w:next w:val="Normalny"/>
    <w:pPr>
      <w:keepNext/>
      <w:keepLines/>
      <w:spacing w:before="360" w:after="120"/>
      <w:outlineLvl w:val="1"/>
    </w:pPr>
    <w:rPr>
      <w:sz w:val="32"/>
      <w:szCs w:val="32"/>
    </w:rPr>
  </w:style>
  <w:style w:type="paragraph" w:styleId="Nagwek3">
    <w:name w:val="heading 3"/>
    <w:basedOn w:val="Normalny"/>
    <w:next w:val="Normalny"/>
    <w:pPr>
      <w:keepNext/>
      <w:keepLines/>
      <w:spacing w:before="320" w:after="80"/>
      <w:outlineLvl w:val="2"/>
    </w:pPr>
    <w:rPr>
      <w:color w:val="434343"/>
      <w:sz w:val="28"/>
      <w:szCs w:val="28"/>
    </w:rPr>
  </w:style>
  <w:style w:type="paragraph" w:styleId="Nagwek4">
    <w:name w:val="heading 4"/>
    <w:basedOn w:val="Normalny"/>
    <w:next w:val="Normalny"/>
    <w:pPr>
      <w:keepNext/>
      <w:keepLines/>
      <w:spacing w:before="280" w:after="80"/>
      <w:outlineLvl w:val="3"/>
    </w:pPr>
    <w:rPr>
      <w:color w:val="666666"/>
      <w:sz w:val="24"/>
      <w:szCs w:val="24"/>
    </w:rPr>
  </w:style>
  <w:style w:type="paragraph" w:styleId="Nagwek5">
    <w:name w:val="heading 5"/>
    <w:basedOn w:val="Normalny"/>
    <w:next w:val="Normalny"/>
    <w:pPr>
      <w:keepNext/>
      <w:keepLines/>
      <w:spacing w:before="240" w:after="80"/>
      <w:outlineLvl w:val="4"/>
    </w:pPr>
    <w:rPr>
      <w:color w:val="666666"/>
    </w:rPr>
  </w:style>
  <w:style w:type="paragraph" w:styleId="Nagwek6">
    <w:name w:val="heading 6"/>
    <w:basedOn w:val="Normalny"/>
    <w:next w:val="Normalny"/>
    <w:pPr>
      <w:keepNext/>
      <w:keepLines/>
      <w:spacing w:before="240" w:after="80"/>
      <w:outlineLvl w:val="5"/>
    </w:pPr>
    <w:rPr>
      <w:i/>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pPr>
      <w:keepNext/>
      <w:keepLines/>
      <w:spacing w:after="60"/>
    </w:pPr>
    <w:rPr>
      <w:sz w:val="52"/>
      <w:szCs w:val="52"/>
    </w:rPr>
  </w:style>
  <w:style w:type="paragraph" w:styleId="Podtytu">
    <w:name w:val="Subtitle"/>
    <w:basedOn w:val="Normalny"/>
    <w:next w:val="Normalny"/>
    <w:pPr>
      <w:keepNext/>
      <w:keepLines/>
      <w:spacing w:after="320"/>
    </w:pPr>
    <w:rPr>
      <w:color w:val="666666"/>
      <w:sz w:val="30"/>
      <w:szCs w:val="30"/>
    </w:rPr>
  </w:style>
  <w:style w:type="paragraph" w:styleId="Akapitzlist">
    <w:name w:val="List Paragraph"/>
    <w:basedOn w:val="Normalny"/>
    <w:uiPriority w:val="34"/>
    <w:qFormat/>
    <w:rsid w:val="00363B84"/>
    <w:pPr>
      <w:ind w:left="720"/>
      <w:contextualSpacing/>
    </w:pPr>
  </w:style>
  <w:style w:type="paragraph" w:styleId="Nagwek">
    <w:name w:val="header"/>
    <w:basedOn w:val="Normalny"/>
    <w:link w:val="NagwekZnak"/>
    <w:uiPriority w:val="99"/>
    <w:unhideWhenUsed/>
    <w:rsid w:val="00363B84"/>
    <w:pPr>
      <w:tabs>
        <w:tab w:val="center" w:pos="4536"/>
        <w:tab w:val="right" w:pos="9072"/>
      </w:tabs>
      <w:spacing w:line="240" w:lineRule="auto"/>
    </w:pPr>
  </w:style>
  <w:style w:type="character" w:customStyle="1" w:styleId="NagwekZnak">
    <w:name w:val="Nagłówek Znak"/>
    <w:basedOn w:val="Domylnaczcionkaakapitu"/>
    <w:link w:val="Nagwek"/>
    <w:uiPriority w:val="99"/>
    <w:rsid w:val="00363B84"/>
  </w:style>
  <w:style w:type="paragraph" w:styleId="Stopka">
    <w:name w:val="footer"/>
    <w:basedOn w:val="Normalny"/>
    <w:link w:val="StopkaZnak"/>
    <w:uiPriority w:val="99"/>
    <w:unhideWhenUsed/>
    <w:rsid w:val="00363B84"/>
    <w:pPr>
      <w:tabs>
        <w:tab w:val="center" w:pos="4536"/>
        <w:tab w:val="right" w:pos="9072"/>
      </w:tabs>
      <w:spacing w:line="240" w:lineRule="auto"/>
    </w:pPr>
  </w:style>
  <w:style w:type="character" w:customStyle="1" w:styleId="StopkaZnak">
    <w:name w:val="Stopka Znak"/>
    <w:basedOn w:val="Domylnaczcionkaakapitu"/>
    <w:link w:val="Stopka"/>
    <w:uiPriority w:val="99"/>
    <w:rsid w:val="00363B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1196</Words>
  <Characters>7182</Characters>
  <Application>Microsoft Office Word</Application>
  <DocSecurity>0</DocSecurity>
  <Lines>59</Lines>
  <Paragraphs>16</Paragraphs>
  <ScaleCrop>false</ScaleCrop>
  <HeadingPairs>
    <vt:vector size="2" baseType="variant">
      <vt:variant>
        <vt:lpstr>Tytuł</vt:lpstr>
      </vt:variant>
      <vt:variant>
        <vt:i4>1</vt:i4>
      </vt:variant>
    </vt:vector>
  </HeadingPairs>
  <TitlesOfParts>
    <vt:vector size="1" baseType="lpstr">
      <vt:lpstr/>
    </vt:vector>
  </TitlesOfParts>
  <Company>Kancelaria Sejmu</Company>
  <LinksUpToDate>false</LinksUpToDate>
  <CharactersWithSpaces>8362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Dariusz Standerski</dc:creator>
  <cp:lastModifiedBy>Grzegorz Molesztak</cp:lastModifiedBy>
  <cp:revision>4</cp:revision>
  <dcterms:created xsi:type="dcterms:W3CDTF">2021-03-17T07:34:00Z</dcterms:created>
  <dcterms:modified xsi:type="dcterms:W3CDTF">2021-05-04T16:00:00Z</dcterms:modified>
</cp:coreProperties>
</file>