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46635" w14:textId="77777777" w:rsidR="00E916FC" w:rsidRPr="00EB52FD" w:rsidRDefault="00E916FC" w:rsidP="00EB52FD">
      <w:pPr>
        <w:spacing w:before="120"/>
        <w:jc w:val="center"/>
        <w:rPr>
          <w:rFonts w:cs="Times New Roman"/>
          <w:szCs w:val="24"/>
        </w:rPr>
      </w:pPr>
      <w:r w:rsidRPr="00EB52FD">
        <w:rPr>
          <w:rFonts w:cs="Times New Roman"/>
          <w:szCs w:val="24"/>
        </w:rPr>
        <w:t>UZASADNIENIE</w:t>
      </w:r>
    </w:p>
    <w:p w14:paraId="6C91D977" w14:textId="77777777" w:rsidR="00E916FC" w:rsidRPr="00EB52FD" w:rsidRDefault="00E916FC" w:rsidP="00EB52FD">
      <w:pPr>
        <w:spacing w:before="120"/>
        <w:rPr>
          <w:rFonts w:cs="Times New Roman"/>
          <w:szCs w:val="24"/>
        </w:rPr>
      </w:pPr>
      <w:r w:rsidRPr="00EB52FD">
        <w:rPr>
          <w:rFonts w:cs="Times New Roman"/>
          <w:b/>
          <w:szCs w:val="24"/>
        </w:rPr>
        <w:t>I. Potrzeba i cel wydania ustawy</w:t>
      </w:r>
    </w:p>
    <w:p w14:paraId="32509EBF" w14:textId="77777777" w:rsidR="00E916FC" w:rsidRPr="00EB52FD" w:rsidRDefault="00E916FC" w:rsidP="00EB52FD">
      <w:pPr>
        <w:spacing w:before="120"/>
        <w:jc w:val="both"/>
        <w:rPr>
          <w:rFonts w:cs="Times New Roman"/>
          <w:szCs w:val="24"/>
        </w:rPr>
      </w:pPr>
      <w:r w:rsidRPr="00EB52FD">
        <w:rPr>
          <w:rFonts w:cs="Times New Roman"/>
          <w:szCs w:val="24"/>
        </w:rPr>
        <w:t>Proponowana regulacja zakłada wprowadzenie zmian w a</w:t>
      </w:r>
      <w:r w:rsidR="00B44BE6">
        <w:rPr>
          <w:rFonts w:cs="Times New Roman"/>
          <w:szCs w:val="24"/>
        </w:rPr>
        <w:t>rt. 11b ust. 4 ustawy z dnia 26 </w:t>
      </w:r>
      <w:r w:rsidRPr="00EB52FD">
        <w:rPr>
          <w:rFonts w:cs="Times New Roman"/>
          <w:szCs w:val="24"/>
        </w:rPr>
        <w:t xml:space="preserve">sierpnia 1994 r. </w:t>
      </w:r>
      <w:r w:rsidRPr="00B44BE6">
        <w:rPr>
          <w:rFonts w:cs="Times New Roman"/>
          <w:szCs w:val="24"/>
        </w:rPr>
        <w:t>o przekształceniach własnościowych w przemyśle cukrowniczym</w:t>
      </w:r>
      <w:r w:rsidR="00B44BE6">
        <w:rPr>
          <w:rFonts w:cs="Times New Roman"/>
          <w:szCs w:val="24"/>
        </w:rPr>
        <w:t xml:space="preserve"> (Dz. </w:t>
      </w:r>
      <w:r w:rsidRPr="00EB52FD">
        <w:rPr>
          <w:rFonts w:cs="Times New Roman"/>
          <w:szCs w:val="24"/>
        </w:rPr>
        <w:t xml:space="preserve">U. poz. 473, z </w:t>
      </w:r>
      <w:proofErr w:type="spellStart"/>
      <w:r w:rsidRPr="00EB52FD">
        <w:rPr>
          <w:rFonts w:cs="Times New Roman"/>
          <w:szCs w:val="24"/>
        </w:rPr>
        <w:t>późn</w:t>
      </w:r>
      <w:proofErr w:type="spellEnd"/>
      <w:r w:rsidRPr="00EB52FD">
        <w:rPr>
          <w:rFonts w:cs="Times New Roman"/>
          <w:szCs w:val="24"/>
        </w:rPr>
        <w:t xml:space="preserve">. zm.), zwanej dalej „ustawą”, i ma na celu ujednolicenie siatki pojęciowej w zakresie obejmowania akcji nowej emisji spółki Krajowa Spółka Cukrowa S.A., zwanej dalej „KSC S.A.”, oraz uregulowanie sytuacji prawnej Skarbu Państwa w tym zakresie. </w:t>
      </w:r>
    </w:p>
    <w:p w14:paraId="59E6CA3F" w14:textId="129F3FC1" w:rsidR="00E916FC" w:rsidRPr="00EB52FD" w:rsidRDefault="00E916FC" w:rsidP="00EB52FD">
      <w:pPr>
        <w:spacing w:before="120"/>
        <w:jc w:val="both"/>
        <w:rPr>
          <w:rFonts w:cs="Times New Roman"/>
          <w:szCs w:val="24"/>
        </w:rPr>
      </w:pPr>
      <w:r w:rsidRPr="00EB52FD">
        <w:rPr>
          <w:rFonts w:cs="Times New Roman"/>
          <w:szCs w:val="24"/>
        </w:rPr>
        <w:t xml:space="preserve">Przedmiotowa propozycja zmiany ustawy </w:t>
      </w:r>
      <w:r w:rsidR="00B44BE6" w:rsidRPr="00EB52FD">
        <w:rPr>
          <w:rFonts w:cs="Times New Roman"/>
          <w:szCs w:val="24"/>
        </w:rPr>
        <w:t xml:space="preserve">jest </w:t>
      </w:r>
      <w:r w:rsidRPr="00EB52FD">
        <w:rPr>
          <w:rFonts w:cs="Times New Roman"/>
          <w:szCs w:val="24"/>
        </w:rPr>
        <w:t>związana z realizacją procesu konsolidacji spółek z branży rolno-spożywczej, która przebiega w oparciu o potencjał i aktywa spółki KSC S.A., mającej w założeniu zostać swoistym integratorem rynku rolno-spożywczego, przyczyniając się tym samym do rozwoju rolnictwa i przemysłu spożywczego, a także do tworzenia i utrzymania miejsc pracy w rolnictwie. Proponowana zmiana jest niezbędna do skutecznego przeprowadzenia procesu konsolidacji, dzięki której udział osób prowadzących działalność rolniczą w utworzonej w</w:t>
      </w:r>
      <w:r>
        <w:rPr>
          <w:rFonts w:cs="Times New Roman"/>
          <w:szCs w:val="24"/>
        </w:rPr>
        <w:t xml:space="preserve"> </w:t>
      </w:r>
      <w:r w:rsidRPr="00EB52FD">
        <w:rPr>
          <w:rFonts w:cs="Times New Roman"/>
          <w:szCs w:val="24"/>
        </w:rPr>
        <w:t>wyniku konsolidacji grupie kapitałowej może przyczynić się do poprawy ich sytuacji na rynku przez skrócenie łańcuchów dostaw (zmniejszenie zależności od przetwórców i sprzedawców), pozytywnie wpłynąć na kształtowanie się uczciwej konkurencji oraz prowadzić do zwiększenia dochodów z prowadzonej działalności, a przez to do rozwoju obszarów wiejskich.</w:t>
      </w:r>
    </w:p>
    <w:p w14:paraId="05E9A9F5" w14:textId="7E1205E4" w:rsidR="00E916FC" w:rsidRPr="00EB52FD" w:rsidRDefault="00E916FC" w:rsidP="00EB52FD">
      <w:pPr>
        <w:spacing w:before="120"/>
        <w:jc w:val="both"/>
        <w:rPr>
          <w:rFonts w:cs="Times New Roman"/>
          <w:szCs w:val="24"/>
        </w:rPr>
      </w:pPr>
      <w:r w:rsidRPr="00EB52FD">
        <w:rPr>
          <w:rFonts w:cs="Times New Roman"/>
          <w:szCs w:val="24"/>
        </w:rPr>
        <w:t>Działania, które mają przyczynić się do podniesienia konkurencyjności sektora rolno</w:t>
      </w:r>
      <w:r>
        <w:rPr>
          <w:rFonts w:cs="Times New Roman"/>
          <w:szCs w:val="24"/>
        </w:rPr>
        <w:noBreakHyphen/>
      </w:r>
      <w:r w:rsidRPr="00EB52FD">
        <w:rPr>
          <w:rFonts w:cs="Times New Roman"/>
          <w:szCs w:val="24"/>
        </w:rPr>
        <w:t>spożywczego</w:t>
      </w:r>
      <w:r w:rsidR="00B44BE6">
        <w:rPr>
          <w:rFonts w:cs="Times New Roman"/>
          <w:szCs w:val="24"/>
        </w:rPr>
        <w:t>,</w:t>
      </w:r>
      <w:r w:rsidRPr="00EB52FD">
        <w:rPr>
          <w:rFonts w:cs="Times New Roman"/>
          <w:szCs w:val="24"/>
        </w:rPr>
        <w:t xml:space="preserve"> wychodzą naprzeciw celom określonym w Strategii Odpowiedzialnego Rozwoju. Utworzenie Krajowej Grupy Spożywczej, w ramach konsolidacji spółek z branży rolno-spożywczej, należy do projektów strategicznych określonych w „Strategii zrównoważonego rozwoju wsi, rolnictwa i rybactwa 2030” przyjętej uchwałą nr 123 Rady Ministrów z dnia 15 października 2019 r. </w:t>
      </w:r>
      <w:r w:rsidRPr="00EB52FD">
        <w:rPr>
          <w:rFonts w:cs="Times New Roman"/>
          <w:bCs/>
          <w:szCs w:val="24"/>
        </w:rPr>
        <w:t>w sprawie przyjęcia „Strategii zrównoważonego rozwoju wsi, rolnictwa i rybactwa 2030”</w:t>
      </w:r>
      <w:r w:rsidR="004C1D5B">
        <w:rPr>
          <w:rFonts w:cs="Times New Roman"/>
          <w:szCs w:val="24"/>
        </w:rPr>
        <w:t xml:space="preserve"> (M.P. </w:t>
      </w:r>
      <w:bookmarkStart w:id="0" w:name="_GoBack"/>
      <w:bookmarkEnd w:id="0"/>
      <w:r w:rsidRPr="00EB52FD">
        <w:rPr>
          <w:rFonts w:cs="Times New Roman"/>
          <w:szCs w:val="24"/>
        </w:rPr>
        <w:t>poz. 1150).</w:t>
      </w:r>
    </w:p>
    <w:p w14:paraId="7029D206" w14:textId="025D9C4B" w:rsidR="00E916FC" w:rsidRPr="00EB52FD" w:rsidRDefault="00E916FC" w:rsidP="00EB52FD">
      <w:pPr>
        <w:spacing w:before="120"/>
        <w:jc w:val="both"/>
        <w:rPr>
          <w:rFonts w:cs="Times New Roman"/>
          <w:szCs w:val="24"/>
        </w:rPr>
      </w:pPr>
      <w:r w:rsidRPr="00EB52FD">
        <w:rPr>
          <w:rFonts w:cs="Times New Roman"/>
          <w:szCs w:val="24"/>
        </w:rPr>
        <w:t xml:space="preserve">Przewidziana w ww. Strategii konsolidacja spółek branży rolno-spożywczej od strony prawnej będzie polegała na podwyższeniu kapitału zakładowego KSC S.A., który zostanie pokryty przez Skarb Państwa aportem w postaci posiadanych przez Skarb Państwa udziałów jednoosobowych spółek z branży rolno-spożywczej. Planowana </w:t>
      </w:r>
      <w:r w:rsidRPr="00EB52FD">
        <w:rPr>
          <w:rFonts w:cs="Times New Roman"/>
          <w:szCs w:val="24"/>
        </w:rPr>
        <w:lastRenderedPageBreak/>
        <w:t xml:space="preserve">konsolidacja wymaga zapewnienia akcjonariuszowi, który ma wnieść znaczące środki w postaci mienia państwowego (posiadanych przez Skarb Państwa udziałów w spółkach prawa handlowego) </w:t>
      </w:r>
      <w:r>
        <w:rPr>
          <w:rFonts w:cs="Times New Roman"/>
          <w:szCs w:val="24"/>
        </w:rPr>
        <w:t>–</w:t>
      </w:r>
      <w:r w:rsidRPr="00EB52FD">
        <w:rPr>
          <w:rFonts w:cs="Times New Roman"/>
          <w:szCs w:val="24"/>
        </w:rPr>
        <w:t xml:space="preserve"> a zatem ponosić będzie również znaczące ryzyko gospodarcze, prawa współdecydowania o losach spółki proporcjonalnego do jego zaangażowania kapitałowego. W</w:t>
      </w:r>
      <w:r>
        <w:rPr>
          <w:rFonts w:cs="Times New Roman"/>
          <w:szCs w:val="24"/>
        </w:rPr>
        <w:t xml:space="preserve"> </w:t>
      </w:r>
      <w:r w:rsidRPr="00EB52FD">
        <w:rPr>
          <w:rFonts w:cs="Times New Roman"/>
          <w:szCs w:val="24"/>
        </w:rPr>
        <w:t>przypadku braku zmiany ograniczenia w zakresie obejmowania akcji nowych emisji wynikającego z</w:t>
      </w:r>
      <w:r>
        <w:rPr>
          <w:rFonts w:cs="Times New Roman"/>
          <w:szCs w:val="24"/>
        </w:rPr>
        <w:t xml:space="preserve"> </w:t>
      </w:r>
      <w:r w:rsidRPr="00EB52FD">
        <w:rPr>
          <w:rFonts w:cs="Times New Roman"/>
          <w:szCs w:val="24"/>
        </w:rPr>
        <w:t>art. 11b ust. 4 ustawy Skarb Państwa pomimo wniesienia wszystkich posiadanych udziałów spółek z branży rolno-spożywczej w celu pokrycia podwyższonego kapitału zakładowego KSC S.A. mógłby objąć za nie jedynie akcje z</w:t>
      </w:r>
      <w:r>
        <w:rPr>
          <w:rFonts w:cs="Times New Roman"/>
          <w:szCs w:val="24"/>
        </w:rPr>
        <w:t xml:space="preserve"> </w:t>
      </w:r>
      <w:r w:rsidRPr="00EB52FD">
        <w:rPr>
          <w:rFonts w:cs="Times New Roman"/>
          <w:szCs w:val="24"/>
        </w:rPr>
        <w:t xml:space="preserve">wyłączonym prawem głosu. W zamian za wniesiony aport Skarb Państwa otrzymałby akcje, które nie pozwoliłyby mu korzystać z pełni praw korporacyjnych i nie zapewniły proporcjonalnego do wielkości wniesionego wkładu kapitałowego prawa do współdecydowania o losach KSC S.A. </w:t>
      </w:r>
    </w:p>
    <w:p w14:paraId="0F6B2EF6" w14:textId="5C41A02B" w:rsidR="00E916FC" w:rsidRPr="00EB52FD" w:rsidRDefault="00E916FC" w:rsidP="00EB52FD">
      <w:pPr>
        <w:tabs>
          <w:tab w:val="left" w:pos="2410"/>
        </w:tabs>
        <w:spacing w:before="120"/>
        <w:jc w:val="both"/>
        <w:rPr>
          <w:rFonts w:cs="Times New Roman"/>
          <w:bCs/>
          <w:szCs w:val="24"/>
        </w:rPr>
      </w:pPr>
      <w:r w:rsidRPr="00EB52FD">
        <w:rPr>
          <w:rFonts w:cs="Times New Roman"/>
          <w:szCs w:val="24"/>
        </w:rPr>
        <w:t xml:space="preserve">Jednocześnie projektowany przepis nie przyznaje Skarbowi Państwa żadnych uprawnień specjalnych w stosunku do grup akcjonariuszy </w:t>
      </w:r>
      <w:r>
        <w:rPr>
          <w:rFonts w:cs="Times New Roman"/>
          <w:szCs w:val="24"/>
        </w:rPr>
        <w:t>–</w:t>
      </w:r>
      <w:r w:rsidRPr="00EB52FD">
        <w:rPr>
          <w:rFonts w:cs="Times New Roman"/>
          <w:szCs w:val="24"/>
        </w:rPr>
        <w:t xml:space="preserve"> </w:t>
      </w:r>
      <w:bookmarkStart w:id="1" w:name="_Hlk65496478"/>
      <w:r w:rsidRPr="00EB52FD">
        <w:rPr>
          <w:rFonts w:cs="Times New Roman"/>
          <w:szCs w:val="24"/>
        </w:rPr>
        <w:t>plantatorów i pracowników</w:t>
      </w:r>
      <w:bookmarkEnd w:id="1"/>
      <w:r w:rsidRPr="00EB52FD">
        <w:rPr>
          <w:rFonts w:cs="Times New Roman"/>
          <w:szCs w:val="24"/>
        </w:rPr>
        <w:t xml:space="preserve">, ale ma doprowadzić do zrównania jego sytuacji prawnej z tymi akcjonariuszami, w przypadku podwyższenia kapitału zakładowego w drodze emisji nowych akcji. Projektowany przepis nie może być rozpatrywany w kontekście potencjalnego nierównego traktowania pozostałych akcjonariuszy i potencjalnych akcjonariuszy KSC S.A., ponieważ podmioty te znajdują się w innej niż Skarb Państwa sytuacji. KSC S.A. została utworzona przez Skarb Państwa reprezentowany przez Ministra Skarbu Państwa w wykonaniu przepisów ustawowych (art. 20 ustawy z dnia 21 czerwca 2001 r. o regulacji rynku cukru) w wyniku połączenia spółek w trybie łączenia się przez zawiązanie nowej spółki. Skarb Państwa był założycielem KSC S.A. i wnosił na jej kapitał zakładowy akcje i udziały pozostałych spółek z udziałem Skarbu Państwa z branży cukrowej. Skarb Państwa jest akcjonariuszem większościowym KSC S.A. i ponosi również największe ryzyko gospodarcze związane z działalnością spółki spośród wszystkich akcjonariuszy, co jest konsekwencją zaangażowania największych środków majątkowych (w zasadzie jedynie Skarb Państwa zaangażował wkłady na pokrycie kapitału zakładowego). </w:t>
      </w:r>
      <w:r w:rsidRPr="00EB52FD">
        <w:rPr>
          <w:rFonts w:cs="Times New Roman"/>
          <w:bCs/>
          <w:szCs w:val="24"/>
        </w:rPr>
        <w:t xml:space="preserve">Dodatkowo należy wskazać, że sytuacja Skarbu Państwa jako założyciela i podmiotu, który jako jedyny wniósł wkłady na pokrycie kapitału zakładowego KSC S.A. (w postaci mienia państwowego), jest odmienna od sytuacji innych potencjalnych akcjonariuszy, gdyż przedmiotem aportu do spółki będą posiadane przez Skarb Państwa udziały w spółkach prawa handlowego, a zatem mienie państwowe, którego ochronę ma zapewnić Skarb Państwa. Z drugiej strony </w:t>
      </w:r>
      <w:r w:rsidRPr="00EB52FD">
        <w:rPr>
          <w:rFonts w:cs="Times New Roman"/>
          <w:bCs/>
          <w:szCs w:val="24"/>
        </w:rPr>
        <w:lastRenderedPageBreak/>
        <w:t xml:space="preserve">Skarb Państwa jako akcjonariusz uwzględnia w swoich działaniach nie tylko aspekt ekonomiczny, ale również ważny </w:t>
      </w:r>
      <w:r w:rsidRPr="00EB52FD">
        <w:rPr>
          <w:rFonts w:cs="Times New Roman"/>
          <w:bCs/>
          <w:szCs w:val="24"/>
          <w:u w:val="single"/>
        </w:rPr>
        <w:t>interes publiczny</w:t>
      </w:r>
      <w:r w:rsidRPr="00EB52FD">
        <w:rPr>
          <w:rFonts w:cs="Times New Roman"/>
          <w:bCs/>
          <w:szCs w:val="24"/>
        </w:rPr>
        <w:t xml:space="preserve"> w postaci </w:t>
      </w:r>
      <w:r w:rsidRPr="00EB52FD">
        <w:rPr>
          <w:rFonts w:cs="Times New Roman"/>
          <w:szCs w:val="24"/>
        </w:rPr>
        <w:t xml:space="preserve">rozwoju wsi i obszarów wiejskich, na który składają się </w:t>
      </w:r>
      <w:r w:rsidRPr="00EB52FD">
        <w:rPr>
          <w:rFonts w:cs="Times New Roman"/>
          <w:szCs w:val="24"/>
          <w:u w:val="single"/>
        </w:rPr>
        <w:t>wspieranie konkurencyjności rolnictwa</w:t>
      </w:r>
      <w:r w:rsidRPr="00EB52FD">
        <w:rPr>
          <w:rFonts w:cs="Times New Roman"/>
          <w:szCs w:val="24"/>
        </w:rPr>
        <w:t xml:space="preserve">, zapewnienie zrównoważonego zarządzania zasobami naturalnymi oraz osiągnięcie zrównoważonego rozwoju terytorialnego wiejskich gospodarek i społeczności, w tym </w:t>
      </w:r>
      <w:r w:rsidRPr="00EB52FD">
        <w:rPr>
          <w:rFonts w:cs="Times New Roman"/>
          <w:szCs w:val="24"/>
          <w:u w:val="single"/>
        </w:rPr>
        <w:t>tworzenie i utrzymywanie miejsc pracy</w:t>
      </w:r>
      <w:r w:rsidRPr="00EB52FD">
        <w:rPr>
          <w:rFonts w:cs="Times New Roman"/>
          <w:bCs/>
          <w:szCs w:val="24"/>
        </w:rPr>
        <w:t>.</w:t>
      </w:r>
    </w:p>
    <w:p w14:paraId="1DF553BC" w14:textId="5CAA70EE" w:rsidR="00E916FC" w:rsidRPr="00EB52FD" w:rsidRDefault="00E916FC" w:rsidP="00EB52FD">
      <w:pPr>
        <w:tabs>
          <w:tab w:val="left" w:pos="2410"/>
        </w:tabs>
        <w:spacing w:before="120"/>
        <w:jc w:val="both"/>
        <w:rPr>
          <w:rFonts w:cs="Times New Roman"/>
          <w:szCs w:val="24"/>
        </w:rPr>
      </w:pPr>
      <w:r w:rsidRPr="00EB52FD">
        <w:rPr>
          <w:rFonts w:cs="Times New Roman"/>
          <w:bCs/>
          <w:szCs w:val="24"/>
        </w:rPr>
        <w:t>Należy przy tym zwrócić uwagę na szczególną rolę, jaką KSC S.A. odgrywa w polityce gospodarczej państwa ze względu na przewidzianą dla tej spółki funkcję integratora, wokół którego zostaną skonsolidowane spółki z branży rolno-spożywczej. Działania Skarbu Państwa mają doprowadzić do skutecznej realizacji postawionego celu strategicznego, tj. powstania Krajowej Grupy Spożywczej w</w:t>
      </w:r>
      <w:r>
        <w:rPr>
          <w:rFonts w:cs="Times New Roman"/>
          <w:bCs/>
          <w:szCs w:val="24"/>
        </w:rPr>
        <w:t xml:space="preserve"> </w:t>
      </w:r>
      <w:r w:rsidRPr="00EB52FD">
        <w:rPr>
          <w:rFonts w:cs="Times New Roman"/>
          <w:bCs/>
          <w:szCs w:val="24"/>
        </w:rPr>
        <w:t>wyniku konsolidacji spółek z udziałem Skarbu Państwa, wskazanego powyżej. Podkreślenia wymaga, że KSC S.A. jest ponadto spółką o istotnym znaczeniu dla gospodarki państwa, gdyż została ujęta w</w:t>
      </w:r>
      <w:r>
        <w:rPr>
          <w:rFonts w:cs="Times New Roman"/>
          <w:szCs w:val="24"/>
        </w:rPr>
        <w:t xml:space="preserve"> </w:t>
      </w:r>
      <w:r w:rsidRPr="00EB52FD">
        <w:rPr>
          <w:rFonts w:cs="Times New Roman"/>
          <w:bCs/>
          <w:szCs w:val="24"/>
        </w:rPr>
        <w:t>wykazie stanowiącym załącznik do rozporządzenia Prezesa Rady Ministrów z dnia 13 stycznia 2017</w:t>
      </w:r>
      <w:r>
        <w:rPr>
          <w:rFonts w:cs="Times New Roman"/>
          <w:bCs/>
          <w:szCs w:val="24"/>
        </w:rPr>
        <w:t xml:space="preserve"> </w:t>
      </w:r>
      <w:r w:rsidRPr="00EB52FD">
        <w:rPr>
          <w:rFonts w:cs="Times New Roman"/>
          <w:bCs/>
          <w:szCs w:val="24"/>
        </w:rPr>
        <w:t xml:space="preserve">r. w sprawie określenia wykazu spółek o istotnym znaczeniu dla gospodarki państwa (Dz. U. poz. 95). Podsumowując, projekt umożliwi Skarbowi Państwa dokapitalizowanie KSC S.A. i zarazem zrealizowanie celu strategicznego, w ramach prowadzonej polityki zbieżnej z interesem publicznym w postaci </w:t>
      </w:r>
      <w:r w:rsidRPr="00EB52FD">
        <w:rPr>
          <w:rFonts w:cs="Times New Roman"/>
          <w:szCs w:val="24"/>
        </w:rPr>
        <w:t>rozwoju wsi i obszarów wiejskich</w:t>
      </w:r>
      <w:r w:rsidRPr="00EB52FD">
        <w:rPr>
          <w:rFonts w:cs="Times New Roman"/>
          <w:bCs/>
          <w:szCs w:val="24"/>
        </w:rPr>
        <w:t xml:space="preserve"> i polityką gospodarczą państwa. W związku z powyższym </w:t>
      </w:r>
      <w:r w:rsidR="00D17BE2" w:rsidRPr="00EB52FD">
        <w:rPr>
          <w:rFonts w:cs="Times New Roman"/>
          <w:bCs/>
          <w:szCs w:val="24"/>
        </w:rPr>
        <w:t xml:space="preserve">jest </w:t>
      </w:r>
      <w:r w:rsidRPr="00EB52FD">
        <w:rPr>
          <w:rFonts w:cs="Times New Roman"/>
          <w:bCs/>
          <w:szCs w:val="24"/>
        </w:rPr>
        <w:t>uzasadnione uregulowanie sytuacji prawnej Skarbu Państwa w taki sposób, aby zapewnić</w:t>
      </w:r>
      <w:r w:rsidRPr="00EB52FD">
        <w:rPr>
          <w:rFonts w:cs="Times New Roman"/>
          <w:szCs w:val="24"/>
        </w:rPr>
        <w:t xml:space="preserve"> uwzględnienie interesu publicznego w dalszym funkcjonowaniu spółki. Podmiotami uprawnionymi do objęcia akcji z prawem głosu – wpływającymi na działalność spółki </w:t>
      </w:r>
      <w:r>
        <w:rPr>
          <w:rFonts w:cs="Times New Roman"/>
          <w:szCs w:val="24"/>
        </w:rPr>
        <w:t>–</w:t>
      </w:r>
      <w:r w:rsidRPr="00EB52FD">
        <w:rPr>
          <w:rFonts w:cs="Times New Roman"/>
          <w:szCs w:val="24"/>
        </w:rPr>
        <w:t xml:space="preserve"> będą po zmianie plantatorzy i pracownicy oraz Skarb Państwa, co pozwoli na zrównoważenie aspektu ekonomicznego</w:t>
      </w:r>
      <w:r>
        <w:rPr>
          <w:rFonts w:cs="Times New Roman"/>
          <w:szCs w:val="24"/>
        </w:rPr>
        <w:t xml:space="preserve"> </w:t>
      </w:r>
      <w:r w:rsidRPr="00EB52FD">
        <w:rPr>
          <w:rFonts w:cs="Times New Roman"/>
          <w:szCs w:val="24"/>
        </w:rPr>
        <w:t>i publicznego tej działalności.</w:t>
      </w:r>
    </w:p>
    <w:p w14:paraId="679A07E5" w14:textId="77777777" w:rsidR="00E916FC" w:rsidRPr="00EB52FD" w:rsidRDefault="00E916FC" w:rsidP="00EB52FD">
      <w:pPr>
        <w:spacing w:before="120"/>
        <w:jc w:val="both"/>
        <w:rPr>
          <w:rFonts w:cs="Times New Roman"/>
          <w:szCs w:val="24"/>
        </w:rPr>
      </w:pPr>
      <w:r w:rsidRPr="00EB52FD">
        <w:rPr>
          <w:rFonts w:cs="Times New Roman"/>
          <w:szCs w:val="24"/>
        </w:rPr>
        <w:t>Objęcie przez Skarb Państwa akcji nowych emisji KSC S.A. jako akcji, do których będzie przysługiwało prawo głosu, jest możliwe wyłącznie w wyniku zmian legislacyjnych w ustawie</w:t>
      </w:r>
      <w:r w:rsidRPr="00EB52FD">
        <w:rPr>
          <w:rFonts w:cs="Times New Roman"/>
          <w:i/>
          <w:szCs w:val="24"/>
        </w:rPr>
        <w:t>.</w:t>
      </w:r>
    </w:p>
    <w:p w14:paraId="1B2DC9AA" w14:textId="77777777" w:rsidR="00E916FC" w:rsidRPr="00EB52FD" w:rsidRDefault="00E916FC" w:rsidP="00EB52FD">
      <w:pPr>
        <w:spacing w:before="120"/>
        <w:jc w:val="both"/>
        <w:rPr>
          <w:rFonts w:cs="Times New Roman"/>
          <w:szCs w:val="24"/>
        </w:rPr>
      </w:pPr>
      <w:r w:rsidRPr="00EB52FD">
        <w:rPr>
          <w:rFonts w:cs="Times New Roman"/>
          <w:szCs w:val="24"/>
        </w:rPr>
        <w:t>Zamierzona zmiana jest niezbędna do przeprowadzenia konsolidacji spółek z branży rolno-spożywczej, tj. projektu, u podstaw którego leży założenie stworzenia silnego podmiotu, który swoją pozycją mógłby konkurować na rynkach krajowych i zagranicznych, przyczyniając się tym samym do rozwoju rolnictwa i przemysłu spożywczego, a przez to pozytywnie wpływając na gospodarkę narodową, w</w:t>
      </w:r>
      <w:r>
        <w:rPr>
          <w:rFonts w:cs="Times New Roman"/>
          <w:szCs w:val="24"/>
        </w:rPr>
        <w:t xml:space="preserve"> </w:t>
      </w:r>
      <w:r w:rsidRPr="00EB52FD">
        <w:rPr>
          <w:rFonts w:cs="Times New Roman"/>
          <w:szCs w:val="24"/>
        </w:rPr>
        <w:lastRenderedPageBreak/>
        <w:t>szczególności w wymiarze społeczno-rynkowym, bowiem:</w:t>
      </w:r>
    </w:p>
    <w:p w14:paraId="469E40B2" w14:textId="77777777" w:rsidR="00E916FC" w:rsidRPr="00EB52FD" w:rsidRDefault="00E916FC" w:rsidP="00EB52FD">
      <w:pPr>
        <w:widowControl/>
        <w:numPr>
          <w:ilvl w:val="0"/>
          <w:numId w:val="1"/>
        </w:numPr>
        <w:autoSpaceDE/>
        <w:adjustRightInd/>
        <w:ind w:left="425" w:hanging="425"/>
        <w:jc w:val="both"/>
        <w:rPr>
          <w:rFonts w:cs="Times New Roman"/>
          <w:szCs w:val="24"/>
        </w:rPr>
      </w:pPr>
      <w:r w:rsidRPr="00EB52FD">
        <w:rPr>
          <w:rFonts w:cs="Times New Roman"/>
          <w:szCs w:val="24"/>
        </w:rPr>
        <w:t>w wyniku konsolidacji, a następnie przeprowadzenia procesu optymalizacji, może w przyszłości powstać grupa złożona z Grupy KSC i spółek przez nią przejmowanych, która będzie mogła konkurować na rynkach rolno-spożywczych, a tym samym zapewni możliwość zbytu plantatorom będącym udziałowcami w tak powstałej grupie kapitałowej, przy zachowaniu konkurencyjnego, akceptowanego z ich punktu widzenia poziomu cen produktów rolnych;</w:t>
      </w:r>
    </w:p>
    <w:p w14:paraId="4024C082" w14:textId="11BB4D1B" w:rsidR="00E916FC" w:rsidRPr="00EB52FD" w:rsidRDefault="00E916FC" w:rsidP="00EB52FD">
      <w:pPr>
        <w:widowControl/>
        <w:numPr>
          <w:ilvl w:val="0"/>
          <w:numId w:val="1"/>
        </w:numPr>
        <w:autoSpaceDE/>
        <w:adjustRightInd/>
        <w:ind w:left="425" w:hanging="425"/>
        <w:jc w:val="both"/>
        <w:rPr>
          <w:rFonts w:cs="Times New Roman"/>
          <w:szCs w:val="24"/>
        </w:rPr>
      </w:pPr>
      <w:r w:rsidRPr="00EB52FD">
        <w:rPr>
          <w:rFonts w:cs="Times New Roman"/>
          <w:szCs w:val="24"/>
        </w:rPr>
        <w:t>konsolidacja może umożliwić umocnienie i rozszerzenie długofalowej, korzystnej dla obu stron współpracy z obecnymi i nowymi rolnikami i plantatorami, w tym stabilizację bazy surowcowej przez m.in. możliwość nawiązania długoterminowej współpracy z szeroką bazą producentów płodów rolnych, co przyczyni się do stabilizacji ich sytuacji ekonomicznej, poprawy efektywności produkcji rolnej oraz uzyskiwania korzystnych cen na produkty rolne;</w:t>
      </w:r>
    </w:p>
    <w:p w14:paraId="5CFA1EE1" w14:textId="5989B4D6" w:rsidR="00E916FC" w:rsidRPr="00EB52FD" w:rsidRDefault="00E916FC" w:rsidP="00EB52FD">
      <w:pPr>
        <w:widowControl/>
        <w:numPr>
          <w:ilvl w:val="0"/>
          <w:numId w:val="1"/>
        </w:numPr>
        <w:autoSpaceDE/>
        <w:adjustRightInd/>
        <w:ind w:left="425" w:hanging="425"/>
        <w:jc w:val="both"/>
        <w:rPr>
          <w:rFonts w:cs="Times New Roman"/>
          <w:szCs w:val="24"/>
        </w:rPr>
      </w:pPr>
      <w:r w:rsidRPr="00EB52FD">
        <w:rPr>
          <w:rFonts w:cs="Times New Roman"/>
          <w:szCs w:val="24"/>
        </w:rPr>
        <w:t xml:space="preserve"> rozwój rynku rolno-spożywczego </w:t>
      </w:r>
      <w:r>
        <w:rPr>
          <w:rFonts w:cs="Times New Roman"/>
          <w:szCs w:val="24"/>
        </w:rPr>
        <w:t>–</w:t>
      </w:r>
      <w:r w:rsidRPr="00EB52FD">
        <w:rPr>
          <w:rFonts w:cs="Times New Roman"/>
          <w:szCs w:val="24"/>
        </w:rPr>
        <w:t xml:space="preserve"> konsolidacja może przyczynić się m.in. do stabilizacji, promocji rynku rolno-spożywczego, zmniejszenia efektu fal koniunkturalnych przez umocnienie współpracy pomi</w:t>
      </w:r>
      <w:r w:rsidR="00D17BE2">
        <w:rPr>
          <w:rFonts w:cs="Times New Roman"/>
          <w:szCs w:val="24"/>
        </w:rPr>
        <w:t>ędzy podmiotami z sektora rolno</w:t>
      </w:r>
      <w:r w:rsidR="00D17BE2">
        <w:rPr>
          <w:rFonts w:cs="Times New Roman"/>
          <w:szCs w:val="24"/>
        </w:rPr>
        <w:noBreakHyphen/>
      </w:r>
      <w:r w:rsidRPr="00EB52FD">
        <w:rPr>
          <w:rFonts w:cs="Times New Roman"/>
          <w:szCs w:val="24"/>
        </w:rPr>
        <w:t xml:space="preserve">spożywczego; </w:t>
      </w:r>
    </w:p>
    <w:p w14:paraId="027F8DE9" w14:textId="2D74E6A2" w:rsidR="00E916FC" w:rsidRPr="00EB52FD" w:rsidRDefault="00E916FC" w:rsidP="00EB52FD">
      <w:pPr>
        <w:widowControl/>
        <w:numPr>
          <w:ilvl w:val="0"/>
          <w:numId w:val="1"/>
        </w:numPr>
        <w:autoSpaceDE/>
        <w:adjustRightInd/>
        <w:ind w:left="425" w:hanging="425"/>
        <w:jc w:val="both"/>
        <w:rPr>
          <w:rFonts w:cs="Times New Roman"/>
          <w:szCs w:val="24"/>
        </w:rPr>
      </w:pPr>
      <w:r w:rsidRPr="00EB52FD">
        <w:rPr>
          <w:rFonts w:cs="Times New Roman"/>
          <w:szCs w:val="24"/>
        </w:rPr>
        <w:t xml:space="preserve"> udział osób prowadzących działalność rolniczą w powstałej grupie kapitałowej może przyczynić się do poprawy ich sytuacji na rynku przez skrócenie łańcuchów dostaw (zmniejszenie zależności od przetwórców i sprzedawców), pozytywnie wpłynąć na kształtowanie się uczciwej konkurencji oraz prowadzić do zwiększenia dochodów z prowadzonej działalności.</w:t>
      </w:r>
    </w:p>
    <w:p w14:paraId="7273D3E5" w14:textId="77777777" w:rsidR="00E916FC" w:rsidRPr="00EB52FD" w:rsidRDefault="00E916FC" w:rsidP="00EB52FD">
      <w:pPr>
        <w:spacing w:before="120"/>
        <w:jc w:val="both"/>
        <w:rPr>
          <w:rFonts w:cs="Times New Roman"/>
          <w:b/>
          <w:szCs w:val="24"/>
        </w:rPr>
      </w:pPr>
      <w:r w:rsidRPr="00EB52FD">
        <w:rPr>
          <w:rFonts w:cs="Times New Roman"/>
          <w:b/>
          <w:szCs w:val="24"/>
        </w:rPr>
        <w:t>II. Rzeczywisty stan w dziedzinie, która ma być unormowana</w:t>
      </w:r>
    </w:p>
    <w:p w14:paraId="6094F77F" w14:textId="11682015" w:rsidR="00E916FC" w:rsidRPr="00EB52FD" w:rsidRDefault="00E916FC" w:rsidP="00EB52FD">
      <w:pPr>
        <w:spacing w:before="120"/>
        <w:jc w:val="both"/>
        <w:rPr>
          <w:rFonts w:cs="Times New Roman"/>
          <w:szCs w:val="24"/>
        </w:rPr>
      </w:pPr>
      <w:r w:rsidRPr="00EB52FD">
        <w:rPr>
          <w:rFonts w:cs="Times New Roman"/>
          <w:szCs w:val="24"/>
        </w:rPr>
        <w:t xml:space="preserve">Obecnie art. 11b ust. 4 ustawy zakłada, że akcje nowych emisji KSC S.A. mogą obejmować wyłącznie plantatorzy buraków cukrowych związani umowami kontraktacji buraków cukrowych z KSC S.A. lub pracownicy KSC S.A., lub mogą być nabyte przez inne osoby wyłącznie w formie akcji z wyłączonym prawem głosu. </w:t>
      </w:r>
      <w:r w:rsidR="00D17BE2">
        <w:rPr>
          <w:rFonts w:cs="Times New Roman"/>
          <w:szCs w:val="24"/>
        </w:rPr>
        <w:t>Z</w:t>
      </w:r>
      <w:r w:rsidRPr="00EB52FD">
        <w:rPr>
          <w:rFonts w:cs="Times New Roman"/>
          <w:szCs w:val="24"/>
        </w:rPr>
        <w:t xml:space="preserve">atem w przypadku prowadzonej konsolidacji Skarb Państwa nabywałby (obejmowałaby) akcje nowej emisji z wyłączonym prawem głosu. </w:t>
      </w:r>
    </w:p>
    <w:p w14:paraId="4DE7A4EB" w14:textId="62A37A4D" w:rsidR="00E916FC" w:rsidRPr="00EB52FD" w:rsidRDefault="00E916FC" w:rsidP="00EB52FD">
      <w:pPr>
        <w:spacing w:before="120"/>
        <w:rPr>
          <w:rFonts w:cs="Times New Roman"/>
          <w:b/>
          <w:szCs w:val="24"/>
        </w:rPr>
      </w:pPr>
      <w:r w:rsidRPr="00EB52FD">
        <w:rPr>
          <w:rFonts w:cs="Times New Roman"/>
          <w:b/>
          <w:szCs w:val="24"/>
        </w:rPr>
        <w:t>III. Różnice między dotychczasowym a projektowanym stanem prawnym</w:t>
      </w:r>
    </w:p>
    <w:p w14:paraId="4AAEA6C9" w14:textId="77777777" w:rsidR="00E916FC" w:rsidRPr="00EB52FD" w:rsidRDefault="00E916FC" w:rsidP="00EB52FD">
      <w:pPr>
        <w:spacing w:before="120"/>
        <w:jc w:val="both"/>
        <w:rPr>
          <w:rFonts w:cs="Times New Roman"/>
          <w:szCs w:val="24"/>
        </w:rPr>
      </w:pPr>
      <w:r w:rsidRPr="00EB52FD">
        <w:rPr>
          <w:rFonts w:cs="Times New Roman"/>
          <w:szCs w:val="24"/>
        </w:rPr>
        <w:t xml:space="preserve">Projektowany przepis doprowadzi do ujednolicenia stosowanej siatki pojęciowej, zgodnie z którą akcje nowej emisji KSC S.A., w świetle ukształtowanego poglądu </w:t>
      </w:r>
      <w:r w:rsidRPr="00EB52FD">
        <w:rPr>
          <w:rFonts w:cs="Times New Roman"/>
          <w:szCs w:val="24"/>
        </w:rPr>
        <w:lastRenderedPageBreak/>
        <w:t xml:space="preserve">prawnego, podlegają objęciu, co stanowi o ich nabyciu pierwotnym. Natomiast nabycie akcji jest przejawem nabycia wtórnego, które oznacza uzyskanie do nich tytułu prawnego, które może być dokonywane dopiero po ich wcześniejszym objęciu. </w:t>
      </w:r>
    </w:p>
    <w:p w14:paraId="29413793" w14:textId="77777777" w:rsidR="00E916FC" w:rsidRPr="00EB52FD" w:rsidRDefault="00E916FC" w:rsidP="00EB52FD">
      <w:pPr>
        <w:spacing w:before="120"/>
        <w:jc w:val="both"/>
        <w:rPr>
          <w:rFonts w:cs="Times New Roman"/>
          <w:szCs w:val="24"/>
        </w:rPr>
      </w:pPr>
      <w:r w:rsidRPr="00EB52FD">
        <w:rPr>
          <w:rFonts w:cs="Times New Roman"/>
          <w:szCs w:val="24"/>
        </w:rPr>
        <w:t xml:space="preserve">Zaproponowana zmiana ujednolica stosowaną w ustawie siatkę pojęciową w zakresie obejmowania akcji. Propozycja zmiany wskazuje zatem, że akcje nowej emisji podlegają objęciu (nie nabyciu) przez inne osoby niż plantatorzy buraków cukrowych związani umowami kontraktacji buraków cukrowych z KSC S.A. lub pracownicy KSC S.A. Wskazana zmiana obejmie także Skarb Państwa. </w:t>
      </w:r>
    </w:p>
    <w:p w14:paraId="45FDD1FA" w14:textId="77777777" w:rsidR="00E916FC" w:rsidRPr="00EB52FD" w:rsidRDefault="00E916FC" w:rsidP="00EB52FD">
      <w:pPr>
        <w:spacing w:before="120"/>
        <w:jc w:val="both"/>
        <w:rPr>
          <w:rFonts w:cs="Times New Roman"/>
          <w:szCs w:val="24"/>
        </w:rPr>
      </w:pPr>
      <w:r w:rsidRPr="00EB52FD">
        <w:rPr>
          <w:rFonts w:cs="Times New Roman"/>
          <w:szCs w:val="24"/>
        </w:rPr>
        <w:t>Jednocześnie, w związku z prowadzonym procesem konsolidacji spółek z branży rolno</w:t>
      </w:r>
      <w:r>
        <w:rPr>
          <w:rFonts w:cs="Times New Roman"/>
          <w:szCs w:val="24"/>
        </w:rPr>
        <w:noBreakHyphen/>
      </w:r>
      <w:r w:rsidRPr="00EB52FD">
        <w:rPr>
          <w:rFonts w:cs="Times New Roman"/>
          <w:szCs w:val="24"/>
        </w:rPr>
        <w:t xml:space="preserve">spożywczej, zmiana spowoduje, że Skarb Państwa będzie obejmował akcje nowej emisji z prawem głosu. </w:t>
      </w:r>
    </w:p>
    <w:p w14:paraId="356D39EA" w14:textId="77777777" w:rsidR="00E916FC" w:rsidRPr="00EB52FD" w:rsidRDefault="00E916FC" w:rsidP="00EB52FD">
      <w:pPr>
        <w:spacing w:before="120"/>
        <w:jc w:val="both"/>
        <w:rPr>
          <w:rFonts w:cs="Times New Roman"/>
          <w:szCs w:val="24"/>
        </w:rPr>
      </w:pPr>
      <w:r w:rsidRPr="00EB52FD">
        <w:rPr>
          <w:rFonts w:cs="Times New Roman"/>
          <w:szCs w:val="24"/>
        </w:rPr>
        <w:t>Odstąpiono jednocześnie od zawarcia w projekcie nowelizacji przepisu przejściowego z uwagi na to, że do chwili przygotowania przedmiotowego projektu Skarb Państwa nie obejmował żadnych akcji z wyłączonym prawem głosu.</w:t>
      </w:r>
    </w:p>
    <w:p w14:paraId="3A539489" w14:textId="77777777" w:rsidR="00E916FC" w:rsidRPr="00EB52FD" w:rsidRDefault="00E916FC" w:rsidP="00EB52FD">
      <w:pPr>
        <w:spacing w:before="120"/>
        <w:jc w:val="both"/>
        <w:rPr>
          <w:rFonts w:cs="Times New Roman"/>
          <w:szCs w:val="24"/>
        </w:rPr>
      </w:pPr>
      <w:r w:rsidRPr="00EB52FD">
        <w:rPr>
          <w:rFonts w:cs="Times New Roman"/>
          <w:szCs w:val="24"/>
        </w:rPr>
        <w:t xml:space="preserve">Objęcie przez Skarb Państwa akcji nowych emisji KSC S.A. jako akcji, do których będzie przysługiwało prawo głosu, jest możliwe wyłącznie w wyniku zmian legislacyjnych w ustawie, ponieważ ograniczenie dotyczące obejmowania akcji bez prawa głosu wynika wprost z tej ustawy. </w:t>
      </w:r>
    </w:p>
    <w:p w14:paraId="33760D08" w14:textId="77777777" w:rsidR="00E916FC" w:rsidRPr="00EB52FD" w:rsidRDefault="00E916FC" w:rsidP="00EB52FD">
      <w:pPr>
        <w:spacing w:before="120"/>
        <w:jc w:val="both"/>
        <w:rPr>
          <w:rFonts w:cs="Times New Roman"/>
          <w:szCs w:val="24"/>
        </w:rPr>
      </w:pPr>
      <w:r w:rsidRPr="00EB52FD">
        <w:rPr>
          <w:rFonts w:cs="Times New Roman"/>
          <w:szCs w:val="24"/>
        </w:rPr>
        <w:t>Należy również podkreślić, że proponowany projekt zmiany ustawy podlegał konsultacjom ze stroną społeczną procesu konsolidacji. Kolejno w lutym, czerwcu i listopadzie 2020 r. przeprowadzono trzy tury spotkań z</w:t>
      </w:r>
      <w:r>
        <w:rPr>
          <w:rFonts w:cs="Times New Roman"/>
          <w:szCs w:val="24"/>
        </w:rPr>
        <w:t xml:space="preserve"> </w:t>
      </w:r>
      <w:r w:rsidRPr="00EB52FD">
        <w:rPr>
          <w:rFonts w:cs="Times New Roman"/>
          <w:szCs w:val="24"/>
        </w:rPr>
        <w:t>przedstawicielami plantatorów i pracowników oraz ze związkami zawodowymi KSC S.A. i</w:t>
      </w:r>
      <w:r>
        <w:rPr>
          <w:rFonts w:cs="Times New Roman"/>
          <w:szCs w:val="24"/>
        </w:rPr>
        <w:t xml:space="preserve"> </w:t>
      </w:r>
      <w:r w:rsidRPr="00EB52FD">
        <w:rPr>
          <w:rFonts w:cs="Times New Roman"/>
          <w:szCs w:val="24"/>
        </w:rPr>
        <w:t>uzyskano zgodę strony społecznej na dokonanie ww. zmian przedmiotowej ustawy.</w:t>
      </w:r>
    </w:p>
    <w:p w14:paraId="52DECDC3" w14:textId="3497D06A" w:rsidR="00E916FC" w:rsidRPr="00EB52FD" w:rsidRDefault="00E916FC" w:rsidP="00EB52FD">
      <w:pPr>
        <w:spacing w:before="120"/>
        <w:jc w:val="both"/>
        <w:rPr>
          <w:rFonts w:cs="Times New Roman"/>
          <w:szCs w:val="24"/>
        </w:rPr>
      </w:pPr>
      <w:r w:rsidRPr="00EB52FD">
        <w:rPr>
          <w:rFonts w:cs="Times New Roman"/>
          <w:szCs w:val="24"/>
        </w:rPr>
        <w:t xml:space="preserve">Proponuje się, aby ustawa weszła w życie z dniem następującym po dniu ogłoszenia. Skrócenie okresu </w:t>
      </w:r>
      <w:r w:rsidRPr="00EB52FD">
        <w:rPr>
          <w:rFonts w:cs="Times New Roman"/>
          <w:i/>
          <w:szCs w:val="24"/>
        </w:rPr>
        <w:t>vacatio legis</w:t>
      </w:r>
      <w:r w:rsidRPr="00EB52FD">
        <w:rPr>
          <w:rFonts w:cs="Times New Roman"/>
          <w:szCs w:val="24"/>
        </w:rPr>
        <w:t xml:space="preserve"> ustawy nie narusza zasady demokratycznego państwa prawnego. Wejście w życie dzień po ogłoszeniu regulacji </w:t>
      </w:r>
      <w:r w:rsidR="00D17BE2" w:rsidRPr="00EB52FD">
        <w:rPr>
          <w:rFonts w:cs="Times New Roman"/>
          <w:szCs w:val="24"/>
        </w:rPr>
        <w:t xml:space="preserve">jest </w:t>
      </w:r>
      <w:r w:rsidRPr="00EB52FD">
        <w:rPr>
          <w:rFonts w:cs="Times New Roman"/>
          <w:szCs w:val="24"/>
        </w:rPr>
        <w:t xml:space="preserve">spowodowane koniecznością pilnego przeprowadzenia konsolidacji spółek branży rolno-spożywczej. </w:t>
      </w:r>
    </w:p>
    <w:p w14:paraId="48889438" w14:textId="77777777" w:rsidR="00E916FC" w:rsidRPr="00EB52FD" w:rsidRDefault="00E916FC" w:rsidP="00EB52FD">
      <w:pPr>
        <w:spacing w:before="120"/>
        <w:jc w:val="both"/>
        <w:rPr>
          <w:rFonts w:cs="Times New Roman"/>
          <w:szCs w:val="24"/>
        </w:rPr>
      </w:pPr>
      <w:r w:rsidRPr="00EB52FD">
        <w:rPr>
          <w:rFonts w:cs="Times New Roman"/>
          <w:szCs w:val="24"/>
        </w:rPr>
        <w:t>Projekt ustawy nie jest sprzeczny z prawem Unii Europejskiej.</w:t>
      </w:r>
    </w:p>
    <w:p w14:paraId="3AAB1524" w14:textId="77777777" w:rsidR="00E916FC" w:rsidRPr="00EB52FD" w:rsidRDefault="00E916FC" w:rsidP="00EB52FD">
      <w:pPr>
        <w:spacing w:before="120"/>
        <w:jc w:val="both"/>
        <w:rPr>
          <w:rFonts w:cs="Times New Roman"/>
          <w:szCs w:val="24"/>
        </w:rPr>
      </w:pPr>
      <w:r w:rsidRPr="00EB52FD">
        <w:rPr>
          <w:rFonts w:cs="Times New Roman"/>
          <w:szCs w:val="24"/>
        </w:rPr>
        <w:t xml:space="preserve">Projektowana ustawa nie podlega procedurze notyfikacji w rozumieniu przepisów rozporządzenia Rady Ministrów z dnia 23 grudnia 2002 r. w sprawie sposobu funkcjonowania krajowego systemu notyfikacji norm i aktów prawnych (Dz. U. </w:t>
      </w:r>
      <w:r w:rsidRPr="00EB52FD">
        <w:rPr>
          <w:rFonts w:cs="Times New Roman"/>
          <w:szCs w:val="24"/>
        </w:rPr>
        <w:lastRenderedPageBreak/>
        <w:t>poz.</w:t>
      </w:r>
      <w:r w:rsidR="00D17BE2">
        <w:rPr>
          <w:rFonts w:cs="Times New Roman"/>
          <w:szCs w:val="24"/>
        </w:rPr>
        <w:t> </w:t>
      </w:r>
      <w:r w:rsidRPr="00EB52FD">
        <w:rPr>
          <w:rFonts w:cs="Times New Roman"/>
          <w:szCs w:val="24"/>
        </w:rPr>
        <w:t>2039 oraz z 2004 r. poz. 597).</w:t>
      </w:r>
    </w:p>
    <w:p w14:paraId="5056D607" w14:textId="77777777" w:rsidR="00E916FC" w:rsidRPr="00EB52FD" w:rsidRDefault="00E916FC" w:rsidP="00EB52FD">
      <w:pPr>
        <w:spacing w:before="120"/>
        <w:jc w:val="both"/>
        <w:rPr>
          <w:rFonts w:cs="Times New Roman"/>
          <w:szCs w:val="24"/>
        </w:rPr>
      </w:pPr>
      <w:r w:rsidRPr="00EB52FD">
        <w:rPr>
          <w:rFonts w:cs="Times New Roman"/>
          <w:szCs w:val="24"/>
        </w:rPr>
        <w:t>Projekt nie wymaga przedstawienia właściwym organom i instytucjom Unii Europejskiej, w tym Europejskiemu Bankowi Centralnemu, w celu uzyskania opinii, dokonania powiadomienia, konsultacji albo uzgodnienia.</w:t>
      </w:r>
    </w:p>
    <w:p w14:paraId="2E5D9D1E" w14:textId="3F233053" w:rsidR="00E916FC" w:rsidRPr="00EB52FD" w:rsidRDefault="00E916FC" w:rsidP="00EB52FD">
      <w:pPr>
        <w:spacing w:before="120"/>
        <w:jc w:val="both"/>
        <w:rPr>
          <w:rFonts w:cs="Times New Roman"/>
          <w:szCs w:val="24"/>
        </w:rPr>
      </w:pPr>
      <w:r w:rsidRPr="00EB52FD">
        <w:rPr>
          <w:rFonts w:cs="Times New Roman"/>
          <w:szCs w:val="24"/>
        </w:rPr>
        <w:t>Zgodnie z przepisami ustawy z dnia 7 lipca 2005 r. o działalności lobbingowej w procesie stanowienia prawa (Dz. U. z 2017 r. poz. 248) oraz z § 52 uchwały nr 190 Rady Ministrów z dnia 29 października 2013 r. – Regulamin pracy Rady Ministrów (M.P. z 2016</w:t>
      </w:r>
      <w:r w:rsidR="00D17BE2">
        <w:rPr>
          <w:rFonts w:cs="Times New Roman"/>
          <w:szCs w:val="24"/>
        </w:rPr>
        <w:t xml:space="preserve"> r. poz. </w:t>
      </w:r>
      <w:r w:rsidRPr="00EB52FD">
        <w:rPr>
          <w:rFonts w:cs="Times New Roman"/>
          <w:szCs w:val="24"/>
        </w:rPr>
        <w:t xml:space="preserve">1006, z </w:t>
      </w:r>
      <w:proofErr w:type="spellStart"/>
      <w:r w:rsidRPr="00EB52FD">
        <w:rPr>
          <w:rFonts w:cs="Times New Roman"/>
          <w:szCs w:val="24"/>
        </w:rPr>
        <w:t>późn</w:t>
      </w:r>
      <w:proofErr w:type="spellEnd"/>
      <w:r w:rsidRPr="00EB52FD">
        <w:rPr>
          <w:rFonts w:cs="Times New Roman"/>
          <w:szCs w:val="24"/>
        </w:rPr>
        <w:t>. zm.) projekt ustawy został udostępniony w Biuletynie Informacji Publicznej na stronie podmiotowej Rządowego Centrum Legislacji, w serwisie Rządowy Proces Legislacyjny.</w:t>
      </w:r>
    </w:p>
    <w:sectPr w:rsidR="00E916FC" w:rsidRPr="00EB52FD" w:rsidSect="00EB52FD">
      <w:footerReference w:type="default" r:id="rId7"/>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E5AB5" w14:textId="77777777" w:rsidR="00324A3C" w:rsidRDefault="00324A3C" w:rsidP="00E916FC">
      <w:pPr>
        <w:spacing w:line="240" w:lineRule="auto"/>
      </w:pPr>
      <w:r>
        <w:separator/>
      </w:r>
    </w:p>
  </w:endnote>
  <w:endnote w:type="continuationSeparator" w:id="0">
    <w:p w14:paraId="33F524CF" w14:textId="77777777" w:rsidR="00324A3C" w:rsidRDefault="00324A3C" w:rsidP="00E916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489035"/>
      <w:docPartObj>
        <w:docPartGallery w:val="Page Numbers (Bottom of Page)"/>
        <w:docPartUnique/>
      </w:docPartObj>
    </w:sdtPr>
    <w:sdtEndPr/>
    <w:sdtContent>
      <w:p w14:paraId="6B6EAC1E" w14:textId="3B97D435" w:rsidR="00E916FC" w:rsidRDefault="00E916FC" w:rsidP="00EB52FD">
        <w:pPr>
          <w:pStyle w:val="Stopka"/>
          <w:jc w:val="center"/>
        </w:pPr>
        <w:r>
          <w:fldChar w:fldCharType="begin"/>
        </w:r>
        <w:r>
          <w:instrText>PAGE   \* MERGEFORMAT</w:instrText>
        </w:r>
        <w:r>
          <w:fldChar w:fldCharType="separate"/>
        </w:r>
        <w:r w:rsidR="004C1D5B">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4B05C" w14:textId="77777777" w:rsidR="00324A3C" w:rsidRDefault="00324A3C" w:rsidP="00E916FC">
      <w:pPr>
        <w:spacing w:line="240" w:lineRule="auto"/>
      </w:pPr>
      <w:r>
        <w:separator/>
      </w:r>
    </w:p>
  </w:footnote>
  <w:footnote w:type="continuationSeparator" w:id="0">
    <w:p w14:paraId="76C691B2" w14:textId="77777777" w:rsidR="00324A3C" w:rsidRDefault="00324A3C" w:rsidP="00E916F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0129BF"/>
    <w:multiLevelType w:val="hybridMultilevel"/>
    <w:tmpl w:val="A91653F0"/>
    <w:lvl w:ilvl="0" w:tplc="BA060EC0">
      <w:start w:val="1"/>
      <w:numFmt w:val="lowerRoman"/>
      <w:lvlText w:val="(%1)"/>
      <w:lvlJc w:val="left"/>
      <w:pPr>
        <w:ind w:left="2160" w:hanging="360"/>
      </w:pPr>
      <w:rPr>
        <w:rFonts w:ascii="Times New Roman" w:eastAsiaTheme="minorHAnsi" w:hAnsi="Times New Roman" w:cs="Times New Roman"/>
      </w:r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6FC"/>
    <w:rsid w:val="00171F52"/>
    <w:rsid w:val="00324A3C"/>
    <w:rsid w:val="00363A21"/>
    <w:rsid w:val="004C1D5B"/>
    <w:rsid w:val="005D22CB"/>
    <w:rsid w:val="00620557"/>
    <w:rsid w:val="00647BE9"/>
    <w:rsid w:val="00671921"/>
    <w:rsid w:val="00746A95"/>
    <w:rsid w:val="008618F5"/>
    <w:rsid w:val="008B4A55"/>
    <w:rsid w:val="00990F30"/>
    <w:rsid w:val="00B44BE6"/>
    <w:rsid w:val="00C213DB"/>
    <w:rsid w:val="00D17BE2"/>
    <w:rsid w:val="00E916FC"/>
    <w:rsid w:val="00EB52FD"/>
    <w:rsid w:val="00F031D3"/>
    <w:rsid w:val="00FF3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DEE78"/>
  <w15:docId w15:val="{C4F4CC1F-9609-494A-99D1-B838FA24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916FC"/>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E916F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16FC"/>
    <w:rPr>
      <w:rFonts w:ascii="Segoe UI" w:eastAsiaTheme="minorEastAsia" w:hAnsi="Segoe UI" w:cs="Segoe UI"/>
      <w:sz w:val="18"/>
      <w:szCs w:val="18"/>
      <w:lang w:eastAsia="pl-PL"/>
    </w:rPr>
  </w:style>
  <w:style w:type="paragraph" w:styleId="Nagwek">
    <w:name w:val="header"/>
    <w:basedOn w:val="Normalny"/>
    <w:link w:val="NagwekZnak"/>
    <w:uiPriority w:val="99"/>
    <w:unhideWhenUsed/>
    <w:rsid w:val="00E916FC"/>
    <w:pPr>
      <w:tabs>
        <w:tab w:val="center" w:pos="4536"/>
        <w:tab w:val="right" w:pos="9072"/>
      </w:tabs>
      <w:spacing w:line="240" w:lineRule="auto"/>
    </w:pPr>
  </w:style>
  <w:style w:type="character" w:customStyle="1" w:styleId="NagwekZnak">
    <w:name w:val="Nagłówek Znak"/>
    <w:basedOn w:val="Domylnaczcionkaakapitu"/>
    <w:link w:val="Nagwek"/>
    <w:uiPriority w:val="99"/>
    <w:rsid w:val="00E916FC"/>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E916FC"/>
    <w:pPr>
      <w:tabs>
        <w:tab w:val="center" w:pos="4536"/>
        <w:tab w:val="right" w:pos="9072"/>
      </w:tabs>
      <w:spacing w:line="240" w:lineRule="auto"/>
    </w:pPr>
  </w:style>
  <w:style w:type="character" w:customStyle="1" w:styleId="StopkaZnak">
    <w:name w:val="Stopka Znak"/>
    <w:basedOn w:val="Domylnaczcionkaakapitu"/>
    <w:link w:val="Stopka"/>
    <w:uiPriority w:val="99"/>
    <w:rsid w:val="00E916FC"/>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671921"/>
    <w:rPr>
      <w:sz w:val="16"/>
      <w:szCs w:val="16"/>
    </w:rPr>
  </w:style>
  <w:style w:type="paragraph" w:styleId="Tekstkomentarza">
    <w:name w:val="annotation text"/>
    <w:basedOn w:val="Normalny"/>
    <w:link w:val="TekstkomentarzaZnak"/>
    <w:uiPriority w:val="99"/>
    <w:semiHidden/>
    <w:unhideWhenUsed/>
    <w:rsid w:val="00671921"/>
    <w:pPr>
      <w:spacing w:line="240" w:lineRule="auto"/>
    </w:pPr>
    <w:rPr>
      <w:sz w:val="20"/>
    </w:rPr>
  </w:style>
  <w:style w:type="character" w:customStyle="1" w:styleId="TekstkomentarzaZnak">
    <w:name w:val="Tekst komentarza Znak"/>
    <w:basedOn w:val="Domylnaczcionkaakapitu"/>
    <w:link w:val="Tekstkomentarza"/>
    <w:uiPriority w:val="99"/>
    <w:semiHidden/>
    <w:rsid w:val="00671921"/>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671921"/>
    <w:rPr>
      <w:b/>
      <w:bCs/>
    </w:rPr>
  </w:style>
  <w:style w:type="character" w:customStyle="1" w:styleId="TematkomentarzaZnak">
    <w:name w:val="Temat komentarza Znak"/>
    <w:basedOn w:val="TekstkomentarzaZnak"/>
    <w:link w:val="Tematkomentarza"/>
    <w:uiPriority w:val="99"/>
    <w:semiHidden/>
    <w:rsid w:val="00671921"/>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1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1787</Words>
  <Characters>10724</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Bodych Dominika</dc:creator>
  <cp:lastModifiedBy>Wójcik Aleksandra</cp:lastModifiedBy>
  <cp:revision>3</cp:revision>
  <dcterms:created xsi:type="dcterms:W3CDTF">2021-05-12T11:53:00Z</dcterms:created>
  <dcterms:modified xsi:type="dcterms:W3CDTF">2021-05-12T11:55:00Z</dcterms:modified>
</cp:coreProperties>
</file>