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E26355" w14:textId="77777777" w:rsidR="00B6754B" w:rsidRPr="001576EF" w:rsidRDefault="00B6754B" w:rsidP="001576EF">
      <w:pPr>
        <w:spacing w:after="240" w:line="360" w:lineRule="auto"/>
        <w:jc w:val="center"/>
        <w:rPr>
          <w:rFonts w:ascii="Times New Roman" w:hAnsi="Times New Roman" w:cs="Times New Roman"/>
          <w:sz w:val="24"/>
          <w:szCs w:val="24"/>
        </w:rPr>
      </w:pPr>
      <w:bookmarkStart w:id="0" w:name="_GoBack"/>
      <w:bookmarkEnd w:id="0"/>
      <w:r w:rsidRPr="001576EF">
        <w:rPr>
          <w:rFonts w:ascii="Times New Roman" w:hAnsi="Times New Roman" w:cs="Times New Roman"/>
          <w:sz w:val="24"/>
          <w:szCs w:val="24"/>
        </w:rPr>
        <w:t>UZASADNIENIE</w:t>
      </w:r>
    </w:p>
    <w:p w14:paraId="7B945D41" w14:textId="77777777" w:rsidR="00E6758F" w:rsidRPr="00FF3DC7" w:rsidRDefault="00136F62" w:rsidP="00A21EDB">
      <w:pPr>
        <w:spacing w:after="0" w:line="360" w:lineRule="auto"/>
        <w:jc w:val="both"/>
        <w:rPr>
          <w:rFonts w:ascii="Times New Roman" w:hAnsi="Times New Roman" w:cs="Times New Roman"/>
          <w:b/>
          <w:sz w:val="24"/>
          <w:szCs w:val="24"/>
        </w:rPr>
      </w:pPr>
      <w:r w:rsidRPr="00FF3DC7">
        <w:rPr>
          <w:rFonts w:ascii="Times New Roman" w:hAnsi="Times New Roman" w:cs="Times New Roman"/>
          <w:b/>
          <w:sz w:val="24"/>
          <w:szCs w:val="24"/>
        </w:rPr>
        <w:t>Cel</w:t>
      </w:r>
    </w:p>
    <w:p w14:paraId="05CA7E21" w14:textId="0980A429" w:rsidR="002C0604" w:rsidRPr="00FF3DC7" w:rsidRDefault="002C0604" w:rsidP="00A21EDB">
      <w:pPr>
        <w:spacing w:line="360" w:lineRule="auto"/>
        <w:jc w:val="both"/>
        <w:rPr>
          <w:rFonts w:ascii="Times New Roman" w:eastAsiaTheme="minorEastAsia" w:hAnsi="Times New Roman" w:cs="Times New Roman"/>
          <w:bCs/>
          <w:sz w:val="24"/>
          <w:szCs w:val="24"/>
          <w:lang w:eastAsia="pl-PL"/>
        </w:rPr>
      </w:pPr>
      <w:r w:rsidRPr="00FF3DC7">
        <w:rPr>
          <w:rFonts w:ascii="Times New Roman" w:eastAsiaTheme="minorEastAsia" w:hAnsi="Times New Roman" w:cs="Times New Roman"/>
          <w:bCs/>
          <w:sz w:val="24"/>
          <w:szCs w:val="24"/>
          <w:lang w:eastAsia="pl-PL"/>
        </w:rPr>
        <w:t>W związku z ogłoszeniem ustawy z dnia 21 stycznia 2021 r. o sł</w:t>
      </w:r>
      <w:r w:rsidR="00AA477B">
        <w:rPr>
          <w:rFonts w:ascii="Times New Roman" w:eastAsiaTheme="minorEastAsia" w:hAnsi="Times New Roman" w:cs="Times New Roman"/>
          <w:bCs/>
          <w:sz w:val="24"/>
          <w:szCs w:val="24"/>
          <w:lang w:eastAsia="pl-PL"/>
        </w:rPr>
        <w:t>użbie zagranicznej (Dz. U. poz. </w:t>
      </w:r>
      <w:r w:rsidRPr="00FF3DC7">
        <w:rPr>
          <w:rFonts w:ascii="Times New Roman" w:eastAsiaTheme="minorEastAsia" w:hAnsi="Times New Roman" w:cs="Times New Roman"/>
          <w:bCs/>
          <w:sz w:val="24"/>
          <w:szCs w:val="24"/>
          <w:lang w:eastAsia="pl-PL"/>
        </w:rPr>
        <w:t>464) pojawiła się potrzeba doprecyzowania niektórych jej zapisów, rozstrzygnięcia potencjalnych wątpliwości interpretacyjnych oraz uzupełnienia przepisów przejściowych jeszcze przed jej wejściem w życie czyli</w:t>
      </w:r>
      <w:r w:rsidR="009B0312">
        <w:rPr>
          <w:rFonts w:ascii="Times New Roman" w:eastAsiaTheme="minorEastAsia" w:hAnsi="Times New Roman" w:cs="Times New Roman"/>
          <w:bCs/>
          <w:sz w:val="24"/>
          <w:szCs w:val="24"/>
          <w:lang w:eastAsia="pl-PL"/>
        </w:rPr>
        <w:t xml:space="preserve"> w dniu</w:t>
      </w:r>
      <w:r w:rsidRPr="00FF3DC7">
        <w:rPr>
          <w:rFonts w:ascii="Times New Roman" w:eastAsiaTheme="minorEastAsia" w:hAnsi="Times New Roman" w:cs="Times New Roman"/>
          <w:bCs/>
          <w:sz w:val="24"/>
          <w:szCs w:val="24"/>
          <w:lang w:eastAsia="pl-PL"/>
        </w:rPr>
        <w:t xml:space="preserve"> 16 czerwca br.</w:t>
      </w:r>
    </w:p>
    <w:p w14:paraId="445560AD" w14:textId="77777777" w:rsidR="00C05C38" w:rsidRPr="00FF3DC7" w:rsidRDefault="00C05C38" w:rsidP="00A21EDB">
      <w:pPr>
        <w:spacing w:after="0" w:line="360" w:lineRule="auto"/>
        <w:jc w:val="both"/>
        <w:rPr>
          <w:rFonts w:ascii="Times New Roman" w:hAnsi="Times New Roman" w:cs="Times New Roman"/>
          <w:b/>
          <w:sz w:val="24"/>
          <w:szCs w:val="24"/>
        </w:rPr>
      </w:pPr>
      <w:r w:rsidRPr="00FF3DC7">
        <w:rPr>
          <w:rFonts w:ascii="Times New Roman" w:hAnsi="Times New Roman" w:cs="Times New Roman"/>
          <w:b/>
          <w:sz w:val="24"/>
          <w:szCs w:val="24"/>
        </w:rPr>
        <w:t>Zakres wprowadzonych zmian</w:t>
      </w:r>
    </w:p>
    <w:p w14:paraId="1753EA55" w14:textId="289C588A" w:rsidR="00890282" w:rsidRDefault="002C0604" w:rsidP="00A21EDB">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 xml:space="preserve">W zmianie w art. 1 pkt </w:t>
      </w:r>
      <w:r w:rsidR="00054195" w:rsidRPr="00FF3DC7">
        <w:rPr>
          <w:rFonts w:ascii="Times New Roman" w:hAnsi="Times New Roman" w:cs="Times New Roman"/>
          <w:sz w:val="24"/>
          <w:szCs w:val="24"/>
        </w:rPr>
        <w:t>1</w:t>
      </w:r>
      <w:r w:rsidR="003C0BDC">
        <w:rPr>
          <w:rFonts w:ascii="Times New Roman" w:hAnsi="Times New Roman" w:cs="Times New Roman"/>
          <w:sz w:val="24"/>
          <w:szCs w:val="24"/>
        </w:rPr>
        <w:t xml:space="preserve"> </w:t>
      </w:r>
      <w:r w:rsidR="00890282">
        <w:rPr>
          <w:rFonts w:ascii="Times New Roman" w:hAnsi="Times New Roman" w:cs="Times New Roman"/>
          <w:sz w:val="24"/>
          <w:szCs w:val="24"/>
        </w:rPr>
        <w:t>lit. a</w:t>
      </w:r>
      <w:r w:rsidR="00054195" w:rsidRPr="00FF3DC7">
        <w:rPr>
          <w:rFonts w:ascii="Times New Roman" w:hAnsi="Times New Roman" w:cs="Times New Roman"/>
          <w:sz w:val="24"/>
          <w:szCs w:val="24"/>
        </w:rPr>
        <w:t xml:space="preserve"> projektu ustawy projektodawca </w:t>
      </w:r>
      <w:r w:rsidR="004649C9">
        <w:rPr>
          <w:rFonts w:ascii="Times New Roman" w:hAnsi="Times New Roman" w:cs="Times New Roman"/>
          <w:sz w:val="24"/>
          <w:szCs w:val="24"/>
        </w:rPr>
        <w:t xml:space="preserve">wskazuje, że w skład służby zagranicznej wchodzą </w:t>
      </w:r>
      <w:r w:rsidR="004649C9" w:rsidRPr="004649C9">
        <w:rPr>
          <w:rFonts w:ascii="Times New Roman" w:hAnsi="Times New Roman" w:cs="Times New Roman"/>
          <w:sz w:val="24"/>
          <w:szCs w:val="24"/>
        </w:rPr>
        <w:t>członkowie korpusu służby cywilnej zatrudnieni w urzędzie obsługującym ministra właściwego do spraw zagranicznych, w tym dyplomaci zawodowi stanowiący personel dyplomatyczno-konsularny</w:t>
      </w:r>
      <w:r w:rsidR="004649C9">
        <w:rPr>
          <w:rFonts w:ascii="Times New Roman" w:hAnsi="Times New Roman" w:cs="Times New Roman"/>
          <w:sz w:val="24"/>
          <w:szCs w:val="24"/>
        </w:rPr>
        <w:t>.</w:t>
      </w:r>
      <w:r w:rsidR="006258B7">
        <w:rPr>
          <w:rFonts w:ascii="Times New Roman" w:hAnsi="Times New Roman" w:cs="Times New Roman"/>
          <w:sz w:val="24"/>
          <w:szCs w:val="24"/>
        </w:rPr>
        <w:t xml:space="preserve"> </w:t>
      </w:r>
      <w:r w:rsidR="00890282">
        <w:rPr>
          <w:rFonts w:ascii="Times New Roman" w:hAnsi="Times New Roman" w:cs="Times New Roman"/>
          <w:sz w:val="24"/>
          <w:szCs w:val="24"/>
        </w:rPr>
        <w:t>W lit. b p</w:t>
      </w:r>
      <w:r w:rsidR="00890282" w:rsidRPr="00890282">
        <w:rPr>
          <w:rFonts w:ascii="Times New Roman" w:hAnsi="Times New Roman" w:cs="Times New Roman"/>
          <w:sz w:val="24"/>
          <w:szCs w:val="24"/>
        </w:rPr>
        <w:t xml:space="preserve">rzekształcenia wymaga podstawa prawna nawiązywania stosunków pracy określonych w art. 3 ust. 2 pkt 3 ustawy. W miejsce umowy o pracę na czas określony należy wprowadzić rozwiązanie polegające na nawiązywaniu stosunku pracy przez osoby zatrudnione w placówce zagranicznej na podstawie powołania, gdyż zapewni to większą spójność z nawiązywaniem stosunków pracy z innymi kategoriami pracowników przewidzianymi w ustawie (pracownikami zagranicznymi oraz pracownikami krajowymi, którzy w myśl postanowień ustawy będą zatrudniani na podstawie powołania). </w:t>
      </w:r>
      <w:r w:rsidR="009B0312">
        <w:rPr>
          <w:rFonts w:ascii="Times New Roman" w:hAnsi="Times New Roman" w:cs="Times New Roman"/>
          <w:sz w:val="24"/>
          <w:szCs w:val="24"/>
        </w:rPr>
        <w:t>Pon</w:t>
      </w:r>
      <w:r w:rsidR="00890282" w:rsidRPr="00890282">
        <w:rPr>
          <w:rFonts w:ascii="Times New Roman" w:hAnsi="Times New Roman" w:cs="Times New Roman"/>
          <w:sz w:val="24"/>
          <w:szCs w:val="24"/>
        </w:rPr>
        <w:t>adto, należy podkreślić, że nawiązanie stosunku pracy przez osoby zatrudnione w placówce zagranicznej na podstawie umowy o pracę na czas określony powodowałaby konieczność stosowania art. 25</w:t>
      </w:r>
      <w:r w:rsidR="00890282" w:rsidRPr="003C0BDC">
        <w:rPr>
          <w:rFonts w:ascii="Times New Roman" w:hAnsi="Times New Roman" w:cs="Times New Roman"/>
          <w:sz w:val="24"/>
          <w:szCs w:val="24"/>
          <w:vertAlign w:val="superscript"/>
        </w:rPr>
        <w:t>1</w:t>
      </w:r>
      <w:r w:rsidR="00890282" w:rsidRPr="00890282">
        <w:rPr>
          <w:rFonts w:ascii="Times New Roman" w:hAnsi="Times New Roman" w:cs="Times New Roman"/>
          <w:sz w:val="24"/>
          <w:szCs w:val="24"/>
        </w:rPr>
        <w:t xml:space="preserve"> </w:t>
      </w:r>
      <w:r w:rsidR="00241198" w:rsidRPr="00241198">
        <w:rPr>
          <w:rFonts w:ascii="Times New Roman" w:hAnsi="Times New Roman" w:cs="Times New Roman"/>
          <w:sz w:val="24"/>
          <w:szCs w:val="24"/>
        </w:rPr>
        <w:t xml:space="preserve">ustawy z dnia 26 czerwca 1974 r. </w:t>
      </w:r>
      <w:r w:rsidR="003C0BDC">
        <w:rPr>
          <w:rFonts w:ascii="Times New Roman" w:hAnsi="Times New Roman" w:cs="Times New Roman"/>
          <w:sz w:val="24"/>
          <w:szCs w:val="24"/>
        </w:rPr>
        <w:t>–</w:t>
      </w:r>
      <w:r w:rsidR="00241198" w:rsidRPr="00241198">
        <w:rPr>
          <w:rFonts w:ascii="Times New Roman" w:hAnsi="Times New Roman" w:cs="Times New Roman"/>
          <w:sz w:val="24"/>
          <w:szCs w:val="24"/>
        </w:rPr>
        <w:t xml:space="preserve"> Kodeks pracy (Dz.</w:t>
      </w:r>
      <w:r w:rsidR="009B0312">
        <w:rPr>
          <w:rFonts w:ascii="Times New Roman" w:hAnsi="Times New Roman" w:cs="Times New Roman"/>
          <w:sz w:val="24"/>
          <w:szCs w:val="24"/>
        </w:rPr>
        <w:t xml:space="preserve"> </w:t>
      </w:r>
      <w:r w:rsidR="00241198" w:rsidRPr="00241198">
        <w:rPr>
          <w:rFonts w:ascii="Times New Roman" w:hAnsi="Times New Roman" w:cs="Times New Roman"/>
          <w:sz w:val="24"/>
          <w:szCs w:val="24"/>
        </w:rPr>
        <w:t>U. z 2020 r. poz. 1320)</w:t>
      </w:r>
      <w:r w:rsidR="009B0312">
        <w:rPr>
          <w:rFonts w:ascii="Times New Roman" w:hAnsi="Times New Roman" w:cs="Times New Roman"/>
          <w:sz w:val="24"/>
          <w:szCs w:val="24"/>
        </w:rPr>
        <w:t>, zwanej dalej</w:t>
      </w:r>
      <w:r w:rsidR="00241198">
        <w:rPr>
          <w:rFonts w:ascii="Times New Roman" w:hAnsi="Times New Roman" w:cs="Times New Roman"/>
          <w:sz w:val="24"/>
          <w:szCs w:val="24"/>
        </w:rPr>
        <w:t xml:space="preserve"> „k.p.”</w:t>
      </w:r>
      <w:r w:rsidR="00890282" w:rsidRPr="00890282">
        <w:rPr>
          <w:rFonts w:ascii="Times New Roman" w:hAnsi="Times New Roman" w:cs="Times New Roman"/>
          <w:sz w:val="24"/>
          <w:szCs w:val="24"/>
        </w:rPr>
        <w:t>. Obecnie obowiązujący art. 28c ustawy z dnia 27 lipca 2001 r. o służbie zagranicznej stanowi, że</w:t>
      </w:r>
      <w:r w:rsidR="00790087">
        <w:rPr>
          <w:rFonts w:ascii="Times New Roman" w:hAnsi="Times New Roman" w:cs="Times New Roman"/>
          <w:sz w:val="24"/>
          <w:szCs w:val="24"/>
        </w:rPr>
        <w:t> </w:t>
      </w:r>
      <w:r w:rsidR="00890282" w:rsidRPr="00890282">
        <w:rPr>
          <w:rFonts w:ascii="Times New Roman" w:hAnsi="Times New Roman" w:cs="Times New Roman"/>
          <w:sz w:val="24"/>
          <w:szCs w:val="24"/>
        </w:rPr>
        <w:t>w</w:t>
      </w:r>
      <w:r w:rsidR="00790087">
        <w:rPr>
          <w:rFonts w:ascii="Times New Roman" w:hAnsi="Times New Roman" w:cs="Times New Roman"/>
          <w:sz w:val="24"/>
          <w:szCs w:val="24"/>
        </w:rPr>
        <w:t> </w:t>
      </w:r>
      <w:r w:rsidR="00890282" w:rsidRPr="00890282">
        <w:rPr>
          <w:rFonts w:ascii="Times New Roman" w:hAnsi="Times New Roman" w:cs="Times New Roman"/>
          <w:sz w:val="24"/>
          <w:szCs w:val="24"/>
        </w:rPr>
        <w:t>przypadku umów o pracę zawieranych na czas określony w celu wykonywania zadań w</w:t>
      </w:r>
      <w:r w:rsidR="00790087">
        <w:rPr>
          <w:rFonts w:ascii="Times New Roman" w:hAnsi="Times New Roman" w:cs="Times New Roman"/>
          <w:sz w:val="24"/>
          <w:szCs w:val="24"/>
        </w:rPr>
        <w:t> </w:t>
      </w:r>
      <w:r w:rsidR="00890282" w:rsidRPr="00890282">
        <w:rPr>
          <w:rFonts w:ascii="Times New Roman" w:hAnsi="Times New Roman" w:cs="Times New Roman"/>
          <w:sz w:val="24"/>
          <w:szCs w:val="24"/>
        </w:rPr>
        <w:t>placówce zagranicznej art. 25</w:t>
      </w:r>
      <w:r w:rsidR="00890282" w:rsidRPr="00073A5B">
        <w:rPr>
          <w:rFonts w:ascii="Times New Roman" w:hAnsi="Times New Roman" w:cs="Times New Roman"/>
          <w:sz w:val="24"/>
          <w:szCs w:val="24"/>
          <w:vertAlign w:val="superscript"/>
        </w:rPr>
        <w:t xml:space="preserve">1 </w:t>
      </w:r>
      <w:r w:rsidR="00241198">
        <w:rPr>
          <w:rFonts w:ascii="Times New Roman" w:hAnsi="Times New Roman" w:cs="Times New Roman"/>
          <w:sz w:val="24"/>
          <w:szCs w:val="24"/>
        </w:rPr>
        <w:t>k.p.,</w:t>
      </w:r>
      <w:r w:rsidR="00890282" w:rsidRPr="00890282">
        <w:rPr>
          <w:rFonts w:ascii="Times New Roman" w:hAnsi="Times New Roman" w:cs="Times New Roman"/>
          <w:sz w:val="24"/>
          <w:szCs w:val="24"/>
        </w:rPr>
        <w:t xml:space="preserve"> nie stosuje się. Jednakże umowa zawarta w tym celu, w tym z osobą podejmującą po raz pierwszy pracę w służbie cywilnej, może być zawarta na czas nieprzekraczający 6 lat. Ponowne zawarcie takiej umowy jest możliwe po upływie co najmniej 6 miesięcy od dnia rozwiązania lub wygaśnięcia poprzedniej umowy o pracę zawartej w celu wykonywania zadań w placówce zagranicznej. Nowa ustawa o służbie zagranicznej nie</w:t>
      </w:r>
      <w:r w:rsidR="00790087">
        <w:rPr>
          <w:rFonts w:ascii="Times New Roman" w:hAnsi="Times New Roman" w:cs="Times New Roman"/>
          <w:sz w:val="24"/>
          <w:szCs w:val="24"/>
        </w:rPr>
        <w:t> </w:t>
      </w:r>
      <w:r w:rsidR="00890282" w:rsidRPr="00890282">
        <w:rPr>
          <w:rFonts w:ascii="Times New Roman" w:hAnsi="Times New Roman" w:cs="Times New Roman"/>
          <w:sz w:val="24"/>
          <w:szCs w:val="24"/>
        </w:rPr>
        <w:t>przewiduje analogicznych regulacji. Z uwagi na powyższe, a także zważając na szczególne potrzeby służby z</w:t>
      </w:r>
      <w:r w:rsidR="00073A5B">
        <w:rPr>
          <w:rFonts w:ascii="Times New Roman" w:hAnsi="Times New Roman" w:cs="Times New Roman"/>
          <w:sz w:val="24"/>
          <w:szCs w:val="24"/>
        </w:rPr>
        <w:t>agranicznej, konieczne jest wpro</w:t>
      </w:r>
      <w:r w:rsidR="00890282" w:rsidRPr="00890282">
        <w:rPr>
          <w:rFonts w:ascii="Times New Roman" w:hAnsi="Times New Roman" w:cs="Times New Roman"/>
          <w:sz w:val="24"/>
          <w:szCs w:val="24"/>
        </w:rPr>
        <w:t>wadzenie rozwiązania pozwalającego na</w:t>
      </w:r>
      <w:r w:rsidR="00790087">
        <w:rPr>
          <w:rFonts w:ascii="Times New Roman" w:hAnsi="Times New Roman" w:cs="Times New Roman"/>
          <w:sz w:val="24"/>
          <w:szCs w:val="24"/>
        </w:rPr>
        <w:t> </w:t>
      </w:r>
      <w:r w:rsidR="00890282" w:rsidRPr="00890282">
        <w:rPr>
          <w:rFonts w:ascii="Times New Roman" w:hAnsi="Times New Roman" w:cs="Times New Roman"/>
          <w:sz w:val="24"/>
          <w:szCs w:val="24"/>
        </w:rPr>
        <w:t>nawiązywanie z osobami zatrudnionymi w placówce zagranicznej stosunków pracy na</w:t>
      </w:r>
      <w:r w:rsidR="00790087">
        <w:rPr>
          <w:rFonts w:ascii="Times New Roman" w:hAnsi="Times New Roman" w:cs="Times New Roman"/>
          <w:sz w:val="24"/>
          <w:szCs w:val="24"/>
        </w:rPr>
        <w:t> </w:t>
      </w:r>
      <w:r w:rsidR="00890282" w:rsidRPr="00890282">
        <w:rPr>
          <w:rFonts w:ascii="Times New Roman" w:hAnsi="Times New Roman" w:cs="Times New Roman"/>
          <w:sz w:val="24"/>
          <w:szCs w:val="24"/>
        </w:rPr>
        <w:t>podstawie powołania.</w:t>
      </w:r>
    </w:p>
    <w:p w14:paraId="179F3C13" w14:textId="77777777" w:rsidR="00890282" w:rsidRPr="00FF3DC7" w:rsidRDefault="00890282" w:rsidP="00A21EDB">
      <w:pPr>
        <w:spacing w:after="0" w:line="360" w:lineRule="auto"/>
        <w:jc w:val="both"/>
        <w:rPr>
          <w:rFonts w:ascii="Times New Roman" w:hAnsi="Times New Roman" w:cs="Times New Roman"/>
          <w:sz w:val="24"/>
          <w:szCs w:val="24"/>
        </w:rPr>
      </w:pPr>
    </w:p>
    <w:p w14:paraId="76D302A8" w14:textId="33D93578" w:rsidR="00054195" w:rsidRDefault="00054195" w:rsidP="00A21EDB">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lastRenderedPageBreak/>
        <w:t xml:space="preserve">W związku z dodaniem w art. 3 w ust. 1 </w:t>
      </w:r>
      <w:r w:rsidR="00073A5B" w:rsidRPr="00073A5B">
        <w:rPr>
          <w:rFonts w:ascii="Times New Roman" w:hAnsi="Times New Roman" w:cs="Times New Roman"/>
          <w:sz w:val="24"/>
          <w:szCs w:val="24"/>
        </w:rPr>
        <w:t>pkt</w:t>
      </w:r>
      <w:r w:rsidR="00073A5B">
        <w:rPr>
          <w:rFonts w:ascii="Times New Roman" w:hAnsi="Times New Roman" w:cs="Times New Roman"/>
          <w:sz w:val="24"/>
          <w:szCs w:val="24"/>
        </w:rPr>
        <w:t>.</w:t>
      </w:r>
      <w:r w:rsidR="00073A5B" w:rsidRPr="00073A5B">
        <w:rPr>
          <w:rFonts w:ascii="Times New Roman" w:hAnsi="Times New Roman" w:cs="Times New Roman"/>
          <w:sz w:val="24"/>
          <w:szCs w:val="24"/>
        </w:rPr>
        <w:t xml:space="preserve"> 4</w:t>
      </w:r>
      <w:r w:rsidR="00073A5B">
        <w:rPr>
          <w:rFonts w:ascii="Times New Roman" w:hAnsi="Times New Roman" w:cs="Times New Roman"/>
          <w:sz w:val="24"/>
          <w:szCs w:val="24"/>
        </w:rPr>
        <w:t xml:space="preserve"> </w:t>
      </w:r>
      <w:r w:rsidRPr="00FF3DC7">
        <w:rPr>
          <w:rFonts w:ascii="Times New Roman" w:eastAsiaTheme="minorEastAsia" w:hAnsi="Times New Roman" w:cs="Times New Roman"/>
          <w:bCs/>
          <w:sz w:val="24"/>
          <w:szCs w:val="24"/>
          <w:lang w:eastAsia="pl-PL"/>
        </w:rPr>
        <w:t>ustawy z dnia 21 stycznia 2021 r. o służbie zagranicznej,</w:t>
      </w:r>
      <w:r w:rsidRPr="00FF3DC7">
        <w:rPr>
          <w:rFonts w:ascii="Times New Roman" w:hAnsi="Times New Roman" w:cs="Times New Roman"/>
          <w:sz w:val="24"/>
          <w:szCs w:val="24"/>
        </w:rPr>
        <w:t xml:space="preserve"> konieczne jest </w:t>
      </w:r>
      <w:r w:rsidR="00086EF8" w:rsidRPr="00FF3DC7">
        <w:rPr>
          <w:rFonts w:ascii="Times New Roman" w:hAnsi="Times New Roman" w:cs="Times New Roman"/>
          <w:sz w:val="24"/>
          <w:szCs w:val="24"/>
        </w:rPr>
        <w:t xml:space="preserve">również </w:t>
      </w:r>
      <w:r w:rsidRPr="00FF3DC7">
        <w:rPr>
          <w:rFonts w:ascii="Times New Roman" w:hAnsi="Times New Roman" w:cs="Times New Roman"/>
          <w:sz w:val="24"/>
          <w:szCs w:val="24"/>
        </w:rPr>
        <w:t>uzupełnienie odesłania, o którym mowa w art. 4 ust. 1</w:t>
      </w:r>
      <w:r w:rsidR="009B0312">
        <w:rPr>
          <w:rFonts w:ascii="Times New Roman" w:hAnsi="Times New Roman" w:cs="Times New Roman"/>
          <w:sz w:val="24"/>
          <w:szCs w:val="24"/>
        </w:rPr>
        <w:t xml:space="preserve"> ustawy</w:t>
      </w:r>
      <w:r w:rsidRPr="00FF3DC7">
        <w:rPr>
          <w:rFonts w:ascii="Times New Roman" w:hAnsi="Times New Roman" w:cs="Times New Roman"/>
          <w:sz w:val="24"/>
          <w:szCs w:val="24"/>
        </w:rPr>
        <w:t xml:space="preserve">. </w:t>
      </w:r>
    </w:p>
    <w:p w14:paraId="54AAE086" w14:textId="4F8A088E" w:rsidR="00890282" w:rsidRPr="00FF3DC7" w:rsidRDefault="00890282" w:rsidP="00A21EDB">
      <w:pPr>
        <w:spacing w:after="0" w:line="360" w:lineRule="auto"/>
        <w:jc w:val="both"/>
        <w:rPr>
          <w:rFonts w:ascii="Times New Roman" w:hAnsi="Times New Roman" w:cs="Times New Roman"/>
          <w:sz w:val="24"/>
          <w:szCs w:val="24"/>
        </w:rPr>
      </w:pPr>
      <w:r w:rsidRPr="00890282">
        <w:rPr>
          <w:rFonts w:ascii="Times New Roman" w:hAnsi="Times New Roman" w:cs="Times New Roman"/>
          <w:sz w:val="24"/>
          <w:szCs w:val="24"/>
        </w:rPr>
        <w:t>Konieczne jest wprowadzenie przepisu, który przewiduje takie same konsekwencje ukończenia 65-tego roku życia dla wszystkich członków służby zagranicznej, za wyjątkiem ambasadorów oraz stałych przedstawicieli RP przy organizacjach międzynarodowych. Dotychczasowy przepis przewidywał skutek w postaci wygaśnięcia stosunku pracy jedynie wobec dyplomatów zawodowych oraz pracowników krajowych, pomijając pracowników zagranicznych. Tego rodzaju regulacja nie znajdowała stosownego uzasadnienia. Niezbędne jest włączenie pracowników zagranicznych do grupy osób, których stosunek pracy wygasa w dniu ukończenia 65-tego roku życia.</w:t>
      </w:r>
    </w:p>
    <w:p w14:paraId="1A6A9887" w14:textId="15302A4A" w:rsidR="002C0604" w:rsidRPr="00241198" w:rsidRDefault="00054195" w:rsidP="00A21EDB">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 xml:space="preserve">Projektodawca </w:t>
      </w:r>
      <w:r w:rsidR="002C0604" w:rsidRPr="00FF3DC7">
        <w:rPr>
          <w:rFonts w:ascii="Times New Roman" w:hAnsi="Times New Roman" w:cs="Times New Roman"/>
          <w:sz w:val="24"/>
          <w:szCs w:val="24"/>
        </w:rPr>
        <w:t xml:space="preserve">proponuje </w:t>
      </w:r>
      <w:r w:rsidRPr="00FF3DC7">
        <w:rPr>
          <w:rFonts w:ascii="Times New Roman" w:hAnsi="Times New Roman" w:cs="Times New Roman"/>
          <w:sz w:val="24"/>
          <w:szCs w:val="24"/>
        </w:rPr>
        <w:t xml:space="preserve">w art. 1 pkt 3 projektu </w:t>
      </w:r>
      <w:r w:rsidR="002C0604" w:rsidRPr="00FF3DC7">
        <w:rPr>
          <w:rFonts w:ascii="Times New Roman" w:hAnsi="Times New Roman" w:cs="Times New Roman"/>
          <w:sz w:val="24"/>
          <w:szCs w:val="24"/>
        </w:rPr>
        <w:t>uzupełnienie definicji członka rodziny, o której mowa w art. 7 pkt 2</w:t>
      </w:r>
      <w:r w:rsidR="009B0312">
        <w:rPr>
          <w:rFonts w:ascii="Times New Roman" w:hAnsi="Times New Roman" w:cs="Times New Roman"/>
          <w:sz w:val="24"/>
          <w:szCs w:val="24"/>
        </w:rPr>
        <w:t xml:space="preserve"> ustawy</w:t>
      </w:r>
      <w:r w:rsidR="002C0604" w:rsidRPr="00FF3DC7">
        <w:rPr>
          <w:rFonts w:ascii="Times New Roman" w:hAnsi="Times New Roman" w:cs="Times New Roman"/>
          <w:sz w:val="24"/>
          <w:szCs w:val="24"/>
        </w:rPr>
        <w:t xml:space="preserve"> m.in. o dzieci małżonka oraz dzieci wzięte na utrzymanie i wychowanie</w:t>
      </w:r>
      <w:r w:rsidR="0056635D">
        <w:rPr>
          <w:rFonts w:ascii="Times New Roman" w:hAnsi="Times New Roman" w:cs="Times New Roman"/>
          <w:sz w:val="24"/>
          <w:szCs w:val="24"/>
        </w:rPr>
        <w:t xml:space="preserve"> w ramach </w:t>
      </w:r>
      <w:r w:rsidR="00BF71F6">
        <w:rPr>
          <w:rFonts w:ascii="Times New Roman" w:hAnsi="Times New Roman" w:cs="Times New Roman"/>
          <w:sz w:val="24"/>
          <w:szCs w:val="24"/>
        </w:rPr>
        <w:t>rodzin zastępcz</w:t>
      </w:r>
      <w:r w:rsidR="0056635D">
        <w:rPr>
          <w:rFonts w:ascii="Times New Roman" w:hAnsi="Times New Roman" w:cs="Times New Roman"/>
          <w:sz w:val="24"/>
          <w:szCs w:val="24"/>
        </w:rPr>
        <w:t>ych</w:t>
      </w:r>
      <w:r w:rsidR="00BF71F6">
        <w:rPr>
          <w:rFonts w:ascii="Times New Roman" w:hAnsi="Times New Roman" w:cs="Times New Roman"/>
          <w:sz w:val="24"/>
          <w:szCs w:val="24"/>
        </w:rPr>
        <w:t xml:space="preserve">, </w:t>
      </w:r>
      <w:r w:rsidR="002C0604" w:rsidRPr="00FF3DC7">
        <w:rPr>
          <w:rFonts w:ascii="Times New Roman" w:hAnsi="Times New Roman" w:cs="Times New Roman"/>
          <w:sz w:val="24"/>
          <w:szCs w:val="24"/>
        </w:rPr>
        <w:t xml:space="preserve"> </w:t>
      </w:r>
      <w:r w:rsidR="00BF71F6">
        <w:rPr>
          <w:rFonts w:ascii="Times New Roman" w:hAnsi="Times New Roman" w:cs="Times New Roman"/>
          <w:sz w:val="24"/>
          <w:szCs w:val="24"/>
        </w:rPr>
        <w:t xml:space="preserve">rodzinnych domów dziecka </w:t>
      </w:r>
      <w:r w:rsidR="0056635D">
        <w:rPr>
          <w:rFonts w:ascii="Times New Roman" w:hAnsi="Times New Roman" w:cs="Times New Roman"/>
          <w:sz w:val="24"/>
          <w:szCs w:val="24"/>
        </w:rPr>
        <w:t xml:space="preserve">- </w:t>
      </w:r>
      <w:r w:rsidR="00BF71F6">
        <w:rPr>
          <w:rFonts w:ascii="Times New Roman" w:hAnsi="Times New Roman" w:cs="Times New Roman"/>
          <w:sz w:val="24"/>
          <w:szCs w:val="24"/>
        </w:rPr>
        <w:t>w wieku do 18 lat</w:t>
      </w:r>
      <w:r w:rsidR="002C0604" w:rsidRPr="00FF3DC7">
        <w:rPr>
          <w:rFonts w:ascii="Times New Roman" w:hAnsi="Times New Roman" w:cs="Times New Roman"/>
          <w:sz w:val="24"/>
          <w:szCs w:val="24"/>
        </w:rPr>
        <w:t xml:space="preserve">, tak by w możliwe pełnym stopniu uwzględniać różnorodność sytuacji rodzinnej członków służby zagranicznej oraz nie pomijać albo </w:t>
      </w:r>
      <w:r w:rsidR="002C0604" w:rsidRPr="00241198">
        <w:rPr>
          <w:rFonts w:ascii="Times New Roman" w:hAnsi="Times New Roman" w:cs="Times New Roman"/>
          <w:sz w:val="24"/>
          <w:szCs w:val="24"/>
        </w:rPr>
        <w:t>nie</w:t>
      </w:r>
      <w:r w:rsidR="00086EF8" w:rsidRPr="00241198">
        <w:rPr>
          <w:rFonts w:ascii="Times New Roman" w:hAnsi="Times New Roman" w:cs="Times New Roman"/>
          <w:sz w:val="24"/>
          <w:szCs w:val="24"/>
        </w:rPr>
        <w:t> </w:t>
      </w:r>
      <w:r w:rsidR="002C0604" w:rsidRPr="00241198">
        <w:rPr>
          <w:rFonts w:ascii="Times New Roman" w:hAnsi="Times New Roman" w:cs="Times New Roman"/>
          <w:sz w:val="24"/>
          <w:szCs w:val="24"/>
        </w:rPr>
        <w:t xml:space="preserve">traktować w gorszy sposób określonych kategorii członków rodziny. </w:t>
      </w:r>
    </w:p>
    <w:p w14:paraId="2FFBC5D5" w14:textId="10FD7868" w:rsidR="00616B3F" w:rsidRDefault="00890282" w:rsidP="00A21EDB">
      <w:pPr>
        <w:spacing w:after="0" w:line="360" w:lineRule="auto"/>
        <w:jc w:val="both"/>
        <w:rPr>
          <w:rFonts w:ascii="Times New Roman" w:hAnsi="Times New Roman" w:cs="Times New Roman"/>
          <w:sz w:val="24"/>
          <w:szCs w:val="24"/>
        </w:rPr>
      </w:pPr>
      <w:r w:rsidRPr="00241198">
        <w:rPr>
          <w:rFonts w:ascii="Times New Roman" w:hAnsi="Times New Roman" w:cs="Times New Roman"/>
          <w:sz w:val="24"/>
          <w:szCs w:val="24"/>
        </w:rPr>
        <w:t>W art. 19 ustawy nowelizowanej</w:t>
      </w:r>
      <w:r w:rsidR="00241198" w:rsidRPr="00241198">
        <w:rPr>
          <w:rFonts w:ascii="Times New Roman" w:hAnsi="Times New Roman" w:cs="Times New Roman"/>
          <w:sz w:val="24"/>
          <w:szCs w:val="24"/>
        </w:rPr>
        <w:t xml:space="preserve"> dodano</w:t>
      </w:r>
      <w:r w:rsidRPr="00241198">
        <w:rPr>
          <w:rFonts w:ascii="Times New Roman" w:hAnsi="Times New Roman" w:cs="Times New Roman"/>
          <w:sz w:val="24"/>
          <w:szCs w:val="24"/>
        </w:rPr>
        <w:t xml:space="preserve"> ust. 5</w:t>
      </w:r>
      <w:r w:rsidR="00B83C0F">
        <w:rPr>
          <w:rFonts w:ascii="Times New Roman" w:hAnsi="Times New Roman" w:cs="Times New Roman"/>
          <w:sz w:val="24"/>
          <w:szCs w:val="24"/>
        </w:rPr>
        <w:t xml:space="preserve"> (art.</w:t>
      </w:r>
      <w:r w:rsidR="00616B3F">
        <w:rPr>
          <w:rFonts w:ascii="Times New Roman" w:hAnsi="Times New Roman" w:cs="Times New Roman"/>
          <w:sz w:val="24"/>
          <w:szCs w:val="24"/>
        </w:rPr>
        <w:t xml:space="preserve"> 1 pkt</w:t>
      </w:r>
      <w:r w:rsidR="00B83C0F">
        <w:rPr>
          <w:rFonts w:ascii="Times New Roman" w:hAnsi="Times New Roman" w:cs="Times New Roman"/>
          <w:sz w:val="24"/>
          <w:szCs w:val="24"/>
        </w:rPr>
        <w:t xml:space="preserve"> 4 projektu)</w:t>
      </w:r>
      <w:r w:rsidR="00241198" w:rsidRPr="00241198">
        <w:rPr>
          <w:rFonts w:ascii="Times New Roman" w:hAnsi="Times New Roman" w:cs="Times New Roman"/>
          <w:sz w:val="24"/>
          <w:szCs w:val="24"/>
        </w:rPr>
        <w:t>, który stanowi, że odwołanie pracownika zagranicznego następuje z co najmniej 30-dniowym wyprzedzeniem, z wyjątkiem przypadku, o którym mowa w art. 70 §</w:t>
      </w:r>
      <w:r w:rsidRPr="00241198">
        <w:rPr>
          <w:rFonts w:ascii="Times New Roman" w:hAnsi="Times New Roman" w:cs="Times New Roman"/>
          <w:sz w:val="24"/>
          <w:szCs w:val="24"/>
        </w:rPr>
        <w:t xml:space="preserve"> </w:t>
      </w:r>
      <w:r w:rsidR="00241198" w:rsidRPr="00241198">
        <w:rPr>
          <w:rFonts w:ascii="Times New Roman" w:hAnsi="Times New Roman" w:cs="Times New Roman"/>
          <w:sz w:val="24"/>
          <w:szCs w:val="24"/>
        </w:rPr>
        <w:t xml:space="preserve">3 </w:t>
      </w:r>
      <w:r w:rsidR="00241198">
        <w:rPr>
          <w:rFonts w:ascii="Times New Roman" w:hAnsi="Times New Roman" w:cs="Times New Roman"/>
          <w:sz w:val="24"/>
          <w:szCs w:val="24"/>
        </w:rPr>
        <w:t>k.p.</w:t>
      </w:r>
      <w:r w:rsidR="00241198" w:rsidRPr="00241198">
        <w:rPr>
          <w:rFonts w:ascii="Times New Roman" w:hAnsi="Times New Roman" w:cs="Times New Roman"/>
          <w:sz w:val="24"/>
          <w:szCs w:val="24"/>
        </w:rPr>
        <w:t xml:space="preserve"> lub uznania pracownika zagranicznego za osobę niepożądaną przez władze państwa przyjmującego. Powyższy okres stanowi okres wypowiedzenia w rozumieniu 70 </w:t>
      </w:r>
      <w:r w:rsidR="00241198">
        <w:rPr>
          <w:rFonts w:ascii="Times New Roman" w:hAnsi="Times New Roman" w:cs="Times New Roman"/>
          <w:sz w:val="24"/>
          <w:szCs w:val="24"/>
        </w:rPr>
        <w:t>§ 2</w:t>
      </w:r>
      <w:r w:rsidR="00241198" w:rsidRPr="00241198">
        <w:rPr>
          <w:rFonts w:ascii="Times New Roman" w:hAnsi="Times New Roman" w:cs="Times New Roman"/>
          <w:sz w:val="24"/>
          <w:szCs w:val="24"/>
        </w:rPr>
        <w:t xml:space="preserve"> </w:t>
      </w:r>
      <w:r w:rsidR="00241198">
        <w:rPr>
          <w:rFonts w:ascii="Times New Roman" w:hAnsi="Times New Roman" w:cs="Times New Roman"/>
          <w:sz w:val="24"/>
          <w:szCs w:val="24"/>
        </w:rPr>
        <w:t>k.p., co</w:t>
      </w:r>
      <w:r w:rsidR="00241198" w:rsidRPr="00241198">
        <w:rPr>
          <w:rFonts w:ascii="Times New Roman" w:hAnsi="Times New Roman" w:cs="Times New Roman"/>
          <w:sz w:val="24"/>
          <w:szCs w:val="24"/>
        </w:rPr>
        <w:t xml:space="preserve"> </w:t>
      </w:r>
      <w:r w:rsidRPr="00241198">
        <w:rPr>
          <w:rFonts w:ascii="Times New Roman" w:hAnsi="Times New Roman" w:cs="Times New Roman"/>
          <w:sz w:val="24"/>
          <w:szCs w:val="24"/>
        </w:rPr>
        <w:t>w sposób odpowiedni zabezpiecza prawa pracownika zagranicznego, jak i pracodawcy.</w:t>
      </w:r>
      <w:r>
        <w:rPr>
          <w:rFonts w:ascii="Times New Roman" w:hAnsi="Times New Roman" w:cs="Times New Roman"/>
          <w:sz w:val="24"/>
          <w:szCs w:val="24"/>
        </w:rPr>
        <w:t xml:space="preserve"> </w:t>
      </w:r>
    </w:p>
    <w:p w14:paraId="1EBB3157" w14:textId="0020BF87" w:rsidR="00890282" w:rsidRDefault="00616B3F" w:rsidP="00A21ED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Projektowana</w:t>
      </w:r>
      <w:r w:rsidR="00890282">
        <w:rPr>
          <w:rFonts w:ascii="Times New Roman" w:hAnsi="Times New Roman" w:cs="Times New Roman"/>
          <w:sz w:val="24"/>
          <w:szCs w:val="24"/>
        </w:rPr>
        <w:t xml:space="preserve"> w art. 1 pkt 5 </w:t>
      </w:r>
      <w:r>
        <w:rPr>
          <w:rFonts w:ascii="Times New Roman" w:hAnsi="Times New Roman" w:cs="Times New Roman"/>
          <w:sz w:val="24"/>
          <w:szCs w:val="24"/>
        </w:rPr>
        <w:t>zmiana jest analogicznym rozwią</w:t>
      </w:r>
      <w:r w:rsidR="00AA477B">
        <w:rPr>
          <w:rFonts w:ascii="Times New Roman" w:hAnsi="Times New Roman" w:cs="Times New Roman"/>
          <w:sz w:val="24"/>
          <w:szCs w:val="24"/>
        </w:rPr>
        <w:t>zaniem jak zaproponowana w art. </w:t>
      </w:r>
      <w:r>
        <w:rPr>
          <w:rFonts w:ascii="Times New Roman" w:hAnsi="Times New Roman" w:cs="Times New Roman"/>
          <w:sz w:val="24"/>
          <w:szCs w:val="24"/>
        </w:rPr>
        <w:t xml:space="preserve">1 pkt 4, ale dotyczy pracownika krajowego. </w:t>
      </w:r>
    </w:p>
    <w:p w14:paraId="59D8A051" w14:textId="1C33B3F8" w:rsidR="00054195" w:rsidRPr="00FF3DC7" w:rsidRDefault="00054195" w:rsidP="00054195">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 xml:space="preserve">Zgodnie ze zmianą proponowaną w art. 1 pkt </w:t>
      </w:r>
      <w:r w:rsidR="009B0312">
        <w:rPr>
          <w:rFonts w:ascii="Times New Roman" w:hAnsi="Times New Roman" w:cs="Times New Roman"/>
          <w:sz w:val="24"/>
          <w:szCs w:val="24"/>
        </w:rPr>
        <w:t>7</w:t>
      </w:r>
      <w:r w:rsidRPr="00FF3DC7">
        <w:rPr>
          <w:rFonts w:ascii="Times New Roman" w:hAnsi="Times New Roman" w:cs="Times New Roman"/>
          <w:sz w:val="24"/>
          <w:szCs w:val="24"/>
        </w:rPr>
        <w:t>, mianowanie ambasadora lub Stałego Przedstawiciela Rzeczypospolitej Polskie</w:t>
      </w:r>
      <w:r w:rsidR="009B0312">
        <w:rPr>
          <w:rFonts w:ascii="Times New Roman" w:hAnsi="Times New Roman" w:cs="Times New Roman"/>
          <w:sz w:val="24"/>
          <w:szCs w:val="24"/>
        </w:rPr>
        <w:t>j przy Unii Europejskiej odbywa</w:t>
      </w:r>
      <w:r w:rsidRPr="00FF3DC7">
        <w:rPr>
          <w:rFonts w:ascii="Times New Roman" w:hAnsi="Times New Roman" w:cs="Times New Roman"/>
          <w:sz w:val="24"/>
          <w:szCs w:val="24"/>
        </w:rPr>
        <w:t xml:space="preserve"> się po zasięgnięciu opinii właściwej komisji sejmowej, o której mowa w uchwale Sejmu Rzeczypospolitej Polskiej z dnia 30 lipca 1992 r. – Regulamin Sejmu Rzeczypospolitej Polskiej (M.P. z 2019 r. poz. 1028 i 1184 oraz z 2020 r. po. 327 i 476)</w:t>
      </w:r>
      <w:r w:rsidR="000E1DE2" w:rsidRPr="00FF3DC7">
        <w:rPr>
          <w:rFonts w:ascii="Times New Roman" w:hAnsi="Times New Roman" w:cs="Times New Roman"/>
          <w:sz w:val="24"/>
          <w:szCs w:val="24"/>
        </w:rPr>
        <w:t xml:space="preserve">. </w:t>
      </w:r>
      <w:r w:rsidRPr="00FF3DC7">
        <w:rPr>
          <w:rFonts w:ascii="Times New Roman" w:hAnsi="Times New Roman" w:cs="Times New Roman"/>
          <w:sz w:val="24"/>
          <w:szCs w:val="24"/>
        </w:rPr>
        <w:t xml:space="preserve"> </w:t>
      </w:r>
    </w:p>
    <w:p w14:paraId="39A424DE" w14:textId="4E36BF4C" w:rsidR="00054195" w:rsidRPr="00FF3DC7" w:rsidRDefault="00054195" w:rsidP="00054195">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 xml:space="preserve">Zgodnie z art. 1 pkt </w:t>
      </w:r>
      <w:r w:rsidR="00790087">
        <w:rPr>
          <w:rFonts w:ascii="Times New Roman" w:hAnsi="Times New Roman" w:cs="Times New Roman"/>
          <w:sz w:val="24"/>
          <w:szCs w:val="24"/>
        </w:rPr>
        <w:t>9</w:t>
      </w:r>
      <w:r w:rsidRPr="00FF3DC7">
        <w:rPr>
          <w:rFonts w:ascii="Times New Roman" w:hAnsi="Times New Roman" w:cs="Times New Roman"/>
          <w:sz w:val="24"/>
          <w:szCs w:val="24"/>
        </w:rPr>
        <w:t xml:space="preserve"> projektu, aplikacja dyplomatyczno-konsularna będzie składać się z następujących etapów:</w:t>
      </w:r>
    </w:p>
    <w:p w14:paraId="69271F4E" w14:textId="77777777" w:rsidR="00054195" w:rsidRPr="00FF3DC7" w:rsidRDefault="00054195" w:rsidP="00054195">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1)</w:t>
      </w:r>
      <w:r w:rsidRPr="00FF3DC7">
        <w:rPr>
          <w:rFonts w:ascii="Times New Roman" w:hAnsi="Times New Roman" w:cs="Times New Roman"/>
          <w:sz w:val="24"/>
          <w:szCs w:val="24"/>
        </w:rPr>
        <w:tab/>
        <w:t>szkolenia teoretycznego trwającego co najmniej 2 miesiące;</w:t>
      </w:r>
    </w:p>
    <w:p w14:paraId="1CE8D831" w14:textId="77777777" w:rsidR="00054195" w:rsidRPr="00FF3DC7" w:rsidRDefault="00054195" w:rsidP="00054195">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lastRenderedPageBreak/>
        <w:t>2)</w:t>
      </w:r>
      <w:r w:rsidRPr="00FF3DC7">
        <w:rPr>
          <w:rFonts w:ascii="Times New Roman" w:hAnsi="Times New Roman" w:cs="Times New Roman"/>
          <w:sz w:val="24"/>
          <w:szCs w:val="24"/>
        </w:rPr>
        <w:tab/>
        <w:t>stażu w urzędzie obsługującym ministra właściwego do spraw zagranicznych trwającego co najmniej 4 miesiące;</w:t>
      </w:r>
    </w:p>
    <w:p w14:paraId="17A2F00E" w14:textId="6A08EF9F" w:rsidR="00054195" w:rsidRPr="00FF3DC7" w:rsidRDefault="00054195" w:rsidP="00054195">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3)</w:t>
      </w:r>
      <w:r w:rsidRPr="00FF3DC7">
        <w:rPr>
          <w:rFonts w:ascii="Times New Roman" w:hAnsi="Times New Roman" w:cs="Times New Roman"/>
          <w:sz w:val="24"/>
          <w:szCs w:val="24"/>
        </w:rPr>
        <w:tab/>
        <w:t xml:space="preserve">staży zagranicznych trwających łącznie nie dłużej niż 6 miesięcy. </w:t>
      </w:r>
    </w:p>
    <w:p w14:paraId="73DDA3BD" w14:textId="20EE8508" w:rsidR="00054195" w:rsidRPr="00FF3DC7" w:rsidRDefault="00054195" w:rsidP="00054195">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Proponowane brzmienie pozwoli w bardziej elastyczny sposób określać program aplikacji i</w:t>
      </w:r>
      <w:r w:rsidR="00790087">
        <w:rPr>
          <w:rFonts w:ascii="Times New Roman" w:hAnsi="Times New Roman" w:cs="Times New Roman"/>
          <w:sz w:val="24"/>
          <w:szCs w:val="24"/>
        </w:rPr>
        <w:t> </w:t>
      </w:r>
      <w:r w:rsidRPr="00FF3DC7">
        <w:rPr>
          <w:rFonts w:ascii="Times New Roman" w:hAnsi="Times New Roman" w:cs="Times New Roman"/>
          <w:sz w:val="24"/>
          <w:szCs w:val="24"/>
        </w:rPr>
        <w:t xml:space="preserve">dostosowywać długość trwania poszczególnych etapów do aktualnych potrzeb i możliwości służby zagranicznej. </w:t>
      </w:r>
    </w:p>
    <w:p w14:paraId="33F52FBA" w14:textId="6700F230" w:rsidR="00A21EDB" w:rsidRDefault="00A21EDB" w:rsidP="00215366">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Projektodawca proponuje również dodanie w art. 51 ust. 3a i 3b</w:t>
      </w:r>
      <w:r w:rsidR="00652D86" w:rsidRPr="00FF3DC7">
        <w:rPr>
          <w:rFonts w:ascii="Times New Roman" w:hAnsi="Times New Roman" w:cs="Times New Roman"/>
          <w:sz w:val="24"/>
          <w:szCs w:val="24"/>
        </w:rPr>
        <w:t>, które precyzują, że</w:t>
      </w:r>
      <w:r w:rsidR="00790087">
        <w:rPr>
          <w:rFonts w:ascii="Times New Roman" w:hAnsi="Times New Roman" w:cs="Times New Roman"/>
          <w:sz w:val="24"/>
          <w:szCs w:val="24"/>
        </w:rPr>
        <w:t> </w:t>
      </w:r>
      <w:r w:rsidR="00652D86" w:rsidRPr="00FF3DC7">
        <w:rPr>
          <w:rFonts w:ascii="Times New Roman" w:hAnsi="Times New Roman" w:cs="Times New Roman"/>
          <w:sz w:val="24"/>
          <w:szCs w:val="24"/>
        </w:rPr>
        <w:t>n</w:t>
      </w:r>
      <w:r w:rsidRPr="00FF3DC7">
        <w:rPr>
          <w:rFonts w:ascii="Times New Roman" w:hAnsi="Times New Roman" w:cs="Times New Roman"/>
          <w:sz w:val="24"/>
          <w:szCs w:val="24"/>
        </w:rPr>
        <w:t>ieobecność z tytułu urlopu wypoczynkowego</w:t>
      </w:r>
      <w:r w:rsidR="00616B3F">
        <w:rPr>
          <w:rFonts w:ascii="Times New Roman" w:hAnsi="Times New Roman" w:cs="Times New Roman"/>
          <w:sz w:val="24"/>
          <w:szCs w:val="24"/>
        </w:rPr>
        <w:t>, dnia wolnego za święto obniżające wymiar czasu pracy, dnia zwolnienia od pracy, za które pracownik zachowuje prawo do wynagrodzenia, nieobecność w przypadkach, o których mowa w art. 188 i 189 k.p.</w:t>
      </w:r>
      <w:r w:rsidRPr="00FF3DC7">
        <w:rPr>
          <w:rFonts w:ascii="Times New Roman" w:hAnsi="Times New Roman" w:cs="Times New Roman"/>
          <w:sz w:val="24"/>
          <w:szCs w:val="24"/>
        </w:rPr>
        <w:t xml:space="preserve"> oraz</w:t>
      </w:r>
      <w:r w:rsidR="00616B3F">
        <w:rPr>
          <w:rFonts w:ascii="Times New Roman" w:hAnsi="Times New Roman" w:cs="Times New Roman"/>
          <w:sz w:val="24"/>
          <w:szCs w:val="24"/>
        </w:rPr>
        <w:t xml:space="preserve"> każda</w:t>
      </w:r>
      <w:r w:rsidRPr="00FF3DC7">
        <w:rPr>
          <w:rFonts w:ascii="Times New Roman" w:hAnsi="Times New Roman" w:cs="Times New Roman"/>
          <w:sz w:val="24"/>
          <w:szCs w:val="24"/>
        </w:rPr>
        <w:t xml:space="preserve"> nieobecność trwająca </w:t>
      </w:r>
      <w:r w:rsidR="000E1DE2" w:rsidRPr="00FF3DC7">
        <w:rPr>
          <w:rFonts w:ascii="Times New Roman" w:hAnsi="Times New Roman" w:cs="Times New Roman"/>
          <w:sz w:val="24"/>
          <w:szCs w:val="24"/>
        </w:rPr>
        <w:t xml:space="preserve">nieprzerwanie </w:t>
      </w:r>
      <w:r w:rsidRPr="00FF3DC7">
        <w:rPr>
          <w:rFonts w:ascii="Times New Roman" w:hAnsi="Times New Roman" w:cs="Times New Roman"/>
          <w:sz w:val="24"/>
          <w:szCs w:val="24"/>
        </w:rPr>
        <w:t>nie</w:t>
      </w:r>
      <w:r w:rsidR="00790087">
        <w:rPr>
          <w:rFonts w:ascii="Times New Roman" w:hAnsi="Times New Roman" w:cs="Times New Roman"/>
          <w:sz w:val="24"/>
          <w:szCs w:val="24"/>
        </w:rPr>
        <w:t> </w:t>
      </w:r>
      <w:r w:rsidRPr="00FF3DC7">
        <w:rPr>
          <w:rFonts w:ascii="Times New Roman" w:hAnsi="Times New Roman" w:cs="Times New Roman"/>
          <w:sz w:val="24"/>
          <w:szCs w:val="24"/>
        </w:rPr>
        <w:t xml:space="preserve">dłużej niż 33 dni </w:t>
      </w:r>
      <w:r w:rsidR="00616B3F">
        <w:rPr>
          <w:rFonts w:ascii="Times New Roman" w:hAnsi="Times New Roman" w:cs="Times New Roman"/>
          <w:sz w:val="24"/>
          <w:szCs w:val="24"/>
        </w:rPr>
        <w:t xml:space="preserve">nieprzerwanie </w:t>
      </w:r>
      <w:r w:rsidRPr="00FF3DC7">
        <w:rPr>
          <w:rFonts w:ascii="Times New Roman" w:hAnsi="Times New Roman" w:cs="Times New Roman"/>
          <w:sz w:val="24"/>
          <w:szCs w:val="24"/>
        </w:rPr>
        <w:t xml:space="preserve">w okresie każdego roku kalendarzowego z tytułu niezdolności do pracy wskutek choroby lub odosobnienia w związku z chorobą zakaźną, nie </w:t>
      </w:r>
      <w:r w:rsidR="00652D86" w:rsidRPr="00FF3DC7">
        <w:rPr>
          <w:rFonts w:ascii="Times New Roman" w:hAnsi="Times New Roman" w:cs="Times New Roman"/>
          <w:sz w:val="24"/>
          <w:szCs w:val="24"/>
        </w:rPr>
        <w:t xml:space="preserve">będzie stanowić </w:t>
      </w:r>
      <w:r w:rsidRPr="00FF3DC7">
        <w:rPr>
          <w:rFonts w:ascii="Times New Roman" w:hAnsi="Times New Roman" w:cs="Times New Roman"/>
          <w:sz w:val="24"/>
          <w:szCs w:val="24"/>
        </w:rPr>
        <w:t>czasowej niemożności wykonywania obowiązków służbowych w placówce zagranicznej.</w:t>
      </w:r>
      <w:r w:rsidR="00652D86" w:rsidRPr="00FF3DC7">
        <w:rPr>
          <w:rFonts w:ascii="Times New Roman" w:hAnsi="Times New Roman" w:cs="Times New Roman"/>
          <w:sz w:val="24"/>
          <w:szCs w:val="24"/>
        </w:rPr>
        <w:t xml:space="preserve"> Ponadto, n</w:t>
      </w:r>
      <w:r w:rsidRPr="00FF3DC7">
        <w:rPr>
          <w:rFonts w:ascii="Times New Roman" w:hAnsi="Times New Roman" w:cs="Times New Roman"/>
          <w:sz w:val="24"/>
          <w:szCs w:val="24"/>
        </w:rPr>
        <w:t xml:space="preserve">ieobecność z tytułu </w:t>
      </w:r>
      <w:r w:rsidR="00616B3F">
        <w:rPr>
          <w:rFonts w:ascii="Times New Roman" w:hAnsi="Times New Roman" w:cs="Times New Roman"/>
          <w:sz w:val="24"/>
          <w:szCs w:val="24"/>
        </w:rPr>
        <w:t xml:space="preserve">czasowej niezdolności do pracy wskutek </w:t>
      </w:r>
      <w:r w:rsidRPr="00FF3DC7">
        <w:rPr>
          <w:rFonts w:ascii="Times New Roman" w:hAnsi="Times New Roman" w:cs="Times New Roman"/>
          <w:sz w:val="24"/>
          <w:szCs w:val="24"/>
        </w:rPr>
        <w:t xml:space="preserve">choroby przypadającej w czasie ciąży, urlopu macierzyńskiego, urlopu ojcowskiego, urlopu </w:t>
      </w:r>
      <w:r w:rsidR="00616B3F">
        <w:rPr>
          <w:rFonts w:ascii="Times New Roman" w:hAnsi="Times New Roman" w:cs="Times New Roman"/>
          <w:sz w:val="24"/>
          <w:szCs w:val="24"/>
        </w:rPr>
        <w:t>rodzicielskiego, urlopu na warunk</w:t>
      </w:r>
      <w:r w:rsidRPr="00FF3DC7">
        <w:rPr>
          <w:rFonts w:ascii="Times New Roman" w:hAnsi="Times New Roman" w:cs="Times New Roman"/>
          <w:sz w:val="24"/>
          <w:szCs w:val="24"/>
        </w:rPr>
        <w:t xml:space="preserve">ach urlopu macierzyńskiego, trwająca nieprzerwanie nie dłużej niż 182 dni w okresie każdego roku kalendarzowego </w:t>
      </w:r>
      <w:r w:rsidR="00652D86" w:rsidRPr="00FF3DC7">
        <w:rPr>
          <w:rFonts w:ascii="Times New Roman" w:hAnsi="Times New Roman" w:cs="Times New Roman"/>
          <w:sz w:val="24"/>
          <w:szCs w:val="24"/>
        </w:rPr>
        <w:t>również nie będzie uznawana za stanowiącą czasową niemożność</w:t>
      </w:r>
      <w:r w:rsidRPr="00FF3DC7">
        <w:rPr>
          <w:rFonts w:ascii="Times New Roman" w:hAnsi="Times New Roman" w:cs="Times New Roman"/>
          <w:sz w:val="24"/>
          <w:szCs w:val="24"/>
        </w:rPr>
        <w:t xml:space="preserve"> wykonywania obowiązków służ</w:t>
      </w:r>
      <w:r w:rsidR="00652D86" w:rsidRPr="00FF3DC7">
        <w:rPr>
          <w:rFonts w:ascii="Times New Roman" w:hAnsi="Times New Roman" w:cs="Times New Roman"/>
          <w:sz w:val="24"/>
          <w:szCs w:val="24"/>
        </w:rPr>
        <w:t xml:space="preserve">bowych w placówce zagranicznej. Proponowane rozwiązanie pozwoli uniknąć wątpliwości interpretacyjnych i </w:t>
      </w:r>
      <w:r w:rsidR="000E1DE2" w:rsidRPr="00FF3DC7">
        <w:rPr>
          <w:rFonts w:ascii="Times New Roman" w:hAnsi="Times New Roman" w:cs="Times New Roman"/>
          <w:sz w:val="24"/>
          <w:szCs w:val="24"/>
        </w:rPr>
        <w:t>problemów ze stosowaniem</w:t>
      </w:r>
      <w:r w:rsidR="00652D86" w:rsidRPr="00FF3DC7">
        <w:rPr>
          <w:rFonts w:ascii="Times New Roman" w:hAnsi="Times New Roman" w:cs="Times New Roman"/>
          <w:sz w:val="24"/>
          <w:szCs w:val="24"/>
        </w:rPr>
        <w:t xml:space="preserve"> normy określonej w art. 51 ustawy nowelizowanej. </w:t>
      </w:r>
    </w:p>
    <w:p w14:paraId="6D5B5066" w14:textId="4CCE48F8" w:rsidR="00FF19B7" w:rsidRPr="00FF3DC7" w:rsidRDefault="00FF19B7" w:rsidP="00215366">
      <w:pPr>
        <w:spacing w:after="0" w:line="360" w:lineRule="auto"/>
        <w:jc w:val="both"/>
        <w:rPr>
          <w:rFonts w:ascii="Times New Roman" w:hAnsi="Times New Roman" w:cs="Times New Roman"/>
          <w:sz w:val="24"/>
          <w:szCs w:val="24"/>
        </w:rPr>
      </w:pPr>
      <w:r w:rsidRPr="00FF19B7">
        <w:rPr>
          <w:rFonts w:ascii="Times New Roman" w:hAnsi="Times New Roman" w:cs="Times New Roman"/>
          <w:sz w:val="24"/>
          <w:szCs w:val="24"/>
        </w:rPr>
        <w:t>Zmiany proponowane przez projektodawcę w art. 58 ust. 5 i 6 pozwolą na rozszerzenie kręgu pracowników, którym przysługuje jednorazowy urlop dodatkowy, oraz którym do urlopu wypoczynkowego nie wlicza się dni niebędących dniami pracy w państwie przyjmującym, o dyplomatów delegowanych i pracowników delegowanych</w:t>
      </w:r>
      <w:r>
        <w:rPr>
          <w:rFonts w:ascii="Times New Roman" w:hAnsi="Times New Roman" w:cs="Times New Roman"/>
          <w:sz w:val="24"/>
          <w:szCs w:val="24"/>
        </w:rPr>
        <w:t xml:space="preserve">. </w:t>
      </w:r>
    </w:p>
    <w:p w14:paraId="6034C6B7" w14:textId="12F2FCCF" w:rsidR="00652D86" w:rsidRDefault="00652D86" w:rsidP="00652D86">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 xml:space="preserve">W odniesieniu do zmiany w art. 1 pkt </w:t>
      </w:r>
      <w:r w:rsidR="00790087">
        <w:rPr>
          <w:rFonts w:ascii="Times New Roman" w:hAnsi="Times New Roman" w:cs="Times New Roman"/>
          <w:sz w:val="24"/>
          <w:szCs w:val="24"/>
        </w:rPr>
        <w:t>10</w:t>
      </w:r>
      <w:r w:rsidRPr="00FF3DC7">
        <w:rPr>
          <w:rFonts w:ascii="Times New Roman" w:hAnsi="Times New Roman" w:cs="Times New Roman"/>
          <w:sz w:val="24"/>
          <w:szCs w:val="24"/>
        </w:rPr>
        <w:t xml:space="preserve"> lit. </w:t>
      </w:r>
      <w:r w:rsidR="00054195" w:rsidRPr="00FF3DC7">
        <w:rPr>
          <w:rFonts w:ascii="Times New Roman" w:hAnsi="Times New Roman" w:cs="Times New Roman"/>
          <w:sz w:val="24"/>
          <w:szCs w:val="24"/>
        </w:rPr>
        <w:t>b</w:t>
      </w:r>
      <w:r w:rsidRPr="00FF3DC7">
        <w:rPr>
          <w:rFonts w:ascii="Times New Roman" w:hAnsi="Times New Roman" w:cs="Times New Roman"/>
          <w:sz w:val="24"/>
          <w:szCs w:val="24"/>
        </w:rPr>
        <w:t>, należy wskazać, że proponowane w projekcie brzmienie ust. 5, w sposób jasny i precyzyjny określa, że dodatek zagraniczny nie będzie uwzględniany przy obliczaniu ekwiwalentu pieniężnego za urlop wypoczynkowy, co</w:t>
      </w:r>
      <w:r w:rsidR="00790087">
        <w:rPr>
          <w:rFonts w:ascii="Times New Roman" w:hAnsi="Times New Roman" w:cs="Times New Roman"/>
          <w:sz w:val="24"/>
          <w:szCs w:val="24"/>
        </w:rPr>
        <w:t> </w:t>
      </w:r>
      <w:r w:rsidRPr="00FF3DC7">
        <w:rPr>
          <w:rFonts w:ascii="Times New Roman" w:hAnsi="Times New Roman" w:cs="Times New Roman"/>
          <w:sz w:val="24"/>
          <w:szCs w:val="24"/>
        </w:rPr>
        <w:t>w</w:t>
      </w:r>
      <w:r w:rsidR="00790087">
        <w:rPr>
          <w:rFonts w:ascii="Times New Roman" w:hAnsi="Times New Roman" w:cs="Times New Roman"/>
          <w:sz w:val="24"/>
          <w:szCs w:val="24"/>
        </w:rPr>
        <w:t> </w:t>
      </w:r>
      <w:r w:rsidRPr="00FF3DC7">
        <w:rPr>
          <w:rFonts w:ascii="Times New Roman" w:hAnsi="Times New Roman" w:cs="Times New Roman"/>
          <w:sz w:val="24"/>
          <w:szCs w:val="24"/>
        </w:rPr>
        <w:t xml:space="preserve">praktyce będzie zachęcać do pełnego wykorzystywania urlopów wypoczynkowych. Niewykorzystywanie lub wykorzystywanie w niewielkim zakresie urlopu wypoczynkowego byłoby niekorzystne z punktu widzenia dbałości o stan zdrowia pracowników i ochrony ich praw do odpoczynku. </w:t>
      </w:r>
    </w:p>
    <w:p w14:paraId="76E621A1" w14:textId="3E3BAE39" w:rsidR="00995732" w:rsidRDefault="008F38F0" w:rsidP="00652D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Projektodawca postanowił uchylić rozdział 7 „Przepis Szczególny” </w:t>
      </w:r>
      <w:r w:rsidR="00CC498C">
        <w:rPr>
          <w:rFonts w:ascii="Times New Roman" w:hAnsi="Times New Roman" w:cs="Times New Roman"/>
          <w:sz w:val="24"/>
          <w:szCs w:val="24"/>
        </w:rPr>
        <w:t xml:space="preserve">(art. 60). </w:t>
      </w:r>
      <w:r w:rsidR="005A6346">
        <w:rPr>
          <w:rFonts w:ascii="Times New Roman" w:hAnsi="Times New Roman" w:cs="Times New Roman"/>
          <w:sz w:val="24"/>
          <w:szCs w:val="24"/>
        </w:rPr>
        <w:t>Rozdział 7 nie zapewniał spójności z przepisami ustawy</w:t>
      </w:r>
      <w:r w:rsidR="00FF7A16">
        <w:rPr>
          <w:rFonts w:ascii="Times New Roman" w:hAnsi="Times New Roman" w:cs="Times New Roman"/>
          <w:sz w:val="24"/>
          <w:szCs w:val="24"/>
        </w:rPr>
        <w:t xml:space="preserve"> z dnia 11 września 2019 r. – </w:t>
      </w:r>
      <w:r w:rsidR="005A6346">
        <w:rPr>
          <w:rFonts w:ascii="Times New Roman" w:hAnsi="Times New Roman" w:cs="Times New Roman"/>
          <w:sz w:val="24"/>
          <w:szCs w:val="24"/>
        </w:rPr>
        <w:t xml:space="preserve">Prawo zamówień </w:t>
      </w:r>
      <w:r w:rsidR="005A6346">
        <w:rPr>
          <w:rFonts w:ascii="Times New Roman" w:hAnsi="Times New Roman" w:cs="Times New Roman"/>
          <w:sz w:val="24"/>
          <w:szCs w:val="24"/>
        </w:rPr>
        <w:lastRenderedPageBreak/>
        <w:t>publicznych</w:t>
      </w:r>
      <w:r w:rsidR="00FF7A16">
        <w:rPr>
          <w:rFonts w:ascii="Times New Roman" w:hAnsi="Times New Roman" w:cs="Times New Roman"/>
          <w:sz w:val="24"/>
          <w:szCs w:val="24"/>
        </w:rPr>
        <w:t xml:space="preserve"> </w:t>
      </w:r>
      <w:r w:rsidR="00F3490E">
        <w:rPr>
          <w:rFonts w:ascii="Times New Roman" w:hAnsi="Times New Roman" w:cs="Times New Roman"/>
          <w:sz w:val="24"/>
          <w:szCs w:val="24"/>
        </w:rPr>
        <w:t>(Dz. U.</w:t>
      </w:r>
      <w:r w:rsidR="00FF7A16" w:rsidRPr="00FF7A16">
        <w:rPr>
          <w:rFonts w:ascii="Times New Roman" w:hAnsi="Times New Roman" w:cs="Times New Roman"/>
          <w:sz w:val="24"/>
          <w:szCs w:val="24"/>
        </w:rPr>
        <w:t xml:space="preserve"> poz. 2019</w:t>
      </w:r>
      <w:r w:rsidR="00F3490E">
        <w:rPr>
          <w:rFonts w:ascii="Times New Roman" w:hAnsi="Times New Roman" w:cs="Times New Roman"/>
          <w:sz w:val="24"/>
          <w:szCs w:val="24"/>
        </w:rPr>
        <w:t>, z późn</w:t>
      </w:r>
      <w:r w:rsidR="0061725F">
        <w:rPr>
          <w:rFonts w:ascii="Times New Roman" w:hAnsi="Times New Roman" w:cs="Times New Roman"/>
          <w:sz w:val="24"/>
          <w:szCs w:val="24"/>
        </w:rPr>
        <w:t>. zm.</w:t>
      </w:r>
      <w:r w:rsidR="00FF7A16" w:rsidRPr="00FF7A16">
        <w:rPr>
          <w:rFonts w:ascii="Times New Roman" w:hAnsi="Times New Roman" w:cs="Times New Roman"/>
          <w:sz w:val="24"/>
          <w:szCs w:val="24"/>
        </w:rPr>
        <w:t>)</w:t>
      </w:r>
      <w:r w:rsidR="005A6346">
        <w:rPr>
          <w:rFonts w:ascii="Times New Roman" w:hAnsi="Times New Roman" w:cs="Times New Roman"/>
          <w:sz w:val="24"/>
          <w:szCs w:val="24"/>
        </w:rPr>
        <w:t xml:space="preserve"> a jednocześnie wykraczał poza zakres rozwiązań będących przedmiotem ustaw</w:t>
      </w:r>
      <w:r w:rsidR="00461A5D">
        <w:rPr>
          <w:rFonts w:ascii="Times New Roman" w:hAnsi="Times New Roman" w:cs="Times New Roman"/>
          <w:sz w:val="24"/>
          <w:szCs w:val="24"/>
        </w:rPr>
        <w:t xml:space="preserve">y. Wskazane w uchylanym rozdziale 7 zakres wartości </w:t>
      </w:r>
      <w:r w:rsidR="00AA477B">
        <w:rPr>
          <w:rFonts w:ascii="Times New Roman" w:hAnsi="Times New Roman" w:cs="Times New Roman"/>
          <w:sz w:val="24"/>
          <w:szCs w:val="24"/>
        </w:rPr>
        <w:br/>
      </w:r>
      <w:r w:rsidR="00461A5D">
        <w:rPr>
          <w:rFonts w:ascii="Times New Roman" w:hAnsi="Times New Roman" w:cs="Times New Roman"/>
          <w:sz w:val="24"/>
          <w:szCs w:val="24"/>
        </w:rPr>
        <w:t>3000</w:t>
      </w:r>
      <w:r w:rsidR="002B6D39">
        <w:rPr>
          <w:rFonts w:ascii="Times New Roman" w:hAnsi="Times New Roman" w:cs="Times New Roman"/>
          <w:sz w:val="24"/>
          <w:szCs w:val="24"/>
        </w:rPr>
        <w:t>-200</w:t>
      </w:r>
      <w:r w:rsidR="00461A5D">
        <w:rPr>
          <w:rFonts w:ascii="Times New Roman" w:hAnsi="Times New Roman" w:cs="Times New Roman"/>
          <w:sz w:val="24"/>
          <w:szCs w:val="24"/>
        </w:rPr>
        <w:t xml:space="preserve">000 euro nie znajduje odzwierciedlenia w obecnym brzmieniu przywołanej wyżej ustawy. Powyższe rozwiązania nie znajdowały właściwego uzasadnienia i nie zapewniały odpowiedniej korelacji pomiędzy przepisami ustawy o służbie zagranicznej i ustawy </w:t>
      </w:r>
      <w:r w:rsidR="00240D17">
        <w:rPr>
          <w:rFonts w:ascii="Times New Roman" w:hAnsi="Times New Roman" w:cs="Times New Roman"/>
          <w:sz w:val="24"/>
          <w:szCs w:val="24"/>
        </w:rPr>
        <w:t xml:space="preserve">– </w:t>
      </w:r>
      <w:r w:rsidR="00461A5D">
        <w:rPr>
          <w:rFonts w:ascii="Times New Roman" w:hAnsi="Times New Roman" w:cs="Times New Roman"/>
          <w:sz w:val="24"/>
          <w:szCs w:val="24"/>
        </w:rPr>
        <w:t xml:space="preserve">Prawo zamówień publicznych. </w:t>
      </w:r>
    </w:p>
    <w:p w14:paraId="276A25B1" w14:textId="2A58156C" w:rsidR="00995732" w:rsidRPr="00FF3DC7" w:rsidRDefault="00995732" w:rsidP="00652D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Dokonano zmiany redakcyjnej polegającej na nowelizacji przepisu art. 165 ust. 2 ustawy z dnia 16 listopada 2016 r. o Krajowej Administracji Skarbowej (Dz. U. 202</w:t>
      </w:r>
      <w:r w:rsidR="004D1580">
        <w:rPr>
          <w:rFonts w:ascii="Times New Roman" w:hAnsi="Times New Roman" w:cs="Times New Roman"/>
          <w:sz w:val="24"/>
          <w:szCs w:val="24"/>
        </w:rPr>
        <w:t>1 r. poz. 422, 464, 694, 802 i 815</w:t>
      </w:r>
      <w:r>
        <w:rPr>
          <w:rFonts w:ascii="Times New Roman" w:hAnsi="Times New Roman" w:cs="Times New Roman"/>
          <w:sz w:val="24"/>
          <w:szCs w:val="24"/>
        </w:rPr>
        <w:t xml:space="preserve">) w zakresie wskazania nowej ustawy o służbie zagranicznej. </w:t>
      </w:r>
    </w:p>
    <w:p w14:paraId="3EC73FFC" w14:textId="412FBEA9" w:rsidR="00054195" w:rsidRPr="00FF3DC7" w:rsidRDefault="00054195" w:rsidP="00652D86">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Projektodawca postanow</w:t>
      </w:r>
      <w:r w:rsidR="002A43A1" w:rsidRPr="00FF3DC7">
        <w:rPr>
          <w:rFonts w:ascii="Times New Roman" w:hAnsi="Times New Roman" w:cs="Times New Roman"/>
          <w:sz w:val="24"/>
          <w:szCs w:val="24"/>
        </w:rPr>
        <w:t xml:space="preserve">ił uzupełnić delegację ustawową, o której mowa w art. 54 o „sposób waloryzacji dodatku zagranicznego”, co powinno ułatwić wydanie przedmiotowego aktu wykonawczego i w pełni zrealizować normę prawną z art. 51 ustawy nowelizowanej. </w:t>
      </w:r>
    </w:p>
    <w:p w14:paraId="2ADD6643" w14:textId="7944C499" w:rsidR="002A43A1" w:rsidRPr="00FF3DC7" w:rsidRDefault="002A43A1" w:rsidP="00652D86">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Mając na uwadze, że ustawa w dotychczasowym brzmieniu pomijała absolwentów aplikacji dyplomatyczno-konsularnej ADK 2020A oraz ADK 2019B, którzy zatrudnieni są na podstawie umowy o pracę na czas określony a jednocześnie został im nadany stopień dyplomatyczny, wprowadzono zmianę</w:t>
      </w:r>
      <w:r w:rsidR="009B0312">
        <w:rPr>
          <w:rFonts w:ascii="Times New Roman" w:hAnsi="Times New Roman" w:cs="Times New Roman"/>
          <w:sz w:val="24"/>
          <w:szCs w:val="24"/>
        </w:rPr>
        <w:t>,</w:t>
      </w:r>
      <w:r w:rsidRPr="00FF3DC7">
        <w:rPr>
          <w:rFonts w:ascii="Times New Roman" w:hAnsi="Times New Roman" w:cs="Times New Roman"/>
          <w:sz w:val="24"/>
          <w:szCs w:val="24"/>
        </w:rPr>
        <w:t xml:space="preserve"> o której mowa w art. 1 pkt </w:t>
      </w:r>
      <w:r w:rsidR="004F79CF">
        <w:rPr>
          <w:rFonts w:ascii="Times New Roman" w:hAnsi="Times New Roman" w:cs="Times New Roman"/>
          <w:sz w:val="24"/>
          <w:szCs w:val="24"/>
        </w:rPr>
        <w:t>15</w:t>
      </w:r>
      <w:r w:rsidRPr="00FF3DC7">
        <w:rPr>
          <w:rFonts w:ascii="Times New Roman" w:hAnsi="Times New Roman" w:cs="Times New Roman"/>
          <w:sz w:val="24"/>
          <w:szCs w:val="24"/>
        </w:rPr>
        <w:t xml:space="preserve"> i </w:t>
      </w:r>
      <w:r w:rsidR="004F79CF">
        <w:rPr>
          <w:rFonts w:ascii="Times New Roman" w:hAnsi="Times New Roman" w:cs="Times New Roman"/>
          <w:sz w:val="24"/>
          <w:szCs w:val="24"/>
        </w:rPr>
        <w:t>16</w:t>
      </w:r>
      <w:r w:rsidRPr="00FF3DC7">
        <w:rPr>
          <w:rFonts w:ascii="Times New Roman" w:hAnsi="Times New Roman" w:cs="Times New Roman"/>
          <w:sz w:val="24"/>
          <w:szCs w:val="24"/>
        </w:rPr>
        <w:t xml:space="preserve"> projek</w:t>
      </w:r>
      <w:r w:rsidR="00AA477B">
        <w:rPr>
          <w:rFonts w:ascii="Times New Roman" w:hAnsi="Times New Roman" w:cs="Times New Roman"/>
          <w:sz w:val="24"/>
          <w:szCs w:val="24"/>
        </w:rPr>
        <w:t>tu. Odesłanie z art. 77 do art. </w:t>
      </w:r>
      <w:r w:rsidRPr="00FF3DC7">
        <w:rPr>
          <w:rFonts w:ascii="Times New Roman" w:hAnsi="Times New Roman" w:cs="Times New Roman"/>
          <w:sz w:val="24"/>
          <w:szCs w:val="24"/>
        </w:rPr>
        <w:t xml:space="preserve">75 ustawy będzie stanowić podstawę przekształcenia się dotychczasowych stosunków pracy dyplomatów zawodowych na stosunek pracy na podstawie mianowania. </w:t>
      </w:r>
    </w:p>
    <w:p w14:paraId="0B8D7F61" w14:textId="0B42AE5C" w:rsidR="00CC3D22" w:rsidRPr="00FF3DC7" w:rsidRDefault="00CC3D22" w:rsidP="00215366">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Projektodawca ponadto proponuje by w przypadku tych członków służby zagranicznej którzy w dniu wejścia w życie ustawy są czasowo niezdolni do pracy wskutek choroby, przebywają na urlopie macierzyńskim, urlopie ojcowskim, urlopie na warunkach urlopu macierzyńskiego lub urlopie rodzicielskim w rozumieniu przepisów prawa pracy, nie stosowano przepisu art. 51 ust. 3-3c do dnia ustania czasowej niezdolności do pracy wskutek choroby lub zakończenia tych urlopów. Przedstawione rozwiązanie rozstrzyga problem, który w przypadku braku przepisów przejściowych mógłby rodzić poważne wątpliwości w praktyce</w:t>
      </w:r>
      <w:r w:rsidR="00FF3DC7" w:rsidRPr="00FF3DC7">
        <w:rPr>
          <w:rFonts w:ascii="Times New Roman" w:hAnsi="Times New Roman" w:cs="Times New Roman"/>
          <w:sz w:val="24"/>
          <w:szCs w:val="24"/>
        </w:rPr>
        <w:t>.</w:t>
      </w:r>
    </w:p>
    <w:p w14:paraId="463202DD" w14:textId="2EDB8331" w:rsidR="00CC3D22" w:rsidRDefault="00CC3D22" w:rsidP="002A43A1">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 xml:space="preserve">Z uwagi na wyzwania organizacyjne oraz ograniczenia budżetowe, projektodawca proponuje wprowadzenie </w:t>
      </w:r>
      <w:r w:rsidR="002A43A1" w:rsidRPr="00FF3DC7">
        <w:rPr>
          <w:rFonts w:ascii="Times New Roman" w:hAnsi="Times New Roman" w:cs="Times New Roman"/>
          <w:sz w:val="24"/>
          <w:szCs w:val="24"/>
        </w:rPr>
        <w:t xml:space="preserve">kolejnych przepisów przejściowych i epizodycznych, które mają ułatwić przystosowanie służby zagranicznej do nowych ram prawnych jej funkcjonowania, stąd propozycje zmian zawarte w art. 1 pkt </w:t>
      </w:r>
      <w:r w:rsidR="00FF3DC7" w:rsidRPr="00FF3DC7">
        <w:rPr>
          <w:rFonts w:ascii="Times New Roman" w:hAnsi="Times New Roman" w:cs="Times New Roman"/>
          <w:sz w:val="24"/>
          <w:szCs w:val="24"/>
        </w:rPr>
        <w:t>1</w:t>
      </w:r>
      <w:r w:rsidR="00D24A08">
        <w:rPr>
          <w:rFonts w:ascii="Times New Roman" w:hAnsi="Times New Roman" w:cs="Times New Roman"/>
          <w:sz w:val="24"/>
          <w:szCs w:val="24"/>
        </w:rPr>
        <w:t>8</w:t>
      </w:r>
      <w:r w:rsidR="00FF3DC7" w:rsidRPr="00FF3DC7">
        <w:rPr>
          <w:rFonts w:ascii="Times New Roman" w:hAnsi="Times New Roman" w:cs="Times New Roman"/>
          <w:sz w:val="24"/>
          <w:szCs w:val="24"/>
        </w:rPr>
        <w:t>, w szczególności pr</w:t>
      </w:r>
      <w:r w:rsidR="00AA477B">
        <w:rPr>
          <w:rFonts w:ascii="Times New Roman" w:hAnsi="Times New Roman" w:cs="Times New Roman"/>
          <w:sz w:val="24"/>
          <w:szCs w:val="24"/>
        </w:rPr>
        <w:t>ojektodawca przewiduje że do 31 </w:t>
      </w:r>
      <w:r w:rsidR="00FF3DC7" w:rsidRPr="00FF3DC7">
        <w:rPr>
          <w:rFonts w:ascii="Times New Roman" w:hAnsi="Times New Roman" w:cs="Times New Roman"/>
          <w:sz w:val="24"/>
          <w:szCs w:val="24"/>
        </w:rPr>
        <w:t>marca 2023 r. dyrektor generalny służby zagranicznej będzie dalej wykonywał czynności z</w:t>
      </w:r>
      <w:r w:rsidR="00790087">
        <w:rPr>
          <w:rFonts w:ascii="Times New Roman" w:hAnsi="Times New Roman" w:cs="Times New Roman"/>
          <w:sz w:val="24"/>
          <w:szCs w:val="24"/>
        </w:rPr>
        <w:t> </w:t>
      </w:r>
      <w:r w:rsidR="00FF3DC7" w:rsidRPr="00FF3DC7">
        <w:rPr>
          <w:rFonts w:ascii="Times New Roman" w:hAnsi="Times New Roman" w:cs="Times New Roman"/>
          <w:sz w:val="24"/>
          <w:szCs w:val="24"/>
        </w:rPr>
        <w:t>zakresu prawa pracy w odniesieniu do dyplomatów delegowanych i pracowników delegowanych, którzy zostali zatrudnieni w placówkach przed dniem wejścia w życie ustawy, jak również podpisywać umowy, o których mowa w art. 7 ust. 2 ustawy uchylanej w art. 91 ustawy z dnia 21 stycznia 2021 r. o służbie zagranicznej  z tymi pracownikami</w:t>
      </w:r>
      <w:r w:rsidR="00CD5AA3">
        <w:rPr>
          <w:rFonts w:ascii="Times New Roman" w:hAnsi="Times New Roman" w:cs="Times New Roman"/>
          <w:sz w:val="24"/>
          <w:szCs w:val="24"/>
        </w:rPr>
        <w:t xml:space="preserve">, </w:t>
      </w:r>
      <w:r w:rsidR="00CD5AA3" w:rsidRPr="00CD5AA3">
        <w:rPr>
          <w:rFonts w:ascii="Times New Roman" w:hAnsi="Times New Roman" w:cs="Times New Roman"/>
          <w:sz w:val="24"/>
          <w:szCs w:val="24"/>
        </w:rPr>
        <w:t xml:space="preserve">w ramach </w:t>
      </w:r>
      <w:r w:rsidR="00CD5AA3" w:rsidRPr="00CD5AA3">
        <w:rPr>
          <w:rFonts w:ascii="Times New Roman" w:hAnsi="Times New Roman" w:cs="Times New Roman"/>
          <w:sz w:val="24"/>
          <w:szCs w:val="24"/>
        </w:rPr>
        <w:lastRenderedPageBreak/>
        <w:t>środków finansowych będących w dyspozycji ministra właściwego do spraw zagranicznych. Ze środków tych zostaną sfinansowane w szczególności wynagrodzenia i inne świadczenia określone w ustawie przewidziane dla dyplomatów delegowanych i pracowników delegowanych</w:t>
      </w:r>
      <w:r w:rsidR="00FF3DC7" w:rsidRPr="00FF3DC7">
        <w:rPr>
          <w:rFonts w:ascii="Times New Roman" w:hAnsi="Times New Roman" w:cs="Times New Roman"/>
          <w:sz w:val="24"/>
          <w:szCs w:val="24"/>
        </w:rPr>
        <w:t xml:space="preserve">. </w:t>
      </w:r>
      <w:r w:rsidR="009B0312">
        <w:rPr>
          <w:rFonts w:ascii="Times New Roman" w:hAnsi="Times New Roman" w:cs="Times New Roman"/>
          <w:sz w:val="24"/>
          <w:szCs w:val="24"/>
        </w:rPr>
        <w:t>Pon</w:t>
      </w:r>
      <w:r w:rsidR="000426F2">
        <w:rPr>
          <w:rFonts w:ascii="Times New Roman" w:hAnsi="Times New Roman" w:cs="Times New Roman"/>
          <w:sz w:val="24"/>
          <w:szCs w:val="24"/>
        </w:rPr>
        <w:t xml:space="preserve">adto, w celu wykonania przepisów ustawy Prezes Rady Ministrów może dokonać, w drodze rozporządzenia, przeniesienia planowanych dochodów i wydatków budżetowych, w tym wynagrodzeń, między częściami, działami i rozdziałami budżetu państwa, z zachowaniem przeznaczenia środków publicznych wynikającego z ustawy budżetowej. Pozwoli to na odpowiednią adaptację funkcjonowania służby zagranicznej do przepisów ustawy. </w:t>
      </w:r>
    </w:p>
    <w:p w14:paraId="5180BBC4" w14:textId="4DB47C12" w:rsidR="000770D6" w:rsidRPr="00FF3DC7" w:rsidRDefault="000770D6" w:rsidP="002A43A1">
      <w:pPr>
        <w:spacing w:after="0" w:line="360" w:lineRule="auto"/>
        <w:jc w:val="both"/>
        <w:rPr>
          <w:rFonts w:ascii="Times New Roman" w:hAnsi="Times New Roman" w:cs="Times New Roman"/>
          <w:sz w:val="24"/>
          <w:szCs w:val="24"/>
        </w:rPr>
      </w:pPr>
      <w:r w:rsidRPr="00FF19B7">
        <w:rPr>
          <w:rFonts w:ascii="Times New Roman" w:hAnsi="Times New Roman" w:cs="Times New Roman"/>
          <w:sz w:val="24"/>
          <w:szCs w:val="24"/>
        </w:rPr>
        <w:t xml:space="preserve">W celu zapewnienia spójności pomiędzy art. 87 i art. 85a ustawy koniecznym stała się nowelizacja art. 87 poprzez uwzględnienie w tym przepisie również przepisów wykonawczych </w:t>
      </w:r>
      <w:r w:rsidR="00713465" w:rsidRPr="00FF19B7">
        <w:rPr>
          <w:rFonts w:ascii="Times New Roman" w:hAnsi="Times New Roman" w:cs="Times New Roman"/>
          <w:sz w:val="24"/>
          <w:szCs w:val="24"/>
        </w:rPr>
        <w:t>wydanych na podstawie art. 10 ust. 3, art. 12 ust. 3, art. 14 ust. 2, art. 34 ust. 3, art. 36 ust. 2, art. 39 ust. 4 oraz art. 41 ust. 4 ustawy uchylanej w art. 91, które zachowują moc do dnia wejścia w życie przepisów wykonawczych wydanych na podstawie art. 27 ust. 3, art. 31 ust. 5, art. 33 ust. 2, art. 43 ust. 9, art. 46 ust. 3, art. 58 ust. 4 oraz art. 59 ust. 2 niniejszej ustawy.</w:t>
      </w:r>
    </w:p>
    <w:p w14:paraId="759358C0" w14:textId="71FE6E9F" w:rsidR="002A43A1" w:rsidRPr="00FF3DC7" w:rsidRDefault="002A43A1" w:rsidP="002A43A1">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 xml:space="preserve">Nowelizacja ma na celu </w:t>
      </w:r>
      <w:r w:rsidR="00CF7CE4" w:rsidRPr="00FF3DC7">
        <w:rPr>
          <w:rFonts w:ascii="Times New Roman" w:hAnsi="Times New Roman" w:cs="Times New Roman"/>
          <w:sz w:val="24"/>
          <w:szCs w:val="24"/>
        </w:rPr>
        <w:t>również całkowite usunięcie</w:t>
      </w:r>
      <w:r w:rsidRPr="00FF3DC7">
        <w:rPr>
          <w:rFonts w:ascii="Times New Roman" w:hAnsi="Times New Roman" w:cs="Times New Roman"/>
          <w:sz w:val="24"/>
          <w:szCs w:val="24"/>
        </w:rPr>
        <w:t xml:space="preserve"> z obrotu prawnego stopnia ambasadora tytularnego. W związku z powyższym projekt przewiduje, że członkowie służby zagranicznej pełniący obecnie funkcję ambasadora, po</w:t>
      </w:r>
      <w:r w:rsidR="00CF7CE4" w:rsidRPr="00FF3DC7">
        <w:rPr>
          <w:rFonts w:ascii="Times New Roman" w:hAnsi="Times New Roman" w:cs="Times New Roman"/>
          <w:sz w:val="24"/>
          <w:szCs w:val="24"/>
        </w:rPr>
        <w:t xml:space="preserve"> zakończeniu pełnienia funkcji </w:t>
      </w:r>
      <w:r w:rsidRPr="00FF3DC7">
        <w:rPr>
          <w:rFonts w:ascii="Times New Roman" w:hAnsi="Times New Roman" w:cs="Times New Roman"/>
          <w:sz w:val="24"/>
          <w:szCs w:val="24"/>
        </w:rPr>
        <w:t xml:space="preserve">otrzymają stopień ministra pełnomocnego.  </w:t>
      </w:r>
    </w:p>
    <w:p w14:paraId="4F5B1DCE" w14:textId="77777777" w:rsidR="002A43A1" w:rsidRPr="00FF3DC7" w:rsidRDefault="002A43A1" w:rsidP="002A43A1">
      <w:pPr>
        <w:spacing w:after="0" w:line="360" w:lineRule="auto"/>
        <w:jc w:val="both"/>
        <w:rPr>
          <w:rFonts w:ascii="Times New Roman" w:hAnsi="Times New Roman" w:cs="Times New Roman"/>
          <w:szCs w:val="24"/>
        </w:rPr>
      </w:pPr>
    </w:p>
    <w:p w14:paraId="5446C7D0" w14:textId="77777777" w:rsidR="00A23396" w:rsidRPr="00FF3DC7" w:rsidRDefault="00A23396" w:rsidP="00E614EA">
      <w:pPr>
        <w:spacing w:after="0" w:line="360" w:lineRule="auto"/>
        <w:jc w:val="both"/>
        <w:rPr>
          <w:rFonts w:ascii="Times New Roman" w:hAnsi="Times New Roman" w:cs="Times New Roman"/>
          <w:b/>
          <w:sz w:val="24"/>
          <w:szCs w:val="24"/>
        </w:rPr>
      </w:pPr>
      <w:r w:rsidRPr="00FF3DC7">
        <w:rPr>
          <w:rFonts w:ascii="Times New Roman" w:hAnsi="Times New Roman" w:cs="Times New Roman"/>
          <w:b/>
          <w:sz w:val="24"/>
          <w:szCs w:val="24"/>
        </w:rPr>
        <w:t xml:space="preserve">Skutki </w:t>
      </w:r>
      <w:r w:rsidR="00DE0F37" w:rsidRPr="00FF3DC7">
        <w:rPr>
          <w:rFonts w:ascii="Times New Roman" w:hAnsi="Times New Roman" w:cs="Times New Roman"/>
          <w:b/>
          <w:sz w:val="24"/>
          <w:szCs w:val="24"/>
        </w:rPr>
        <w:t>finansowe</w:t>
      </w:r>
    </w:p>
    <w:p w14:paraId="3A6C6070" w14:textId="5955F8F0" w:rsidR="00A23396" w:rsidRPr="00FF3DC7" w:rsidRDefault="00A23396" w:rsidP="0089450B">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 xml:space="preserve">Zakłada się, że skutki finansowe </w:t>
      </w:r>
      <w:r w:rsidR="00790087">
        <w:rPr>
          <w:rFonts w:ascii="Times New Roman" w:hAnsi="Times New Roman" w:cs="Times New Roman"/>
          <w:sz w:val="24"/>
          <w:szCs w:val="24"/>
        </w:rPr>
        <w:t xml:space="preserve">proponowanych </w:t>
      </w:r>
      <w:r w:rsidRPr="00FF3DC7">
        <w:rPr>
          <w:rFonts w:ascii="Times New Roman" w:hAnsi="Times New Roman" w:cs="Times New Roman"/>
          <w:sz w:val="24"/>
          <w:szCs w:val="24"/>
        </w:rPr>
        <w:t xml:space="preserve">zmian zostaną pokryte w ramach </w:t>
      </w:r>
      <w:r w:rsidR="00790087">
        <w:rPr>
          <w:rFonts w:ascii="Times New Roman" w:hAnsi="Times New Roman" w:cs="Times New Roman"/>
          <w:sz w:val="24"/>
          <w:szCs w:val="24"/>
        </w:rPr>
        <w:t xml:space="preserve">zwiększonego </w:t>
      </w:r>
      <w:r w:rsidRPr="00FF3DC7">
        <w:rPr>
          <w:rFonts w:ascii="Times New Roman" w:hAnsi="Times New Roman" w:cs="Times New Roman"/>
          <w:sz w:val="24"/>
          <w:szCs w:val="24"/>
        </w:rPr>
        <w:t>limitu środków przyznan</w:t>
      </w:r>
      <w:r w:rsidR="00790087">
        <w:rPr>
          <w:rFonts w:ascii="Times New Roman" w:hAnsi="Times New Roman" w:cs="Times New Roman"/>
          <w:sz w:val="24"/>
          <w:szCs w:val="24"/>
        </w:rPr>
        <w:t>ych</w:t>
      </w:r>
      <w:r w:rsidRPr="00FF3DC7">
        <w:rPr>
          <w:rFonts w:ascii="Times New Roman" w:hAnsi="Times New Roman" w:cs="Times New Roman"/>
          <w:sz w:val="24"/>
          <w:szCs w:val="24"/>
        </w:rPr>
        <w:t xml:space="preserve"> Ministerstwu Spraw Zagranicznych w 2021 r.</w:t>
      </w:r>
    </w:p>
    <w:p w14:paraId="5AF13D58" w14:textId="77777777" w:rsidR="00DE0F37" w:rsidRPr="00FF3DC7" w:rsidRDefault="00DE0F37" w:rsidP="0089450B">
      <w:pPr>
        <w:spacing w:after="0" w:line="360" w:lineRule="auto"/>
        <w:jc w:val="both"/>
        <w:rPr>
          <w:rFonts w:ascii="Times New Roman" w:hAnsi="Times New Roman" w:cs="Times New Roman"/>
          <w:b/>
          <w:sz w:val="24"/>
          <w:szCs w:val="24"/>
        </w:rPr>
      </w:pPr>
      <w:r w:rsidRPr="00FF3DC7">
        <w:rPr>
          <w:rFonts w:ascii="Times New Roman" w:hAnsi="Times New Roman" w:cs="Times New Roman"/>
          <w:b/>
          <w:sz w:val="24"/>
          <w:szCs w:val="24"/>
        </w:rPr>
        <w:t>Oświadczenie o zgodności projektu ustawy z prawem europejskim</w:t>
      </w:r>
    </w:p>
    <w:p w14:paraId="73CB5100" w14:textId="77777777" w:rsidR="00DE0F37" w:rsidRPr="00FF3DC7" w:rsidRDefault="00DE0F37" w:rsidP="0089450B">
      <w:pPr>
        <w:spacing w:after="0" w:line="360" w:lineRule="auto"/>
        <w:jc w:val="both"/>
        <w:rPr>
          <w:rFonts w:ascii="Times New Roman" w:hAnsi="Times New Roman" w:cs="Times New Roman"/>
          <w:sz w:val="24"/>
          <w:szCs w:val="24"/>
        </w:rPr>
      </w:pPr>
      <w:r w:rsidRPr="00FF3DC7">
        <w:rPr>
          <w:rFonts w:ascii="Times New Roman" w:hAnsi="Times New Roman" w:cs="Times New Roman"/>
          <w:sz w:val="24"/>
          <w:szCs w:val="24"/>
        </w:rPr>
        <w:t xml:space="preserve">Projekt ustawy jest zgodny z prawem Unii Europejskiej. Istota proponowanej regulacji dotyczy stosunków pracy wewnątrz administracji rządowej państwa członkowskiego i dlatego pozostaje poza zakresem objętym acquis. W szczególności proponowane rozwiązania nie naruszają zasady swobodnego przepływu pracowników, z uwagi na to, że zgodnie z art. 39 ust. 4 TUE przepisy traktatu nie mają zastosowania do zatrudnienia w administracji publicznej. </w:t>
      </w:r>
    </w:p>
    <w:p w14:paraId="59EF6CC0" w14:textId="77777777" w:rsidR="00251B95" w:rsidRPr="00FF3DC7" w:rsidRDefault="00251B95" w:rsidP="001576EF">
      <w:pPr>
        <w:pStyle w:val="Tekstpodstawowywcity3"/>
        <w:keepNext/>
        <w:keepLines/>
        <w:tabs>
          <w:tab w:val="left" w:pos="0"/>
        </w:tabs>
        <w:spacing w:before="240" w:line="360" w:lineRule="auto"/>
        <w:ind w:left="0"/>
        <w:rPr>
          <w:b/>
          <w:szCs w:val="24"/>
        </w:rPr>
      </w:pPr>
      <w:r w:rsidRPr="00FF3DC7">
        <w:rPr>
          <w:b/>
          <w:szCs w:val="24"/>
        </w:rPr>
        <w:lastRenderedPageBreak/>
        <w:t>Uwagi końcowe</w:t>
      </w:r>
    </w:p>
    <w:p w14:paraId="512BF66A" w14:textId="77777777" w:rsidR="00251B95" w:rsidRPr="00FF3DC7" w:rsidRDefault="00251B95" w:rsidP="00251B95">
      <w:pPr>
        <w:pStyle w:val="Tekstpodstawowywcity3"/>
        <w:tabs>
          <w:tab w:val="left" w:pos="0"/>
        </w:tabs>
        <w:spacing w:before="240" w:line="360" w:lineRule="auto"/>
        <w:ind w:left="0"/>
        <w:rPr>
          <w:szCs w:val="24"/>
        </w:rPr>
      </w:pPr>
      <w:r w:rsidRPr="00FF3DC7">
        <w:rPr>
          <w:szCs w:val="24"/>
        </w:rPr>
        <w:t>Projekt nie wymaga przedłożenia go właściwym organom i instytucjom Unii Europejskiej, w tym Europejskiemu Bankowi Centralnemu, w celu uzyskania opinii, dokonania powiadomienia, konsultacji albo uzgodnienia.</w:t>
      </w:r>
    </w:p>
    <w:p w14:paraId="1E99133B" w14:textId="77777777" w:rsidR="00EF6798" w:rsidRPr="00FF3DC7" w:rsidRDefault="00EF6798" w:rsidP="00EF6798">
      <w:pPr>
        <w:tabs>
          <w:tab w:val="left" w:pos="0"/>
          <w:tab w:val="right" w:pos="284"/>
          <w:tab w:val="left" w:pos="408"/>
        </w:tabs>
        <w:spacing w:before="240" w:line="360" w:lineRule="auto"/>
        <w:jc w:val="both"/>
        <w:rPr>
          <w:rFonts w:ascii="Times New Roman" w:eastAsia="Calibri" w:hAnsi="Times New Roman" w:cs="Times New Roman"/>
          <w:sz w:val="24"/>
          <w:szCs w:val="24"/>
        </w:rPr>
      </w:pPr>
      <w:r w:rsidRPr="00FF3DC7">
        <w:rPr>
          <w:rFonts w:ascii="Times New Roman" w:eastAsia="Calibri" w:hAnsi="Times New Roman" w:cs="Times New Roman"/>
          <w:sz w:val="24"/>
          <w:szCs w:val="24"/>
        </w:rPr>
        <w:t xml:space="preserve">Brak jest alternatywnych środków umożliwiających osiągniecie zamierzonego celu. </w:t>
      </w:r>
    </w:p>
    <w:p w14:paraId="7183864A" w14:textId="55E171E4" w:rsidR="00EF6798" w:rsidRPr="00FF3DC7" w:rsidRDefault="00EF6798" w:rsidP="00EF6798">
      <w:pPr>
        <w:tabs>
          <w:tab w:val="left" w:pos="0"/>
          <w:tab w:val="right" w:pos="284"/>
          <w:tab w:val="left" w:pos="408"/>
        </w:tabs>
        <w:spacing w:before="240" w:after="240" w:line="360" w:lineRule="auto"/>
        <w:jc w:val="both"/>
        <w:rPr>
          <w:rFonts w:ascii="Times New Roman" w:eastAsia="Calibri" w:hAnsi="Times New Roman" w:cs="Times New Roman"/>
          <w:sz w:val="24"/>
          <w:szCs w:val="24"/>
        </w:rPr>
      </w:pPr>
      <w:r w:rsidRPr="00FF3DC7">
        <w:rPr>
          <w:rFonts w:ascii="Times New Roman" w:eastAsia="Calibri" w:hAnsi="Times New Roman" w:cs="Times New Roman"/>
          <w:sz w:val="24"/>
          <w:szCs w:val="24"/>
        </w:rPr>
        <w:t xml:space="preserve">Zgodnie z art. 5 ustawy z dnia 7 lipca 2005 r. o działalności lobbingowej w procesie stanowienia prawa (Dz. U. z 2017 r. poz. 248) oraz § 52 uchwały </w:t>
      </w:r>
      <w:r w:rsidR="00AA477B">
        <w:rPr>
          <w:rFonts w:ascii="Times New Roman" w:eastAsia="Calibri" w:hAnsi="Times New Roman" w:cs="Times New Roman"/>
          <w:sz w:val="24"/>
          <w:szCs w:val="24"/>
        </w:rPr>
        <w:t>nr 190 Rady Ministrów z dnia 29 </w:t>
      </w:r>
      <w:r w:rsidRPr="00FF3DC7">
        <w:rPr>
          <w:rFonts w:ascii="Times New Roman" w:eastAsia="Calibri" w:hAnsi="Times New Roman" w:cs="Times New Roman"/>
          <w:sz w:val="24"/>
          <w:szCs w:val="24"/>
        </w:rPr>
        <w:t xml:space="preserve">października 2013 r. – Regulamin pracy Rady Ministrów (Dz. U. z 2016 r. poz. 1006, z późn. zm.), projekt </w:t>
      </w:r>
      <w:r w:rsidR="00251B95" w:rsidRPr="00FF3DC7">
        <w:rPr>
          <w:rFonts w:ascii="Times New Roman" w:eastAsia="Calibri" w:hAnsi="Times New Roman" w:cs="Times New Roman"/>
          <w:sz w:val="24"/>
          <w:szCs w:val="24"/>
        </w:rPr>
        <w:t xml:space="preserve">zostanie udostępniony w Biuletynie Informacji Publicznej Rządowego Centrum Legislacji w zakładce Rządowy Proces Legislacyjny. </w:t>
      </w:r>
    </w:p>
    <w:p w14:paraId="5DC3A623" w14:textId="77777777" w:rsidR="00EF6798" w:rsidRPr="00FF3DC7" w:rsidRDefault="00EF6798" w:rsidP="00EF6798">
      <w:pPr>
        <w:pStyle w:val="Tekstpodstawowywcity3"/>
        <w:tabs>
          <w:tab w:val="left" w:pos="0"/>
        </w:tabs>
        <w:spacing w:before="240" w:after="240" w:line="360" w:lineRule="auto"/>
        <w:ind w:left="0"/>
        <w:rPr>
          <w:rFonts w:eastAsia="Calibri"/>
          <w:szCs w:val="24"/>
          <w:lang w:eastAsia="en-US"/>
        </w:rPr>
      </w:pPr>
      <w:r w:rsidRPr="00FF3DC7">
        <w:rPr>
          <w:szCs w:val="24"/>
        </w:rPr>
        <w:t xml:space="preserve">Koordynator OSR nie przedstawił stanowiska do oceny skutków regulacji, nie była dokonywana ocena OSR w trybie § 32 uchwały nr 190 Rady Ministrów z dnia 29 października 2013 r. – </w:t>
      </w:r>
      <w:r w:rsidRPr="00FF3DC7">
        <w:rPr>
          <w:rFonts w:eastAsia="Calibri"/>
          <w:szCs w:val="24"/>
          <w:lang w:eastAsia="en-US"/>
        </w:rPr>
        <w:t xml:space="preserve">Regulamin pracy Rady Ministrów. </w:t>
      </w:r>
    </w:p>
    <w:p w14:paraId="35C9843A" w14:textId="5ADFC584" w:rsidR="00EF6798" w:rsidRPr="00FF3DC7" w:rsidRDefault="00EF6798" w:rsidP="00EF6798">
      <w:pPr>
        <w:spacing w:before="240" w:line="360" w:lineRule="auto"/>
        <w:jc w:val="both"/>
        <w:rPr>
          <w:rFonts w:ascii="Times New Roman" w:eastAsia="Calibri" w:hAnsi="Times New Roman" w:cs="Times New Roman"/>
          <w:sz w:val="24"/>
          <w:szCs w:val="24"/>
        </w:rPr>
      </w:pPr>
      <w:r w:rsidRPr="00FF3DC7">
        <w:rPr>
          <w:rFonts w:ascii="Times New Roman" w:eastAsia="Calibri" w:hAnsi="Times New Roman" w:cs="Times New Roman"/>
          <w:sz w:val="24"/>
          <w:szCs w:val="24"/>
        </w:rPr>
        <w:t xml:space="preserve">Realizując obowiązek wynikający z art. 66 ust. 1 pkt 2 ustawy z dnia 6 marca 2018 r. </w:t>
      </w:r>
      <w:r w:rsidR="00AA477B" w:rsidRPr="00FF3DC7">
        <w:rPr>
          <w:rFonts w:ascii="Times New Roman" w:eastAsia="Calibri" w:hAnsi="Times New Roman" w:cs="Times New Roman"/>
          <w:sz w:val="24"/>
          <w:szCs w:val="24"/>
        </w:rPr>
        <w:t>–</w:t>
      </w:r>
      <w:r w:rsidR="00AA477B">
        <w:rPr>
          <w:rFonts w:ascii="Times New Roman" w:eastAsia="Calibri" w:hAnsi="Times New Roman" w:cs="Times New Roman"/>
          <w:sz w:val="24"/>
          <w:szCs w:val="24"/>
        </w:rPr>
        <w:t xml:space="preserve"> </w:t>
      </w:r>
      <w:r w:rsidRPr="00FF3DC7">
        <w:rPr>
          <w:rFonts w:ascii="Times New Roman" w:eastAsia="Calibri" w:hAnsi="Times New Roman" w:cs="Times New Roman"/>
          <w:sz w:val="24"/>
          <w:szCs w:val="24"/>
        </w:rPr>
        <w:t xml:space="preserve">Prawo przedsiębiorców </w:t>
      </w:r>
      <w:r w:rsidR="00251B95" w:rsidRPr="00FF3DC7">
        <w:rPr>
          <w:rFonts w:ascii="Times New Roman" w:eastAsia="Calibri" w:hAnsi="Times New Roman" w:cs="Times New Roman"/>
          <w:sz w:val="24"/>
          <w:szCs w:val="24"/>
        </w:rPr>
        <w:t>(Dz.</w:t>
      </w:r>
      <w:r w:rsidR="009B0312">
        <w:rPr>
          <w:rFonts w:ascii="Times New Roman" w:eastAsia="Calibri" w:hAnsi="Times New Roman" w:cs="Times New Roman"/>
          <w:sz w:val="24"/>
          <w:szCs w:val="24"/>
        </w:rPr>
        <w:t xml:space="preserve"> </w:t>
      </w:r>
      <w:r w:rsidR="00251B95" w:rsidRPr="00FF3DC7">
        <w:rPr>
          <w:rFonts w:ascii="Times New Roman" w:eastAsia="Calibri" w:hAnsi="Times New Roman" w:cs="Times New Roman"/>
          <w:sz w:val="24"/>
          <w:szCs w:val="24"/>
        </w:rPr>
        <w:t>U. 2021 r. poz. 162)</w:t>
      </w:r>
      <w:r w:rsidR="009B0312">
        <w:rPr>
          <w:rFonts w:ascii="Times New Roman" w:eastAsia="Calibri" w:hAnsi="Times New Roman" w:cs="Times New Roman"/>
          <w:sz w:val="24"/>
          <w:szCs w:val="24"/>
        </w:rPr>
        <w:t>,</w:t>
      </w:r>
      <w:r w:rsidRPr="00FF3DC7">
        <w:rPr>
          <w:rFonts w:ascii="Times New Roman" w:eastAsia="Calibri" w:hAnsi="Times New Roman" w:cs="Times New Roman"/>
          <w:sz w:val="24"/>
          <w:szCs w:val="24"/>
        </w:rPr>
        <w:t xml:space="preserve"> tj. dokonania oceny przewidywanego wpływu projektu na działalność mikroprzedsiębiorców, małych i średnich przedsiębiorców należy stwierdzić, że projekt nie będzie wywierać wpływu na sektor przedsiębiorczości.</w:t>
      </w:r>
    </w:p>
    <w:p w14:paraId="0EE2740C" w14:textId="77777777" w:rsidR="00EF6798" w:rsidRPr="00FF3DC7" w:rsidRDefault="00EF6798" w:rsidP="00EF6798">
      <w:pPr>
        <w:spacing w:before="240" w:line="360" w:lineRule="auto"/>
        <w:jc w:val="both"/>
        <w:rPr>
          <w:rFonts w:ascii="Times New Roman" w:eastAsia="Calibri" w:hAnsi="Times New Roman" w:cs="Times New Roman"/>
          <w:sz w:val="24"/>
          <w:szCs w:val="24"/>
        </w:rPr>
      </w:pPr>
      <w:r w:rsidRPr="00FF3DC7">
        <w:rPr>
          <w:rFonts w:ascii="Times New Roman" w:eastAsia="Calibri" w:hAnsi="Times New Roman" w:cs="Times New Roman"/>
          <w:sz w:val="24"/>
          <w:szCs w:val="24"/>
        </w:rPr>
        <w:t>Projekt nie zawiera przepisów technicznych i w związku z tym nie podlega procedurze notyfikacji aktów prawnych, określonej w rozporządzeniu Rady Ministrów z dnia 23 grudnia 2002 r. w sprawie sposobu funkcjonowania krajowego systemu notyfikacji norm i aktów prawnych (Dz. U. poz. 2039 oraz z 2004 r. poz. 597).</w:t>
      </w:r>
    </w:p>
    <w:p w14:paraId="04513CAC" w14:textId="3CAA1FD2" w:rsidR="00A23396" w:rsidRPr="00FF3DC7" w:rsidRDefault="00251B95" w:rsidP="001576EF">
      <w:pPr>
        <w:pStyle w:val="Tekstpodstawowywcity3"/>
        <w:tabs>
          <w:tab w:val="left" w:pos="0"/>
        </w:tabs>
        <w:spacing w:before="240" w:line="360" w:lineRule="auto"/>
        <w:ind w:left="0"/>
        <w:rPr>
          <w:szCs w:val="24"/>
        </w:rPr>
      </w:pPr>
      <w:r w:rsidRPr="00FF3DC7">
        <w:rPr>
          <w:szCs w:val="24"/>
        </w:rPr>
        <w:t>Z uwagi na charakter proponowanych zmian, w szczególności rozwiązania odnoszące się do zagadnień intertemporalnych, projektodawca planuje</w:t>
      </w:r>
      <w:r w:rsidR="00276210">
        <w:rPr>
          <w:szCs w:val="24"/>
        </w:rPr>
        <w:t>,</w:t>
      </w:r>
      <w:r w:rsidRPr="00FF3DC7">
        <w:rPr>
          <w:szCs w:val="24"/>
        </w:rPr>
        <w:t xml:space="preserve"> by projekt nowelizacji wszedł w życie w dniu wejścia w życie ustawy z dnia 21 stycznia 2021 r. o służbie zagranicznej (Dz. U. poz. 464), czyli</w:t>
      </w:r>
      <w:r w:rsidR="009B0312">
        <w:rPr>
          <w:szCs w:val="24"/>
        </w:rPr>
        <w:t xml:space="preserve"> w dniu</w:t>
      </w:r>
      <w:r w:rsidRPr="00FF3DC7">
        <w:rPr>
          <w:szCs w:val="24"/>
        </w:rPr>
        <w:t xml:space="preserve"> 16 czerwca 2021 r. </w:t>
      </w:r>
    </w:p>
    <w:sectPr w:rsidR="00A23396" w:rsidRPr="00FF3DC7" w:rsidSect="001576E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934BF4" w14:textId="77777777" w:rsidR="00BF3A14" w:rsidRDefault="00BF3A14" w:rsidP="00B6754B">
      <w:pPr>
        <w:spacing w:after="0" w:line="240" w:lineRule="auto"/>
      </w:pPr>
      <w:r>
        <w:separator/>
      </w:r>
    </w:p>
  </w:endnote>
  <w:endnote w:type="continuationSeparator" w:id="0">
    <w:p w14:paraId="5A65BC4E" w14:textId="77777777" w:rsidR="00BF3A14" w:rsidRDefault="00BF3A14" w:rsidP="00B67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88681035"/>
      <w:docPartObj>
        <w:docPartGallery w:val="Page Numbers (Bottom of Page)"/>
        <w:docPartUnique/>
      </w:docPartObj>
    </w:sdtPr>
    <w:sdtEndPr/>
    <w:sdtContent>
      <w:p w14:paraId="22D01A01" w14:textId="28BA3922" w:rsidR="001576EF" w:rsidRPr="001576EF" w:rsidRDefault="001576EF" w:rsidP="001576EF">
        <w:pPr>
          <w:pStyle w:val="Stopka"/>
          <w:jc w:val="center"/>
          <w:rPr>
            <w:rFonts w:ascii="Times New Roman" w:hAnsi="Times New Roman" w:cs="Times New Roman"/>
            <w:sz w:val="24"/>
            <w:szCs w:val="24"/>
          </w:rPr>
        </w:pPr>
        <w:r w:rsidRPr="001576EF">
          <w:rPr>
            <w:rFonts w:ascii="Times New Roman" w:hAnsi="Times New Roman" w:cs="Times New Roman"/>
            <w:sz w:val="24"/>
            <w:szCs w:val="24"/>
          </w:rPr>
          <w:fldChar w:fldCharType="begin"/>
        </w:r>
        <w:r w:rsidRPr="001576EF">
          <w:rPr>
            <w:rFonts w:ascii="Times New Roman" w:hAnsi="Times New Roman" w:cs="Times New Roman"/>
            <w:sz w:val="24"/>
            <w:szCs w:val="24"/>
          </w:rPr>
          <w:instrText>PAGE   \* MERGEFORMAT</w:instrText>
        </w:r>
        <w:r w:rsidRPr="001576EF">
          <w:rPr>
            <w:rFonts w:ascii="Times New Roman" w:hAnsi="Times New Roman" w:cs="Times New Roman"/>
            <w:sz w:val="24"/>
            <w:szCs w:val="24"/>
          </w:rPr>
          <w:fldChar w:fldCharType="separate"/>
        </w:r>
        <w:r w:rsidR="00CC1040">
          <w:rPr>
            <w:rFonts w:ascii="Times New Roman" w:hAnsi="Times New Roman" w:cs="Times New Roman"/>
            <w:noProof/>
            <w:sz w:val="24"/>
            <w:szCs w:val="24"/>
          </w:rPr>
          <w:t>2</w:t>
        </w:r>
        <w:r w:rsidRPr="001576E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1CCB4" w14:textId="77777777" w:rsidR="00BF3A14" w:rsidRDefault="00BF3A14" w:rsidP="00B6754B">
      <w:pPr>
        <w:spacing w:after="0" w:line="240" w:lineRule="auto"/>
      </w:pPr>
      <w:r>
        <w:separator/>
      </w:r>
    </w:p>
  </w:footnote>
  <w:footnote w:type="continuationSeparator" w:id="0">
    <w:p w14:paraId="0E471FEA" w14:textId="77777777" w:rsidR="00BF3A14" w:rsidRDefault="00BF3A14" w:rsidP="00B675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B4CB4"/>
    <w:multiLevelType w:val="hybridMultilevel"/>
    <w:tmpl w:val="334EC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893AF2"/>
    <w:multiLevelType w:val="hybridMultilevel"/>
    <w:tmpl w:val="200CCD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7CA52C7A"/>
    <w:multiLevelType w:val="hybridMultilevel"/>
    <w:tmpl w:val="F91ADE12"/>
    <w:lvl w:ilvl="0" w:tplc="05D8B2B0">
      <w:start w:val="1"/>
      <w:numFmt w:val="decimal"/>
      <w:lvlText w:val="%1."/>
      <w:lvlJc w:val="left"/>
      <w:pPr>
        <w:ind w:left="-94" w:hanging="360"/>
      </w:pPr>
      <w:rPr>
        <w:rFonts w:hint="default"/>
        <w:i w:val="0"/>
      </w:rPr>
    </w:lvl>
    <w:lvl w:ilvl="1" w:tplc="04150019" w:tentative="1">
      <w:start w:val="1"/>
      <w:numFmt w:val="lowerLetter"/>
      <w:lvlText w:val="%2."/>
      <w:lvlJc w:val="left"/>
      <w:pPr>
        <w:ind w:left="626" w:hanging="360"/>
      </w:pPr>
    </w:lvl>
    <w:lvl w:ilvl="2" w:tplc="0415001B" w:tentative="1">
      <w:start w:val="1"/>
      <w:numFmt w:val="lowerRoman"/>
      <w:lvlText w:val="%3."/>
      <w:lvlJc w:val="right"/>
      <w:pPr>
        <w:ind w:left="1346" w:hanging="180"/>
      </w:pPr>
    </w:lvl>
    <w:lvl w:ilvl="3" w:tplc="0415000F" w:tentative="1">
      <w:start w:val="1"/>
      <w:numFmt w:val="decimal"/>
      <w:lvlText w:val="%4."/>
      <w:lvlJc w:val="left"/>
      <w:pPr>
        <w:ind w:left="2066" w:hanging="360"/>
      </w:pPr>
    </w:lvl>
    <w:lvl w:ilvl="4" w:tplc="04150019" w:tentative="1">
      <w:start w:val="1"/>
      <w:numFmt w:val="lowerLetter"/>
      <w:lvlText w:val="%5."/>
      <w:lvlJc w:val="left"/>
      <w:pPr>
        <w:ind w:left="2786" w:hanging="360"/>
      </w:pPr>
    </w:lvl>
    <w:lvl w:ilvl="5" w:tplc="0415001B" w:tentative="1">
      <w:start w:val="1"/>
      <w:numFmt w:val="lowerRoman"/>
      <w:lvlText w:val="%6."/>
      <w:lvlJc w:val="right"/>
      <w:pPr>
        <w:ind w:left="3506" w:hanging="180"/>
      </w:pPr>
    </w:lvl>
    <w:lvl w:ilvl="6" w:tplc="0415000F" w:tentative="1">
      <w:start w:val="1"/>
      <w:numFmt w:val="decimal"/>
      <w:lvlText w:val="%7."/>
      <w:lvlJc w:val="left"/>
      <w:pPr>
        <w:ind w:left="4226" w:hanging="360"/>
      </w:pPr>
    </w:lvl>
    <w:lvl w:ilvl="7" w:tplc="04150019" w:tentative="1">
      <w:start w:val="1"/>
      <w:numFmt w:val="lowerLetter"/>
      <w:lvlText w:val="%8."/>
      <w:lvlJc w:val="left"/>
      <w:pPr>
        <w:ind w:left="4946" w:hanging="360"/>
      </w:pPr>
    </w:lvl>
    <w:lvl w:ilvl="8" w:tplc="0415001B" w:tentative="1">
      <w:start w:val="1"/>
      <w:numFmt w:val="lowerRoman"/>
      <w:lvlText w:val="%9."/>
      <w:lvlJc w:val="right"/>
      <w:pPr>
        <w:ind w:left="5666"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54B"/>
    <w:rsid w:val="00003AA6"/>
    <w:rsid w:val="000426F2"/>
    <w:rsid w:val="00054195"/>
    <w:rsid w:val="00073A5B"/>
    <w:rsid w:val="000770D6"/>
    <w:rsid w:val="00086EF8"/>
    <w:rsid w:val="000B5810"/>
    <w:rsid w:val="000E1DE2"/>
    <w:rsid w:val="00133794"/>
    <w:rsid w:val="00136F62"/>
    <w:rsid w:val="00151BB6"/>
    <w:rsid w:val="001576EF"/>
    <w:rsid w:val="001B1E84"/>
    <w:rsid w:val="00215366"/>
    <w:rsid w:val="00232A16"/>
    <w:rsid w:val="002343F5"/>
    <w:rsid w:val="00240D17"/>
    <w:rsid w:val="00241198"/>
    <w:rsid w:val="00251B95"/>
    <w:rsid w:val="00276210"/>
    <w:rsid w:val="00286BEB"/>
    <w:rsid w:val="002A43A1"/>
    <w:rsid w:val="002B6D39"/>
    <w:rsid w:val="002C0604"/>
    <w:rsid w:val="002D0795"/>
    <w:rsid w:val="002F0549"/>
    <w:rsid w:val="00341E6E"/>
    <w:rsid w:val="003C0BDC"/>
    <w:rsid w:val="003D6ED3"/>
    <w:rsid w:val="00412537"/>
    <w:rsid w:val="00426BA1"/>
    <w:rsid w:val="00461A5D"/>
    <w:rsid w:val="00463695"/>
    <w:rsid w:val="004649C9"/>
    <w:rsid w:val="00476AEA"/>
    <w:rsid w:val="00481F36"/>
    <w:rsid w:val="00485A60"/>
    <w:rsid w:val="004A69D6"/>
    <w:rsid w:val="004B1D45"/>
    <w:rsid w:val="004D1580"/>
    <w:rsid w:val="004F79CF"/>
    <w:rsid w:val="0056635D"/>
    <w:rsid w:val="00597EAE"/>
    <w:rsid w:val="005A6346"/>
    <w:rsid w:val="00616B3F"/>
    <w:rsid w:val="0061725F"/>
    <w:rsid w:val="006258B7"/>
    <w:rsid w:val="006404B9"/>
    <w:rsid w:val="00652D86"/>
    <w:rsid w:val="00660879"/>
    <w:rsid w:val="00670BDF"/>
    <w:rsid w:val="00713465"/>
    <w:rsid w:val="007777E9"/>
    <w:rsid w:val="00790087"/>
    <w:rsid w:val="00816383"/>
    <w:rsid w:val="00830E20"/>
    <w:rsid w:val="00837594"/>
    <w:rsid w:val="0085571B"/>
    <w:rsid w:val="00857C3B"/>
    <w:rsid w:val="00873CBA"/>
    <w:rsid w:val="008758EC"/>
    <w:rsid w:val="008769C0"/>
    <w:rsid w:val="00890282"/>
    <w:rsid w:val="0089450B"/>
    <w:rsid w:val="008F38F0"/>
    <w:rsid w:val="008F7439"/>
    <w:rsid w:val="009044F0"/>
    <w:rsid w:val="00952DC1"/>
    <w:rsid w:val="00995732"/>
    <w:rsid w:val="009A227D"/>
    <w:rsid w:val="009B0312"/>
    <w:rsid w:val="00A21EDB"/>
    <w:rsid w:val="00A23396"/>
    <w:rsid w:val="00A24F9C"/>
    <w:rsid w:val="00A363C6"/>
    <w:rsid w:val="00A97EE6"/>
    <w:rsid w:val="00AA477B"/>
    <w:rsid w:val="00AD1867"/>
    <w:rsid w:val="00B02582"/>
    <w:rsid w:val="00B303AF"/>
    <w:rsid w:val="00B6754B"/>
    <w:rsid w:val="00B83C0F"/>
    <w:rsid w:val="00B85296"/>
    <w:rsid w:val="00BA1850"/>
    <w:rsid w:val="00BD0EE4"/>
    <w:rsid w:val="00BE4589"/>
    <w:rsid w:val="00BF3A14"/>
    <w:rsid w:val="00BF5EAC"/>
    <w:rsid w:val="00BF71F6"/>
    <w:rsid w:val="00C005C4"/>
    <w:rsid w:val="00C05C38"/>
    <w:rsid w:val="00C06368"/>
    <w:rsid w:val="00C4745D"/>
    <w:rsid w:val="00CC1040"/>
    <w:rsid w:val="00CC3D22"/>
    <w:rsid w:val="00CC498C"/>
    <w:rsid w:val="00CD5091"/>
    <w:rsid w:val="00CD5AA3"/>
    <w:rsid w:val="00CF7CE4"/>
    <w:rsid w:val="00D00972"/>
    <w:rsid w:val="00D247A3"/>
    <w:rsid w:val="00D24A08"/>
    <w:rsid w:val="00DE0F37"/>
    <w:rsid w:val="00E02A13"/>
    <w:rsid w:val="00E20670"/>
    <w:rsid w:val="00E614EA"/>
    <w:rsid w:val="00E6758F"/>
    <w:rsid w:val="00E76B93"/>
    <w:rsid w:val="00EC20F9"/>
    <w:rsid w:val="00EF1C73"/>
    <w:rsid w:val="00EF6798"/>
    <w:rsid w:val="00F0060D"/>
    <w:rsid w:val="00F05FC6"/>
    <w:rsid w:val="00F3490E"/>
    <w:rsid w:val="00F64CEE"/>
    <w:rsid w:val="00FF19B7"/>
    <w:rsid w:val="00FF3DC7"/>
    <w:rsid w:val="00FF7A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032C3"/>
  <w15:docId w15:val="{F9ED54E6-8D2C-459C-9A63-B1AA275D3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6754B"/>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basedOn w:val="Domylnaczcionkaakapitu"/>
    <w:uiPriority w:val="99"/>
    <w:semiHidden/>
    <w:unhideWhenUsed/>
    <w:rsid w:val="00B6754B"/>
    <w:rPr>
      <w:vertAlign w:val="superscript"/>
    </w:rPr>
  </w:style>
  <w:style w:type="character" w:styleId="Pogrubienie">
    <w:name w:val="Strong"/>
    <w:basedOn w:val="Domylnaczcionkaakapitu"/>
    <w:uiPriority w:val="22"/>
    <w:qFormat/>
    <w:rsid w:val="00B6754B"/>
    <w:rPr>
      <w:b/>
      <w:bCs/>
    </w:rPr>
  </w:style>
  <w:style w:type="paragraph" w:styleId="NormalnyWeb">
    <w:name w:val="Normal (Web)"/>
    <w:basedOn w:val="Normalny"/>
    <w:uiPriority w:val="99"/>
    <w:unhideWhenUsed/>
    <w:rsid w:val="00B6754B"/>
    <w:pPr>
      <w:spacing w:after="0" w:line="384" w:lineRule="atLeast"/>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151BB6"/>
    <w:pPr>
      <w:spacing w:after="160" w:line="259" w:lineRule="auto"/>
      <w:ind w:left="720"/>
      <w:contextualSpacing/>
    </w:pPr>
    <w:rPr>
      <w:lang w:val="en-GB"/>
    </w:rPr>
  </w:style>
  <w:style w:type="paragraph" w:customStyle="1" w:styleId="ZLITUSTzmustliter">
    <w:name w:val="Z_LIT/UST(§) – zm. ust. (§) literą"/>
    <w:basedOn w:val="Normalny"/>
    <w:uiPriority w:val="46"/>
    <w:qFormat/>
    <w:rsid w:val="00C05C38"/>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styleId="Tekstpodstawowywcity3">
    <w:name w:val="Body Text Indent 3"/>
    <w:basedOn w:val="Normalny"/>
    <w:link w:val="Tekstpodstawowywcity3Znak"/>
    <w:unhideWhenUsed/>
    <w:rsid w:val="00EF6798"/>
    <w:pPr>
      <w:tabs>
        <w:tab w:val="right" w:pos="284"/>
        <w:tab w:val="left" w:pos="408"/>
      </w:tabs>
      <w:spacing w:after="0" w:line="240" w:lineRule="auto"/>
      <w:ind w:left="284"/>
      <w:jc w:val="both"/>
    </w:pPr>
    <w:rPr>
      <w:rFonts w:ascii="Times New Roman" w:eastAsia="Times New Roman" w:hAnsi="Times New Roman" w:cs="Times New Roman"/>
      <w:sz w:val="24"/>
      <w:szCs w:val="20"/>
      <w:lang w:eastAsia="pl-PL"/>
    </w:rPr>
  </w:style>
  <w:style w:type="character" w:customStyle="1" w:styleId="Tekstpodstawowywcity3Znak">
    <w:name w:val="Tekst podstawowy wcięty 3 Znak"/>
    <w:basedOn w:val="Domylnaczcionkaakapitu"/>
    <w:link w:val="Tekstpodstawowywcity3"/>
    <w:rsid w:val="00EF6798"/>
    <w:rPr>
      <w:rFonts w:ascii="Times New Roman" w:eastAsia="Times New Roman" w:hAnsi="Times New Roman" w:cs="Times New Roman"/>
      <w:sz w:val="24"/>
      <w:szCs w:val="20"/>
      <w:lang w:eastAsia="pl-PL"/>
    </w:rPr>
  </w:style>
  <w:style w:type="paragraph" w:customStyle="1" w:styleId="ZPKTzmpktartykuempunktem">
    <w:name w:val="Z/PKT – zm. pkt artykułem (punktem)"/>
    <w:basedOn w:val="Normalny"/>
    <w:uiPriority w:val="31"/>
    <w:qFormat/>
    <w:rsid w:val="00CC3D22"/>
    <w:pPr>
      <w:spacing w:after="0" w:line="360" w:lineRule="auto"/>
      <w:ind w:left="1020" w:hanging="510"/>
      <w:jc w:val="both"/>
    </w:pPr>
    <w:rPr>
      <w:rFonts w:ascii="Times" w:eastAsiaTheme="minorEastAsia" w:hAnsi="Times" w:cs="Arial"/>
      <w:bCs/>
      <w:sz w:val="24"/>
      <w:szCs w:val="20"/>
      <w:lang w:eastAsia="pl-PL"/>
    </w:rPr>
  </w:style>
  <w:style w:type="paragraph" w:customStyle="1" w:styleId="ZARTzmartartykuempunktem">
    <w:name w:val="Z/ART(§) – zm. art. (§) artykułem (punktem)"/>
    <w:basedOn w:val="Normalny"/>
    <w:uiPriority w:val="30"/>
    <w:qFormat/>
    <w:rsid w:val="00CC3D22"/>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character" w:styleId="Odwoaniedokomentarza">
    <w:name w:val="annotation reference"/>
    <w:basedOn w:val="Domylnaczcionkaakapitu"/>
    <w:uiPriority w:val="99"/>
    <w:semiHidden/>
    <w:unhideWhenUsed/>
    <w:rsid w:val="00EF1C73"/>
    <w:rPr>
      <w:sz w:val="16"/>
      <w:szCs w:val="16"/>
    </w:rPr>
  </w:style>
  <w:style w:type="paragraph" w:styleId="Tekstkomentarza">
    <w:name w:val="annotation text"/>
    <w:basedOn w:val="Normalny"/>
    <w:link w:val="TekstkomentarzaZnak"/>
    <w:uiPriority w:val="99"/>
    <w:semiHidden/>
    <w:unhideWhenUsed/>
    <w:rsid w:val="00EF1C7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F1C73"/>
    <w:rPr>
      <w:sz w:val="20"/>
      <w:szCs w:val="20"/>
    </w:rPr>
  </w:style>
  <w:style w:type="paragraph" w:styleId="Tematkomentarza">
    <w:name w:val="annotation subject"/>
    <w:basedOn w:val="Tekstkomentarza"/>
    <w:next w:val="Tekstkomentarza"/>
    <w:link w:val="TematkomentarzaZnak"/>
    <w:uiPriority w:val="99"/>
    <w:semiHidden/>
    <w:unhideWhenUsed/>
    <w:rsid w:val="00EF1C73"/>
    <w:rPr>
      <w:b/>
      <w:bCs/>
    </w:rPr>
  </w:style>
  <w:style w:type="character" w:customStyle="1" w:styleId="TematkomentarzaZnak">
    <w:name w:val="Temat komentarza Znak"/>
    <w:basedOn w:val="TekstkomentarzaZnak"/>
    <w:link w:val="Tematkomentarza"/>
    <w:uiPriority w:val="99"/>
    <w:semiHidden/>
    <w:rsid w:val="00EF1C73"/>
    <w:rPr>
      <w:b/>
      <w:bCs/>
      <w:sz w:val="20"/>
      <w:szCs w:val="20"/>
    </w:rPr>
  </w:style>
  <w:style w:type="paragraph" w:styleId="Tekstdymka">
    <w:name w:val="Balloon Text"/>
    <w:basedOn w:val="Normalny"/>
    <w:link w:val="TekstdymkaZnak"/>
    <w:uiPriority w:val="99"/>
    <w:semiHidden/>
    <w:unhideWhenUsed/>
    <w:rsid w:val="00EF1C7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F1C73"/>
    <w:rPr>
      <w:rFonts w:ascii="Segoe UI" w:hAnsi="Segoe UI" w:cs="Segoe UI"/>
      <w:sz w:val="18"/>
      <w:szCs w:val="18"/>
    </w:rPr>
  </w:style>
  <w:style w:type="paragraph" w:customStyle="1" w:styleId="ZUSTzmustartykuempunktem">
    <w:name w:val="Z/UST(§) – zm. ust. (§) artykułem (punktem)"/>
    <w:basedOn w:val="ZARTzmartartykuempunktem"/>
    <w:uiPriority w:val="30"/>
    <w:qFormat/>
    <w:rsid w:val="00054195"/>
  </w:style>
  <w:style w:type="paragraph" w:styleId="Nagwek">
    <w:name w:val="header"/>
    <w:basedOn w:val="Normalny"/>
    <w:link w:val="NagwekZnak"/>
    <w:uiPriority w:val="99"/>
    <w:unhideWhenUsed/>
    <w:rsid w:val="001576E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76EF"/>
  </w:style>
  <w:style w:type="paragraph" w:styleId="Stopka">
    <w:name w:val="footer"/>
    <w:basedOn w:val="Normalny"/>
    <w:link w:val="StopkaZnak"/>
    <w:uiPriority w:val="99"/>
    <w:unhideWhenUsed/>
    <w:rsid w:val="001576E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7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23546">
      <w:bodyDiv w:val="1"/>
      <w:marLeft w:val="0"/>
      <w:marRight w:val="0"/>
      <w:marTop w:val="0"/>
      <w:marBottom w:val="0"/>
      <w:divBdr>
        <w:top w:val="none" w:sz="0" w:space="0" w:color="auto"/>
        <w:left w:val="none" w:sz="0" w:space="0" w:color="auto"/>
        <w:bottom w:val="none" w:sz="0" w:space="0" w:color="auto"/>
        <w:right w:val="none" w:sz="0" w:space="0" w:color="auto"/>
      </w:divBdr>
    </w:div>
    <w:div w:id="71685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8C30A-345F-4C31-BA2F-375267E8E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2061</Words>
  <Characters>12366</Characters>
  <Application>Microsoft Office Word</Application>
  <DocSecurity>4</DocSecurity>
  <Lines>103</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Osajda Jakub</dc:creator>
  <cp:keywords/>
  <dc:description/>
  <cp:lastModifiedBy>Binkowska Joanna</cp:lastModifiedBy>
  <cp:revision>2</cp:revision>
  <cp:lastPrinted>2021-05-06T07:07:00Z</cp:lastPrinted>
  <dcterms:created xsi:type="dcterms:W3CDTF">2021-05-13T12:57:00Z</dcterms:created>
  <dcterms:modified xsi:type="dcterms:W3CDTF">2021-05-13T12:57:00Z</dcterms:modified>
</cp:coreProperties>
</file>