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07" w:rsidRPr="005A0FE7" w:rsidRDefault="000C0907" w:rsidP="000C0907">
      <w:pPr>
        <w:autoSpaceDE w:val="0"/>
        <w:autoSpaceDN w:val="0"/>
        <w:adjustRightInd w:val="0"/>
        <w:spacing w:after="0" w:line="360" w:lineRule="auto"/>
        <w:jc w:val="center"/>
        <w:rPr>
          <w:rFonts w:ascii="Times New Roman" w:hAnsi="Times New Roman" w:cs="Times New Roman"/>
          <w:caps/>
        </w:rPr>
      </w:pPr>
      <w:r w:rsidRPr="005A0FE7">
        <w:rPr>
          <w:rFonts w:ascii="Times New Roman" w:hAnsi="Times New Roman" w:cs="Times New Roman"/>
          <w:caps/>
        </w:rPr>
        <w:t>Uzasadnienie</w:t>
      </w:r>
    </w:p>
    <w:p w:rsidR="00F40296" w:rsidRPr="00304DFA" w:rsidRDefault="00F40296" w:rsidP="000C0907">
      <w:pPr>
        <w:autoSpaceDE w:val="0"/>
        <w:autoSpaceDN w:val="0"/>
        <w:adjustRightInd w:val="0"/>
        <w:spacing w:after="0" w:line="360" w:lineRule="auto"/>
        <w:jc w:val="both"/>
        <w:rPr>
          <w:rFonts w:ascii="Times New Roman" w:eastAsia="Times New Roman" w:hAnsi="Times New Roman" w:cs="Times New Roman"/>
          <w:lang w:eastAsia="pl-PL"/>
        </w:rPr>
      </w:pPr>
    </w:p>
    <w:p w:rsidR="00FF4EEA" w:rsidRPr="00304DFA" w:rsidRDefault="00FF4EEA" w:rsidP="00074AD3">
      <w:pPr>
        <w:pStyle w:val="Akapitzlist"/>
        <w:numPr>
          <w:ilvl w:val="0"/>
          <w:numId w:val="2"/>
        </w:numPr>
        <w:spacing w:after="0" w:line="360" w:lineRule="auto"/>
        <w:ind w:left="142" w:hanging="142"/>
        <w:jc w:val="both"/>
        <w:rPr>
          <w:rFonts w:ascii="Times New Roman" w:hAnsi="Times New Roman" w:cs="Times New Roman"/>
          <w:b/>
        </w:rPr>
      </w:pPr>
      <w:r w:rsidRPr="00304DFA">
        <w:rPr>
          <w:rFonts w:ascii="Times New Roman" w:hAnsi="Times New Roman" w:cs="Times New Roman"/>
          <w:b/>
        </w:rPr>
        <w:t>POTRZEBA, CEL, ZAKRES ORAZ PROPOZYCJA ROZWIĄZAŃ</w:t>
      </w:r>
    </w:p>
    <w:p w:rsidR="00FF4EEA" w:rsidRPr="00304DFA" w:rsidRDefault="00FF4EEA" w:rsidP="00FF4EEA">
      <w:pPr>
        <w:autoSpaceDE w:val="0"/>
        <w:autoSpaceDN w:val="0"/>
        <w:adjustRightInd w:val="0"/>
        <w:spacing w:after="0" w:line="360" w:lineRule="auto"/>
        <w:jc w:val="both"/>
        <w:rPr>
          <w:rFonts w:ascii="Times New Roman" w:eastAsia="Japanese Gothic" w:hAnsi="Times New Roman" w:cs="Times New Roman"/>
        </w:rPr>
      </w:pPr>
      <w:r w:rsidRPr="00304DFA">
        <w:rPr>
          <w:rFonts w:ascii="Times New Roman" w:hAnsi="Times New Roman" w:cs="Times New Roman"/>
          <w:color w:val="000000"/>
        </w:rPr>
        <w:t xml:space="preserve">Ustawa </w:t>
      </w:r>
      <w:r w:rsidR="005B33D7" w:rsidRPr="00304DFA">
        <w:rPr>
          <w:rFonts w:ascii="Times New Roman" w:hAnsi="Times New Roman" w:cs="Times New Roman"/>
          <w:color w:val="000000"/>
        </w:rPr>
        <w:t xml:space="preserve">z dnia 13 października 1998 r. </w:t>
      </w:r>
      <w:r w:rsidRPr="00304DFA">
        <w:rPr>
          <w:rFonts w:ascii="Times New Roman" w:hAnsi="Times New Roman" w:cs="Times New Roman"/>
          <w:color w:val="000000"/>
        </w:rPr>
        <w:t xml:space="preserve">o systemie ubezpieczeń społecznych </w:t>
      </w:r>
      <w:r w:rsidR="001B5354">
        <w:rPr>
          <w:rFonts w:ascii="Times New Roman" w:hAnsi="Times New Roman" w:cs="Times New Roman"/>
        </w:rPr>
        <w:t>(Dz. U. z 2021</w:t>
      </w:r>
      <w:r w:rsidR="005B33D7" w:rsidRPr="00304DFA">
        <w:rPr>
          <w:rFonts w:ascii="Times New Roman" w:hAnsi="Times New Roman" w:cs="Times New Roman"/>
        </w:rPr>
        <w:t xml:space="preserve"> r. poz. </w:t>
      </w:r>
      <w:r w:rsidR="001B5354">
        <w:rPr>
          <w:rFonts w:ascii="Times New Roman" w:hAnsi="Times New Roman" w:cs="Times New Roman"/>
        </w:rPr>
        <w:t>423</w:t>
      </w:r>
      <w:r w:rsidR="005B33D7" w:rsidRPr="00304DFA">
        <w:rPr>
          <w:rFonts w:ascii="Times New Roman" w:hAnsi="Times New Roman" w:cs="Times New Roman"/>
        </w:rPr>
        <w:t>, z późn. zm.), zwan</w:t>
      </w:r>
      <w:r w:rsidR="00BB0B2E">
        <w:rPr>
          <w:rFonts w:ascii="Times New Roman" w:hAnsi="Times New Roman" w:cs="Times New Roman"/>
        </w:rPr>
        <w:t>a</w:t>
      </w:r>
      <w:r w:rsidR="005B33D7" w:rsidRPr="00304DFA">
        <w:rPr>
          <w:rFonts w:ascii="Times New Roman" w:hAnsi="Times New Roman" w:cs="Times New Roman"/>
        </w:rPr>
        <w:t xml:space="preserve"> dalej </w:t>
      </w:r>
      <w:r w:rsidR="00BA797F">
        <w:rPr>
          <w:rFonts w:ascii="Times New Roman" w:hAnsi="Times New Roman" w:cs="Times New Roman"/>
        </w:rPr>
        <w:t xml:space="preserve">także </w:t>
      </w:r>
      <w:r w:rsidR="005B33D7" w:rsidRPr="00304DFA">
        <w:rPr>
          <w:rFonts w:ascii="Times New Roman" w:hAnsi="Times New Roman" w:cs="Times New Roman"/>
        </w:rPr>
        <w:t xml:space="preserve">„ustawą o systemie ubezpieczeń społecznych” </w:t>
      </w:r>
      <w:r w:rsidRPr="00304DFA">
        <w:rPr>
          <w:rFonts w:ascii="Times New Roman" w:hAnsi="Times New Roman" w:cs="Times New Roman"/>
          <w:color w:val="000000"/>
        </w:rPr>
        <w:t xml:space="preserve">nałożyła na Zakład </w:t>
      </w:r>
      <w:r w:rsidR="00734DA0" w:rsidRPr="00304DFA">
        <w:rPr>
          <w:rFonts w:ascii="Times New Roman" w:hAnsi="Times New Roman" w:cs="Times New Roman"/>
          <w:color w:val="000000"/>
        </w:rPr>
        <w:t xml:space="preserve">Ubezpieczeń Społecznych </w:t>
      </w:r>
      <w:r w:rsidR="002B3FBB">
        <w:rPr>
          <w:rFonts w:ascii="Times New Roman" w:hAnsi="Times New Roman" w:cs="Times New Roman"/>
          <w:color w:val="000000"/>
        </w:rPr>
        <w:t xml:space="preserve">(ZUS) </w:t>
      </w:r>
      <w:r w:rsidRPr="00304DFA">
        <w:rPr>
          <w:rFonts w:ascii="Times New Roman" w:hAnsi="Times New Roman" w:cs="Times New Roman"/>
          <w:color w:val="000000"/>
        </w:rPr>
        <w:t xml:space="preserve">zadania o fundamentalnym znaczeniu dla funkcjonowania systemu ubezpieczeń społecznych w naszym kraju. Jednym z tych zadań jest dysponowanie środkami finansowymi Funduszu Ubezpieczeń Społecznych (FUS). FUS jest istotnym elementem sektora finansów publicznych. Sytuacja finansowa tego funduszu ma ogromny wpływ na cały system finansów publicznych. FUS jest funduszem deficytowym co oznacza, że bieżące wpływy ze składek na ubezpieczenia społeczne nie pokrywają wszystkich wydatków tego funduszu. Dlatego też ustawodawca przewidział, że gwarantem wypłacalności świadczeń z ubezpieczeń społecznych jest państwo. Wyrazem takich gwarancji państwa jest </w:t>
      </w:r>
      <w:r w:rsidR="00DC6489">
        <w:rPr>
          <w:rFonts w:ascii="Times New Roman" w:hAnsi="Times New Roman" w:cs="Times New Roman"/>
          <w:color w:val="000000"/>
        </w:rPr>
        <w:t>–</w:t>
      </w:r>
      <w:r w:rsidRPr="00304DFA">
        <w:rPr>
          <w:rFonts w:ascii="Times New Roman" w:hAnsi="Times New Roman" w:cs="Times New Roman"/>
          <w:color w:val="000000"/>
        </w:rPr>
        <w:t xml:space="preserve"> przede wszystkim </w:t>
      </w:r>
      <w:r w:rsidR="00DC6489">
        <w:rPr>
          <w:rFonts w:ascii="Times New Roman" w:hAnsi="Times New Roman" w:cs="Times New Roman"/>
          <w:color w:val="000000"/>
        </w:rPr>
        <w:t>–</w:t>
      </w:r>
      <w:r w:rsidRPr="00304DFA">
        <w:rPr>
          <w:rFonts w:ascii="Times New Roman" w:hAnsi="Times New Roman" w:cs="Times New Roman"/>
          <w:color w:val="000000"/>
        </w:rPr>
        <w:t xml:space="preserve"> corocznie planowana w ustawie budżetowej dotacja dla tego funduszu. </w:t>
      </w:r>
      <w:r w:rsidR="00065BBC" w:rsidRPr="00304DFA">
        <w:rPr>
          <w:rFonts w:ascii="Times New Roman" w:hAnsi="Times New Roman" w:cs="Times New Roman"/>
          <w:color w:val="000000"/>
        </w:rPr>
        <w:t xml:space="preserve"> </w:t>
      </w:r>
    </w:p>
    <w:p w:rsidR="00FF4EEA" w:rsidRPr="00304DFA" w:rsidRDefault="00FF4EEA" w:rsidP="00FF4EEA">
      <w:pPr>
        <w:spacing w:after="0" w:line="360" w:lineRule="auto"/>
        <w:jc w:val="both"/>
        <w:rPr>
          <w:rFonts w:ascii="Times New Roman" w:eastAsia="Times New Roman" w:hAnsi="Times New Roman" w:cs="Times New Roman"/>
          <w:lang w:eastAsia="pl-PL"/>
        </w:rPr>
      </w:pPr>
      <w:r w:rsidRPr="00304DFA">
        <w:rPr>
          <w:rFonts w:ascii="Times New Roman" w:eastAsia="Times New Roman" w:hAnsi="Times New Roman" w:cs="Times New Roman"/>
          <w:lang w:eastAsia="pl-PL"/>
        </w:rPr>
        <w:t xml:space="preserve">Celem projektu jest uporządkowanie systemu ubezpieczeń społecznych, jego racjonalizacja, </w:t>
      </w:r>
      <w:r w:rsidRPr="00304DFA">
        <w:rPr>
          <w:rFonts w:ascii="Times New Roman" w:eastAsia="Times New Roman" w:hAnsi="Times New Roman" w:cs="Times New Roman"/>
          <w:lang w:eastAsia="pl-PL"/>
        </w:rPr>
        <w:br/>
      </w:r>
      <w:r w:rsidRPr="00304DFA">
        <w:rPr>
          <w:rFonts w:ascii="Times New Roman" w:eastAsia="Times New Roman" w:hAnsi="Times New Roman" w:cs="Times New Roman"/>
          <w:color w:val="000000"/>
          <w:lang w:eastAsia="pl-PL"/>
        </w:rPr>
        <w:t>wprowadzenie jednolitych rozwiązań w zakresie przyznawania i wypłaty świadczeń</w:t>
      </w:r>
      <w:r w:rsidR="002A0F1F">
        <w:rPr>
          <w:rFonts w:ascii="Times New Roman" w:eastAsia="Times New Roman" w:hAnsi="Times New Roman" w:cs="Times New Roman"/>
          <w:color w:val="000000"/>
          <w:lang w:eastAsia="pl-PL"/>
        </w:rPr>
        <w:t xml:space="preserve"> oraz </w:t>
      </w:r>
      <w:r w:rsidRPr="00304DFA">
        <w:rPr>
          <w:rFonts w:ascii="Times New Roman" w:eastAsia="Times New Roman" w:hAnsi="Times New Roman" w:cs="Times New Roman"/>
          <w:lang w:eastAsia="pl-PL"/>
        </w:rPr>
        <w:t xml:space="preserve">usprawnienie funkcjonowania </w:t>
      </w:r>
      <w:r w:rsidR="002B3FBB">
        <w:rPr>
          <w:rFonts w:ascii="Times New Roman" w:eastAsia="Times New Roman" w:hAnsi="Times New Roman" w:cs="Times New Roman"/>
          <w:lang w:eastAsia="pl-PL"/>
        </w:rPr>
        <w:t>ZUS</w:t>
      </w:r>
      <w:r w:rsidRPr="00304DFA">
        <w:rPr>
          <w:rFonts w:ascii="Times New Roman" w:eastAsia="Times New Roman" w:hAnsi="Times New Roman" w:cs="Times New Roman"/>
          <w:lang w:eastAsia="pl-PL"/>
        </w:rPr>
        <w:t xml:space="preserve"> w kontekście gospodarki finansowej oraz rozliczeń z płatnikami składek. </w:t>
      </w:r>
      <w:r w:rsidR="00304DFA">
        <w:rPr>
          <w:rFonts w:ascii="Times New Roman" w:eastAsia="Times New Roman" w:hAnsi="Times New Roman" w:cs="Times New Roman"/>
          <w:lang w:eastAsia="pl-PL"/>
        </w:rPr>
        <w:br/>
      </w:r>
      <w:r w:rsidRPr="00304DFA">
        <w:rPr>
          <w:rFonts w:ascii="Times New Roman" w:eastAsia="Times New Roman" w:hAnsi="Times New Roman" w:cs="Times New Roman"/>
          <w:lang w:eastAsia="pl-PL"/>
        </w:rPr>
        <w:t xml:space="preserve">Na etapie stosowania obowiązujących przepisów pojawiły się również rozbieżności interpretacyjne, które projekt eliminuje. </w:t>
      </w:r>
    </w:p>
    <w:p w:rsidR="00FF4EEA" w:rsidRPr="00304DFA" w:rsidRDefault="00FF4EEA" w:rsidP="00FF4EEA">
      <w:pPr>
        <w:spacing w:after="0" w:line="360" w:lineRule="auto"/>
        <w:jc w:val="both"/>
        <w:rPr>
          <w:rFonts w:ascii="Times New Roman" w:eastAsia="Times New Roman" w:hAnsi="Times New Roman" w:cs="Times New Roman"/>
          <w:lang w:eastAsia="pl-PL"/>
        </w:rPr>
      </w:pPr>
      <w:r w:rsidRPr="00304DFA">
        <w:rPr>
          <w:rFonts w:ascii="Times New Roman" w:eastAsia="Times New Roman" w:hAnsi="Times New Roman" w:cs="Times New Roman"/>
          <w:lang w:eastAsia="pl-PL"/>
        </w:rPr>
        <w:t xml:space="preserve">Niniejszy projekt przewiduje następujące zmiany w zakresie: </w:t>
      </w:r>
    </w:p>
    <w:p w:rsidR="00FF4EEA" w:rsidRDefault="00FF4EEA" w:rsidP="00AA2B9A">
      <w:pPr>
        <w:pStyle w:val="Akapitzlist"/>
        <w:numPr>
          <w:ilvl w:val="0"/>
          <w:numId w:val="19"/>
        </w:numPr>
        <w:spacing w:after="0" w:line="360" w:lineRule="auto"/>
        <w:jc w:val="both"/>
        <w:rPr>
          <w:rFonts w:ascii="Times New Roman" w:hAnsi="Times New Roman" w:cs="Times New Roman"/>
        </w:rPr>
      </w:pPr>
      <w:r w:rsidRPr="00667F51">
        <w:rPr>
          <w:rFonts w:ascii="Times New Roman" w:hAnsi="Times New Roman" w:cs="Times New Roman"/>
        </w:rPr>
        <w:t>ujednolicenia zasad objęcia ubezpieczeniami społecznymi</w:t>
      </w:r>
      <w:r w:rsidR="00667F51" w:rsidRPr="00667F51">
        <w:rPr>
          <w:rFonts w:ascii="Times New Roman" w:hAnsi="Times New Roman" w:cs="Times New Roman"/>
        </w:rPr>
        <w:t xml:space="preserve"> i </w:t>
      </w:r>
      <w:r w:rsidRPr="00667F51">
        <w:rPr>
          <w:rFonts w:ascii="Times New Roman" w:hAnsi="Times New Roman" w:cs="Times New Roman"/>
        </w:rPr>
        <w:t>ustalania uprawnień do świadczeń z ubezpieczeń społecznych oraz ich wypłaty</w:t>
      </w:r>
      <w:r w:rsidR="00DC6489">
        <w:rPr>
          <w:rFonts w:ascii="Times New Roman" w:hAnsi="Times New Roman" w:cs="Times New Roman"/>
        </w:rPr>
        <w:t>;</w:t>
      </w:r>
      <w:r w:rsidRPr="00667F51">
        <w:rPr>
          <w:rFonts w:ascii="Times New Roman" w:hAnsi="Times New Roman" w:cs="Times New Roman"/>
        </w:rPr>
        <w:t xml:space="preserve"> </w:t>
      </w:r>
    </w:p>
    <w:p w:rsidR="00F05F91" w:rsidRPr="00667F51" w:rsidRDefault="00F05F91" w:rsidP="00AA2B9A">
      <w:pPr>
        <w:pStyle w:val="Akapitzlist"/>
        <w:numPr>
          <w:ilvl w:val="0"/>
          <w:numId w:val="19"/>
        </w:numPr>
        <w:spacing w:after="0" w:line="360" w:lineRule="auto"/>
        <w:jc w:val="both"/>
        <w:rPr>
          <w:rFonts w:ascii="Times New Roman" w:hAnsi="Times New Roman" w:cs="Times New Roman"/>
        </w:rPr>
      </w:pPr>
      <w:r>
        <w:rPr>
          <w:rFonts w:ascii="Times New Roman" w:hAnsi="Times New Roman" w:cs="Times New Roman"/>
        </w:rPr>
        <w:t>ustalania prawa do świadczeń</w:t>
      </w:r>
      <w:r w:rsidR="00DC6489">
        <w:rPr>
          <w:rFonts w:ascii="Times New Roman" w:hAnsi="Times New Roman" w:cs="Times New Roman"/>
        </w:rPr>
        <w:t>;</w:t>
      </w:r>
    </w:p>
    <w:p w:rsidR="00FF4EEA" w:rsidRPr="00304DFA" w:rsidRDefault="00FF4EEA" w:rsidP="00AA2B9A">
      <w:pPr>
        <w:pStyle w:val="Akapitzlist"/>
        <w:numPr>
          <w:ilvl w:val="0"/>
          <w:numId w:val="19"/>
        </w:numPr>
        <w:spacing w:after="0" w:line="360" w:lineRule="auto"/>
        <w:jc w:val="both"/>
        <w:rPr>
          <w:rFonts w:ascii="Times New Roman" w:hAnsi="Times New Roman" w:cs="Times New Roman"/>
        </w:rPr>
      </w:pPr>
      <w:r w:rsidRPr="00304DFA">
        <w:rPr>
          <w:rFonts w:ascii="Times New Roman" w:hAnsi="Times New Roman" w:cs="Times New Roman"/>
        </w:rPr>
        <w:t>usprawnienia obsługi i uporządkowania działań płatników składek w celu stabilizacji stanów kont płatników i ubezpieczonych</w:t>
      </w:r>
      <w:r w:rsidR="00DC6489">
        <w:rPr>
          <w:rFonts w:ascii="Times New Roman" w:hAnsi="Times New Roman" w:cs="Times New Roman"/>
        </w:rPr>
        <w:t>;</w:t>
      </w:r>
    </w:p>
    <w:p w:rsidR="00FF4EEA" w:rsidRPr="00304DFA" w:rsidRDefault="00FF4EEA" w:rsidP="00AA2B9A">
      <w:pPr>
        <w:pStyle w:val="Akapitzlist"/>
        <w:numPr>
          <w:ilvl w:val="0"/>
          <w:numId w:val="19"/>
        </w:numPr>
        <w:spacing w:after="0" w:line="360" w:lineRule="auto"/>
        <w:jc w:val="both"/>
        <w:rPr>
          <w:rFonts w:ascii="Times New Roman" w:hAnsi="Times New Roman" w:cs="Times New Roman"/>
        </w:rPr>
      </w:pPr>
      <w:r w:rsidRPr="00304DFA">
        <w:rPr>
          <w:rFonts w:ascii="Times New Roman" w:hAnsi="Times New Roman" w:cs="Times New Roman"/>
        </w:rPr>
        <w:t>usprawnienia obsługi prowadzenia rozliczeń z płatnikami składek</w:t>
      </w:r>
      <w:r w:rsidR="00DC6489">
        <w:rPr>
          <w:rFonts w:ascii="Times New Roman" w:hAnsi="Times New Roman" w:cs="Times New Roman"/>
        </w:rPr>
        <w:t>;</w:t>
      </w:r>
    </w:p>
    <w:p w:rsidR="0061453B" w:rsidRPr="00304DFA" w:rsidRDefault="0061453B" w:rsidP="00AA2B9A">
      <w:pPr>
        <w:pStyle w:val="Akapitzlist"/>
        <w:numPr>
          <w:ilvl w:val="0"/>
          <w:numId w:val="19"/>
        </w:numPr>
        <w:spacing w:after="0" w:line="360" w:lineRule="auto"/>
        <w:jc w:val="both"/>
        <w:rPr>
          <w:rFonts w:ascii="Times New Roman" w:hAnsi="Times New Roman" w:cs="Times New Roman"/>
        </w:rPr>
      </w:pPr>
      <w:r w:rsidRPr="00304DFA">
        <w:rPr>
          <w:rFonts w:ascii="Times New Roman" w:eastAsia="Times New Roman" w:hAnsi="Times New Roman" w:cs="Times New Roman"/>
          <w:lang w:eastAsia="pl-PL"/>
        </w:rPr>
        <w:t xml:space="preserve">prowadzonej przez </w:t>
      </w:r>
      <w:r w:rsidR="001975FD">
        <w:rPr>
          <w:rFonts w:ascii="Times New Roman" w:eastAsia="Times New Roman" w:hAnsi="Times New Roman" w:cs="Times New Roman"/>
          <w:lang w:eastAsia="pl-PL"/>
        </w:rPr>
        <w:t>ZUS</w:t>
      </w:r>
      <w:r w:rsidRPr="00304DFA">
        <w:rPr>
          <w:rFonts w:ascii="Times New Roman" w:eastAsia="Times New Roman" w:hAnsi="Times New Roman" w:cs="Times New Roman"/>
          <w:lang w:eastAsia="pl-PL"/>
        </w:rPr>
        <w:t xml:space="preserve"> gospodarki finansowej.</w:t>
      </w:r>
    </w:p>
    <w:p w:rsidR="00E82170" w:rsidRPr="00304DFA" w:rsidRDefault="00E82170" w:rsidP="00E82170">
      <w:pPr>
        <w:spacing w:after="0" w:line="360" w:lineRule="auto"/>
        <w:jc w:val="both"/>
        <w:rPr>
          <w:rFonts w:ascii="Times New Roman" w:hAnsi="Times New Roman" w:cs="Times New Roman"/>
        </w:rPr>
      </w:pPr>
    </w:p>
    <w:p w:rsidR="00981177" w:rsidRPr="00304DFA" w:rsidRDefault="00981177" w:rsidP="00074AD3">
      <w:pPr>
        <w:pStyle w:val="Akapitzlist"/>
        <w:numPr>
          <w:ilvl w:val="0"/>
          <w:numId w:val="2"/>
        </w:numPr>
        <w:spacing w:after="120" w:line="360" w:lineRule="auto"/>
        <w:ind w:left="142" w:hanging="142"/>
        <w:rPr>
          <w:rFonts w:ascii="Times New Roman" w:hAnsi="Times New Roman" w:cs="Times New Roman"/>
          <w:b/>
        </w:rPr>
      </w:pPr>
      <w:r w:rsidRPr="00304DFA">
        <w:rPr>
          <w:rFonts w:ascii="Times New Roman" w:hAnsi="Times New Roman" w:cs="Times New Roman"/>
          <w:b/>
        </w:rPr>
        <w:t>PROPOZYCJE ZMIAN PRZEPISÓW USTAW</w:t>
      </w:r>
    </w:p>
    <w:p w:rsidR="00B77844" w:rsidRPr="00304DFA" w:rsidRDefault="00B77844" w:rsidP="004E6893">
      <w:pPr>
        <w:pStyle w:val="Akapitzlist"/>
        <w:numPr>
          <w:ilvl w:val="0"/>
          <w:numId w:val="17"/>
        </w:numPr>
        <w:spacing w:after="0" w:line="360" w:lineRule="auto"/>
        <w:ind w:left="0" w:hanging="284"/>
        <w:jc w:val="both"/>
        <w:rPr>
          <w:rFonts w:ascii="Times New Roman" w:hAnsi="Times New Roman" w:cs="Times New Roman"/>
          <w:b/>
        </w:rPr>
      </w:pPr>
      <w:r w:rsidRPr="00304DFA">
        <w:rPr>
          <w:rFonts w:ascii="Times New Roman" w:hAnsi="Times New Roman" w:cs="Times New Roman"/>
          <w:b/>
        </w:rPr>
        <w:t xml:space="preserve">Ujednolicenie zasad objęcia ubezpieczeniami wspólników jednoosobowych spółek </w:t>
      </w:r>
      <w:r w:rsidR="00304DFA">
        <w:rPr>
          <w:rFonts w:ascii="Times New Roman" w:hAnsi="Times New Roman" w:cs="Times New Roman"/>
          <w:b/>
        </w:rPr>
        <w:t>z</w:t>
      </w:r>
      <w:r w:rsidRPr="00304DFA">
        <w:rPr>
          <w:rFonts w:ascii="Times New Roman" w:hAnsi="Times New Roman" w:cs="Times New Roman"/>
          <w:b/>
        </w:rPr>
        <w:t> ograniczoną odpowiedzialnością oraz wspólników spółki jawnej, partnerskiej lub komandytowej (ustawa z dnia 13 października 1998 r.</w:t>
      </w:r>
      <w:r w:rsidRPr="00304DFA">
        <w:rPr>
          <w:rFonts w:ascii="Times New Roman" w:hAnsi="Times New Roman" w:cs="Times New Roman"/>
        </w:rPr>
        <w:t xml:space="preserve"> </w:t>
      </w:r>
      <w:r w:rsidRPr="00304DFA">
        <w:rPr>
          <w:rFonts w:ascii="Times New Roman" w:hAnsi="Times New Roman" w:cs="Times New Roman"/>
          <w:b/>
        </w:rPr>
        <w:t xml:space="preserve">o systemie ubezpieczeń społecznych </w:t>
      </w:r>
      <w:r w:rsidR="00DC6489">
        <w:rPr>
          <w:rFonts w:ascii="Times New Roman" w:hAnsi="Times New Roman" w:cs="Times New Roman"/>
          <w:color w:val="000000"/>
        </w:rPr>
        <w:t>–</w:t>
      </w:r>
      <w:r w:rsidRPr="00304DFA">
        <w:rPr>
          <w:rFonts w:ascii="Times New Roman" w:hAnsi="Times New Roman" w:cs="Times New Roman"/>
          <w:b/>
        </w:rPr>
        <w:t xml:space="preserve"> art. 13 pkt 4, 4a i 4b). </w:t>
      </w:r>
    </w:p>
    <w:p w:rsidR="00B77844" w:rsidRPr="00304DFA" w:rsidRDefault="00B77844" w:rsidP="00B77844">
      <w:pPr>
        <w:spacing w:after="0" w:line="360" w:lineRule="auto"/>
        <w:jc w:val="both"/>
        <w:rPr>
          <w:rFonts w:ascii="Times New Roman" w:hAnsi="Times New Roman" w:cs="Times New Roman"/>
        </w:rPr>
      </w:pPr>
      <w:r w:rsidRPr="00304DFA">
        <w:rPr>
          <w:rFonts w:ascii="Times New Roman" w:hAnsi="Times New Roman" w:cs="Times New Roman"/>
        </w:rPr>
        <w:t xml:space="preserve">Proponowana zmiana art. 13 jest niezbędna w związku z powstającymi wątpliwościami interpretacyjnymi w stosunku do osób prowadzących działalność będących wspólnikami spółek jawnej, komandytowej lub partnerskiej oraz jednoosobowej spółki z o.o. </w:t>
      </w:r>
    </w:p>
    <w:p w:rsidR="00B77844" w:rsidRPr="00304DFA" w:rsidRDefault="00B77844" w:rsidP="00B77844">
      <w:pPr>
        <w:spacing w:after="0" w:line="360" w:lineRule="auto"/>
        <w:jc w:val="both"/>
        <w:rPr>
          <w:rFonts w:ascii="Times New Roman" w:hAnsi="Times New Roman" w:cs="Times New Roman"/>
        </w:rPr>
      </w:pPr>
      <w:r w:rsidRPr="00304DFA">
        <w:rPr>
          <w:rFonts w:ascii="Times New Roman" w:hAnsi="Times New Roman" w:cs="Times New Roman"/>
        </w:rPr>
        <w:lastRenderedPageBreak/>
        <w:t xml:space="preserve">W myśl art. 8 ust. 6 pkt 4 ustawy o systemie ubezpieczeń społecznych, za osobę prowadzącą pozarolniczą działalność uważa się wspólnika jednoosobowej spółki z ograniczoną odpowiedzialnością oraz wspólników spółki jawnej, komandytowej lub partnerskiej. </w:t>
      </w:r>
    </w:p>
    <w:p w:rsidR="00B77844" w:rsidRPr="00304DFA" w:rsidRDefault="00B77844" w:rsidP="00B77844">
      <w:pPr>
        <w:spacing w:after="0" w:line="360" w:lineRule="auto"/>
        <w:jc w:val="both"/>
        <w:rPr>
          <w:rFonts w:ascii="Times New Roman" w:hAnsi="Times New Roman" w:cs="Times New Roman"/>
        </w:rPr>
      </w:pPr>
      <w:r w:rsidRPr="00304DFA">
        <w:rPr>
          <w:rFonts w:ascii="Times New Roman" w:hAnsi="Times New Roman" w:cs="Times New Roman"/>
        </w:rPr>
        <w:t xml:space="preserve">Zgodnie z art. 13 pkt 4 ustawy o systemie ubezpieczeń społecznych, osoba prowadząca pozarolniczą działalność podlega ubezpieczeniom w okresie od dnia rozpoczęcia wykonywania działalności do dnia zaprzestania wykonywania tej działalności, z wyłączeniem okresu, na który wykonywanie działalności zostało zawieszone na podstawie przepisów ustawy z dnia 6 marca 2018 r. </w:t>
      </w:r>
      <w:r w:rsidR="00DC6489">
        <w:rPr>
          <w:rFonts w:ascii="Times New Roman" w:hAnsi="Times New Roman" w:cs="Times New Roman"/>
        </w:rPr>
        <w:t xml:space="preserve">– </w:t>
      </w:r>
      <w:r w:rsidRPr="00304DFA">
        <w:rPr>
          <w:rFonts w:ascii="Times New Roman" w:hAnsi="Times New Roman" w:cs="Times New Roman"/>
        </w:rPr>
        <w:t>Prawo przedsiębiorców (Dz.</w:t>
      </w:r>
      <w:r w:rsidR="00DC6489">
        <w:rPr>
          <w:rFonts w:ascii="Times New Roman" w:hAnsi="Times New Roman" w:cs="Times New Roman"/>
        </w:rPr>
        <w:t xml:space="preserve"> </w:t>
      </w:r>
      <w:r w:rsidRPr="00304DFA">
        <w:rPr>
          <w:rFonts w:ascii="Times New Roman" w:hAnsi="Times New Roman" w:cs="Times New Roman"/>
        </w:rPr>
        <w:t>U. z 20</w:t>
      </w:r>
      <w:r w:rsidR="00160633">
        <w:rPr>
          <w:rFonts w:ascii="Times New Roman" w:hAnsi="Times New Roman" w:cs="Times New Roman"/>
        </w:rPr>
        <w:t>21</w:t>
      </w:r>
      <w:r w:rsidRPr="00304DFA">
        <w:rPr>
          <w:rFonts w:ascii="Times New Roman" w:hAnsi="Times New Roman" w:cs="Times New Roman"/>
        </w:rPr>
        <w:t xml:space="preserve"> r. poz. </w:t>
      </w:r>
      <w:r w:rsidR="00F77548" w:rsidRPr="00304DFA">
        <w:rPr>
          <w:rFonts w:ascii="Times New Roman" w:hAnsi="Times New Roman" w:cs="Times New Roman"/>
        </w:rPr>
        <w:t>1</w:t>
      </w:r>
      <w:r w:rsidR="00160633">
        <w:rPr>
          <w:rFonts w:ascii="Times New Roman" w:hAnsi="Times New Roman" w:cs="Times New Roman"/>
        </w:rPr>
        <w:t>62</w:t>
      </w:r>
      <w:r w:rsidRPr="00304DFA">
        <w:rPr>
          <w:rFonts w:ascii="Times New Roman" w:hAnsi="Times New Roman" w:cs="Times New Roman"/>
        </w:rPr>
        <w:t xml:space="preserve">). </w:t>
      </w:r>
      <w:r w:rsidR="00B0288D">
        <w:rPr>
          <w:rFonts w:ascii="Times New Roman" w:hAnsi="Times New Roman" w:cs="Times New Roman"/>
        </w:rPr>
        <w:t xml:space="preserve">Biorąc pod uwagę powyższe brzmienie przepisu, </w:t>
      </w:r>
      <w:r w:rsidR="00CC3329">
        <w:rPr>
          <w:rFonts w:ascii="Times New Roman" w:hAnsi="Times New Roman" w:cs="Times New Roman"/>
        </w:rPr>
        <w:t xml:space="preserve">należy zauważyć, że w przypadku osób prowadzących działalność gospodarczą samodzielnie, ustalenie momentu rozpoczęcia działalności nie stwarza problemu, jednakże ustalenie </w:t>
      </w:r>
      <w:r w:rsidR="00B0288D">
        <w:rPr>
          <w:rFonts w:ascii="Times New Roman" w:hAnsi="Times New Roman" w:cs="Times New Roman"/>
        </w:rPr>
        <w:t xml:space="preserve">momentu objęcia ubezpieczeniami </w:t>
      </w:r>
      <w:r w:rsidR="00B0288D" w:rsidRPr="00304DFA">
        <w:rPr>
          <w:rFonts w:ascii="Times New Roman" w:hAnsi="Times New Roman" w:cs="Times New Roman"/>
        </w:rPr>
        <w:t>wspólnika jednoosobowej spółki z ograniczoną odpowiedzialnością oraz wspólników spółki jawnej, komandytowej lub partnerskiej</w:t>
      </w:r>
      <w:r w:rsidR="00CC3329">
        <w:rPr>
          <w:rFonts w:ascii="Times New Roman" w:hAnsi="Times New Roman" w:cs="Times New Roman"/>
        </w:rPr>
        <w:t xml:space="preserve"> stwarza trudności</w:t>
      </w:r>
      <w:r w:rsidR="00B0288D">
        <w:rPr>
          <w:rFonts w:ascii="Times New Roman" w:hAnsi="Times New Roman" w:cs="Times New Roman"/>
        </w:rPr>
        <w:t>. Wątpliwości wynika</w:t>
      </w:r>
      <w:r w:rsidR="00EB593F">
        <w:rPr>
          <w:rFonts w:ascii="Times New Roman" w:hAnsi="Times New Roman" w:cs="Times New Roman"/>
        </w:rPr>
        <w:t>ją</w:t>
      </w:r>
      <w:r w:rsidR="00B0288D">
        <w:rPr>
          <w:rFonts w:ascii="Times New Roman" w:hAnsi="Times New Roman" w:cs="Times New Roman"/>
        </w:rPr>
        <w:t xml:space="preserve"> </w:t>
      </w:r>
      <w:r w:rsidR="00CC3329">
        <w:rPr>
          <w:rFonts w:ascii="Times New Roman" w:hAnsi="Times New Roman" w:cs="Times New Roman"/>
        </w:rPr>
        <w:t>z rozbieżności dat pomiędzy byci</w:t>
      </w:r>
      <w:r w:rsidR="00BB0B2E">
        <w:rPr>
          <w:rFonts w:ascii="Times New Roman" w:hAnsi="Times New Roman" w:cs="Times New Roman"/>
        </w:rPr>
        <w:t>em</w:t>
      </w:r>
      <w:r w:rsidR="00CC3329">
        <w:rPr>
          <w:rFonts w:ascii="Times New Roman" w:hAnsi="Times New Roman" w:cs="Times New Roman"/>
        </w:rPr>
        <w:t xml:space="preserve"> wspólnikiem a rozpoczęciem działaln</w:t>
      </w:r>
      <w:bookmarkStart w:id="0" w:name="_GoBack"/>
      <w:bookmarkEnd w:id="0"/>
      <w:r w:rsidR="00CC3329">
        <w:rPr>
          <w:rFonts w:ascii="Times New Roman" w:hAnsi="Times New Roman" w:cs="Times New Roman"/>
        </w:rPr>
        <w:t>ości</w:t>
      </w:r>
      <w:r w:rsidR="00202AE8">
        <w:rPr>
          <w:rFonts w:ascii="Times New Roman" w:hAnsi="Times New Roman" w:cs="Times New Roman"/>
        </w:rPr>
        <w:t xml:space="preserve"> gospodarczej. </w:t>
      </w:r>
      <w:r w:rsidR="00B131EA">
        <w:rPr>
          <w:rFonts w:ascii="Times New Roman" w:hAnsi="Times New Roman" w:cs="Times New Roman"/>
        </w:rPr>
        <w:t>Konsekwencją tego jest próba unikania przez niektórych wspólników opłacania składek na ubezpieczenia społeczne.</w:t>
      </w:r>
    </w:p>
    <w:p w:rsidR="00B77844" w:rsidRPr="00304DFA" w:rsidRDefault="00CC3329" w:rsidP="00B77844">
      <w:pPr>
        <w:spacing w:after="0" w:line="360" w:lineRule="auto"/>
        <w:jc w:val="both"/>
        <w:rPr>
          <w:rFonts w:ascii="Times New Roman" w:hAnsi="Times New Roman" w:cs="Times New Roman"/>
        </w:rPr>
      </w:pPr>
      <w:r>
        <w:rPr>
          <w:rFonts w:ascii="Times New Roman" w:hAnsi="Times New Roman" w:cs="Times New Roman"/>
        </w:rPr>
        <w:t>Dlatego też w</w:t>
      </w:r>
      <w:r w:rsidR="00B77844" w:rsidRPr="00304DFA">
        <w:rPr>
          <w:rFonts w:ascii="Times New Roman" w:hAnsi="Times New Roman" w:cs="Times New Roman"/>
        </w:rPr>
        <w:t xml:space="preserve"> projekcie proponuje się objęcie ubezpieczeniami </w:t>
      </w:r>
      <w:r w:rsidR="00B0288D" w:rsidRPr="00B0288D">
        <w:rPr>
          <w:rFonts w:ascii="Times New Roman" w:hAnsi="Times New Roman" w:cs="Times New Roman"/>
        </w:rPr>
        <w:t>wspólników jednoosobowych spółek z ograniczoną odpowiedzialnością oraz wspólników spółki jawnej, partnerskiej lub komandytowej</w:t>
      </w:r>
      <w:r w:rsidR="00B77844" w:rsidRPr="00304DFA">
        <w:rPr>
          <w:rFonts w:ascii="Times New Roman" w:hAnsi="Times New Roman" w:cs="Times New Roman"/>
        </w:rPr>
        <w:t>, niezależnie od istnienia okoliczności leżących po stronie spółki</w:t>
      </w:r>
      <w:r w:rsidR="00160633">
        <w:rPr>
          <w:rFonts w:ascii="Times New Roman" w:hAnsi="Times New Roman" w:cs="Times New Roman"/>
        </w:rPr>
        <w:t>,</w:t>
      </w:r>
      <w:r w:rsidR="00B77844" w:rsidRPr="00304DFA">
        <w:rPr>
          <w:rFonts w:ascii="Times New Roman" w:hAnsi="Times New Roman" w:cs="Times New Roman"/>
        </w:rPr>
        <w:t xml:space="preserve"> np. nieistotne jest czy spółka prowadzi działalność, uzyskuje przychody, zatrudnia pracowników itd. </w:t>
      </w:r>
      <w:r w:rsidR="001E6FB4">
        <w:rPr>
          <w:rFonts w:ascii="Times New Roman" w:hAnsi="Times New Roman" w:cs="Times New Roman"/>
        </w:rPr>
        <w:t>P</w:t>
      </w:r>
      <w:r w:rsidR="00B77844" w:rsidRPr="00304DFA">
        <w:rPr>
          <w:rFonts w:ascii="Times New Roman" w:hAnsi="Times New Roman" w:cs="Times New Roman"/>
        </w:rPr>
        <w:t>roponuje się uzależnienie obowiązku ubezpieczeń od statusu wspólnika</w:t>
      </w:r>
      <w:r w:rsidR="00D749BE">
        <w:rPr>
          <w:rFonts w:ascii="Times New Roman" w:hAnsi="Times New Roman" w:cs="Times New Roman"/>
        </w:rPr>
        <w:t>, co pozwoli zniwelować ewentualne próby obejścia obowiązku ubezpieczeń społecznych</w:t>
      </w:r>
      <w:r>
        <w:rPr>
          <w:rFonts w:ascii="Times New Roman" w:hAnsi="Times New Roman" w:cs="Times New Roman"/>
        </w:rPr>
        <w:t xml:space="preserve"> i stosować </w:t>
      </w:r>
      <w:r w:rsidR="00202AE8">
        <w:rPr>
          <w:rFonts w:ascii="Times New Roman" w:hAnsi="Times New Roman" w:cs="Times New Roman"/>
        </w:rPr>
        <w:t>jednakowe</w:t>
      </w:r>
      <w:r>
        <w:rPr>
          <w:rFonts w:ascii="Times New Roman" w:hAnsi="Times New Roman" w:cs="Times New Roman"/>
        </w:rPr>
        <w:t xml:space="preserve"> regulacje w stosunku do wszystkich </w:t>
      </w:r>
      <w:r w:rsidR="00202AE8">
        <w:rPr>
          <w:rFonts w:ascii="Times New Roman" w:hAnsi="Times New Roman" w:cs="Times New Roman"/>
        </w:rPr>
        <w:t xml:space="preserve">ww. </w:t>
      </w:r>
      <w:r>
        <w:rPr>
          <w:rFonts w:ascii="Times New Roman" w:hAnsi="Times New Roman" w:cs="Times New Roman"/>
        </w:rPr>
        <w:t>wspólników</w:t>
      </w:r>
      <w:r w:rsidR="00202AE8">
        <w:rPr>
          <w:rFonts w:ascii="Times New Roman" w:hAnsi="Times New Roman" w:cs="Times New Roman"/>
        </w:rPr>
        <w:t xml:space="preserve">. </w:t>
      </w:r>
      <w:r w:rsidR="00B15201">
        <w:rPr>
          <w:rFonts w:ascii="Times New Roman" w:hAnsi="Times New Roman" w:cs="Times New Roman"/>
        </w:rPr>
        <w:t xml:space="preserve">Obowiązek ubezpieczeń społecznych </w:t>
      </w:r>
      <w:r w:rsidR="00D42EDB">
        <w:rPr>
          <w:rFonts w:ascii="Times New Roman" w:hAnsi="Times New Roman" w:cs="Times New Roman"/>
        </w:rPr>
        <w:t xml:space="preserve">w przypadku </w:t>
      </w:r>
      <w:r w:rsidR="00A96C43">
        <w:rPr>
          <w:rFonts w:ascii="Times New Roman" w:hAnsi="Times New Roman" w:cs="Times New Roman"/>
        </w:rPr>
        <w:t>ws</w:t>
      </w:r>
      <w:r w:rsidR="00D42EDB">
        <w:rPr>
          <w:rFonts w:ascii="Times New Roman" w:hAnsi="Times New Roman" w:cs="Times New Roman"/>
        </w:rPr>
        <w:t xml:space="preserve">pólników jednoosobowych spółek z ograniczoną odpowiedzialnością </w:t>
      </w:r>
      <w:r w:rsidR="00B15201">
        <w:rPr>
          <w:rFonts w:ascii="Times New Roman" w:hAnsi="Times New Roman" w:cs="Times New Roman"/>
        </w:rPr>
        <w:t xml:space="preserve">powstanie od dnia wpisania spółki do Krajowego Rejestru Sadowego albo od dnia nabycia udziałów w spółce, natomiast </w:t>
      </w:r>
      <w:r w:rsidR="00D42EDB">
        <w:rPr>
          <w:rFonts w:ascii="Times New Roman" w:hAnsi="Times New Roman" w:cs="Times New Roman"/>
        </w:rPr>
        <w:t>ustanie</w:t>
      </w:r>
      <w:r w:rsidR="00B15201">
        <w:rPr>
          <w:rFonts w:ascii="Times New Roman" w:hAnsi="Times New Roman" w:cs="Times New Roman"/>
        </w:rPr>
        <w:t xml:space="preserve"> </w:t>
      </w:r>
      <w:r w:rsidR="00D42EDB">
        <w:rPr>
          <w:rFonts w:ascii="Times New Roman" w:hAnsi="Times New Roman" w:cs="Times New Roman"/>
        </w:rPr>
        <w:t>z dniem wykreślenia spółki z Krajowego Rejestru Sądowego</w:t>
      </w:r>
      <w:r w:rsidR="005623BD">
        <w:rPr>
          <w:rFonts w:ascii="Times New Roman" w:hAnsi="Times New Roman" w:cs="Times New Roman"/>
        </w:rPr>
        <w:t xml:space="preserve"> albo zbycia wszystkich udziałów w spółce</w:t>
      </w:r>
      <w:r w:rsidR="006D7B47">
        <w:rPr>
          <w:rFonts w:ascii="Times New Roman" w:hAnsi="Times New Roman" w:cs="Times New Roman"/>
        </w:rPr>
        <w:t>, z wyłączeniem okresu zawieszenia działalności spółki</w:t>
      </w:r>
      <w:r w:rsidR="00D42EDB">
        <w:rPr>
          <w:rFonts w:ascii="Times New Roman" w:hAnsi="Times New Roman" w:cs="Times New Roman"/>
        </w:rPr>
        <w:t xml:space="preserve"> Natomiast w przypadku wspólników spółki jawnej, partnerskiej lub komandytowej – obowiązek ubezpieczeń społecznych będzie istnieć od dnia wpisania spółki do Krajowego Rejestru Sądowego albo od </w:t>
      </w:r>
      <w:r w:rsidR="00932922">
        <w:rPr>
          <w:rFonts w:ascii="Times New Roman" w:hAnsi="Times New Roman" w:cs="Times New Roman"/>
        </w:rPr>
        <w:t>dnia</w:t>
      </w:r>
      <w:r w:rsidR="00D42EDB">
        <w:rPr>
          <w:rFonts w:ascii="Times New Roman" w:hAnsi="Times New Roman" w:cs="Times New Roman"/>
        </w:rPr>
        <w:t xml:space="preserve"> nabycia ogółu praw i obowiązków w spółce do dnia wykreślenia spółki z Krajowego Rejestru Sądowego albo zbycia ogółu praw i obowiązków w spółce</w:t>
      </w:r>
      <w:r w:rsidR="006D7B47">
        <w:rPr>
          <w:rFonts w:ascii="Times New Roman" w:hAnsi="Times New Roman" w:cs="Times New Roman"/>
        </w:rPr>
        <w:t>, z wyłączeniem okresu zawieszenia działalności spółki.</w:t>
      </w:r>
    </w:p>
    <w:p w:rsidR="00B77844" w:rsidRPr="00304DFA" w:rsidRDefault="00E82170" w:rsidP="00B77844">
      <w:pPr>
        <w:spacing w:line="360" w:lineRule="auto"/>
        <w:jc w:val="both"/>
        <w:rPr>
          <w:rFonts w:ascii="Times New Roman" w:eastAsia="Calibri" w:hAnsi="Times New Roman" w:cs="Times New Roman"/>
        </w:rPr>
      </w:pPr>
      <w:r w:rsidRPr="00304DFA">
        <w:rPr>
          <w:rFonts w:ascii="Times New Roman" w:hAnsi="Times New Roman" w:cs="Times New Roman"/>
        </w:rPr>
        <w:t>Powyższa propozycja jest zgodna z l</w:t>
      </w:r>
      <w:r w:rsidR="00B77844" w:rsidRPr="00304DFA">
        <w:rPr>
          <w:rFonts w:ascii="Times New Roman" w:hAnsi="Times New Roman" w:cs="Times New Roman"/>
        </w:rPr>
        <w:t>ini</w:t>
      </w:r>
      <w:r w:rsidRPr="00304DFA">
        <w:rPr>
          <w:rFonts w:ascii="Times New Roman" w:hAnsi="Times New Roman" w:cs="Times New Roman"/>
        </w:rPr>
        <w:t>ą</w:t>
      </w:r>
      <w:r w:rsidR="00B77844" w:rsidRPr="00304DFA">
        <w:rPr>
          <w:rFonts w:ascii="Times New Roman" w:hAnsi="Times New Roman" w:cs="Times New Roman"/>
        </w:rPr>
        <w:t xml:space="preserve"> orzecznicz</w:t>
      </w:r>
      <w:r w:rsidRPr="00304DFA">
        <w:rPr>
          <w:rFonts w:ascii="Times New Roman" w:hAnsi="Times New Roman" w:cs="Times New Roman"/>
        </w:rPr>
        <w:t>ą</w:t>
      </w:r>
      <w:r w:rsidR="00B77844" w:rsidRPr="00304DFA">
        <w:rPr>
          <w:rFonts w:ascii="Times New Roman" w:hAnsi="Times New Roman" w:cs="Times New Roman"/>
        </w:rPr>
        <w:t xml:space="preserve"> Sądu Najwyższego </w:t>
      </w:r>
      <w:r w:rsidRPr="00304DFA">
        <w:rPr>
          <w:rFonts w:ascii="Times New Roman" w:hAnsi="Times New Roman" w:cs="Times New Roman"/>
        </w:rPr>
        <w:t>oraz z wyrokiem</w:t>
      </w:r>
      <w:r w:rsidR="00B77844" w:rsidRPr="00304DFA">
        <w:rPr>
          <w:rFonts w:ascii="Times New Roman" w:hAnsi="Times New Roman" w:cs="Times New Roman"/>
        </w:rPr>
        <w:t xml:space="preserve"> </w:t>
      </w:r>
      <w:r w:rsidR="00B77844" w:rsidRPr="00304DFA">
        <w:rPr>
          <w:rFonts w:ascii="Times New Roman" w:eastAsia="Calibri" w:hAnsi="Times New Roman" w:cs="Times New Roman"/>
        </w:rPr>
        <w:t>Trybunał</w:t>
      </w:r>
      <w:r w:rsidRPr="00304DFA">
        <w:rPr>
          <w:rFonts w:ascii="Times New Roman" w:eastAsia="Calibri" w:hAnsi="Times New Roman" w:cs="Times New Roman"/>
        </w:rPr>
        <w:t>u</w:t>
      </w:r>
      <w:r w:rsidR="00B77844" w:rsidRPr="00304DFA">
        <w:rPr>
          <w:rFonts w:ascii="Times New Roman" w:eastAsia="Calibri" w:hAnsi="Times New Roman" w:cs="Times New Roman"/>
        </w:rPr>
        <w:t xml:space="preserve"> Konstytucyjn</w:t>
      </w:r>
      <w:r w:rsidRPr="00304DFA">
        <w:rPr>
          <w:rFonts w:ascii="Times New Roman" w:eastAsia="Calibri" w:hAnsi="Times New Roman" w:cs="Times New Roman"/>
        </w:rPr>
        <w:t>ego (</w:t>
      </w:r>
      <w:r w:rsidR="00B77844" w:rsidRPr="00304DFA">
        <w:rPr>
          <w:rFonts w:ascii="Times New Roman" w:eastAsia="Calibri" w:hAnsi="Times New Roman" w:cs="Times New Roman"/>
        </w:rPr>
        <w:t>wyrok z dnia 25 września 2014 r., sygn. akt SK 4/12</w:t>
      </w:r>
      <w:r w:rsidRPr="00304DFA">
        <w:rPr>
          <w:rFonts w:ascii="Times New Roman" w:eastAsia="Calibri" w:hAnsi="Times New Roman" w:cs="Times New Roman"/>
        </w:rPr>
        <w:t>).</w:t>
      </w:r>
      <w:r w:rsidR="00B77844" w:rsidRPr="00304DFA">
        <w:rPr>
          <w:rFonts w:ascii="Times New Roman" w:eastAsia="Calibri" w:hAnsi="Times New Roman" w:cs="Times New Roman"/>
        </w:rPr>
        <w:t xml:space="preserve"> </w:t>
      </w:r>
    </w:p>
    <w:p w:rsidR="00B77844" w:rsidRPr="00304DFA" w:rsidRDefault="00B77844" w:rsidP="004E6893">
      <w:pPr>
        <w:pStyle w:val="Akapitzlist"/>
        <w:numPr>
          <w:ilvl w:val="0"/>
          <w:numId w:val="17"/>
        </w:numPr>
        <w:spacing w:after="120" w:line="360" w:lineRule="auto"/>
        <w:ind w:left="0" w:hanging="284"/>
        <w:jc w:val="both"/>
        <w:rPr>
          <w:rFonts w:ascii="Times New Roman" w:hAnsi="Times New Roman" w:cs="Times New Roman"/>
          <w:b/>
        </w:rPr>
      </w:pPr>
      <w:r w:rsidRPr="00304DFA">
        <w:rPr>
          <w:rFonts w:ascii="Times New Roman" w:hAnsi="Times New Roman" w:cs="Times New Roman"/>
          <w:b/>
          <w:color w:val="000000"/>
        </w:rPr>
        <w:t xml:space="preserve">Uproszczenie zasad podlegania dobrowolnym ubezpieczeniom, </w:t>
      </w:r>
      <w:r w:rsidRPr="00304DFA">
        <w:rPr>
          <w:rFonts w:ascii="Times New Roman" w:hAnsi="Times New Roman" w:cs="Times New Roman"/>
          <w:b/>
        </w:rPr>
        <w:t>zgłaszanie do</w:t>
      </w:r>
      <w:r w:rsidR="004E6893">
        <w:rPr>
          <w:rFonts w:ascii="Times New Roman" w:hAnsi="Times New Roman" w:cs="Times New Roman"/>
          <w:b/>
        </w:rPr>
        <w:t xml:space="preserve"> </w:t>
      </w:r>
      <w:r w:rsidRPr="00304DFA">
        <w:rPr>
          <w:rFonts w:ascii="Times New Roman" w:hAnsi="Times New Roman" w:cs="Times New Roman"/>
          <w:b/>
        </w:rPr>
        <w:t>dobrowolnego ubezpieczenia po przerwie w prowadzeniu działalności, uchylenie przyczyny (opłacenie składki po terminie) przerwania „biegu” dobrowolnego ubezpieczenia (ustawy: z dnia 13 października 1998 r.</w:t>
      </w:r>
      <w:r w:rsidRPr="00304DFA">
        <w:rPr>
          <w:rFonts w:ascii="Times New Roman" w:hAnsi="Times New Roman" w:cs="Times New Roman"/>
        </w:rPr>
        <w:t xml:space="preserve"> </w:t>
      </w:r>
      <w:r w:rsidRPr="00304DFA">
        <w:rPr>
          <w:rFonts w:ascii="Times New Roman" w:hAnsi="Times New Roman" w:cs="Times New Roman"/>
          <w:b/>
        </w:rPr>
        <w:t xml:space="preserve">o systemie ubezpieczeń społecznych </w:t>
      </w:r>
      <w:r w:rsidR="001E6FB4" w:rsidRPr="00304DFA">
        <w:rPr>
          <w:rFonts w:ascii="Times New Roman" w:hAnsi="Times New Roman" w:cs="Times New Roman"/>
          <w:b/>
        </w:rPr>
        <w:t>–</w:t>
      </w:r>
      <w:r w:rsidRPr="00304DFA">
        <w:rPr>
          <w:rFonts w:ascii="Times New Roman" w:hAnsi="Times New Roman" w:cs="Times New Roman"/>
          <w:b/>
        </w:rPr>
        <w:t xml:space="preserve"> </w:t>
      </w:r>
      <w:r w:rsidR="00947E5E">
        <w:rPr>
          <w:rFonts w:ascii="Times New Roman" w:hAnsi="Times New Roman" w:cs="Times New Roman"/>
          <w:b/>
        </w:rPr>
        <w:t xml:space="preserve">art. 11 ust. 2, </w:t>
      </w:r>
      <w:r w:rsidRPr="00304DFA">
        <w:rPr>
          <w:rFonts w:ascii="Times New Roman" w:hAnsi="Times New Roman" w:cs="Times New Roman"/>
          <w:b/>
        </w:rPr>
        <w:t>art. 14 ust. 1</w:t>
      </w:r>
      <w:r w:rsidR="001E6FB4" w:rsidRPr="00304DFA">
        <w:rPr>
          <w:rFonts w:ascii="Times New Roman" w:hAnsi="Times New Roman" w:cs="Times New Roman"/>
          <w:b/>
        </w:rPr>
        <w:t>–</w:t>
      </w:r>
      <w:r w:rsidRPr="00304DFA">
        <w:rPr>
          <w:rFonts w:ascii="Times New Roman" w:hAnsi="Times New Roman" w:cs="Times New Roman"/>
          <w:b/>
        </w:rPr>
        <w:t>1b, ust. 2</w:t>
      </w:r>
      <w:r w:rsidR="001E6FB4" w:rsidRPr="00304DFA">
        <w:rPr>
          <w:rFonts w:ascii="Times New Roman" w:hAnsi="Times New Roman" w:cs="Times New Roman"/>
          <w:b/>
        </w:rPr>
        <w:t>–</w:t>
      </w:r>
      <w:r w:rsidRPr="00304DFA">
        <w:rPr>
          <w:rFonts w:ascii="Times New Roman" w:hAnsi="Times New Roman" w:cs="Times New Roman"/>
          <w:b/>
        </w:rPr>
        <w:t xml:space="preserve">2a, art. 36a </w:t>
      </w:r>
      <w:r w:rsidRPr="00304DFA">
        <w:rPr>
          <w:rFonts w:ascii="Times New Roman" w:hAnsi="Times New Roman" w:cs="Times New Roman"/>
          <w:b/>
        </w:rPr>
        <w:lastRenderedPageBreak/>
        <w:t xml:space="preserve">ust. 4, z dnia 25 czerwca 1999 r. o świadczeniach pieniężnych w razie choroby i macierzyństwa </w:t>
      </w:r>
      <w:r w:rsidR="00021610" w:rsidRPr="00021610">
        <w:rPr>
          <w:rFonts w:ascii="Times New Roman" w:hAnsi="Times New Roman" w:cs="Times New Roman"/>
          <w:b/>
        </w:rPr>
        <w:t>(Dz. U.</w:t>
      </w:r>
      <w:r w:rsidR="008D28B5">
        <w:rPr>
          <w:rFonts w:ascii="Times New Roman" w:hAnsi="Times New Roman" w:cs="Times New Roman"/>
          <w:b/>
        </w:rPr>
        <w:t xml:space="preserve"> z 2020 r. poz. 870, z późn. zm.</w:t>
      </w:r>
      <w:r w:rsidR="00021610" w:rsidRPr="00021610">
        <w:rPr>
          <w:rFonts w:ascii="Times New Roman" w:hAnsi="Times New Roman" w:cs="Times New Roman"/>
          <w:b/>
        </w:rPr>
        <w:t xml:space="preserve">) </w:t>
      </w:r>
      <w:r w:rsidRPr="00304DFA">
        <w:rPr>
          <w:rFonts w:ascii="Times New Roman" w:hAnsi="Times New Roman" w:cs="Times New Roman"/>
          <w:b/>
        </w:rPr>
        <w:t xml:space="preserve">– art. </w:t>
      </w:r>
      <w:r w:rsidR="007E013C">
        <w:rPr>
          <w:rFonts w:ascii="Times New Roman" w:hAnsi="Times New Roman" w:cs="Times New Roman"/>
          <w:b/>
        </w:rPr>
        <w:t>2</w:t>
      </w:r>
      <w:r w:rsidRPr="00304DFA">
        <w:rPr>
          <w:rFonts w:ascii="Times New Roman" w:hAnsi="Times New Roman" w:cs="Times New Roman"/>
          <w:b/>
        </w:rPr>
        <w:t>a, art. 64 ust. 3).</w:t>
      </w:r>
    </w:p>
    <w:p w:rsidR="00B77844" w:rsidRPr="00304DFA" w:rsidRDefault="00B77844" w:rsidP="004A0EB5">
      <w:pPr>
        <w:widowControl w:val="0"/>
        <w:tabs>
          <w:tab w:val="left" w:pos="408"/>
        </w:tabs>
        <w:autoSpaceDE w:val="0"/>
        <w:autoSpaceDN w:val="0"/>
        <w:adjustRightInd w:val="0"/>
        <w:spacing w:after="0" w:line="360" w:lineRule="auto"/>
        <w:jc w:val="both"/>
        <w:rPr>
          <w:rFonts w:ascii="Times New Roman" w:hAnsi="Times New Roman" w:cs="Times New Roman"/>
          <w:color w:val="000000"/>
        </w:rPr>
      </w:pPr>
      <w:r w:rsidRPr="00304DFA">
        <w:rPr>
          <w:rFonts w:ascii="Times New Roman" w:hAnsi="Times New Roman" w:cs="Times New Roman"/>
          <w:bCs/>
        </w:rPr>
        <w:t xml:space="preserve">Projektowana regulacja w zakresie przepisów ustawy o systemie ubezpieczeń społecznych zmierza do rezygnacji z instytucji ustawania z mocy ustawy dobrowolnych ubezpieczeń społecznych: </w:t>
      </w:r>
      <w:r w:rsidR="002B3FBB">
        <w:rPr>
          <w:rFonts w:ascii="Times New Roman" w:hAnsi="Times New Roman" w:cs="Times New Roman"/>
          <w:bCs/>
        </w:rPr>
        <w:t>e</w:t>
      </w:r>
      <w:r w:rsidRPr="00304DFA">
        <w:rPr>
          <w:rFonts w:ascii="Times New Roman" w:hAnsi="Times New Roman" w:cs="Times New Roman"/>
          <w:bCs/>
        </w:rPr>
        <w:t>merytalnego, rentowych i chorobowego na skutek nieopłacenia składek w terminie. Dotyczy to w aktualnym stanie prawnym m.in. osób prowadzących pozarolniczą działalność i osób z nimi współpracujących, duchownych i osób wymienionych w art. 7 ustawy o systemie ubezpieczeń społecznych (podlegających dobrowolnie ubezpieczeniom emerytalnemu i rentowym pod warunkiem nieposiadania innego tytułu do tych ubezpieczeń). Projektowane regulacje zakładają, że podleganie ubezpieczeniom dobrowolnym następować będzie od dnia wskazanego na formularzu zgłoszenia do dnia wskazanego na formularzu wyrejestrowania, przy czym objęcie lub ustanie ubezpieczenia dobrowolnego będzie mogło nastąpić nie wcześniej niż odpowiednio zgłoszenie/wyrejestrowanie zostanie złożone</w:t>
      </w:r>
      <w:r w:rsidR="00304DFA">
        <w:rPr>
          <w:rFonts w:ascii="Times New Roman" w:hAnsi="Times New Roman" w:cs="Times New Roman"/>
          <w:bCs/>
        </w:rPr>
        <w:t xml:space="preserve"> </w:t>
      </w:r>
      <w:r w:rsidRPr="00304DFA">
        <w:rPr>
          <w:rFonts w:ascii="Times New Roman" w:hAnsi="Times New Roman" w:cs="Times New Roman"/>
          <w:bCs/>
        </w:rPr>
        <w:t xml:space="preserve">w </w:t>
      </w:r>
      <w:r w:rsidR="001975FD">
        <w:rPr>
          <w:rFonts w:ascii="Times New Roman" w:hAnsi="Times New Roman" w:cs="Times New Roman"/>
          <w:bCs/>
        </w:rPr>
        <w:t>ZUS</w:t>
      </w:r>
      <w:r w:rsidRPr="00304DFA">
        <w:rPr>
          <w:rFonts w:ascii="Times New Roman" w:hAnsi="Times New Roman" w:cs="Times New Roman"/>
          <w:bCs/>
        </w:rPr>
        <w:t>.</w:t>
      </w:r>
      <w:r w:rsidR="004A0EB5" w:rsidRPr="00304DFA">
        <w:rPr>
          <w:rFonts w:ascii="Times New Roman" w:hAnsi="Times New Roman" w:cs="Times New Roman"/>
          <w:bCs/>
        </w:rPr>
        <w:t xml:space="preserve"> </w:t>
      </w:r>
      <w:r w:rsidRPr="00304DFA">
        <w:rPr>
          <w:rFonts w:ascii="Times New Roman" w:hAnsi="Times New Roman" w:cs="Times New Roman"/>
          <w:color w:val="000000"/>
        </w:rPr>
        <w:t>W okresie od dnia przystąpienia do dobrowolnego ubezpieczenia chorobowego do dnia złożenia wniosku o wyrejestrowanie z tych ubezpieczeń składki na to ubezpieczenie będą należne i dochodzone przymusowo.</w:t>
      </w:r>
    </w:p>
    <w:p w:rsidR="00B77844" w:rsidRPr="00304DFA" w:rsidRDefault="00B77844" w:rsidP="00B77844">
      <w:pPr>
        <w:tabs>
          <w:tab w:val="left" w:pos="408"/>
        </w:tabs>
        <w:autoSpaceDE w:val="0"/>
        <w:autoSpaceDN w:val="0"/>
        <w:adjustRightInd w:val="0"/>
        <w:spacing w:after="0" w:line="360" w:lineRule="auto"/>
        <w:jc w:val="both"/>
        <w:rPr>
          <w:rFonts w:ascii="Times New Roman" w:hAnsi="Times New Roman" w:cs="Times New Roman"/>
          <w:color w:val="000000"/>
        </w:rPr>
      </w:pPr>
      <w:r w:rsidRPr="00304DFA">
        <w:rPr>
          <w:rFonts w:ascii="Times New Roman" w:hAnsi="Times New Roman" w:cs="Times New Roman"/>
          <w:color w:val="000000"/>
        </w:rPr>
        <w:t xml:space="preserve">Regulacja ta odchodzi od dorozumianego przystąpienia do ubezpieczenia dokonywanego przez opłacenie składki. Jednocześnie wiąże się z podleganiem temu ubezpieczeniu nawet w przypadku opłacenia składki po terminie lub nieopłacenia jej wcale. Tak przyjęta konstrukcja ubezpieczeń w konsekwencji doprowadzi do możliwości ubiegania się o świadczenia z ubezpieczenia chorobowego </w:t>
      </w:r>
      <w:r w:rsidR="00E82170" w:rsidRPr="00304DFA">
        <w:rPr>
          <w:rFonts w:ascii="Times New Roman" w:hAnsi="Times New Roman" w:cs="Times New Roman"/>
          <w:color w:val="000000"/>
        </w:rPr>
        <w:t>również</w:t>
      </w:r>
      <w:r w:rsidRPr="00304DFA">
        <w:rPr>
          <w:rFonts w:ascii="Times New Roman" w:hAnsi="Times New Roman" w:cs="Times New Roman"/>
          <w:color w:val="000000"/>
        </w:rPr>
        <w:t xml:space="preserve"> w przypadku opłacenia składek po terminie. </w:t>
      </w:r>
    </w:p>
    <w:p w:rsidR="00B77844" w:rsidRPr="00304DFA" w:rsidRDefault="00B77844" w:rsidP="00B77844">
      <w:pPr>
        <w:tabs>
          <w:tab w:val="left" w:pos="408"/>
        </w:tabs>
        <w:autoSpaceDE w:val="0"/>
        <w:autoSpaceDN w:val="0"/>
        <w:adjustRightInd w:val="0"/>
        <w:spacing w:after="0" w:line="360" w:lineRule="auto"/>
        <w:jc w:val="both"/>
        <w:rPr>
          <w:rFonts w:ascii="Times New Roman" w:hAnsi="Times New Roman" w:cs="Times New Roman"/>
          <w:color w:val="000000"/>
        </w:rPr>
      </w:pPr>
      <w:r w:rsidRPr="00304DFA">
        <w:rPr>
          <w:rFonts w:ascii="Times New Roman" w:hAnsi="Times New Roman" w:cs="Times New Roman"/>
          <w:color w:val="000000"/>
        </w:rPr>
        <w:t>Dodatkowo w przypadku osób, których niezdolność do pracy zaistnieje w okresie</w:t>
      </w:r>
      <w:r w:rsidR="00E130DB">
        <w:rPr>
          <w:rFonts w:ascii="Times New Roman" w:hAnsi="Times New Roman" w:cs="Times New Roman"/>
          <w:color w:val="000000"/>
        </w:rPr>
        <w:t>,</w:t>
      </w:r>
      <w:r w:rsidRPr="00304DFA">
        <w:rPr>
          <w:rFonts w:ascii="Times New Roman" w:hAnsi="Times New Roman" w:cs="Times New Roman"/>
          <w:color w:val="000000"/>
        </w:rPr>
        <w:t xml:space="preserve"> w którym będą miały one zaległości z tytułu składek, nowo wprowadzane regulacje umożliwią tym osobom ubieganie się o świadczenia po spłacie zadłużenia na zasadach analogicznych jak</w:t>
      </w:r>
      <w:r w:rsidR="00304DFA">
        <w:rPr>
          <w:rFonts w:ascii="Times New Roman" w:hAnsi="Times New Roman" w:cs="Times New Roman"/>
          <w:color w:val="000000"/>
        </w:rPr>
        <w:t xml:space="preserve"> </w:t>
      </w:r>
      <w:r w:rsidRPr="00304DFA">
        <w:rPr>
          <w:rFonts w:ascii="Times New Roman" w:hAnsi="Times New Roman" w:cs="Times New Roman"/>
          <w:color w:val="000000"/>
        </w:rPr>
        <w:t xml:space="preserve">w przypadku świadczeń z ubezpieczenia wypadkowego. </w:t>
      </w:r>
    </w:p>
    <w:p w:rsidR="00B77844" w:rsidRPr="00304DFA" w:rsidRDefault="00B77844" w:rsidP="00E130DB">
      <w:pPr>
        <w:spacing w:after="0" w:line="360" w:lineRule="auto"/>
        <w:jc w:val="both"/>
        <w:rPr>
          <w:rFonts w:ascii="Times New Roman" w:eastAsia="Calibri" w:hAnsi="Times New Roman" w:cs="Times New Roman"/>
          <w:b/>
          <w:i/>
        </w:rPr>
      </w:pPr>
      <w:r w:rsidRPr="00304DFA">
        <w:rPr>
          <w:rFonts w:ascii="Times New Roman" w:hAnsi="Times New Roman" w:cs="Times New Roman"/>
          <w:color w:val="000000"/>
        </w:rPr>
        <w:t>Zmiana ta doprowadzi do dużego uproszczenia zasad podlegania ubezpieczeniu chorobowemu, zmniejszy liczbę spraw spornych oraz zmniejszy obowiązki administracyjne osób prowadzących pozarolniczą działalność. Nie będą one musiały bowiem składać już wniosków o przywrócenie terminu na opłacenie składki na dobrowolne ubezpieczenie chorobowe w przypadku jej nieterminowego opłacenia lub opłacenia w zaniżonej wysokości.</w:t>
      </w:r>
    </w:p>
    <w:p w:rsidR="00B91889" w:rsidRDefault="00B91889" w:rsidP="00E130DB">
      <w:pPr>
        <w:spacing w:after="0" w:line="360" w:lineRule="auto"/>
        <w:jc w:val="both"/>
        <w:rPr>
          <w:rFonts w:ascii="Times New Roman" w:eastAsia="Calibri" w:hAnsi="Times New Roman" w:cs="Times New Roman"/>
        </w:rPr>
      </w:pPr>
      <w:r w:rsidRPr="00304DFA">
        <w:rPr>
          <w:rFonts w:ascii="Times New Roman" w:eastAsia="Calibri" w:hAnsi="Times New Roman" w:cs="Times New Roman"/>
        </w:rPr>
        <w:t>Na ponad 150 tys. wniosków zgł</w:t>
      </w:r>
      <w:r w:rsidR="00074AD3" w:rsidRPr="00304DFA">
        <w:rPr>
          <w:rFonts w:ascii="Times New Roman" w:eastAsia="Calibri" w:hAnsi="Times New Roman" w:cs="Times New Roman"/>
        </w:rPr>
        <w:t>a</w:t>
      </w:r>
      <w:r w:rsidRPr="00304DFA">
        <w:rPr>
          <w:rFonts w:ascii="Times New Roman" w:eastAsia="Calibri" w:hAnsi="Times New Roman" w:cs="Times New Roman"/>
        </w:rPr>
        <w:t>sz</w:t>
      </w:r>
      <w:r w:rsidR="00074AD3" w:rsidRPr="00304DFA">
        <w:rPr>
          <w:rFonts w:ascii="Times New Roman" w:eastAsia="Calibri" w:hAnsi="Times New Roman" w:cs="Times New Roman"/>
        </w:rPr>
        <w:t>a</w:t>
      </w:r>
      <w:r w:rsidRPr="00304DFA">
        <w:rPr>
          <w:rFonts w:ascii="Times New Roman" w:eastAsia="Calibri" w:hAnsi="Times New Roman" w:cs="Times New Roman"/>
        </w:rPr>
        <w:t xml:space="preserve">nych </w:t>
      </w:r>
      <w:r w:rsidR="00074AD3" w:rsidRPr="00304DFA">
        <w:rPr>
          <w:rFonts w:ascii="Times New Roman" w:eastAsia="Calibri" w:hAnsi="Times New Roman" w:cs="Times New Roman"/>
        </w:rPr>
        <w:t>co roku</w:t>
      </w:r>
      <w:r w:rsidRPr="00304DFA">
        <w:rPr>
          <w:rFonts w:ascii="Times New Roman" w:eastAsia="Calibri" w:hAnsi="Times New Roman" w:cs="Times New Roman"/>
        </w:rPr>
        <w:t xml:space="preserve"> </w:t>
      </w:r>
      <w:r w:rsidR="00B77844" w:rsidRPr="00304DFA">
        <w:rPr>
          <w:rFonts w:ascii="Times New Roman" w:eastAsia="Calibri" w:hAnsi="Times New Roman" w:cs="Times New Roman"/>
        </w:rPr>
        <w:t xml:space="preserve">o wyrażenie zgody na opłacenie składki na dobrowolne ubezpieczenie chorobowe po terminie, </w:t>
      </w:r>
      <w:r w:rsidRPr="00304DFA">
        <w:rPr>
          <w:rFonts w:ascii="Times New Roman" w:eastAsia="Calibri" w:hAnsi="Times New Roman" w:cs="Times New Roman"/>
        </w:rPr>
        <w:t xml:space="preserve">zgoda wyrażana jest w ponad 92% zgłoszonych wniosków. </w:t>
      </w:r>
      <w:bookmarkStart w:id="1" w:name="_Hlk50456614"/>
      <w:r w:rsidR="00E82170" w:rsidRPr="00304DFA">
        <w:rPr>
          <w:rFonts w:ascii="Times New Roman" w:eastAsia="Calibri" w:hAnsi="Times New Roman" w:cs="Times New Roman"/>
        </w:rPr>
        <w:t>W 2019 r</w:t>
      </w:r>
      <w:r w:rsidR="00C9362D">
        <w:rPr>
          <w:rFonts w:ascii="Times New Roman" w:eastAsia="Calibri" w:hAnsi="Times New Roman" w:cs="Times New Roman"/>
        </w:rPr>
        <w:t xml:space="preserve">. </w:t>
      </w:r>
      <w:r w:rsidR="00E82170" w:rsidRPr="00304DFA">
        <w:rPr>
          <w:rFonts w:ascii="Times New Roman" w:eastAsia="Calibri" w:hAnsi="Times New Roman" w:cs="Times New Roman"/>
        </w:rPr>
        <w:t>ZUS wyraził zgodę na opłacenie składki po terminie w 91,6% przypadków.</w:t>
      </w:r>
    </w:p>
    <w:bookmarkEnd w:id="1"/>
    <w:p w:rsidR="00B77844" w:rsidRPr="00304DFA" w:rsidRDefault="00B77844" w:rsidP="004E6893">
      <w:pPr>
        <w:pStyle w:val="Akapitzlist"/>
        <w:numPr>
          <w:ilvl w:val="0"/>
          <w:numId w:val="17"/>
        </w:numPr>
        <w:spacing w:after="120" w:line="360" w:lineRule="auto"/>
        <w:ind w:left="0" w:hanging="284"/>
        <w:jc w:val="both"/>
        <w:rPr>
          <w:rFonts w:ascii="Times New Roman" w:hAnsi="Times New Roman" w:cs="Times New Roman"/>
          <w:b/>
        </w:rPr>
      </w:pPr>
      <w:r w:rsidRPr="00304DFA">
        <w:rPr>
          <w:rFonts w:ascii="Times New Roman" w:hAnsi="Times New Roman" w:cs="Times New Roman"/>
          <w:b/>
        </w:rPr>
        <w:t xml:space="preserve">Potrącanie nieopłaconych należności z tytułu składek ze świadczeń wypłacanych przez </w:t>
      </w:r>
      <w:r w:rsidR="001975FD">
        <w:rPr>
          <w:rFonts w:ascii="Times New Roman" w:hAnsi="Times New Roman" w:cs="Times New Roman"/>
          <w:b/>
        </w:rPr>
        <w:t>ZUS</w:t>
      </w:r>
      <w:r w:rsidRPr="00304DFA">
        <w:rPr>
          <w:rFonts w:ascii="Times New Roman" w:hAnsi="Times New Roman" w:cs="Times New Roman"/>
          <w:b/>
        </w:rPr>
        <w:t xml:space="preserve"> oraz potrącanie nienależnie pobranych świadczeń emerytalno–rentowych z wypłacanych przez </w:t>
      </w:r>
      <w:r w:rsidR="001975FD">
        <w:rPr>
          <w:rFonts w:ascii="Times New Roman" w:hAnsi="Times New Roman" w:cs="Times New Roman"/>
          <w:b/>
        </w:rPr>
        <w:t>ZUS</w:t>
      </w:r>
      <w:r w:rsidRPr="00304DFA">
        <w:rPr>
          <w:rFonts w:ascii="Times New Roman" w:hAnsi="Times New Roman" w:cs="Times New Roman"/>
          <w:b/>
        </w:rPr>
        <w:t xml:space="preserve"> zasiłków (ustawy: z dnia 13 października 1998 r.</w:t>
      </w:r>
      <w:r w:rsidRPr="00304DFA">
        <w:rPr>
          <w:rFonts w:ascii="Times New Roman" w:hAnsi="Times New Roman" w:cs="Times New Roman"/>
        </w:rPr>
        <w:t xml:space="preserve"> </w:t>
      </w:r>
      <w:r w:rsidRPr="00304DFA">
        <w:rPr>
          <w:rFonts w:ascii="Times New Roman" w:hAnsi="Times New Roman" w:cs="Times New Roman"/>
          <w:b/>
        </w:rPr>
        <w:t>o systemie ubezpieczeń społecznych</w:t>
      </w:r>
      <w:r w:rsidRPr="00304DFA">
        <w:rPr>
          <w:rFonts w:ascii="Times New Roman" w:eastAsia="Times New Roman" w:hAnsi="Times New Roman" w:cs="Times New Roman"/>
          <w:b/>
          <w:lang w:eastAsia="pl-PL"/>
        </w:rPr>
        <w:t xml:space="preserve"> </w:t>
      </w:r>
      <w:r w:rsidR="003D5DBA" w:rsidRPr="00304DFA">
        <w:rPr>
          <w:rFonts w:ascii="Times New Roman" w:hAnsi="Times New Roman" w:cs="Times New Roman"/>
          <w:b/>
        </w:rPr>
        <w:t>–</w:t>
      </w:r>
      <w:r w:rsidRPr="00304DFA">
        <w:rPr>
          <w:rFonts w:ascii="Times New Roman" w:hAnsi="Times New Roman" w:cs="Times New Roman"/>
          <w:b/>
        </w:rPr>
        <w:t xml:space="preserve"> art.</w:t>
      </w:r>
      <w:r w:rsidR="001E7A00" w:rsidRPr="00304DFA">
        <w:rPr>
          <w:rFonts w:ascii="Times New Roman" w:hAnsi="Times New Roman" w:cs="Times New Roman"/>
          <w:b/>
        </w:rPr>
        <w:t xml:space="preserve"> </w:t>
      </w:r>
      <w:r w:rsidRPr="00304DFA">
        <w:rPr>
          <w:rFonts w:ascii="Times New Roman" w:hAnsi="Times New Roman" w:cs="Times New Roman"/>
          <w:b/>
        </w:rPr>
        <w:t xml:space="preserve">24 ust. 2 i ust. 5b, </w:t>
      </w:r>
      <w:r w:rsidR="00F77548" w:rsidRPr="00304DFA">
        <w:rPr>
          <w:rFonts w:ascii="Times New Roman" w:hAnsi="Times New Roman" w:cs="Times New Roman"/>
          <w:b/>
        </w:rPr>
        <w:t>5c</w:t>
      </w:r>
      <w:r w:rsidR="00B40BAD">
        <w:rPr>
          <w:rFonts w:ascii="Times New Roman" w:hAnsi="Times New Roman" w:cs="Times New Roman"/>
          <w:b/>
        </w:rPr>
        <w:t>a</w:t>
      </w:r>
      <w:r w:rsidR="00F77548" w:rsidRPr="00304DFA">
        <w:rPr>
          <w:rFonts w:ascii="Times New Roman" w:hAnsi="Times New Roman" w:cs="Times New Roman"/>
          <w:b/>
        </w:rPr>
        <w:t xml:space="preserve">, 5f i 5g, </w:t>
      </w:r>
      <w:r w:rsidRPr="00304DFA">
        <w:rPr>
          <w:rFonts w:ascii="Times New Roman" w:hAnsi="Times New Roman" w:cs="Times New Roman"/>
          <w:b/>
        </w:rPr>
        <w:t xml:space="preserve">z dnia 17 grudnia 1998 r. o emeryturach i rentach z Funduszu </w:t>
      </w:r>
      <w:r w:rsidRPr="00304DFA">
        <w:rPr>
          <w:rFonts w:ascii="Times New Roman" w:hAnsi="Times New Roman" w:cs="Times New Roman"/>
          <w:b/>
        </w:rPr>
        <w:lastRenderedPageBreak/>
        <w:t xml:space="preserve">Ubezpieczeń Społecznych </w:t>
      </w:r>
      <w:r w:rsidR="003B2B36" w:rsidRPr="003B2B36">
        <w:rPr>
          <w:rFonts w:ascii="Times New Roman" w:hAnsi="Times New Roman" w:cs="Times New Roman"/>
          <w:b/>
        </w:rPr>
        <w:t xml:space="preserve">(Dz. U. z 2021 r. poz. 291, </w:t>
      </w:r>
      <w:r w:rsidR="008D28B5" w:rsidRPr="008D28B5">
        <w:rPr>
          <w:rFonts w:ascii="Times New Roman" w:hAnsi="Times New Roman" w:cs="Times New Roman"/>
          <w:b/>
        </w:rPr>
        <w:t>z późn. zm.</w:t>
      </w:r>
      <w:r w:rsidR="003B2B36" w:rsidRPr="003B2B36">
        <w:rPr>
          <w:rFonts w:ascii="Times New Roman" w:hAnsi="Times New Roman" w:cs="Times New Roman"/>
          <w:b/>
        </w:rPr>
        <w:t xml:space="preserve">) </w:t>
      </w:r>
      <w:r w:rsidR="003D5DBA" w:rsidRPr="00304DFA">
        <w:rPr>
          <w:rFonts w:ascii="Times New Roman" w:hAnsi="Times New Roman" w:cs="Times New Roman"/>
          <w:b/>
        </w:rPr>
        <w:t>–</w:t>
      </w:r>
      <w:r w:rsidRPr="00304DFA">
        <w:rPr>
          <w:rFonts w:ascii="Times New Roman" w:hAnsi="Times New Roman" w:cs="Times New Roman"/>
          <w:b/>
        </w:rPr>
        <w:t xml:space="preserve"> art. 139 ust. 1, art. 140 ust. 4 i ust. 6, art. 141 ust. 1</w:t>
      </w:r>
      <w:r w:rsidR="00B40BAD">
        <w:rPr>
          <w:rFonts w:ascii="Times New Roman" w:hAnsi="Times New Roman" w:cs="Times New Roman"/>
          <w:b/>
        </w:rPr>
        <w:t xml:space="preserve"> i</w:t>
      </w:r>
      <w:r w:rsidRPr="00304DFA">
        <w:rPr>
          <w:rFonts w:ascii="Times New Roman" w:hAnsi="Times New Roman" w:cs="Times New Roman"/>
          <w:b/>
        </w:rPr>
        <w:t xml:space="preserve"> art. 143, z dnia 25 czerwca 1999 r. o świadczeniach pieniężnych z ubezpieczenia społecznego w razie choroby i macierzyństwa – art. 66 i art. 66a).</w:t>
      </w:r>
    </w:p>
    <w:p w:rsidR="00B77844" w:rsidRPr="00304DFA" w:rsidRDefault="00B77844" w:rsidP="00B77844">
      <w:pPr>
        <w:autoSpaceDE w:val="0"/>
        <w:autoSpaceDN w:val="0"/>
        <w:adjustRightInd w:val="0"/>
        <w:spacing w:after="0" w:line="360" w:lineRule="auto"/>
        <w:jc w:val="both"/>
        <w:rPr>
          <w:rFonts w:ascii="Times New Roman" w:eastAsia="Calibri" w:hAnsi="Times New Roman" w:cs="Times New Roman"/>
          <w:i/>
        </w:rPr>
      </w:pPr>
      <w:r w:rsidRPr="00304DFA">
        <w:rPr>
          <w:rFonts w:ascii="Times New Roman" w:eastAsia="Calibri" w:hAnsi="Times New Roman" w:cs="Times New Roman"/>
        </w:rPr>
        <w:t>Zaproponowane zmiany mają na celu usprawnienie odzyskiwania należności z tytułu składek, ale przy zminimalizowaniu, względem zobowiązanego, kosztów dochodzenia. Oznacza to, że przy potrąceniu nie będą naliczane koszty, które są należne w egzekucji administracyjnej lub sądowej.</w:t>
      </w:r>
    </w:p>
    <w:p w:rsidR="00B77844" w:rsidRPr="00304DFA" w:rsidRDefault="00B77844" w:rsidP="00B77844">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Zastosowanie przepisów egzekucji administracyjnej przy odzyskiwaniu należności z tytułu składek wiąże się z ponoszeniem zarówno przez zobowiązanego jak i – w określonych sytuacjach – przez wierzyciela kosztów tego postępowania. Ponieważ </w:t>
      </w:r>
      <w:r w:rsidR="00162AE1">
        <w:rPr>
          <w:rFonts w:ascii="Times New Roman" w:eastAsia="Calibri" w:hAnsi="Times New Roman" w:cs="Times New Roman"/>
        </w:rPr>
        <w:t>ZUS</w:t>
      </w:r>
      <w:r w:rsidRPr="00304DFA">
        <w:rPr>
          <w:rFonts w:ascii="Times New Roman" w:eastAsia="Calibri" w:hAnsi="Times New Roman" w:cs="Times New Roman"/>
        </w:rPr>
        <w:t xml:space="preserve"> w ramach realizacji zadań ustawowych wypłaca świadczenia krótko i długoterminowe ze środków pozyskiwanych z Funduszy, które tworzone są z kwot wpłaconych składek, ekonomicznie uzasadniona jest możliwość potrąceń kwot nieopłaconych składek z wypłacanych przez </w:t>
      </w:r>
      <w:r w:rsidR="00162AE1">
        <w:rPr>
          <w:rFonts w:ascii="Times New Roman" w:eastAsia="Calibri" w:hAnsi="Times New Roman" w:cs="Times New Roman"/>
        </w:rPr>
        <w:t>ZUS</w:t>
      </w:r>
      <w:r w:rsidRPr="00304DFA">
        <w:rPr>
          <w:rFonts w:ascii="Times New Roman" w:eastAsia="Calibri" w:hAnsi="Times New Roman" w:cs="Times New Roman"/>
        </w:rPr>
        <w:t xml:space="preserve"> świadczeń. </w:t>
      </w:r>
      <w:r w:rsidR="00802A10">
        <w:rPr>
          <w:rFonts w:ascii="Times New Roman" w:eastAsia="Calibri" w:hAnsi="Times New Roman" w:cs="Times New Roman"/>
        </w:rPr>
        <w:t>Podstawą do dokonania tych potrąceń będzie decyzja Zakładu Ubezpieczeń Społecznych, analogicznie jak w przypadku nienależnie pobranych świadczeń</w:t>
      </w:r>
      <w:r w:rsidR="001E43B8">
        <w:rPr>
          <w:rFonts w:ascii="Times New Roman" w:eastAsia="Calibri" w:hAnsi="Times New Roman" w:cs="Times New Roman"/>
        </w:rPr>
        <w:t>.</w:t>
      </w:r>
    </w:p>
    <w:p w:rsidR="00DD41F1" w:rsidRDefault="00B77844" w:rsidP="00B77844">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Obecnie odzyskiwanie nienależnie pobranych emerytur, rent i innych świadczeń możliwe jest jedynie w trybie egzekucyjnym, na skutek którego osoby zobowiązane do zwrotu ponoszą dodatkowo koszty egzekucyjne. </w:t>
      </w:r>
      <w:r w:rsidR="001E7A00" w:rsidRPr="00304DFA">
        <w:rPr>
          <w:rFonts w:ascii="Times New Roman" w:eastAsia="Calibri" w:hAnsi="Times New Roman" w:cs="Times New Roman"/>
        </w:rPr>
        <w:t>Corocznie liczba t</w:t>
      </w:r>
      <w:r w:rsidRPr="00304DFA">
        <w:rPr>
          <w:rFonts w:ascii="Times New Roman" w:eastAsia="Calibri" w:hAnsi="Times New Roman" w:cs="Times New Roman"/>
        </w:rPr>
        <w:t xml:space="preserve">ytułów egzekucyjnych skierowanych do egzekucji ze świadczeń z ubezpieczenia społecznego </w:t>
      </w:r>
      <w:r w:rsidR="001E7A00" w:rsidRPr="00304DFA">
        <w:rPr>
          <w:rFonts w:ascii="Times New Roman" w:eastAsia="Calibri" w:hAnsi="Times New Roman" w:cs="Times New Roman"/>
        </w:rPr>
        <w:t xml:space="preserve">wynosi ok. 170 tys. na kwoty od 170 mln zł do 200 mln zł. </w:t>
      </w:r>
      <w:r w:rsidRPr="00304DFA">
        <w:rPr>
          <w:rFonts w:ascii="Times New Roman" w:eastAsia="Calibri" w:hAnsi="Times New Roman" w:cs="Times New Roman"/>
        </w:rPr>
        <w:t xml:space="preserve"> Zmiana umożliwi bezegzekucyjne potrącanie nienależnie pobranych świadczeń. Dzięki tej zmianie dochodzenie należności zostanie uproszczone i przyśpieszone, ulegną zmniejszeniu koszty obsługi postępowań. </w:t>
      </w:r>
      <w:r w:rsidR="00805161">
        <w:rPr>
          <w:rFonts w:ascii="Times New Roman" w:eastAsia="Calibri" w:hAnsi="Times New Roman" w:cs="Times New Roman"/>
        </w:rPr>
        <w:t>Pro</w:t>
      </w:r>
      <w:r w:rsidR="002D1287">
        <w:rPr>
          <w:rFonts w:ascii="Times New Roman" w:eastAsia="Calibri" w:hAnsi="Times New Roman" w:cs="Times New Roman"/>
        </w:rPr>
        <w:t>jektowane</w:t>
      </w:r>
      <w:r w:rsidR="00805161">
        <w:rPr>
          <w:rFonts w:ascii="Times New Roman" w:eastAsia="Calibri" w:hAnsi="Times New Roman" w:cs="Times New Roman"/>
        </w:rPr>
        <w:t xml:space="preserve"> rozwiązanie ze względu na zarówno liczbę egzekucji jak i kwoty</w:t>
      </w:r>
      <w:r w:rsidR="002D1287">
        <w:rPr>
          <w:rFonts w:ascii="Times New Roman" w:eastAsia="Calibri" w:hAnsi="Times New Roman" w:cs="Times New Roman"/>
        </w:rPr>
        <w:t xml:space="preserve"> tytułów egzekucyjnych</w:t>
      </w:r>
      <w:r w:rsidR="00805161">
        <w:rPr>
          <w:rFonts w:ascii="Times New Roman" w:eastAsia="Calibri" w:hAnsi="Times New Roman" w:cs="Times New Roman"/>
        </w:rPr>
        <w:t xml:space="preserve"> rzędu ok. 200 mln zł oraz nieznaczny udział procentowy dotacji z budżetu państwa w wydatkach ogółem o charakterze uzupełniającym </w:t>
      </w:r>
      <w:r w:rsidR="002D1287">
        <w:rPr>
          <w:rFonts w:ascii="Times New Roman" w:eastAsia="Calibri" w:hAnsi="Times New Roman" w:cs="Times New Roman"/>
        </w:rPr>
        <w:t xml:space="preserve">wpływy ze składek do poziomu wydatków proponuje się wprowadzić wyłącznie w przypadku świadczeń wypłacanych przez ZUS. Nie powoduje to innego traktowania świadczeniobiorców z systemu obsługiwanego przez ZUS, ze względu na inne zasady funkcjonowania zarówno systemu ubezpieczenia społecznego rolników, w którym z budżetu państwa finansowane jest ok. 90% wydatków na świadczenia jak systemów zaopatrzenia tzw. służb mundurowych, w których wydatki na świadczenia są finansowane wyłącznie ze środków budżetu państwa. </w:t>
      </w:r>
    </w:p>
    <w:p w:rsidR="007007E5" w:rsidRPr="00EC6408" w:rsidRDefault="007007E5" w:rsidP="00DD41F1">
      <w:pPr>
        <w:spacing w:after="120" w:line="360" w:lineRule="auto"/>
        <w:jc w:val="both"/>
        <w:rPr>
          <w:rFonts w:ascii="Times New Roman" w:hAnsi="Times New Roman" w:cs="Times New Roman"/>
        </w:rPr>
      </w:pPr>
      <w:r>
        <w:rPr>
          <w:rFonts w:ascii="Times New Roman" w:hAnsi="Times New Roman" w:cs="Times New Roman"/>
        </w:rPr>
        <w:t>Wprowadzenie powyższego rozwiązania nie oznacza zmniejszenia ochrony tych osób (świadczeniobiorców), gdyż potrące</w:t>
      </w:r>
      <w:r w:rsidR="002A0F1F">
        <w:rPr>
          <w:rFonts w:ascii="Times New Roman" w:hAnsi="Times New Roman" w:cs="Times New Roman"/>
        </w:rPr>
        <w:t>nia</w:t>
      </w:r>
      <w:r>
        <w:rPr>
          <w:rFonts w:ascii="Times New Roman" w:hAnsi="Times New Roman" w:cs="Times New Roman"/>
        </w:rPr>
        <w:t xml:space="preserve"> ze świadczeń </w:t>
      </w:r>
      <w:r w:rsidR="00EC6408">
        <w:rPr>
          <w:rFonts w:ascii="Times New Roman" w:hAnsi="Times New Roman" w:cs="Times New Roman"/>
        </w:rPr>
        <w:t>dokonywa</w:t>
      </w:r>
      <w:r w:rsidR="009C2403">
        <w:rPr>
          <w:rFonts w:ascii="Times New Roman" w:hAnsi="Times New Roman" w:cs="Times New Roman"/>
        </w:rPr>
        <w:t>ne</w:t>
      </w:r>
      <w:r w:rsidR="00EC6408">
        <w:rPr>
          <w:rFonts w:ascii="Times New Roman" w:hAnsi="Times New Roman" w:cs="Times New Roman"/>
        </w:rPr>
        <w:t xml:space="preserve"> </w:t>
      </w:r>
      <w:r w:rsidR="002A0F1F">
        <w:rPr>
          <w:rFonts w:ascii="Times New Roman" w:hAnsi="Times New Roman" w:cs="Times New Roman"/>
        </w:rPr>
        <w:t xml:space="preserve">będą </w:t>
      </w:r>
      <w:r w:rsidR="00EC6408">
        <w:rPr>
          <w:rFonts w:ascii="Times New Roman" w:hAnsi="Times New Roman" w:cs="Times New Roman"/>
        </w:rPr>
        <w:t>na zasadach przewidzianych w ustawie</w:t>
      </w:r>
      <w:r w:rsidR="003B2B36" w:rsidRPr="003B2B36">
        <w:t xml:space="preserve"> </w:t>
      </w:r>
      <w:r w:rsidR="003B2B36" w:rsidRPr="003B2B36">
        <w:rPr>
          <w:rFonts w:ascii="Times New Roman" w:hAnsi="Times New Roman" w:cs="Times New Roman"/>
        </w:rPr>
        <w:t>z dnia 17 grudnia 1998 r.</w:t>
      </w:r>
      <w:r w:rsidR="00EC6408">
        <w:rPr>
          <w:rFonts w:ascii="Times New Roman" w:hAnsi="Times New Roman" w:cs="Times New Roman"/>
        </w:rPr>
        <w:t xml:space="preserve"> o emeryturach i rentach z Funduszu Ubezpieczeń Społecznych, które </w:t>
      </w:r>
      <w:r w:rsidR="00D3547E">
        <w:rPr>
          <w:rFonts w:ascii="Times New Roman" w:hAnsi="Times New Roman" w:cs="Times New Roman"/>
        </w:rPr>
        <w:t>określają rodzaje należności, które mogą podlegać potrąceniu</w:t>
      </w:r>
      <w:r w:rsidR="009C2403">
        <w:rPr>
          <w:rFonts w:ascii="Times New Roman" w:hAnsi="Times New Roman" w:cs="Times New Roman"/>
        </w:rPr>
        <w:t>, kolejność ich potrącania</w:t>
      </w:r>
      <w:r w:rsidR="00D3547E">
        <w:rPr>
          <w:rFonts w:ascii="Times New Roman" w:hAnsi="Times New Roman" w:cs="Times New Roman"/>
        </w:rPr>
        <w:t xml:space="preserve"> oraz </w:t>
      </w:r>
      <w:r w:rsidR="00EC6408">
        <w:rPr>
          <w:rFonts w:ascii="Times New Roman" w:hAnsi="Times New Roman" w:cs="Times New Roman"/>
        </w:rPr>
        <w:t xml:space="preserve">w sposób szczególny zapewniają określone </w:t>
      </w:r>
      <w:r w:rsidR="00D3547E">
        <w:rPr>
          <w:rFonts w:ascii="Times New Roman" w:hAnsi="Times New Roman" w:cs="Times New Roman"/>
        </w:rPr>
        <w:t>granice kwoty świadczenia</w:t>
      </w:r>
      <w:r w:rsidR="00EC6408">
        <w:rPr>
          <w:rFonts w:ascii="Times New Roman" w:hAnsi="Times New Roman" w:cs="Times New Roman"/>
        </w:rPr>
        <w:t xml:space="preserve">, które </w:t>
      </w:r>
      <w:r w:rsidR="003F325F">
        <w:rPr>
          <w:rFonts w:ascii="Times New Roman" w:hAnsi="Times New Roman" w:cs="Times New Roman"/>
        </w:rPr>
        <w:t>nie mogą po</w:t>
      </w:r>
      <w:r w:rsidR="00D3547E">
        <w:rPr>
          <w:rFonts w:ascii="Times New Roman" w:hAnsi="Times New Roman" w:cs="Times New Roman"/>
        </w:rPr>
        <w:t>dlegać potrąceniom.</w:t>
      </w:r>
    </w:p>
    <w:p w:rsidR="00B77844" w:rsidRPr="00304DFA" w:rsidRDefault="00B77844" w:rsidP="00B77844">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lastRenderedPageBreak/>
        <w:t>Ponadto z uwagi na to, że nienależnie pobrane świadczenia tzw. krótkoterminowe mogą być potrącane ze świadczeń długoterminowych (emerytury, renty) zmiana ujednolici tryb dochodzenia w zakresie nienależnie pobranych wszystkich świadczeń.</w:t>
      </w:r>
      <w:r w:rsidR="00EB593F">
        <w:rPr>
          <w:rFonts w:ascii="Times New Roman" w:eastAsia="Calibri" w:hAnsi="Times New Roman" w:cs="Times New Roman"/>
        </w:rPr>
        <w:t xml:space="preserve"> Dotychczasowa praktyka w zakresie nienależnie pobranych świadczeń pokazała, że rozwiązanie jest skuteczne i w należyty sposób zabezpiecza interes osoby zobowiązanej.</w:t>
      </w:r>
    </w:p>
    <w:p w:rsidR="00CA57ED" w:rsidRDefault="00B77844" w:rsidP="00672D77">
      <w:pPr>
        <w:autoSpaceDE w:val="0"/>
        <w:autoSpaceDN w:val="0"/>
        <w:adjustRightInd w:val="0"/>
        <w:spacing w:after="120" w:line="360" w:lineRule="auto"/>
        <w:jc w:val="both"/>
        <w:rPr>
          <w:rFonts w:ascii="Times New Roman" w:eastAsia="Calibri" w:hAnsi="Times New Roman" w:cs="Times New Roman"/>
          <w:b/>
        </w:rPr>
      </w:pPr>
      <w:r w:rsidRPr="00304DFA">
        <w:rPr>
          <w:rFonts w:ascii="Times New Roman" w:eastAsia="Calibri" w:hAnsi="Times New Roman" w:cs="Times New Roman"/>
        </w:rPr>
        <w:t>Dodatkowo proponuje się wprowadzenie zasady zgodnie z którą, świadczeniobiorca nie otrzymywałby za ten sam okres dwóch świadczeń z ubezpieczeń społecznych. Zatem osobie, która nabyła prawo do emerytury za ten sam okres, za który wypłacono jej zasiłek chorobowy po ustaniu ubezpieczenia lub świadczenie rehabilitacyjne, wypłacony zasiłek chorobowy lub świadczenie rehabilitacyjne podlegał</w:t>
      </w:r>
      <w:r w:rsidR="002A0F1F">
        <w:rPr>
          <w:rFonts w:ascii="Times New Roman" w:eastAsia="Calibri" w:hAnsi="Times New Roman" w:cs="Times New Roman"/>
        </w:rPr>
        <w:t>y</w:t>
      </w:r>
      <w:r w:rsidRPr="00304DFA">
        <w:rPr>
          <w:rFonts w:ascii="Times New Roman" w:eastAsia="Calibri" w:hAnsi="Times New Roman" w:cs="Times New Roman"/>
        </w:rPr>
        <w:t>by rozliczeniu z przyznawanej emerytury.</w:t>
      </w:r>
    </w:p>
    <w:p w:rsidR="008A749B" w:rsidRPr="00304DFA" w:rsidRDefault="008A749B" w:rsidP="00E130DB">
      <w:pPr>
        <w:pStyle w:val="Akapitzlist"/>
        <w:numPr>
          <w:ilvl w:val="0"/>
          <w:numId w:val="17"/>
        </w:numPr>
        <w:spacing w:after="0" w:line="360" w:lineRule="auto"/>
        <w:ind w:left="0" w:hanging="284"/>
        <w:jc w:val="both"/>
        <w:rPr>
          <w:rFonts w:ascii="Times New Roman" w:eastAsia="Calibri" w:hAnsi="Times New Roman" w:cs="Times New Roman"/>
          <w:b/>
        </w:rPr>
      </w:pPr>
      <w:r w:rsidRPr="00304DFA">
        <w:rPr>
          <w:rFonts w:ascii="Times New Roman" w:eastAsia="Calibri" w:hAnsi="Times New Roman" w:cs="Times New Roman"/>
          <w:b/>
        </w:rPr>
        <w:t>Doprecyzowanie przepisów dotyczących możliwości dochodzenia nienależnie pobranych świadczeń (</w:t>
      </w:r>
      <w:r w:rsidRPr="00304DFA">
        <w:rPr>
          <w:rFonts w:ascii="Times New Roman" w:hAnsi="Times New Roman" w:cs="Times New Roman"/>
          <w:b/>
        </w:rPr>
        <w:t xml:space="preserve">ustawa z dnia 13 października 1998 r. o systemie ubezpieczeń społecznych </w:t>
      </w:r>
      <w:r w:rsidR="003D5DBA" w:rsidRPr="00304DFA">
        <w:rPr>
          <w:rFonts w:ascii="Times New Roman" w:hAnsi="Times New Roman" w:cs="Times New Roman"/>
          <w:b/>
        </w:rPr>
        <w:t>–</w:t>
      </w:r>
      <w:r w:rsidRPr="00304DFA">
        <w:rPr>
          <w:rFonts w:ascii="Times New Roman" w:hAnsi="Times New Roman" w:cs="Times New Roman"/>
          <w:b/>
        </w:rPr>
        <w:t xml:space="preserve"> </w:t>
      </w:r>
      <w:r w:rsidRPr="00304DFA">
        <w:rPr>
          <w:rFonts w:ascii="Times New Roman" w:eastAsia="Calibri" w:hAnsi="Times New Roman" w:cs="Times New Roman"/>
          <w:b/>
        </w:rPr>
        <w:t>art. 84</w:t>
      </w:r>
      <w:r w:rsidRPr="00304DFA">
        <w:rPr>
          <w:rFonts w:ascii="Times New Roman" w:hAnsi="Times New Roman" w:cs="Times New Roman"/>
          <w:b/>
        </w:rPr>
        <w:t xml:space="preserve"> ust. 1</w:t>
      </w:r>
      <w:r w:rsidR="005B1A00">
        <w:rPr>
          <w:rFonts w:ascii="Times New Roman" w:hAnsi="Times New Roman" w:cs="Times New Roman"/>
          <w:b/>
        </w:rPr>
        <w:t xml:space="preserve"> i </w:t>
      </w:r>
      <w:r w:rsidRPr="00304DFA">
        <w:rPr>
          <w:rFonts w:ascii="Times New Roman" w:hAnsi="Times New Roman" w:cs="Times New Roman"/>
          <w:b/>
        </w:rPr>
        <w:t>2, ust. 4 i 6).</w:t>
      </w:r>
    </w:p>
    <w:p w:rsidR="008A749B" w:rsidRPr="00304DFA" w:rsidRDefault="008A749B" w:rsidP="00E130DB">
      <w:pPr>
        <w:spacing w:after="0" w:line="360" w:lineRule="auto"/>
        <w:contextualSpacing/>
        <w:jc w:val="both"/>
        <w:rPr>
          <w:rFonts w:ascii="Times New Roman" w:hAnsi="Times New Roman" w:cs="Times New Roman"/>
          <w:color w:val="000000"/>
        </w:rPr>
      </w:pPr>
      <w:r w:rsidRPr="00304DFA">
        <w:rPr>
          <w:rFonts w:ascii="Times New Roman" w:eastAsia="Calibri" w:hAnsi="Times New Roman" w:cs="Times New Roman"/>
        </w:rPr>
        <w:t xml:space="preserve">Doprecyzowanie przepisów art. 84 ust. 2 ustawy </w:t>
      </w:r>
      <w:r w:rsidRPr="00304DFA">
        <w:rPr>
          <w:rFonts w:ascii="Times New Roman" w:hAnsi="Times New Roman" w:cs="Times New Roman"/>
        </w:rPr>
        <w:t>systemie ubezpieczeń społecznych</w:t>
      </w:r>
      <w:r w:rsidRPr="00304DFA">
        <w:rPr>
          <w:rFonts w:ascii="Times New Roman" w:hAnsi="Times New Roman" w:cs="Times New Roman"/>
          <w:b/>
        </w:rPr>
        <w:t xml:space="preserve"> </w:t>
      </w:r>
      <w:r w:rsidRPr="00304DFA">
        <w:rPr>
          <w:rFonts w:ascii="Times New Roman" w:eastAsia="Calibri" w:hAnsi="Times New Roman" w:cs="Times New Roman"/>
        </w:rPr>
        <w:t xml:space="preserve">jest niezbędne w związku z brakiem </w:t>
      </w:r>
      <w:r w:rsidRPr="00304DFA">
        <w:rPr>
          <w:rFonts w:ascii="Times New Roman" w:hAnsi="Times New Roman" w:cs="Times New Roman"/>
          <w:color w:val="000000"/>
        </w:rPr>
        <w:t>jednolitej linii orzeczniczej na poziomie Sądów w odniesieniu do nienależnie pobranego świadczenia.</w:t>
      </w:r>
    </w:p>
    <w:p w:rsidR="008A749B" w:rsidRPr="00304DFA" w:rsidRDefault="008A749B" w:rsidP="008A749B">
      <w:pPr>
        <w:spacing w:after="0" w:line="360" w:lineRule="auto"/>
        <w:jc w:val="both"/>
        <w:rPr>
          <w:rFonts w:ascii="Times New Roman" w:hAnsi="Times New Roman" w:cs="Times New Roman"/>
        </w:rPr>
      </w:pPr>
      <w:r w:rsidRPr="00304DFA">
        <w:rPr>
          <w:rFonts w:ascii="Times New Roman" w:hAnsi="Times New Roman" w:cs="Times New Roman"/>
        </w:rPr>
        <w:t>Wyrok SN z dnia 8 marca 2017 r., (sygn. akt II UK 753/15), wskazuje, że w przypadku wykonywania pracy zarobkowej w okresie orzeczonej niezdolności do pracy, wypłacone świadczenia nie mogą być uznane za nienależnie pobrane świadczenia, gdyż nie jest spełniona przesłanka określona w art. 84 ust. 2 pkt 1 ustawy o systemie ubezpieczeń społecznych tj. pouczenie świadczeniobiorcy o braku prawa do pobierania świadczeń. Natomiast z wyroku SN z dnia 26 lipca 2017 r., (sygn. akt I UK 287/16) wynika, iż mimo że świadczeniobiorca nie był pouczony o braku prawa do pobierania świadczeń, wypłacone mu świadczenie może być uznane za nienależnie pobrane, gdyż wykonując pracę w czasie zwolnienia lekarskiego świadomie wprowadził w błąd organ rentowy (art. 84 ust. 2 pkt 2 ustawy).</w:t>
      </w:r>
    </w:p>
    <w:p w:rsidR="008A749B" w:rsidRPr="00304DFA" w:rsidRDefault="008A749B" w:rsidP="008A749B">
      <w:pPr>
        <w:spacing w:after="0" w:line="360" w:lineRule="auto"/>
        <w:jc w:val="both"/>
        <w:rPr>
          <w:rFonts w:ascii="Times New Roman" w:hAnsi="Times New Roman" w:cs="Times New Roman"/>
        </w:rPr>
      </w:pPr>
      <w:r w:rsidRPr="00304DFA">
        <w:rPr>
          <w:rFonts w:ascii="Times New Roman" w:hAnsi="Times New Roman" w:cs="Times New Roman"/>
        </w:rPr>
        <w:t xml:space="preserve">Należy zauważyć, że w przypadku wykonywania pracy zarobkowej w okresie orzeczonej niezdolności do pracy lub wykorzystywania zwolnienia od pracy w sposób niezgodny z celem tego zwolnienia zachodzą przesłanki do uznania świadczeń za nienależnie pobrane na podstawie art. 84 ust. 2 pkt 2 ustawy o systemie ubezpieczeń społecznych i w konsekwencji </w:t>
      </w:r>
      <w:r w:rsidR="00162AE1">
        <w:rPr>
          <w:rFonts w:ascii="Times New Roman" w:hAnsi="Times New Roman" w:cs="Times New Roman"/>
        </w:rPr>
        <w:t>ZUS</w:t>
      </w:r>
      <w:r w:rsidRPr="00304DFA">
        <w:rPr>
          <w:rFonts w:ascii="Times New Roman" w:hAnsi="Times New Roman" w:cs="Times New Roman"/>
        </w:rPr>
        <w:t xml:space="preserve"> wydaje decyzje odmawiające prawa do zasiłku i zobowiązujące do zwrotu nienależnie pobranego zasiłku. Zmiana przepisu w kierunku jego doprecyzowania pozwoli wyeliminować ryzyko różnych interpretacji.</w:t>
      </w:r>
    </w:p>
    <w:p w:rsidR="00E130DB" w:rsidRDefault="008A749B" w:rsidP="008A749B">
      <w:pPr>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Zmiana przepisu art. 84 ust. 4 ustawy o systemie ubezpieczeń społecznych podyktowana jest </w:t>
      </w:r>
      <w:r w:rsidR="00E130DB">
        <w:rPr>
          <w:rFonts w:ascii="Times New Roman" w:eastAsia="Calibri" w:hAnsi="Times New Roman" w:cs="Times New Roman"/>
        </w:rPr>
        <w:t>k</w:t>
      </w:r>
      <w:r w:rsidRPr="00304DFA">
        <w:rPr>
          <w:rFonts w:ascii="Times New Roman" w:eastAsia="Calibri" w:hAnsi="Times New Roman" w:cs="Times New Roman"/>
        </w:rPr>
        <w:t>oniecznością rozszerzenia trybów dochodzenia należności z tytułu nienależnie pobranych świadczeń. Obecnie tego rodzaju należności mogą być dochodzone w trybie egzekucji administracyjnej, co w praktyce oznacza, że np. w przypadku prowadzenia egzekucji</w:t>
      </w:r>
      <w:r>
        <w:rPr>
          <w:rFonts w:ascii="Times New Roman" w:eastAsia="Calibri" w:hAnsi="Times New Roman" w:cs="Times New Roman"/>
        </w:rPr>
        <w:t xml:space="preserve"> </w:t>
      </w:r>
      <w:r w:rsidRPr="00304DFA">
        <w:rPr>
          <w:rFonts w:ascii="Times New Roman" w:eastAsia="Calibri" w:hAnsi="Times New Roman" w:cs="Times New Roman"/>
        </w:rPr>
        <w:t xml:space="preserve">z nieruchomości przez komornika sądowego brak jest podstaw prawnych do przyłączenia się do egzekucji. Proponowane rozwiązanie może przyczynić się do zwiększenia skuteczności odzyskiwania należności przez </w:t>
      </w:r>
      <w:r w:rsidR="00162AE1">
        <w:rPr>
          <w:rFonts w:ascii="Times New Roman" w:eastAsia="Calibri" w:hAnsi="Times New Roman" w:cs="Times New Roman"/>
        </w:rPr>
        <w:t>ZUS</w:t>
      </w:r>
      <w:r w:rsidRPr="00304DFA">
        <w:rPr>
          <w:rFonts w:ascii="Times New Roman" w:eastAsia="Calibri" w:hAnsi="Times New Roman" w:cs="Times New Roman"/>
        </w:rPr>
        <w:t xml:space="preserve">. </w:t>
      </w:r>
    </w:p>
    <w:p w:rsidR="008A749B" w:rsidRPr="00304DFA" w:rsidRDefault="008A749B" w:rsidP="008A749B">
      <w:pPr>
        <w:spacing w:after="0" w:line="360" w:lineRule="auto"/>
        <w:jc w:val="both"/>
        <w:rPr>
          <w:rFonts w:ascii="Times New Roman" w:eastAsia="Calibri" w:hAnsi="Times New Roman" w:cs="Times New Roman"/>
        </w:rPr>
      </w:pPr>
      <w:r w:rsidRPr="00304DFA">
        <w:rPr>
          <w:rFonts w:ascii="Times New Roman" w:eastAsia="Calibri" w:hAnsi="Times New Roman" w:cs="Times New Roman"/>
        </w:rPr>
        <w:lastRenderedPageBreak/>
        <w:t>Natomiast zmiana doprecyzująca przepis art. 84 ust. 6 ustawy o systemie ubezpieczeń społecznych ma na celu, by z przepisu jednoznacznie wynikało, że dotyczy przypadków, w których  przekazanie przez płatnika składek lub inny podmiot nieprawdziwych danych spowodowało wypłacenie świadczeń, które się nie należały świadczeniobiorcy ale nie można uznać ich za świadczenia, o których mowa w art. 84 ust. 2 ustawy</w:t>
      </w:r>
      <w:r w:rsidR="003D5DBA">
        <w:rPr>
          <w:rFonts w:ascii="Times New Roman" w:eastAsia="Calibri" w:hAnsi="Times New Roman" w:cs="Times New Roman"/>
        </w:rPr>
        <w:t xml:space="preserve"> o systemie ubezpieczeń społecznych</w:t>
      </w:r>
      <w:r w:rsidRPr="00304DFA">
        <w:rPr>
          <w:rFonts w:ascii="Times New Roman" w:eastAsia="Calibri" w:hAnsi="Times New Roman" w:cs="Times New Roman"/>
        </w:rPr>
        <w:t>, do zwrotu których zobowiązana jest osoba, która je pobrała nienależnie. </w:t>
      </w:r>
    </w:p>
    <w:p w:rsidR="008A749B" w:rsidRDefault="008A749B" w:rsidP="008A749B">
      <w:pPr>
        <w:spacing w:after="120" w:line="360" w:lineRule="auto"/>
        <w:jc w:val="both"/>
        <w:rPr>
          <w:rFonts w:ascii="Times New Roman" w:eastAsia="Calibri" w:hAnsi="Times New Roman" w:cs="Times New Roman"/>
        </w:rPr>
      </w:pPr>
      <w:r w:rsidRPr="00304DFA">
        <w:rPr>
          <w:rFonts w:ascii="Times New Roman" w:eastAsia="Calibri" w:hAnsi="Times New Roman" w:cs="Times New Roman"/>
        </w:rPr>
        <w:t>Zaproponowane brzmienie jest zgodne z linią orzeczniczą Sądów</w:t>
      </w:r>
      <w:r w:rsidRPr="00304DFA">
        <w:rPr>
          <w:rStyle w:val="Odwoanieprzypisudolnego"/>
          <w:rFonts w:ascii="Times New Roman" w:eastAsia="Calibri" w:hAnsi="Times New Roman" w:cs="Times New Roman"/>
        </w:rPr>
        <w:footnoteReference w:id="1"/>
      </w:r>
      <w:r w:rsidRPr="00304DFA">
        <w:rPr>
          <w:rFonts w:ascii="Times New Roman" w:eastAsia="Calibri" w:hAnsi="Times New Roman" w:cs="Times New Roman"/>
        </w:rPr>
        <w:t>.</w:t>
      </w:r>
    </w:p>
    <w:p w:rsidR="003950B0" w:rsidRPr="00304DFA" w:rsidRDefault="003950B0" w:rsidP="003950B0">
      <w:pPr>
        <w:pStyle w:val="Akapitzlist"/>
        <w:numPr>
          <w:ilvl w:val="0"/>
          <w:numId w:val="17"/>
        </w:numPr>
        <w:spacing w:after="120" w:line="360" w:lineRule="auto"/>
        <w:ind w:left="0" w:hanging="284"/>
        <w:jc w:val="both"/>
        <w:rPr>
          <w:rFonts w:ascii="Times New Roman" w:eastAsia="Calibri" w:hAnsi="Times New Roman" w:cs="Times New Roman"/>
          <w:b/>
        </w:rPr>
      </w:pPr>
      <w:r w:rsidRPr="00304DFA">
        <w:rPr>
          <w:rFonts w:ascii="Times New Roman" w:eastAsia="Calibri" w:hAnsi="Times New Roman" w:cs="Times New Roman"/>
          <w:b/>
        </w:rPr>
        <w:t>Ujednolicenie zasad postępowania przy prawie do zasiłku chorobowego z ubezpieczenia wypadkowego i chorobowego (</w:t>
      </w:r>
      <w:r w:rsidRPr="00304DFA">
        <w:rPr>
          <w:rFonts w:ascii="Times New Roman" w:hAnsi="Times New Roman" w:cs="Times New Roman"/>
          <w:b/>
        </w:rPr>
        <w:t>ustawa z dnia 30 października 2002 r. o ubezpieczeniu społecznym z tytułu wypadków przy pracy i chorób zawodowych</w:t>
      </w:r>
      <w:r w:rsidR="003D5DBA">
        <w:rPr>
          <w:rFonts w:ascii="Times New Roman" w:hAnsi="Times New Roman" w:cs="Times New Roman"/>
          <w:b/>
        </w:rPr>
        <w:t xml:space="preserve"> </w:t>
      </w:r>
      <w:r w:rsidR="00021610" w:rsidRPr="00021610">
        <w:rPr>
          <w:rFonts w:ascii="Times New Roman" w:hAnsi="Times New Roman" w:cs="Times New Roman"/>
          <w:b/>
        </w:rPr>
        <w:t xml:space="preserve">(Dz. U. z 2019 r. poz. 1205) </w:t>
      </w:r>
      <w:r w:rsidR="003D5DBA" w:rsidRPr="00304DFA">
        <w:rPr>
          <w:rFonts w:ascii="Times New Roman" w:hAnsi="Times New Roman" w:cs="Times New Roman"/>
          <w:b/>
        </w:rPr>
        <w:t>–</w:t>
      </w:r>
      <w:r w:rsidRPr="00304DFA">
        <w:rPr>
          <w:rFonts w:ascii="Times New Roman" w:eastAsia="Calibri" w:hAnsi="Times New Roman" w:cs="Times New Roman"/>
          <w:b/>
        </w:rPr>
        <w:t xml:space="preserve"> art. 8 ust. 3</w:t>
      </w:r>
      <w:r w:rsidRPr="00304DFA">
        <w:rPr>
          <w:rFonts w:ascii="Times New Roman" w:hAnsi="Times New Roman" w:cs="Times New Roman"/>
          <w:b/>
        </w:rPr>
        <w:t>).</w:t>
      </w:r>
    </w:p>
    <w:p w:rsidR="003950B0" w:rsidRPr="00304DFA" w:rsidRDefault="003950B0" w:rsidP="003950B0">
      <w:pPr>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Proponowana zmiana ma na celu ujednolicenie zapisów zawartych w art. 12 ust. 1 ustawy </w:t>
      </w:r>
      <w:r w:rsidR="00021610" w:rsidRPr="00021610">
        <w:rPr>
          <w:rFonts w:ascii="Times New Roman" w:eastAsia="Calibri" w:hAnsi="Times New Roman" w:cs="Times New Roman"/>
        </w:rPr>
        <w:t>z dnia 25 czerwca 1999 r.</w:t>
      </w:r>
      <w:r w:rsidR="00021610">
        <w:rPr>
          <w:rFonts w:ascii="Times New Roman" w:eastAsia="Calibri" w:hAnsi="Times New Roman" w:cs="Times New Roman"/>
        </w:rPr>
        <w:t xml:space="preserve"> </w:t>
      </w:r>
      <w:r w:rsidRPr="00304DFA">
        <w:rPr>
          <w:rFonts w:ascii="Times New Roman" w:hAnsi="Times New Roman" w:cs="Times New Roman"/>
        </w:rPr>
        <w:t>o świadczeniach pieniężnych z ubezpieczenia społecznego w razie choroby i macierzyństwa</w:t>
      </w:r>
      <w:r w:rsidRPr="00304DFA">
        <w:rPr>
          <w:rFonts w:ascii="Times New Roman" w:eastAsia="Calibri" w:hAnsi="Times New Roman" w:cs="Times New Roman"/>
        </w:rPr>
        <w:t xml:space="preserve"> i art. 8 ust. 3 ustawy </w:t>
      </w:r>
      <w:r w:rsidR="00021610" w:rsidRPr="00021610">
        <w:rPr>
          <w:rFonts w:ascii="Times New Roman" w:eastAsia="Calibri" w:hAnsi="Times New Roman" w:cs="Times New Roman"/>
        </w:rPr>
        <w:t xml:space="preserve">z dnia 30 października 2002 r. </w:t>
      </w:r>
      <w:r w:rsidRPr="00304DFA">
        <w:rPr>
          <w:rFonts w:ascii="Times New Roman" w:hAnsi="Times New Roman" w:cs="Times New Roman"/>
        </w:rPr>
        <w:t>o ubezpieczeniu społecznym z tytułu wypadków przy pracy i chorób zawodowych</w:t>
      </w:r>
      <w:r w:rsidRPr="00304DFA">
        <w:rPr>
          <w:rFonts w:ascii="Times New Roman" w:eastAsia="Calibri" w:hAnsi="Times New Roman" w:cs="Times New Roman"/>
        </w:rPr>
        <w:t xml:space="preserve"> oraz zasad odmowy prawa do zasiłku chorobowego z ubezpieczenia chorobowego i wypadkowego. Zgodnie z obecnym brzmieniem art. 8 ust. 3 ustawy </w:t>
      </w:r>
      <w:r w:rsidR="00E475DC" w:rsidRPr="00E475DC">
        <w:rPr>
          <w:rFonts w:ascii="Times New Roman" w:eastAsia="Calibri" w:hAnsi="Times New Roman" w:cs="Times New Roman"/>
        </w:rPr>
        <w:t xml:space="preserve">z dnia 30 października 2002 r. </w:t>
      </w:r>
      <w:r w:rsidRPr="00304DFA">
        <w:rPr>
          <w:rFonts w:ascii="Times New Roman" w:hAnsi="Times New Roman" w:cs="Times New Roman"/>
        </w:rPr>
        <w:t>o ubezpieczeniu społecznym z tytułu wypadków przy pracy i chorób zawodowych</w:t>
      </w:r>
      <w:r w:rsidRPr="00304DFA">
        <w:rPr>
          <w:rFonts w:ascii="Times New Roman" w:eastAsia="Calibri" w:hAnsi="Times New Roman" w:cs="Times New Roman"/>
        </w:rPr>
        <w:t xml:space="preserve">, zasiłek chorobowy z ubezpieczenia wypadkowego nie przysługuje za okresy niezdolności do pracy spowodowanej wypadkiem przy pracy lub chorobą zawodową, za które ubezpieczony na podstawie odrębnych przepisów zachowuje prawo do wynagrodzenia, uposażenia, stypendium lub innego świadczenia przysługującego za czas niezdolności do pracy. Nie zostało zdefiniowane przez ustawodawcę określenie „odrębne przepisy” zatem przyjmuje się, że chodzi o akty prawodawcze powszechnie obowiązujące (ustawy, akty wykonawcze wydane na podstawie ustawy). Tymczasem zgodnie z art. 12 ust. 1 ustawy </w:t>
      </w:r>
      <w:r w:rsidR="00021610" w:rsidRPr="00021610">
        <w:rPr>
          <w:rFonts w:ascii="Times New Roman" w:eastAsia="Calibri" w:hAnsi="Times New Roman" w:cs="Times New Roman"/>
        </w:rPr>
        <w:t xml:space="preserve">z dnia 25 czerwca 1999 r. </w:t>
      </w:r>
      <w:r w:rsidRPr="00304DFA">
        <w:rPr>
          <w:rFonts w:ascii="Times New Roman" w:hAnsi="Times New Roman" w:cs="Times New Roman"/>
        </w:rPr>
        <w:t>o świadczeniach pieniężnych z ubezpieczenia społecznego w razie choroby i macierzyństwa</w:t>
      </w:r>
      <w:r w:rsidRPr="00304DFA">
        <w:rPr>
          <w:rFonts w:ascii="Times New Roman" w:eastAsia="Calibri" w:hAnsi="Times New Roman" w:cs="Times New Roman"/>
        </w:rPr>
        <w:t xml:space="preserve">, zasiłek chorobowy nie przysługuje za okresy niezdolności do pracy, w których ubezpieczony na podstawie przepisów  o wynagradzaniu zachowuje prawo do wynagrodzenia. Przez „przepisy o wynagradzaniu” rozumiane </w:t>
      </w:r>
      <w:r w:rsidR="002A0F1F">
        <w:rPr>
          <w:rFonts w:ascii="Times New Roman" w:eastAsia="Calibri" w:hAnsi="Times New Roman" w:cs="Times New Roman"/>
        </w:rPr>
        <w:t>są</w:t>
      </w:r>
      <w:r w:rsidR="002A0F1F" w:rsidRPr="00304DFA">
        <w:rPr>
          <w:rFonts w:ascii="Times New Roman" w:eastAsia="Calibri" w:hAnsi="Times New Roman" w:cs="Times New Roman"/>
        </w:rPr>
        <w:t xml:space="preserve"> </w:t>
      </w:r>
      <w:r w:rsidRPr="00304DFA">
        <w:rPr>
          <w:rFonts w:ascii="Times New Roman" w:eastAsia="Calibri" w:hAnsi="Times New Roman" w:cs="Times New Roman"/>
        </w:rPr>
        <w:t xml:space="preserve">regulacje Kodeksu pracy i przepisy szczególne odnoszące się do określonych kategorii pracowników, a także np. zapisy umów o pracę. </w:t>
      </w:r>
    </w:p>
    <w:p w:rsidR="00AE64A1" w:rsidRDefault="003950B0" w:rsidP="00AE64A1">
      <w:pPr>
        <w:spacing w:after="120" w:line="360" w:lineRule="auto"/>
        <w:jc w:val="both"/>
        <w:rPr>
          <w:rFonts w:ascii="Times New Roman" w:eastAsia="Calibri" w:hAnsi="Times New Roman" w:cs="Times New Roman"/>
        </w:rPr>
      </w:pPr>
      <w:r w:rsidRPr="00304DFA">
        <w:rPr>
          <w:rFonts w:ascii="Times New Roman" w:eastAsia="Calibri" w:hAnsi="Times New Roman" w:cs="Times New Roman"/>
        </w:rPr>
        <w:t xml:space="preserve">Różnica w brzmieniu powyższych przepisów sprowadza się do użycia sformułowania „odrębne przepisy” i „przepisy o wynagradzaniu”. Jednakże powinny być stosowane jednolite zasady postępowania i w tym celu należy dostosować brzmienie art. 8 ust. 3 ustawy </w:t>
      </w:r>
      <w:r w:rsidR="00E475DC" w:rsidRPr="00E475DC">
        <w:rPr>
          <w:rFonts w:ascii="Times New Roman" w:eastAsia="Calibri" w:hAnsi="Times New Roman" w:cs="Times New Roman"/>
        </w:rPr>
        <w:t xml:space="preserve">z dnia 30 października 2002 r. </w:t>
      </w:r>
      <w:r w:rsidR="00947AEC" w:rsidRPr="00947AEC">
        <w:rPr>
          <w:rFonts w:ascii="Times New Roman" w:eastAsia="Calibri" w:hAnsi="Times New Roman" w:cs="Times New Roman"/>
        </w:rPr>
        <w:t>o ubezpieczeniu społecznym z tytułu wypadków przy pracy i chorób zawodowych</w:t>
      </w:r>
      <w:r w:rsidR="00947AEC" w:rsidRPr="00947AEC" w:rsidDel="00947AEC">
        <w:rPr>
          <w:rFonts w:ascii="Times New Roman" w:eastAsia="Calibri" w:hAnsi="Times New Roman" w:cs="Times New Roman"/>
        </w:rPr>
        <w:t xml:space="preserve"> </w:t>
      </w:r>
      <w:r w:rsidRPr="00304DFA">
        <w:rPr>
          <w:rFonts w:ascii="Times New Roman" w:eastAsia="Calibri" w:hAnsi="Times New Roman" w:cs="Times New Roman"/>
        </w:rPr>
        <w:t xml:space="preserve">do art. 12 </w:t>
      </w:r>
      <w:r w:rsidRPr="00304DFA">
        <w:rPr>
          <w:rFonts w:ascii="Times New Roman" w:eastAsia="Calibri" w:hAnsi="Times New Roman" w:cs="Times New Roman"/>
        </w:rPr>
        <w:lastRenderedPageBreak/>
        <w:t xml:space="preserve">ust. 1 ustawy </w:t>
      </w:r>
      <w:r w:rsidR="00021610" w:rsidRPr="00021610">
        <w:rPr>
          <w:rFonts w:ascii="Times New Roman" w:eastAsia="Calibri" w:hAnsi="Times New Roman" w:cs="Times New Roman"/>
        </w:rPr>
        <w:t xml:space="preserve">z dnia 25 czerwca 1999 r. </w:t>
      </w:r>
      <w:r w:rsidR="00947AEC" w:rsidRPr="00947AEC">
        <w:rPr>
          <w:rFonts w:ascii="Times New Roman" w:eastAsia="Calibri" w:hAnsi="Times New Roman" w:cs="Times New Roman"/>
        </w:rPr>
        <w:t>o świadczeniach pieniężnych z ubezpieczenia społecznego w razie choroby i macierzyństwa</w:t>
      </w:r>
      <w:r w:rsidRPr="00304DFA">
        <w:rPr>
          <w:rFonts w:ascii="Times New Roman" w:eastAsia="Calibri" w:hAnsi="Times New Roman" w:cs="Times New Roman"/>
        </w:rPr>
        <w:t xml:space="preserve">. </w:t>
      </w:r>
    </w:p>
    <w:p w:rsidR="008A749B" w:rsidRPr="00304DFA" w:rsidRDefault="00AE64A1" w:rsidP="005A0FE7">
      <w:pPr>
        <w:pStyle w:val="Akapitzlist"/>
        <w:numPr>
          <w:ilvl w:val="0"/>
          <w:numId w:val="17"/>
        </w:numPr>
        <w:tabs>
          <w:tab w:val="left" w:pos="7371"/>
        </w:tabs>
        <w:spacing w:after="0" w:line="360" w:lineRule="auto"/>
        <w:ind w:left="0" w:hanging="284"/>
        <w:jc w:val="both"/>
        <w:rPr>
          <w:rFonts w:ascii="Times New Roman" w:hAnsi="Times New Roman" w:cs="Times New Roman"/>
          <w:b/>
        </w:rPr>
      </w:pPr>
      <w:r>
        <w:rPr>
          <w:rFonts w:ascii="Times New Roman" w:hAnsi="Times New Roman" w:cs="Times New Roman"/>
          <w:b/>
        </w:rPr>
        <w:t xml:space="preserve">Zmiany w zakresie </w:t>
      </w:r>
      <w:r w:rsidR="008F1160">
        <w:rPr>
          <w:rFonts w:ascii="Times New Roman" w:hAnsi="Times New Roman" w:cs="Times New Roman"/>
          <w:b/>
        </w:rPr>
        <w:t xml:space="preserve">form </w:t>
      </w:r>
      <w:r w:rsidR="008A749B" w:rsidRPr="00304DFA">
        <w:rPr>
          <w:rFonts w:ascii="Times New Roman" w:hAnsi="Times New Roman" w:cs="Times New Roman"/>
          <w:b/>
        </w:rPr>
        <w:t xml:space="preserve">wypłaty świadczeń długoterminowych (ustawa z dnia 17 grudnia 1998 r. o emeryturach i rentach z Funduszu Ubezpieczeń Społecznych </w:t>
      </w:r>
      <w:r w:rsidR="003D5DBA" w:rsidRPr="00304DFA">
        <w:rPr>
          <w:rFonts w:ascii="Times New Roman" w:hAnsi="Times New Roman" w:cs="Times New Roman"/>
          <w:b/>
        </w:rPr>
        <w:t>–</w:t>
      </w:r>
      <w:r w:rsidR="008A749B" w:rsidRPr="00304DFA">
        <w:rPr>
          <w:rFonts w:ascii="Times New Roman" w:hAnsi="Times New Roman" w:cs="Times New Roman"/>
          <w:b/>
        </w:rPr>
        <w:t xml:space="preserve"> art.  130 i art. 132, ustawa z dnia 27 czerwca 2003 r. o rencie socjalnej </w:t>
      </w:r>
      <w:r w:rsidR="00E475DC" w:rsidRPr="00E475DC">
        <w:rPr>
          <w:rFonts w:ascii="Times New Roman" w:hAnsi="Times New Roman" w:cs="Times New Roman"/>
          <w:b/>
        </w:rPr>
        <w:t xml:space="preserve">(Dz. U. z 2020 r. poz. 1300) </w:t>
      </w:r>
      <w:r w:rsidR="008A749B" w:rsidRPr="00304DFA">
        <w:rPr>
          <w:rFonts w:ascii="Times New Roman" w:hAnsi="Times New Roman" w:cs="Times New Roman"/>
          <w:b/>
        </w:rPr>
        <w:t xml:space="preserve"> </w:t>
      </w:r>
      <w:r w:rsidR="003D5DBA" w:rsidRPr="00304DFA">
        <w:rPr>
          <w:rFonts w:ascii="Times New Roman" w:hAnsi="Times New Roman" w:cs="Times New Roman"/>
          <w:b/>
        </w:rPr>
        <w:t>–</w:t>
      </w:r>
      <w:r w:rsidR="008A749B" w:rsidRPr="00304DFA">
        <w:rPr>
          <w:rFonts w:ascii="Times New Roman" w:hAnsi="Times New Roman" w:cs="Times New Roman"/>
          <w:b/>
        </w:rPr>
        <w:t xml:space="preserve"> art. 12c oraz ustawa z dnia 25 czerwca 1999 r. o świadczeniach pieniężnych z ubezpieczenia społecznego w razie choroby i macierzyństwa </w:t>
      </w:r>
      <w:r w:rsidR="003D5DBA" w:rsidRPr="00304DFA">
        <w:rPr>
          <w:rFonts w:ascii="Times New Roman" w:hAnsi="Times New Roman" w:cs="Times New Roman"/>
          <w:b/>
        </w:rPr>
        <w:t>–</w:t>
      </w:r>
      <w:r w:rsidR="008A749B" w:rsidRPr="00304DFA">
        <w:rPr>
          <w:rFonts w:ascii="Times New Roman" w:hAnsi="Times New Roman" w:cs="Times New Roman"/>
          <w:b/>
        </w:rPr>
        <w:t xml:space="preserve"> art. 65 ust.</w:t>
      </w:r>
      <w:r w:rsidR="005B48F3">
        <w:rPr>
          <w:rFonts w:ascii="Times New Roman" w:hAnsi="Times New Roman" w:cs="Times New Roman"/>
          <w:b/>
        </w:rPr>
        <w:t xml:space="preserve"> </w:t>
      </w:r>
      <w:r w:rsidR="008A749B" w:rsidRPr="00304DFA">
        <w:rPr>
          <w:rFonts w:ascii="Times New Roman" w:hAnsi="Times New Roman" w:cs="Times New Roman"/>
          <w:b/>
        </w:rPr>
        <w:t>3)</w:t>
      </w:r>
    </w:p>
    <w:p w:rsidR="00AE64A1" w:rsidRPr="00AE64A1" w:rsidRDefault="00AE64A1" w:rsidP="00AE64A1">
      <w:pPr>
        <w:spacing w:after="0" w:line="360" w:lineRule="auto"/>
        <w:jc w:val="both"/>
        <w:rPr>
          <w:rFonts w:ascii="Times New Roman" w:hAnsi="Times New Roman" w:cs="Times New Roman"/>
        </w:rPr>
      </w:pPr>
      <w:r w:rsidRPr="00AE64A1">
        <w:rPr>
          <w:rFonts w:ascii="Times New Roman" w:hAnsi="Times New Roman" w:cs="Times New Roman"/>
        </w:rPr>
        <w:t>Bezgotówkowa forma wypłaty świadczeń jest formą bezpieczniejszą, również w kontekście pandemii –</w:t>
      </w:r>
      <w:r w:rsidR="00947AEC">
        <w:rPr>
          <w:rFonts w:ascii="Times New Roman" w:hAnsi="Times New Roman" w:cs="Times New Roman"/>
        </w:rPr>
        <w:t xml:space="preserve"> </w:t>
      </w:r>
      <w:r w:rsidRPr="00AE64A1">
        <w:rPr>
          <w:rFonts w:ascii="Times New Roman" w:hAnsi="Times New Roman" w:cs="Times New Roman"/>
        </w:rPr>
        <w:t>z uwagi na zmniejszone ryzyko przenoszenia bakterii i wirusów. Przelew bankowy dociera do świadczeniobiorcy szybciej niż przekaz pocztowy, jest o wiele bardziej niezawodny, a także praktycznie bezkosztowy do realizacji. Rozwiązania jakimi dysponuje sektor bankowo-finansowy</w:t>
      </w:r>
      <w:r w:rsidR="00E17AB7">
        <w:rPr>
          <w:rFonts w:ascii="Times New Roman" w:hAnsi="Times New Roman" w:cs="Times New Roman"/>
        </w:rPr>
        <w:t>,</w:t>
      </w:r>
      <w:r w:rsidRPr="00AE64A1">
        <w:rPr>
          <w:rFonts w:ascii="Times New Roman" w:hAnsi="Times New Roman" w:cs="Times New Roman"/>
        </w:rPr>
        <w:t xml:space="preserve"> tj. podstawowy rachunek płatniczy, karty płatnicze z funkcją zbliżeniową, rozwinięta sieć terminali płatniczych, płatności z wykorzystaniem smartfonów</w:t>
      </w:r>
      <w:r w:rsidR="00947AEC">
        <w:rPr>
          <w:rFonts w:ascii="Times New Roman" w:hAnsi="Times New Roman" w:cs="Times New Roman"/>
        </w:rPr>
        <w:t>,</w:t>
      </w:r>
      <w:r w:rsidRPr="00AE64A1">
        <w:rPr>
          <w:rFonts w:ascii="Times New Roman" w:hAnsi="Times New Roman" w:cs="Times New Roman"/>
        </w:rPr>
        <w:t xml:space="preserve"> dają gwarancję bezpiecznego i szybkiego dostępu do środków finansowych. Należy zaznaczyć, że propozycja dotyczy świadczeń długoterminowych przyznawanych od 1 stycznia 2022 r., dla których wprowadzono zasadę, że świadczenia te będą przekazywane w formie bezgotówkowej lub za pośrednictwem podmiotów prowadzących działalność w zakresie doręczania świadczeń. Wprowadzana zmiana zrównuje te dwie formy wypłaty. Analogiczną zasadę proponuje się wprowadzić również w przypadku rent socjalnych. </w:t>
      </w:r>
    </w:p>
    <w:p w:rsidR="00AE64A1" w:rsidRPr="00AE64A1" w:rsidRDefault="00AE64A1" w:rsidP="00AE64A1">
      <w:pPr>
        <w:spacing w:after="0" w:line="360" w:lineRule="auto"/>
        <w:jc w:val="both"/>
        <w:rPr>
          <w:rFonts w:ascii="Times New Roman" w:hAnsi="Times New Roman" w:cs="Times New Roman"/>
        </w:rPr>
      </w:pPr>
      <w:r w:rsidRPr="00AE64A1">
        <w:rPr>
          <w:rFonts w:ascii="Times New Roman" w:hAnsi="Times New Roman" w:cs="Times New Roman"/>
        </w:rPr>
        <w:t>Obecnie, wg danych ZUS 81% nowo przyznanych w 2019 r. świadczeń długoterminowych było wypłacanych na rachunki płatnicze, co oznacza, że wśród nowych świadczeniobiorców, którzy byli niedawno czynni zawodowo, posiadanie rachunku jest rozwiązaniem powszechnym i preferowanym. Obecnie procent przekazywania wszystkich długoterminowych świadczeń wypłacanych przez ZUS na rachunek płatniczy wynosi 73,1%, a w zależności od rodzaju świadczenia wynosi:</w:t>
      </w:r>
    </w:p>
    <w:tbl>
      <w:tblPr>
        <w:tblW w:w="0" w:type="auto"/>
        <w:tblInd w:w="-41" w:type="dxa"/>
        <w:tblLayout w:type="fixed"/>
        <w:tblCellMar>
          <w:top w:w="54" w:type="dxa"/>
          <w:left w:w="61" w:type="dxa"/>
          <w:bottom w:w="54" w:type="dxa"/>
          <w:right w:w="61" w:type="dxa"/>
        </w:tblCellMar>
        <w:tblLook w:val="00A0" w:firstRow="1" w:lastRow="0" w:firstColumn="1" w:lastColumn="0" w:noHBand="0" w:noVBand="0"/>
      </w:tblPr>
      <w:tblGrid>
        <w:gridCol w:w="5281"/>
        <w:gridCol w:w="1559"/>
        <w:gridCol w:w="1418"/>
      </w:tblGrid>
      <w:tr w:rsidR="00AE64A1" w:rsidTr="008A0CEE">
        <w:trPr>
          <w:trHeight w:val="415"/>
        </w:trPr>
        <w:tc>
          <w:tcPr>
            <w:tcW w:w="5281" w:type="dxa"/>
            <w:tcBorders>
              <w:top w:val="single" w:sz="4" w:space="0" w:color="4181C0"/>
              <w:left w:val="single" w:sz="4" w:space="0" w:color="4181C0"/>
              <w:bottom w:val="single" w:sz="12"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i/>
                <w:iCs/>
                <w:color w:val="000000"/>
                <w:sz w:val="16"/>
                <w:szCs w:val="16"/>
              </w:rPr>
            </w:pPr>
            <w:r>
              <w:rPr>
                <w:rFonts w:ascii="Times New Roman" w:hAnsi="Times New Roman" w:cs="Times New Roman"/>
                <w:b/>
                <w:bCs/>
                <w:i/>
                <w:iCs/>
                <w:color w:val="000000"/>
                <w:sz w:val="16"/>
                <w:szCs w:val="16"/>
              </w:rPr>
              <w:t>Świadczenie</w:t>
            </w:r>
          </w:p>
        </w:tc>
        <w:tc>
          <w:tcPr>
            <w:tcW w:w="1559" w:type="dxa"/>
            <w:tcBorders>
              <w:top w:val="single" w:sz="4" w:space="0" w:color="4181C0"/>
              <w:left w:val="single" w:sz="4" w:space="0" w:color="4181C0"/>
              <w:bottom w:val="single" w:sz="12"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i/>
                <w:iCs/>
                <w:color w:val="000000"/>
                <w:sz w:val="16"/>
                <w:szCs w:val="16"/>
              </w:rPr>
            </w:pPr>
            <w:r>
              <w:rPr>
                <w:rFonts w:ascii="Times New Roman" w:hAnsi="Times New Roman" w:cs="Times New Roman"/>
                <w:b/>
                <w:bCs/>
                <w:i/>
                <w:iCs/>
                <w:color w:val="000000"/>
                <w:sz w:val="16"/>
                <w:szCs w:val="16"/>
              </w:rPr>
              <w:t>Liczba wypłat</w:t>
            </w:r>
          </w:p>
        </w:tc>
        <w:tc>
          <w:tcPr>
            <w:tcW w:w="1418" w:type="dxa"/>
            <w:tcBorders>
              <w:top w:val="single" w:sz="4" w:space="0" w:color="4181C0"/>
              <w:left w:val="single" w:sz="4" w:space="0" w:color="4181C0"/>
              <w:bottom w:val="single" w:sz="12"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i/>
                <w:iCs/>
                <w:color w:val="000000"/>
                <w:sz w:val="16"/>
                <w:szCs w:val="16"/>
              </w:rPr>
            </w:pPr>
            <w:r>
              <w:rPr>
                <w:rFonts w:ascii="Times New Roman" w:hAnsi="Times New Roman" w:cs="Times New Roman"/>
                <w:b/>
                <w:bCs/>
                <w:i/>
                <w:iCs/>
                <w:color w:val="000000"/>
                <w:sz w:val="16"/>
                <w:szCs w:val="16"/>
              </w:rPr>
              <w:t>Poziom ubankowienia</w:t>
            </w:r>
          </w:p>
        </w:tc>
      </w:tr>
      <w:tr w:rsidR="00AE64A1" w:rsidTr="008A0CEE">
        <w:trPr>
          <w:trHeight w:val="293"/>
        </w:trPr>
        <w:tc>
          <w:tcPr>
            <w:tcW w:w="5281" w:type="dxa"/>
            <w:tcBorders>
              <w:top w:val="single" w:sz="12"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Emerytury</w:t>
            </w:r>
          </w:p>
        </w:tc>
        <w:tc>
          <w:tcPr>
            <w:tcW w:w="1559" w:type="dxa"/>
            <w:tcBorders>
              <w:top w:val="single" w:sz="12"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6 129 049</w:t>
            </w:r>
          </w:p>
        </w:tc>
        <w:tc>
          <w:tcPr>
            <w:tcW w:w="1418" w:type="dxa"/>
            <w:tcBorders>
              <w:top w:val="single" w:sz="12"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76,2%</w:t>
            </w:r>
          </w:p>
        </w:tc>
      </w:tr>
      <w:tr w:rsidR="00AE64A1" w:rsidTr="008A0CEE">
        <w:trPr>
          <w:trHeight w:val="296"/>
        </w:trPr>
        <w:tc>
          <w:tcPr>
            <w:tcW w:w="5281"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renty z tytułu niezdolności do pracy</w:t>
            </w:r>
          </w:p>
        </w:tc>
        <w:tc>
          <w:tcPr>
            <w:tcW w:w="1559"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695 347</w:t>
            </w:r>
          </w:p>
        </w:tc>
        <w:tc>
          <w:tcPr>
            <w:tcW w:w="1418"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72,6%</w:t>
            </w:r>
          </w:p>
        </w:tc>
      </w:tr>
      <w:tr w:rsidR="00AE64A1" w:rsidTr="008A0CEE">
        <w:trPr>
          <w:trHeight w:val="174"/>
        </w:trPr>
        <w:tc>
          <w:tcPr>
            <w:tcW w:w="5281"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renty rodzinne</w:t>
            </w:r>
          </w:p>
        </w:tc>
        <w:tc>
          <w:tcPr>
            <w:tcW w:w="1559"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1 248 021</w:t>
            </w:r>
          </w:p>
        </w:tc>
        <w:tc>
          <w:tcPr>
            <w:tcW w:w="1418"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60,0%</w:t>
            </w:r>
          </w:p>
        </w:tc>
      </w:tr>
      <w:tr w:rsidR="00AE64A1" w:rsidTr="008A0CEE">
        <w:trPr>
          <w:trHeight w:val="291"/>
        </w:trPr>
        <w:tc>
          <w:tcPr>
            <w:tcW w:w="5281"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świadczenia i zasiłki przedemerytalne</w:t>
            </w:r>
          </w:p>
        </w:tc>
        <w:tc>
          <w:tcPr>
            <w:tcW w:w="1559"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72 296</w:t>
            </w:r>
          </w:p>
        </w:tc>
        <w:tc>
          <w:tcPr>
            <w:tcW w:w="1418"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91,7%</w:t>
            </w:r>
          </w:p>
        </w:tc>
      </w:tr>
      <w:tr w:rsidR="00AE64A1" w:rsidTr="008A0CEE">
        <w:trPr>
          <w:trHeight w:val="170"/>
        </w:trPr>
        <w:tc>
          <w:tcPr>
            <w:tcW w:w="5281"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renty socjalne </w:t>
            </w:r>
          </w:p>
        </w:tc>
        <w:tc>
          <w:tcPr>
            <w:tcW w:w="1559"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224 360</w:t>
            </w:r>
          </w:p>
        </w:tc>
        <w:tc>
          <w:tcPr>
            <w:tcW w:w="1418"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59,7%</w:t>
            </w:r>
          </w:p>
        </w:tc>
      </w:tr>
      <w:tr w:rsidR="00AE64A1" w:rsidTr="008A0CEE">
        <w:trPr>
          <w:trHeight w:val="302"/>
        </w:trPr>
        <w:tc>
          <w:tcPr>
            <w:tcW w:w="5281"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emerytury pomostowe</w:t>
            </w:r>
          </w:p>
        </w:tc>
        <w:tc>
          <w:tcPr>
            <w:tcW w:w="1559"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33 639</w:t>
            </w:r>
          </w:p>
        </w:tc>
        <w:tc>
          <w:tcPr>
            <w:tcW w:w="1418"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93,6%</w:t>
            </w:r>
          </w:p>
        </w:tc>
      </w:tr>
      <w:tr w:rsidR="00AE64A1" w:rsidTr="008A0CEE">
        <w:trPr>
          <w:trHeight w:val="293"/>
        </w:trPr>
        <w:tc>
          <w:tcPr>
            <w:tcW w:w="5281"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nauczycielskie świadczenia kompensacyjne</w:t>
            </w:r>
          </w:p>
        </w:tc>
        <w:tc>
          <w:tcPr>
            <w:tcW w:w="1559"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13 030</w:t>
            </w:r>
          </w:p>
        </w:tc>
        <w:tc>
          <w:tcPr>
            <w:tcW w:w="1418"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97,6%</w:t>
            </w:r>
          </w:p>
        </w:tc>
      </w:tr>
      <w:tr w:rsidR="00AE64A1" w:rsidTr="008A0CEE">
        <w:trPr>
          <w:trHeight w:val="172"/>
        </w:trPr>
        <w:tc>
          <w:tcPr>
            <w:tcW w:w="5281"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rodzicielskie świadczenia uzupełniające samoistne</w:t>
            </w:r>
          </w:p>
        </w:tc>
        <w:tc>
          <w:tcPr>
            <w:tcW w:w="1559"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17 971</w:t>
            </w:r>
          </w:p>
        </w:tc>
        <w:tc>
          <w:tcPr>
            <w:tcW w:w="1418" w:type="dxa"/>
            <w:tcBorders>
              <w:top w:val="single" w:sz="4" w:space="0" w:color="4181C0"/>
              <w:left w:val="single" w:sz="4" w:space="0" w:color="4181C0"/>
              <w:bottom w:val="single" w:sz="4" w:space="0" w:color="4181C0"/>
              <w:right w:val="single" w:sz="4" w:space="0" w:color="4181C0"/>
            </w:tcBorders>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36,6%</w:t>
            </w:r>
          </w:p>
        </w:tc>
      </w:tr>
      <w:tr w:rsidR="00AE64A1" w:rsidTr="008A0CEE">
        <w:trPr>
          <w:trHeight w:val="304"/>
        </w:trPr>
        <w:tc>
          <w:tcPr>
            <w:tcW w:w="5281"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świadczenia uzupełniające samoistne</w:t>
            </w:r>
          </w:p>
        </w:tc>
        <w:tc>
          <w:tcPr>
            <w:tcW w:w="1559"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25 497</w:t>
            </w:r>
          </w:p>
        </w:tc>
        <w:tc>
          <w:tcPr>
            <w:tcW w:w="1418" w:type="dxa"/>
            <w:tcBorders>
              <w:top w:val="single" w:sz="4" w:space="0" w:color="4181C0"/>
              <w:left w:val="single" w:sz="4" w:space="0" w:color="4181C0"/>
              <w:bottom w:val="single" w:sz="4" w:space="0" w:color="4181C0"/>
              <w:right w:val="single" w:sz="4" w:space="0" w:color="4181C0"/>
            </w:tcBorders>
            <w:shd w:val="clear" w:color="auto" w:fill="E1E1E1"/>
            <w:vAlign w:val="center"/>
            <w:hideMark/>
          </w:tcPr>
          <w:p w:rsidR="00AE64A1" w:rsidRDefault="00AE64A1" w:rsidP="008A0CEE">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32,7%</w:t>
            </w:r>
          </w:p>
        </w:tc>
      </w:tr>
    </w:tbl>
    <w:p w:rsidR="00AE64A1" w:rsidRDefault="00AE64A1" w:rsidP="00AE64A1">
      <w:pPr>
        <w:spacing w:after="120" w:line="360" w:lineRule="auto"/>
        <w:jc w:val="both"/>
        <w:rPr>
          <w:rFonts w:ascii="Times New Roman" w:eastAsia="Calibri" w:hAnsi="Times New Roman" w:cs="Times New Roman"/>
        </w:rPr>
      </w:pPr>
    </w:p>
    <w:p w:rsidR="00AE64A1" w:rsidRPr="00AE64A1" w:rsidRDefault="00AE64A1" w:rsidP="00AE64A1">
      <w:pPr>
        <w:spacing w:after="120" w:line="360" w:lineRule="auto"/>
        <w:jc w:val="both"/>
        <w:rPr>
          <w:rFonts w:ascii="Times New Roman" w:hAnsi="Times New Roman" w:cs="Times New Roman"/>
        </w:rPr>
      </w:pPr>
      <w:r w:rsidRPr="00AE64A1">
        <w:rPr>
          <w:rFonts w:ascii="Times New Roman" w:eastAsia="Calibri" w:hAnsi="Times New Roman" w:cs="Times New Roman"/>
        </w:rPr>
        <w:t xml:space="preserve">Propozycja dotyczy nowych, przyznawanych począwszy od 1 stycznia 2022 r. świadczeń emerytalno-rentowych. Patrząc na obecne wskaźniki tzw. ubankowienia, obecnie już ponad 81% przyznawanych </w:t>
      </w:r>
      <w:r w:rsidRPr="00AE64A1">
        <w:rPr>
          <w:rFonts w:ascii="Times New Roman" w:eastAsia="Calibri" w:hAnsi="Times New Roman" w:cs="Times New Roman"/>
        </w:rPr>
        <w:lastRenderedPageBreak/>
        <w:t>świadczeń długoterminowych było wypłacanych na rachunki płatnicze</w:t>
      </w:r>
      <w:r w:rsidR="00E17AB7">
        <w:rPr>
          <w:rFonts w:ascii="Times New Roman" w:eastAsia="Calibri" w:hAnsi="Times New Roman" w:cs="Times New Roman"/>
        </w:rPr>
        <w:t>.</w:t>
      </w:r>
      <w:r w:rsidRPr="00AE64A1">
        <w:rPr>
          <w:rFonts w:ascii="Times New Roman" w:eastAsia="Calibri" w:hAnsi="Times New Roman" w:cs="Times New Roman"/>
        </w:rPr>
        <w:t xml:space="preserve"> </w:t>
      </w:r>
      <w:r w:rsidR="00E17AB7">
        <w:rPr>
          <w:rFonts w:ascii="Times New Roman" w:eastAsia="Calibri" w:hAnsi="Times New Roman" w:cs="Times New Roman"/>
        </w:rPr>
        <w:t>W</w:t>
      </w:r>
      <w:r w:rsidR="00E17AB7" w:rsidRPr="00AE64A1">
        <w:rPr>
          <w:rFonts w:ascii="Times New Roman" w:hAnsi="Times New Roman" w:cs="Times New Roman"/>
        </w:rPr>
        <w:t xml:space="preserve">prowadzenie </w:t>
      </w:r>
      <w:r w:rsidRPr="00AE64A1">
        <w:rPr>
          <w:rFonts w:ascii="Times New Roman" w:hAnsi="Times New Roman" w:cs="Times New Roman"/>
        </w:rPr>
        <w:t>bezgotówkowej formy wypłaty świadczeń długoterminowych</w:t>
      </w:r>
      <w:r w:rsidR="00807F9F">
        <w:rPr>
          <w:rFonts w:ascii="Times New Roman" w:hAnsi="Times New Roman" w:cs="Times New Roman"/>
        </w:rPr>
        <w:t xml:space="preserve">, przy pozostawieniu obecnie równorzędnej </w:t>
      </w:r>
      <w:r w:rsidRPr="00AE64A1">
        <w:rPr>
          <w:rFonts w:ascii="Times New Roman" w:hAnsi="Times New Roman" w:cs="Times New Roman"/>
        </w:rPr>
        <w:t xml:space="preserve"> </w:t>
      </w:r>
      <w:r w:rsidR="00807F9F">
        <w:rPr>
          <w:rFonts w:ascii="Times New Roman" w:hAnsi="Times New Roman" w:cs="Times New Roman"/>
        </w:rPr>
        <w:t xml:space="preserve">możliwości wypłaty świadczeń za pośrednictwem podmiotów prowadzących działalność w zakresie doręczania świadczeń, </w:t>
      </w:r>
      <w:r w:rsidRPr="00AE64A1">
        <w:rPr>
          <w:rFonts w:ascii="Times New Roman" w:hAnsi="Times New Roman" w:cs="Times New Roman"/>
        </w:rPr>
        <w:t>w przyszłości nie powinno wpłynąć na ew. zwiększenie wysokości opłat bankowych oraz prowadzić do zwiększenia obciążeń finansowych obywateli</w:t>
      </w:r>
      <w:r w:rsidR="00807F9F">
        <w:rPr>
          <w:rFonts w:ascii="Times New Roman" w:hAnsi="Times New Roman" w:cs="Times New Roman"/>
        </w:rPr>
        <w:t>.</w:t>
      </w:r>
      <w:r w:rsidRPr="00AE64A1">
        <w:rPr>
          <w:rFonts w:ascii="Times New Roman" w:hAnsi="Times New Roman" w:cs="Times New Roman"/>
        </w:rPr>
        <w:t xml:space="preserve"> Powyższa propozycja dotyczy również świadczeń długoterminowych (emerytur i rent) wypłacanych z ubezpieczenia społecznego rolników, przyznanych począwszy od 1 stycznia 2021 r.</w:t>
      </w:r>
    </w:p>
    <w:p w:rsidR="00AE64A1" w:rsidRPr="00AE64A1" w:rsidRDefault="00AE64A1" w:rsidP="00AE64A1">
      <w:pPr>
        <w:tabs>
          <w:tab w:val="left" w:pos="-142"/>
        </w:tabs>
        <w:autoSpaceDE w:val="0"/>
        <w:autoSpaceDN w:val="0"/>
        <w:adjustRightInd w:val="0"/>
        <w:spacing w:after="120" w:line="360" w:lineRule="auto"/>
        <w:jc w:val="both"/>
        <w:rPr>
          <w:rFonts w:ascii="Times New Roman" w:eastAsia="Calibri" w:hAnsi="Times New Roman" w:cs="Times New Roman"/>
        </w:rPr>
      </w:pPr>
      <w:r w:rsidRPr="00AE64A1">
        <w:rPr>
          <w:rFonts w:ascii="Times New Roman" w:eastAsia="Calibri" w:hAnsi="Times New Roman" w:cs="Times New Roman"/>
        </w:rPr>
        <w:t>Bez zmian proponuje się pozostawić obecne regulacje przy świadczeniach krótkoterminowych (zasiłki chorobowe, macierzyńskie i opiekuńcze, świadczenia rehabilitacyjne). Obecnie 87,4% wszystkich wypłat kierowana jest na rachunek płatniczy, z tym, że w przypadku zasiłku chorobowego relacja ta wynosi 79,7%, przy zasiłku macierzyńskim 93%, zasiłku opiekuńczym 97,4% , zasiłku pogrzebowym 95,2%</w:t>
      </w:r>
      <w:r w:rsidR="00E17AB7">
        <w:rPr>
          <w:rFonts w:ascii="Times New Roman" w:eastAsia="Calibri" w:hAnsi="Times New Roman" w:cs="Times New Roman"/>
        </w:rPr>
        <w:t>,</w:t>
      </w:r>
      <w:r w:rsidRPr="00AE64A1">
        <w:rPr>
          <w:rFonts w:ascii="Times New Roman" w:eastAsia="Calibri" w:hAnsi="Times New Roman" w:cs="Times New Roman"/>
        </w:rPr>
        <w:t xml:space="preserve"> a przy świadczeniu rehabilitacyjnym – 85,7%. </w:t>
      </w:r>
    </w:p>
    <w:p w:rsidR="00AE64A1" w:rsidRPr="00AE64A1" w:rsidRDefault="00AE64A1" w:rsidP="00AE64A1">
      <w:pPr>
        <w:tabs>
          <w:tab w:val="left" w:pos="-142"/>
        </w:tabs>
        <w:autoSpaceDE w:val="0"/>
        <w:autoSpaceDN w:val="0"/>
        <w:adjustRightInd w:val="0"/>
        <w:spacing w:after="120" w:line="360" w:lineRule="auto"/>
        <w:jc w:val="both"/>
        <w:rPr>
          <w:rFonts w:ascii="Times New Roman" w:hAnsi="Times New Roman" w:cs="Times New Roman"/>
          <w:bCs/>
          <w:color w:val="000000"/>
        </w:rPr>
      </w:pPr>
      <w:r w:rsidRPr="00AE64A1">
        <w:rPr>
          <w:rFonts w:ascii="Times New Roman" w:hAnsi="Times New Roman" w:cs="Times New Roman"/>
          <w:bCs/>
          <w:color w:val="000000"/>
        </w:rPr>
        <w:t>Zgodnie z art. 86 § 3 Kodeksu pracy wypłata wynagrodzenia jest dokonywana na wskazany przez pracownika rachunek płatniczy, chyba że pracownik złożył w postaci papierowej lub elektronicznej wniosek o wypłatę wynagrodzenia do rąk własnych, stąd też trudno wprowadzać obowiązek wypłaty na konto w przypadku świadczeń, przyznawanych pracownikom, których wynagrodzenia są wypłacane do rąk własnych.</w:t>
      </w:r>
    </w:p>
    <w:p w:rsidR="00AE64A1" w:rsidRPr="00AE64A1" w:rsidRDefault="00AE64A1" w:rsidP="00AE64A1">
      <w:pPr>
        <w:tabs>
          <w:tab w:val="left" w:pos="-142"/>
        </w:tabs>
        <w:autoSpaceDE w:val="0"/>
        <w:autoSpaceDN w:val="0"/>
        <w:adjustRightInd w:val="0"/>
        <w:spacing w:after="120" w:line="360" w:lineRule="auto"/>
        <w:jc w:val="both"/>
        <w:rPr>
          <w:rFonts w:ascii="Times New Roman" w:hAnsi="Times New Roman" w:cs="Times New Roman"/>
        </w:rPr>
      </w:pPr>
      <w:r w:rsidRPr="00AE64A1">
        <w:rPr>
          <w:rFonts w:ascii="Times New Roman" w:eastAsia="Calibri" w:hAnsi="Times New Roman" w:cs="Times New Roman"/>
        </w:rPr>
        <w:t>Proponuje się, by zarówno świadczenia długoterminowe</w:t>
      </w:r>
      <w:r w:rsidR="00E17AB7">
        <w:rPr>
          <w:rFonts w:ascii="Times New Roman" w:eastAsia="Calibri" w:hAnsi="Times New Roman" w:cs="Times New Roman"/>
        </w:rPr>
        <w:t>,</w:t>
      </w:r>
      <w:r w:rsidRPr="00AE64A1">
        <w:rPr>
          <w:rFonts w:ascii="Times New Roman" w:eastAsia="Calibri" w:hAnsi="Times New Roman" w:cs="Times New Roman"/>
        </w:rPr>
        <w:t xml:space="preserve"> jak i krótkoterminowe osobom zamieszkałym za granicą wypłacać w formie bezgotówkowej na</w:t>
      </w:r>
      <w:r w:rsidRPr="00AE64A1">
        <w:rPr>
          <w:rFonts w:ascii="Times New Roman" w:hAnsi="Times New Roman" w:cs="Times New Roman"/>
        </w:rPr>
        <w:t xml:space="preserve"> wskazany przez tę osobę jej rachunek płatniczy prowadzony w kraju lub wydany w jej kraju jej instrument płatniczy albo na jej wniosek, na wskazany przez nią rachunek płatniczy prowadzony w kraju lub wydany w kraju instrument płatniczy osoby przez nią upoważnionej do odbioru świadczenia, zamieszkałej w kraju; chyba że umowy międzynarodowe stanowią inaczej. </w:t>
      </w:r>
    </w:p>
    <w:p w:rsidR="00310B3A" w:rsidRPr="00304DFA" w:rsidRDefault="00310B3A" w:rsidP="00A93FCA">
      <w:pPr>
        <w:pStyle w:val="Akapitzlist"/>
        <w:numPr>
          <w:ilvl w:val="0"/>
          <w:numId w:val="17"/>
        </w:numPr>
        <w:spacing w:after="0" w:line="360" w:lineRule="auto"/>
        <w:ind w:left="0" w:hanging="284"/>
        <w:jc w:val="both"/>
        <w:rPr>
          <w:rFonts w:ascii="Times New Roman" w:hAnsi="Times New Roman" w:cs="Times New Roman"/>
          <w:b/>
        </w:rPr>
      </w:pPr>
      <w:r w:rsidRPr="00304DFA">
        <w:rPr>
          <w:rFonts w:ascii="Times New Roman" w:eastAsia="Times New Roman" w:hAnsi="Times New Roman" w:cs="Times New Roman"/>
          <w:b/>
          <w:lang w:eastAsia="pl-PL"/>
        </w:rPr>
        <w:t>Zwiększenie zakresu ochrony rentowej osób, które stały się całkowicie niezdolne do pracy w okresie pobierania świadczenia pielęgnacyjnego, specjalnego zasiłku opiekuńczego lub zasiłku dla opiekuna, bądź po ustaniu prawa do tych świadczeń (</w:t>
      </w:r>
      <w:r w:rsidRPr="00304DFA">
        <w:rPr>
          <w:rFonts w:ascii="Times New Roman" w:hAnsi="Times New Roman" w:cs="Times New Roman"/>
          <w:b/>
        </w:rPr>
        <w:t>ustawa z dnia 17 grudnia 1998 r. o emeryturach i rentach z Funduszu Ubezpieczeń Społecznych – art. 57 i art. 58)</w:t>
      </w:r>
      <w:r w:rsidRPr="00304DFA">
        <w:rPr>
          <w:rFonts w:ascii="Times New Roman" w:eastAsia="Times New Roman" w:hAnsi="Times New Roman" w:cs="Times New Roman"/>
          <w:b/>
          <w:lang w:eastAsia="pl-PL"/>
        </w:rPr>
        <w:t>.</w:t>
      </w:r>
    </w:p>
    <w:p w:rsidR="00310B3A" w:rsidRPr="00304DFA" w:rsidRDefault="00310B3A" w:rsidP="00A93FCA">
      <w:pPr>
        <w:spacing w:after="0" w:line="360" w:lineRule="auto"/>
        <w:jc w:val="both"/>
        <w:rPr>
          <w:rFonts w:ascii="Times New Roman" w:eastAsia="Times New Roman" w:hAnsi="Times New Roman" w:cs="Times New Roman"/>
          <w:lang w:eastAsia="pl-PL"/>
        </w:rPr>
      </w:pPr>
      <w:r w:rsidRPr="00304DFA">
        <w:rPr>
          <w:rFonts w:ascii="Times New Roman" w:eastAsia="Times New Roman" w:hAnsi="Times New Roman" w:cs="Times New Roman"/>
          <w:lang w:eastAsia="pl-PL"/>
        </w:rPr>
        <w:t xml:space="preserve">Obecnie za osoby pobierające ww. świadczenia opiekuńcze wójt, burmistrz lub prezydent miasta opłaca składkę na ubezpieczenia emerytalne i rentowe od podstawy odpowiadającej wysokości danego świadczenia, przez okres niezbędny do spełnienia przez te osoby warunków do uzyskania najniższej emerytury. Warunkiem uzyskania prawa do tej emerytury jest posiadanie okresu ubezpieczenia wynoszącego 25 lat składkowych i nieskładkowych w przypadku mężczyzn oraz 20 lat w przypadku kobiet. Po uzyskaniu przez osoby pobierające świadczenia opiekuńcze wymaganego stażu ubezpieczeniowego obowiązek ich ubezpieczenia ustaje. Oznacza to, że osoby te wraz ze spełnieniem warunków do uzyskania najniższej emerytury zostają pozbawione ochrony ubezpieczeniowej. </w:t>
      </w:r>
    </w:p>
    <w:p w:rsidR="00310B3A" w:rsidRPr="00304DFA" w:rsidRDefault="00310B3A" w:rsidP="00310B3A">
      <w:pPr>
        <w:spacing w:after="120" w:line="360" w:lineRule="auto"/>
        <w:jc w:val="both"/>
        <w:rPr>
          <w:rFonts w:ascii="Times New Roman" w:eastAsia="Times New Roman" w:hAnsi="Times New Roman" w:cs="Times New Roman"/>
          <w:lang w:eastAsia="pl-PL"/>
        </w:rPr>
      </w:pPr>
      <w:r w:rsidRPr="00304DFA">
        <w:rPr>
          <w:rFonts w:ascii="Times New Roman" w:eastAsia="Times New Roman" w:hAnsi="Times New Roman" w:cs="Times New Roman"/>
          <w:lang w:eastAsia="pl-PL"/>
        </w:rPr>
        <w:lastRenderedPageBreak/>
        <w:t>Powyższe rzutuje negatywnie na sytuację osób pobierających świadczenia opiekuńcze w przypadku, gdy w okresie poza ochroną staną się one niezdolne do pracy. Ustawodawca przewidział bowiem, że nabycie prawa do renty z tytułu niezdolności do pracy jest ściśle powiązane z faktem pozostawania w ubezpieczeniu – ubiegający się o to świadczenie muszą bowiem wykazać, że w ostatnim dziesięcioleciu przed zgłoszeniem wniosku o rentę lub przed dniem powstania niezdolności do pracy posiadają określony staż ubezpieczeniowy oraz że niezdolność do pracy powstała, co do zasady, w okresie ubezpieczenia lub nie później niż w ciągu 18 miesięcy od ustania tego okresu. Projektowana zmiana przewiduje uzupełnienie katalogu okresów, w których może powstać niezdolność do pracy o okresy pobierania świadczeń opiekuńczych także w sytuacji, gdy nie było obowiązku opłacania za nie składek na ubezpieczenia emerytalne i rentowe. Umożliwi to osobom uprawnionym ubieganie się o rentę z tytułu niezdolności do pracy w przypadku, gdy niezdolność do pracy powstała w okresach pobierania świadczeń opiekuńczych, za które nie było obowiązku opłacania składek ubezpieczeniowych, albo nie później niż w ciągu 18 miesięcy od ustania tych okresów.</w:t>
      </w:r>
    </w:p>
    <w:p w:rsidR="00310B3A" w:rsidRPr="00304DFA" w:rsidRDefault="00310B3A" w:rsidP="00310B3A">
      <w:pPr>
        <w:pStyle w:val="Akapitzlist"/>
        <w:numPr>
          <w:ilvl w:val="0"/>
          <w:numId w:val="17"/>
        </w:numPr>
        <w:tabs>
          <w:tab w:val="left" w:pos="426"/>
        </w:tabs>
        <w:spacing w:after="120" w:line="360" w:lineRule="auto"/>
        <w:ind w:left="0" w:hanging="284"/>
        <w:jc w:val="both"/>
        <w:rPr>
          <w:rFonts w:ascii="Times New Roman" w:hAnsi="Times New Roman" w:cs="Times New Roman"/>
          <w:b/>
        </w:rPr>
      </w:pPr>
      <w:r w:rsidRPr="00304DFA">
        <w:rPr>
          <w:rFonts w:ascii="Times New Roman" w:hAnsi="Times New Roman" w:cs="Times New Roman"/>
          <w:b/>
        </w:rPr>
        <w:t xml:space="preserve">Inny sposób waloryzacji składek oraz kapitału początkowego </w:t>
      </w:r>
      <w:r w:rsidR="00E130DB">
        <w:rPr>
          <w:rFonts w:ascii="Times New Roman" w:hAnsi="Times New Roman" w:cs="Times New Roman"/>
          <w:b/>
        </w:rPr>
        <w:t xml:space="preserve">dla osób, które wystąpią o emeryturę w czerwcu </w:t>
      </w:r>
      <w:r w:rsidRPr="00304DFA">
        <w:rPr>
          <w:rFonts w:ascii="Times New Roman" w:hAnsi="Times New Roman" w:cs="Times New Roman"/>
          <w:b/>
        </w:rPr>
        <w:t>(ustawa z dnia 17 grudnia 1998 r. o emeryturach i rentach z Funduszu Ubezpieczeń Społecznych – art. 25a).</w:t>
      </w:r>
    </w:p>
    <w:p w:rsidR="00310B3A" w:rsidRPr="00304DFA" w:rsidRDefault="00310B3A" w:rsidP="00E130DB">
      <w:pPr>
        <w:spacing w:after="0" w:line="360" w:lineRule="auto"/>
        <w:jc w:val="both"/>
        <w:rPr>
          <w:rFonts w:ascii="Times New Roman" w:hAnsi="Times New Roman" w:cs="Times New Roman"/>
        </w:rPr>
      </w:pPr>
      <w:r w:rsidRPr="00304DFA">
        <w:rPr>
          <w:rFonts w:ascii="Times New Roman" w:hAnsi="Times New Roman" w:cs="Times New Roman"/>
        </w:rPr>
        <w:t>Wysokość emerytury, ustalonej wg nowych zasad wymiaru, określonych w art. 26 ustawy emerytalnej, stanowi kwota będąca wynikiem podzielenia podstawy obliczenia przez średnie dalsze trwanie życia dla osób w wieku osoby przechodzącej na emeryturę. Podstawą obliczenia jest suma kwot zwaloryzowanych składek na ubezpieczenie emerytalne zewidencjonowanych na koncie ubezpieczonego po 31 grudnia 1998 r. i kapitału początkowego, obliczonego za okres ubezpieczenia przed 1999 r. Do podstawy obliczenia emerytury dla osoby, która była członkiem otwartego funduszu emerytalnego, wlicza się ponadto zwaloryzowane środki zewidencjonowane na tzw. subkoncie. Czynnikiem, który determinuje wysokość emerytury – oprócz wydłużenia aktywności zawodowej – jest sposób waloryzacji składek emerytalnych oraz kapitału początkowego, stanowiących podstawę obliczenia emerytury. Waloryzację przeprowadza się systemem rocznym do czasu, gdy ubezpieczony zgłosi wniosek o emeryturę.</w:t>
      </w:r>
      <w:r w:rsidR="004B649B">
        <w:rPr>
          <w:rFonts w:ascii="Times New Roman" w:hAnsi="Times New Roman" w:cs="Times New Roman"/>
        </w:rPr>
        <w:t xml:space="preserve"> </w:t>
      </w:r>
      <w:r w:rsidRPr="00304DFA">
        <w:rPr>
          <w:rFonts w:ascii="Times New Roman" w:hAnsi="Times New Roman" w:cs="Times New Roman"/>
        </w:rPr>
        <w:t>W przypadku ustalania wysokości emerytury w okresie od stycznia do maja i od lipca do grudnia danego roku, składki zapisane na koncie ubezpieczonego po 31 stycznia roku, za który przeprowadzono ostatnią waloryzację roczną, podlegają dodatkowo również waloryzacjom kwartalnym. Natomiast w przypadku ustalania wysokości emerytury w czerwcu danego roku kwota składek poddana ostatniej waloryzacji rocznej nie podlega dodatkowym waloryzacjom kwartalnym, gdyż została już zwaloryzowana rocznie za poprzedni rok od 1 czerwca roku, w którym zgłoszono wniosek o emeryturę. W konsekwencji, przejście na emeryturę w czerwcu może być mniej korzystne niż w pozostałych miesiącach II kwartału danego roku.</w:t>
      </w:r>
    </w:p>
    <w:p w:rsidR="00310B3A" w:rsidRDefault="00861C76" w:rsidP="00BA130C">
      <w:pPr>
        <w:spacing w:after="120" w:line="360" w:lineRule="auto"/>
        <w:jc w:val="both"/>
        <w:rPr>
          <w:rFonts w:ascii="Times New Roman" w:hAnsi="Times New Roman" w:cs="Times New Roman"/>
        </w:rPr>
      </w:pPr>
      <w:r>
        <w:rPr>
          <w:rFonts w:ascii="Times New Roman" w:eastAsia="Times New Roman" w:hAnsi="Times New Roman" w:cs="Times New Roman"/>
          <w:lang w:eastAsia="pl-PL"/>
        </w:rPr>
        <w:t>P</w:t>
      </w:r>
      <w:r w:rsidR="00310B3A" w:rsidRPr="00304DFA">
        <w:rPr>
          <w:rFonts w:ascii="Times New Roman" w:eastAsia="Times New Roman" w:hAnsi="Times New Roman" w:cs="Times New Roman"/>
          <w:lang w:eastAsia="pl-PL"/>
        </w:rPr>
        <w:t xml:space="preserve">roponuje się, </w:t>
      </w:r>
      <w:r>
        <w:rPr>
          <w:rFonts w:ascii="Times New Roman" w:hAnsi="Times New Roman" w:cs="Times New Roman"/>
        </w:rPr>
        <w:t>by</w:t>
      </w:r>
      <w:r w:rsidR="00310B3A" w:rsidRPr="00304DFA">
        <w:rPr>
          <w:rFonts w:ascii="Times New Roman" w:hAnsi="Times New Roman" w:cs="Times New Roman"/>
        </w:rPr>
        <w:t xml:space="preserve"> </w:t>
      </w:r>
      <w:r w:rsidR="00CA5286">
        <w:rPr>
          <w:rFonts w:ascii="Times New Roman" w:hAnsi="Times New Roman" w:cs="Times New Roman"/>
        </w:rPr>
        <w:t xml:space="preserve">na stałe </w:t>
      </w:r>
      <w:r>
        <w:rPr>
          <w:rFonts w:ascii="Times New Roman" w:hAnsi="Times New Roman" w:cs="Times New Roman"/>
        </w:rPr>
        <w:t xml:space="preserve">wprowadzić </w:t>
      </w:r>
      <w:r w:rsidR="00CA5286">
        <w:rPr>
          <w:rFonts w:ascii="Times New Roman" w:hAnsi="Times New Roman" w:cs="Times New Roman"/>
        </w:rPr>
        <w:t>rozwiązani</w:t>
      </w:r>
      <w:r>
        <w:rPr>
          <w:rFonts w:ascii="Times New Roman" w:hAnsi="Times New Roman" w:cs="Times New Roman"/>
        </w:rPr>
        <w:t>e</w:t>
      </w:r>
      <w:r w:rsidR="00CA5286">
        <w:rPr>
          <w:rFonts w:ascii="Times New Roman" w:hAnsi="Times New Roman" w:cs="Times New Roman"/>
        </w:rPr>
        <w:t xml:space="preserve"> </w:t>
      </w:r>
      <w:r w:rsidR="00162AE1">
        <w:rPr>
          <w:rFonts w:ascii="Times New Roman" w:hAnsi="Times New Roman" w:cs="Times New Roman"/>
        </w:rPr>
        <w:t>wprowadzone na</w:t>
      </w:r>
      <w:r w:rsidR="00CA5286">
        <w:rPr>
          <w:rFonts w:ascii="Times New Roman" w:hAnsi="Times New Roman" w:cs="Times New Roman"/>
        </w:rPr>
        <w:t xml:space="preserve"> 202</w:t>
      </w:r>
      <w:r w:rsidR="004B649B">
        <w:rPr>
          <w:rFonts w:ascii="Times New Roman" w:hAnsi="Times New Roman" w:cs="Times New Roman"/>
        </w:rPr>
        <w:t>0</w:t>
      </w:r>
      <w:r w:rsidR="00CA5286">
        <w:rPr>
          <w:rFonts w:ascii="Times New Roman" w:hAnsi="Times New Roman" w:cs="Times New Roman"/>
        </w:rPr>
        <w:t xml:space="preserve"> r.</w:t>
      </w:r>
      <w:r w:rsidR="00310B3A" w:rsidRPr="00304DFA">
        <w:rPr>
          <w:rFonts w:ascii="Times New Roman" w:hAnsi="Times New Roman" w:cs="Times New Roman"/>
        </w:rPr>
        <w:t xml:space="preserve"> </w:t>
      </w:r>
      <w:r>
        <w:rPr>
          <w:rFonts w:ascii="Times New Roman" w:hAnsi="Times New Roman" w:cs="Times New Roman"/>
        </w:rPr>
        <w:t xml:space="preserve">dotyczące </w:t>
      </w:r>
      <w:r w:rsidR="00310B3A" w:rsidRPr="00304DFA">
        <w:rPr>
          <w:rFonts w:ascii="Times New Roman" w:hAnsi="Times New Roman" w:cs="Times New Roman"/>
        </w:rPr>
        <w:t xml:space="preserve">zasad ustalania wysokości </w:t>
      </w:r>
      <w:r w:rsidR="00CA5286">
        <w:rPr>
          <w:rFonts w:ascii="Times New Roman" w:hAnsi="Times New Roman" w:cs="Times New Roman"/>
        </w:rPr>
        <w:t xml:space="preserve">nowych </w:t>
      </w:r>
      <w:r w:rsidR="00310B3A" w:rsidRPr="00304DFA">
        <w:rPr>
          <w:rFonts w:ascii="Times New Roman" w:hAnsi="Times New Roman" w:cs="Times New Roman"/>
        </w:rPr>
        <w:t xml:space="preserve">emerytur </w:t>
      </w:r>
      <w:r w:rsidR="00CA5286">
        <w:rPr>
          <w:rFonts w:ascii="Times New Roman" w:hAnsi="Times New Roman" w:cs="Times New Roman"/>
        </w:rPr>
        <w:t xml:space="preserve">przyznanych </w:t>
      </w:r>
      <w:r w:rsidR="00310B3A" w:rsidRPr="00304DFA">
        <w:rPr>
          <w:rFonts w:ascii="Times New Roman" w:hAnsi="Times New Roman" w:cs="Times New Roman"/>
        </w:rPr>
        <w:t xml:space="preserve">w czerwcu, </w:t>
      </w:r>
      <w:r w:rsidR="004B649B">
        <w:rPr>
          <w:rFonts w:ascii="Times New Roman" w:hAnsi="Times New Roman" w:cs="Times New Roman"/>
        </w:rPr>
        <w:t xml:space="preserve">począwszy od 2021 r., </w:t>
      </w:r>
      <w:r w:rsidR="00310B3A" w:rsidRPr="00304DFA">
        <w:rPr>
          <w:rFonts w:ascii="Times New Roman" w:hAnsi="Times New Roman" w:cs="Times New Roman"/>
        </w:rPr>
        <w:t xml:space="preserve">w tym waloryzacji </w:t>
      </w:r>
      <w:r w:rsidR="00310B3A" w:rsidRPr="00304DFA">
        <w:rPr>
          <w:rFonts w:ascii="Times New Roman" w:hAnsi="Times New Roman" w:cs="Times New Roman"/>
        </w:rPr>
        <w:lastRenderedPageBreak/>
        <w:t xml:space="preserve">kapitału początkowego i składek zewidencjonowanych na koncie ubezpieczonego, w taki sam sposób, jak przy ustalaniu wysokości emerytury w maju bieżącego roku, jeżeli jest to korzystniejsze dla ubezpieczonego. </w:t>
      </w:r>
    </w:p>
    <w:p w:rsidR="00310B3A" w:rsidRPr="00304DFA" w:rsidRDefault="00310B3A" w:rsidP="00BA130C">
      <w:pPr>
        <w:pStyle w:val="Akapitzlist"/>
        <w:numPr>
          <w:ilvl w:val="0"/>
          <w:numId w:val="17"/>
        </w:numPr>
        <w:tabs>
          <w:tab w:val="left" w:pos="426"/>
        </w:tabs>
        <w:spacing w:after="120" w:line="360" w:lineRule="auto"/>
        <w:ind w:left="0" w:hanging="284"/>
        <w:jc w:val="both"/>
        <w:rPr>
          <w:rFonts w:ascii="Times New Roman" w:hAnsi="Times New Roman" w:cs="Times New Roman"/>
          <w:b/>
        </w:rPr>
      </w:pPr>
      <w:r w:rsidRPr="00304DFA">
        <w:rPr>
          <w:rFonts w:ascii="Times New Roman" w:hAnsi="Times New Roman" w:cs="Times New Roman"/>
          <w:b/>
        </w:rPr>
        <w:t xml:space="preserve">Ujednolicenie przepisów w zakresie przeliczania emerytur z tzw. starego i nowego systemu - emerytów kontynuujących aktywność zawodową </w:t>
      </w:r>
      <w:r w:rsidR="00D569F8">
        <w:rPr>
          <w:rFonts w:ascii="Times New Roman" w:hAnsi="Times New Roman" w:cs="Times New Roman"/>
          <w:b/>
        </w:rPr>
        <w:t>i</w:t>
      </w:r>
      <w:r w:rsidRPr="00304DFA">
        <w:rPr>
          <w:rFonts w:ascii="Times New Roman" w:hAnsi="Times New Roman" w:cs="Times New Roman"/>
          <w:b/>
        </w:rPr>
        <w:t xml:space="preserve"> rozlicz</w:t>
      </w:r>
      <w:r w:rsidR="00D569F8">
        <w:rPr>
          <w:rFonts w:ascii="Times New Roman" w:hAnsi="Times New Roman" w:cs="Times New Roman"/>
          <w:b/>
        </w:rPr>
        <w:t>a</w:t>
      </w:r>
      <w:r w:rsidRPr="00304DFA">
        <w:rPr>
          <w:rFonts w:ascii="Times New Roman" w:hAnsi="Times New Roman" w:cs="Times New Roman"/>
          <w:b/>
        </w:rPr>
        <w:t>ni</w:t>
      </w:r>
      <w:r w:rsidR="00D569F8">
        <w:rPr>
          <w:rFonts w:ascii="Times New Roman" w:hAnsi="Times New Roman" w:cs="Times New Roman"/>
          <w:b/>
        </w:rPr>
        <w:t>a</w:t>
      </w:r>
      <w:r w:rsidRPr="00304DFA">
        <w:rPr>
          <w:rFonts w:ascii="Times New Roman" w:hAnsi="Times New Roman" w:cs="Times New Roman"/>
          <w:b/>
        </w:rPr>
        <w:t xml:space="preserve"> świadczeń </w:t>
      </w:r>
      <w:r w:rsidR="00095514">
        <w:rPr>
          <w:rFonts w:ascii="Times New Roman" w:hAnsi="Times New Roman" w:cs="Times New Roman"/>
          <w:b/>
        </w:rPr>
        <w:t xml:space="preserve">oraz ujednolicenie zasad udostępniania danych i dokumentów niezbędnych do ustalania prawa do świadczeń i ich wysokości albo potwierdzania istnienia do nich prawa w systemie pracowniczym i zaopatrzeniowym </w:t>
      </w:r>
      <w:r w:rsidRPr="00304DFA">
        <w:rPr>
          <w:rFonts w:ascii="Times New Roman" w:hAnsi="Times New Roman" w:cs="Times New Roman"/>
          <w:b/>
        </w:rPr>
        <w:t xml:space="preserve">(ustawa z dnia 17 grudnia 1998 r. o emeryturach i rentach z Funduszu Ubezpieczeń Społecznych – art. 109, </w:t>
      </w:r>
      <w:r w:rsidR="00216325">
        <w:rPr>
          <w:rFonts w:ascii="Times New Roman" w:hAnsi="Times New Roman" w:cs="Times New Roman"/>
          <w:b/>
        </w:rPr>
        <w:t xml:space="preserve">art. </w:t>
      </w:r>
      <w:r w:rsidRPr="00304DFA">
        <w:rPr>
          <w:rFonts w:ascii="Times New Roman" w:hAnsi="Times New Roman" w:cs="Times New Roman"/>
          <w:b/>
        </w:rPr>
        <w:t xml:space="preserve">110, </w:t>
      </w:r>
      <w:r w:rsidR="00216325">
        <w:rPr>
          <w:rFonts w:ascii="Times New Roman" w:hAnsi="Times New Roman" w:cs="Times New Roman"/>
          <w:b/>
        </w:rPr>
        <w:t xml:space="preserve">art. </w:t>
      </w:r>
      <w:r w:rsidRPr="00304DFA">
        <w:rPr>
          <w:rFonts w:ascii="Times New Roman" w:hAnsi="Times New Roman" w:cs="Times New Roman"/>
          <w:b/>
        </w:rPr>
        <w:t>110a</w:t>
      </w:r>
      <w:r w:rsidR="00F323DE">
        <w:rPr>
          <w:rFonts w:ascii="Times New Roman" w:hAnsi="Times New Roman" w:cs="Times New Roman"/>
          <w:b/>
        </w:rPr>
        <w:t>,</w:t>
      </w:r>
      <w:r w:rsidRPr="00304DFA">
        <w:rPr>
          <w:rFonts w:ascii="Times New Roman" w:hAnsi="Times New Roman" w:cs="Times New Roman"/>
          <w:b/>
        </w:rPr>
        <w:t xml:space="preserve"> </w:t>
      </w:r>
      <w:r w:rsidR="00216325">
        <w:rPr>
          <w:rFonts w:ascii="Times New Roman" w:hAnsi="Times New Roman" w:cs="Times New Roman"/>
          <w:b/>
        </w:rPr>
        <w:t xml:space="preserve">art. </w:t>
      </w:r>
      <w:r w:rsidRPr="00304DFA">
        <w:rPr>
          <w:rFonts w:ascii="Times New Roman" w:hAnsi="Times New Roman" w:cs="Times New Roman"/>
          <w:b/>
        </w:rPr>
        <w:t>112</w:t>
      </w:r>
      <w:r w:rsidR="00216325">
        <w:rPr>
          <w:rFonts w:ascii="Times New Roman" w:hAnsi="Times New Roman" w:cs="Times New Roman"/>
          <w:b/>
        </w:rPr>
        <w:t xml:space="preserve"> i art.</w:t>
      </w:r>
      <w:r w:rsidRPr="00304DFA">
        <w:rPr>
          <w:rFonts w:ascii="Times New Roman" w:hAnsi="Times New Roman" w:cs="Times New Roman"/>
          <w:b/>
        </w:rPr>
        <w:t xml:space="preserve"> </w:t>
      </w:r>
      <w:r w:rsidR="00F323DE">
        <w:rPr>
          <w:rFonts w:ascii="Times New Roman" w:hAnsi="Times New Roman" w:cs="Times New Roman"/>
          <w:b/>
        </w:rPr>
        <w:t xml:space="preserve">113 </w:t>
      </w:r>
      <w:r w:rsidRPr="00304DFA">
        <w:rPr>
          <w:rFonts w:ascii="Times New Roman" w:hAnsi="Times New Roman" w:cs="Times New Roman"/>
          <w:b/>
        </w:rPr>
        <w:t xml:space="preserve">oraz ustawa z dnia 19 grudnia 2008 r. o emeryturach pomostowych </w:t>
      </w:r>
      <w:r w:rsidR="008D28B5" w:rsidRPr="008D28B5">
        <w:rPr>
          <w:rFonts w:ascii="Times New Roman" w:hAnsi="Times New Roman" w:cs="Times New Roman"/>
          <w:b/>
        </w:rPr>
        <w:t>(Dz. U. z 2018 r. poz. 1924)</w:t>
      </w:r>
      <w:r w:rsidR="008D28B5">
        <w:rPr>
          <w:rFonts w:ascii="Times New Roman" w:hAnsi="Times New Roman" w:cs="Times New Roman"/>
          <w:b/>
        </w:rPr>
        <w:t xml:space="preserve"> </w:t>
      </w:r>
      <w:r w:rsidRPr="00304DFA">
        <w:rPr>
          <w:rFonts w:ascii="Times New Roman" w:hAnsi="Times New Roman" w:cs="Times New Roman"/>
          <w:b/>
        </w:rPr>
        <w:t>– art. 28 ust. 3)</w:t>
      </w:r>
    </w:p>
    <w:p w:rsidR="00310B3A" w:rsidRPr="00304DFA" w:rsidRDefault="00310B3A" w:rsidP="00310B3A">
      <w:pPr>
        <w:spacing w:after="0" w:line="360" w:lineRule="auto"/>
        <w:jc w:val="both"/>
        <w:rPr>
          <w:rFonts w:ascii="Times New Roman" w:hAnsi="Times New Roman" w:cs="Times New Roman"/>
        </w:rPr>
      </w:pPr>
      <w:r w:rsidRPr="00304DFA">
        <w:rPr>
          <w:rFonts w:ascii="Times New Roman" w:hAnsi="Times New Roman" w:cs="Times New Roman"/>
        </w:rPr>
        <w:t xml:space="preserve">W projekcie proponuje się uchylenie przepisów art. 110 i 110a. Powyższe zmiany mają charakter porządkujący i ujednolicają zasady przeliczania emerytur z tzw. starego (zdefiniowane świadczenie) </w:t>
      </w:r>
      <w:r w:rsidR="00BA130C">
        <w:rPr>
          <w:rFonts w:ascii="Times New Roman" w:hAnsi="Times New Roman" w:cs="Times New Roman"/>
        </w:rPr>
        <w:br/>
      </w:r>
      <w:r w:rsidRPr="00304DFA">
        <w:rPr>
          <w:rFonts w:ascii="Times New Roman" w:hAnsi="Times New Roman" w:cs="Times New Roman"/>
        </w:rPr>
        <w:t xml:space="preserve">i nowego systemu (zdefiniowana składka) dotyczące emerytów kontynuujących aktywność zawodową. W nowym systemie tzw. zdefiniowanej składki, w przypadku pracującego emeryta świadczenie jest powiększane o kwotę wynikającą z podzielenia składek zewidencjonowanych na jego indywidualnym koncie w </w:t>
      </w:r>
      <w:r w:rsidR="001975FD">
        <w:rPr>
          <w:rFonts w:ascii="Times New Roman" w:hAnsi="Times New Roman" w:cs="Times New Roman"/>
        </w:rPr>
        <w:t>ZUS</w:t>
      </w:r>
      <w:r w:rsidRPr="00304DFA">
        <w:rPr>
          <w:rFonts w:ascii="Times New Roman" w:hAnsi="Times New Roman" w:cs="Times New Roman"/>
        </w:rPr>
        <w:t xml:space="preserve">, po dacie przyznania świadczenia przez dalsze trwanie życia w dniu złożenia wniosku o przeliczenie emerytury. Po wprowadzeniu zaproponowanej zmiany, w tzw. starym systemie tj. systemie zdefiniowanego świadczenia, emerytury będą podwyższane z tytułu kontynuowania aktywności zawodowej poprzez doliczenie po 1,3% z tytułu każdego roku składkowego, a więc analogicznie jak emerytury w nowym systemie o określony parametr, służący do obliczania świadczeń. </w:t>
      </w:r>
    </w:p>
    <w:p w:rsidR="00310B3A" w:rsidRPr="00304DFA" w:rsidRDefault="00310B3A" w:rsidP="00310B3A">
      <w:pPr>
        <w:spacing w:after="0" w:line="360" w:lineRule="auto"/>
        <w:jc w:val="both"/>
        <w:rPr>
          <w:rFonts w:ascii="Times New Roman" w:hAnsi="Times New Roman" w:cs="Times New Roman"/>
        </w:rPr>
      </w:pPr>
      <w:r w:rsidRPr="00304DFA">
        <w:rPr>
          <w:rFonts w:ascii="Times New Roman" w:hAnsi="Times New Roman" w:cs="Times New Roman"/>
        </w:rPr>
        <w:t xml:space="preserve">Powyższe propozycje mają na celu ujednolicenie zasad przeliczania świadczeń w starym </w:t>
      </w:r>
      <w:r w:rsidRPr="00304DFA">
        <w:rPr>
          <w:rFonts w:ascii="Times New Roman" w:hAnsi="Times New Roman" w:cs="Times New Roman"/>
        </w:rPr>
        <w:br/>
        <w:t xml:space="preserve">i nowym systemie, wprowadzając równe traktowanie w tym zakresie obu grup pracujących emerytów </w:t>
      </w:r>
      <w:r w:rsidR="00BA130C">
        <w:rPr>
          <w:rFonts w:ascii="Times New Roman" w:hAnsi="Times New Roman" w:cs="Times New Roman"/>
        </w:rPr>
        <w:br/>
      </w:r>
      <w:r w:rsidRPr="00304DFA">
        <w:rPr>
          <w:rFonts w:ascii="Times New Roman" w:hAnsi="Times New Roman" w:cs="Times New Roman"/>
        </w:rPr>
        <w:t xml:space="preserve">i nie stawiając żadnej z tych grup w sytuacji uprzywilejowanej, jak to ma miejsce obecnie. Obecnie kontynuowanie aktywności zawodowej przez emeryta z tzw. starego systemu stawia go </w:t>
      </w:r>
      <w:r w:rsidR="00BA130C">
        <w:rPr>
          <w:rFonts w:ascii="Times New Roman" w:hAnsi="Times New Roman" w:cs="Times New Roman"/>
        </w:rPr>
        <w:br/>
      </w:r>
      <w:r w:rsidRPr="00304DFA">
        <w:rPr>
          <w:rFonts w:ascii="Times New Roman" w:hAnsi="Times New Roman" w:cs="Times New Roman"/>
        </w:rPr>
        <w:t xml:space="preserve">w uprzywilejowanej sytuacji nie tylko w stosunku do emerytów z tzw. nowego systemu lecz również </w:t>
      </w:r>
      <w:r w:rsidR="00BA130C">
        <w:rPr>
          <w:rFonts w:ascii="Times New Roman" w:hAnsi="Times New Roman" w:cs="Times New Roman"/>
        </w:rPr>
        <w:br/>
      </w:r>
      <w:r w:rsidRPr="00304DFA">
        <w:rPr>
          <w:rFonts w:ascii="Times New Roman" w:hAnsi="Times New Roman" w:cs="Times New Roman"/>
        </w:rPr>
        <w:t>w stosunku do pracujących rencistów</w:t>
      </w:r>
      <w:r w:rsidR="006D7B47">
        <w:rPr>
          <w:rFonts w:ascii="Times New Roman" w:hAnsi="Times New Roman" w:cs="Times New Roman"/>
        </w:rPr>
        <w:t>.</w:t>
      </w:r>
      <w:r w:rsidRPr="00304DFA">
        <w:rPr>
          <w:rFonts w:ascii="Times New Roman" w:hAnsi="Times New Roman" w:cs="Times New Roman"/>
        </w:rPr>
        <w:t xml:space="preserve"> Możliwość osiągania zarobków bez konsekwencji </w:t>
      </w:r>
      <w:r w:rsidR="00BA130C">
        <w:rPr>
          <w:rFonts w:ascii="Times New Roman" w:hAnsi="Times New Roman" w:cs="Times New Roman"/>
        </w:rPr>
        <w:br/>
      </w:r>
      <w:r w:rsidRPr="00304DFA">
        <w:rPr>
          <w:rFonts w:ascii="Times New Roman" w:hAnsi="Times New Roman" w:cs="Times New Roman"/>
        </w:rPr>
        <w:t>w wysokości pobieranej emerytury sprzyja sytuacji obliczania na nowo emerytury z tzw. starego systemu, przy zastosowaniu nowej obowiązującej w momencie złożenia wniosku, kwoty bazowej, co znacznie podwyższa wysokość świadczenia. Mimo pobierania przez długi okres świadczenia, emeryturę oblicza się ponownie. Obecna preferencja nie jest zasadna i sprawiedliwa społecznie, stąd propozycja uchylenia art. 110.</w:t>
      </w:r>
    </w:p>
    <w:p w:rsidR="00310B3A" w:rsidRDefault="00310B3A" w:rsidP="00310B3A">
      <w:pPr>
        <w:spacing w:after="0" w:line="360" w:lineRule="auto"/>
        <w:jc w:val="both"/>
        <w:rPr>
          <w:rFonts w:ascii="Times New Roman" w:hAnsi="Times New Roman" w:cs="Times New Roman"/>
        </w:rPr>
      </w:pPr>
      <w:r w:rsidRPr="00304DFA">
        <w:rPr>
          <w:rFonts w:ascii="Times New Roman" w:hAnsi="Times New Roman" w:cs="Times New Roman"/>
        </w:rPr>
        <w:t xml:space="preserve">Przepis art. 110a, który wszedł w życie z dniem 1 maja 2015 r. miał charakter przejściowy </w:t>
      </w:r>
      <w:r w:rsidRPr="00304DFA">
        <w:rPr>
          <w:rFonts w:ascii="Times New Roman" w:hAnsi="Times New Roman" w:cs="Times New Roman"/>
        </w:rPr>
        <w:br/>
        <w:t>i osoby, które chciały z niego skorzystać, już to zrobiły. Przepis ten ma również charakter incydentalny, jednorazowy, więc dalsze utrzymywanie przepisu jest zbyteczne. Stąd propozycja jego uchylenia.</w:t>
      </w:r>
    </w:p>
    <w:p w:rsidR="00B15201" w:rsidRPr="00B15201" w:rsidRDefault="00B15201" w:rsidP="00B15201">
      <w:pPr>
        <w:pStyle w:val="ARTartustawynprozporzdzenia"/>
        <w:ind w:firstLine="0"/>
        <w:rPr>
          <w:rFonts w:ascii="Times New Roman" w:hAnsi="Times New Roman" w:cs="Times New Roman"/>
          <w:sz w:val="22"/>
          <w:szCs w:val="22"/>
        </w:rPr>
      </w:pPr>
      <w:r w:rsidRPr="00B15201">
        <w:rPr>
          <w:rFonts w:ascii="Times New Roman" w:hAnsi="Times New Roman" w:cs="Times New Roman"/>
          <w:sz w:val="22"/>
          <w:szCs w:val="22"/>
        </w:rPr>
        <w:lastRenderedPageBreak/>
        <w:t xml:space="preserve">Proponuje się, by przepisy art. 110 i art. 110a zostały uchylone z dniem 1 stycznia 2022 r. Dodatkowo, projektowana regulacja gwarantuje, że </w:t>
      </w:r>
      <w:r>
        <w:rPr>
          <w:rFonts w:ascii="Times New Roman" w:hAnsi="Times New Roman" w:cs="Times New Roman"/>
          <w:sz w:val="22"/>
          <w:szCs w:val="22"/>
        </w:rPr>
        <w:t>d</w:t>
      </w:r>
      <w:r w:rsidRPr="00B15201">
        <w:rPr>
          <w:rFonts w:ascii="Times New Roman" w:hAnsi="Times New Roman" w:cs="Times New Roman"/>
          <w:sz w:val="22"/>
          <w:szCs w:val="22"/>
        </w:rPr>
        <w:t>o spraw o ponowne ustalenie wysokości emerytury zgodnie z art. 110 lub art. 110a wszczętych i niezakończonych przed dniem 1 stycznia  2022 r., stosuje się przepisy dotychczasowe.</w:t>
      </w:r>
    </w:p>
    <w:p w:rsidR="00310B3A" w:rsidRPr="00304DFA" w:rsidRDefault="00310B3A" w:rsidP="00310B3A">
      <w:pPr>
        <w:spacing w:after="0" w:line="360" w:lineRule="auto"/>
        <w:jc w:val="both"/>
        <w:rPr>
          <w:rFonts w:ascii="Times New Roman" w:hAnsi="Times New Roman" w:cs="Times New Roman"/>
        </w:rPr>
      </w:pPr>
      <w:r w:rsidRPr="00304DFA">
        <w:rPr>
          <w:rFonts w:ascii="Times New Roman" w:hAnsi="Times New Roman" w:cs="Times New Roman"/>
        </w:rPr>
        <w:t>Przepis art. 109 ma charakter porządkujący, ze względu na uchylenie art. 110 i 110a.</w:t>
      </w:r>
    </w:p>
    <w:p w:rsidR="00F323DE" w:rsidRDefault="00310B3A" w:rsidP="00F323DE">
      <w:pPr>
        <w:spacing w:after="0" w:line="360" w:lineRule="auto"/>
        <w:jc w:val="both"/>
        <w:rPr>
          <w:rFonts w:ascii="Times New Roman" w:hAnsi="Times New Roman" w:cs="Times New Roman"/>
        </w:rPr>
      </w:pPr>
      <w:r w:rsidRPr="00304DFA">
        <w:rPr>
          <w:rFonts w:ascii="Times New Roman" w:hAnsi="Times New Roman" w:cs="Times New Roman"/>
        </w:rPr>
        <w:t>Zmiana art. 112 ma również charakter porządkujący. Pracujący emeryt w czasie choroby pobiera wynagrodzenie za czas choroby lub zasiłek chorobowy (od 15 dnia choroby w roku kalendarzowym), od których nie są odprowadzane składki. Proponuje się, by okres ten, analogicznie jak w nowym systemie, nie miał wpływu na wysokość pobieranego świadczenia.</w:t>
      </w:r>
      <w:r w:rsidR="00EC3790">
        <w:rPr>
          <w:rFonts w:ascii="Times New Roman" w:hAnsi="Times New Roman" w:cs="Times New Roman"/>
        </w:rPr>
        <w:t xml:space="preserve"> </w:t>
      </w:r>
      <w:r w:rsidR="00894F66">
        <w:rPr>
          <w:rFonts w:ascii="Times New Roman" w:hAnsi="Times New Roman" w:cs="Times New Roman"/>
        </w:rPr>
        <w:t>Powyższa zmiana wejdzie w życie od 1 stycznia 2022 r.</w:t>
      </w:r>
      <w:r w:rsidR="004767EB">
        <w:rPr>
          <w:rFonts w:ascii="Times New Roman" w:hAnsi="Times New Roman" w:cs="Times New Roman"/>
        </w:rPr>
        <w:t xml:space="preserve"> Również w tym przypadku gwarantuje się, że do spraw wszczętych i niezakończonych przed dniem 1 stycznia 2022 r., </w:t>
      </w:r>
      <w:r w:rsidR="004F78C1">
        <w:rPr>
          <w:rFonts w:ascii="Times New Roman" w:hAnsi="Times New Roman" w:cs="Times New Roman"/>
        </w:rPr>
        <w:t xml:space="preserve">będą </w:t>
      </w:r>
      <w:r w:rsidR="004767EB">
        <w:rPr>
          <w:rFonts w:ascii="Times New Roman" w:hAnsi="Times New Roman" w:cs="Times New Roman"/>
        </w:rPr>
        <w:t>stos</w:t>
      </w:r>
      <w:r w:rsidR="004F78C1">
        <w:rPr>
          <w:rFonts w:ascii="Times New Roman" w:hAnsi="Times New Roman" w:cs="Times New Roman"/>
        </w:rPr>
        <w:t>owane</w:t>
      </w:r>
      <w:r w:rsidR="004767EB">
        <w:rPr>
          <w:rFonts w:ascii="Times New Roman" w:hAnsi="Times New Roman" w:cs="Times New Roman"/>
        </w:rPr>
        <w:t xml:space="preserve"> przepisy dotychczasowe.</w:t>
      </w:r>
    </w:p>
    <w:p w:rsidR="00F323DE" w:rsidRDefault="00F323DE" w:rsidP="00F323DE">
      <w:pPr>
        <w:spacing w:after="0" w:line="360" w:lineRule="auto"/>
        <w:jc w:val="both"/>
        <w:rPr>
          <w:rFonts w:ascii="Times New Roman" w:hAnsi="Times New Roman" w:cs="Times New Roman"/>
        </w:rPr>
      </w:pPr>
      <w:bookmarkStart w:id="2" w:name="_Hlk61372678"/>
      <w:r>
        <w:rPr>
          <w:rFonts w:ascii="Times New Roman" w:hAnsi="Times New Roman" w:cs="Times New Roman"/>
        </w:rPr>
        <w:t>Proponuje się również u</w:t>
      </w:r>
      <w:r w:rsidRPr="00F323DE">
        <w:rPr>
          <w:rFonts w:ascii="Times New Roman" w:hAnsi="Times New Roman" w:cs="Times New Roman"/>
        </w:rPr>
        <w:t xml:space="preserve">jednolicenie przepisów w zakresie częstotliwości zgłaszania wniosków </w:t>
      </w:r>
      <w:r w:rsidR="00BA130C">
        <w:rPr>
          <w:rFonts w:ascii="Times New Roman" w:hAnsi="Times New Roman" w:cs="Times New Roman"/>
        </w:rPr>
        <w:br/>
      </w:r>
      <w:r w:rsidRPr="00F323DE">
        <w:rPr>
          <w:rFonts w:ascii="Times New Roman" w:hAnsi="Times New Roman" w:cs="Times New Roman"/>
        </w:rPr>
        <w:t>o ponowne ustalenie wysokości świadczenia przez emerytów kontynuujących aktywność zawodową</w:t>
      </w:r>
      <w:r>
        <w:rPr>
          <w:rFonts w:ascii="Times New Roman" w:hAnsi="Times New Roman" w:cs="Times New Roman"/>
        </w:rPr>
        <w:t xml:space="preserve">. </w:t>
      </w:r>
      <w:bookmarkEnd w:id="2"/>
      <w:r w:rsidRPr="00B930DB">
        <w:rPr>
          <w:rFonts w:ascii="Times New Roman" w:hAnsi="Times New Roman" w:cs="Times New Roman"/>
        </w:rPr>
        <w:t>Obecnie  w starym systemie emerytalnym, emeryt lub rencista wykonujący pracę zarobkową i z tego tytułu podlegający ubezpieczeniu emerytalno-rentowemu, może zgłosić wniosek o ponowne ustalenie wysokości świadczenia z doliczeniem okresów składkowych lub nieskładkowych nie wcześniej niż po zakończeniu kwartału kalendarzowego, a zatem 4 razy w roku. W projektowanych przepisach proponuje się modyfikację przepisu art. 113 ustawy z dnia 17 grudnia 1998 r. o emeryturach i rentach z Funduszu Ubezpieczeń Społecznych polegającą na ograniczeniu możliwości składania wniosku do 1 razu w roku. Tym samym, w przypadku  kontynuowani</w:t>
      </w:r>
      <w:r w:rsidR="00CC4FD3">
        <w:rPr>
          <w:rFonts w:ascii="Times New Roman" w:hAnsi="Times New Roman" w:cs="Times New Roman"/>
        </w:rPr>
        <w:t>a</w:t>
      </w:r>
      <w:r w:rsidRPr="00B930DB">
        <w:rPr>
          <w:rFonts w:ascii="Times New Roman" w:hAnsi="Times New Roman" w:cs="Times New Roman"/>
        </w:rPr>
        <w:t xml:space="preserve"> zatrudnienia, wniosek o przeliczenie świadczenia będzie można złożyć po upływie roku kalendarzowego. Spowoduje to zrównanie przepisów w tym zakresie w starym i nowym systemie emerytalnym.</w:t>
      </w:r>
    </w:p>
    <w:p w:rsidR="00D3547E" w:rsidRDefault="00310B3A" w:rsidP="00BA130C">
      <w:pPr>
        <w:spacing w:after="120" w:line="360" w:lineRule="auto"/>
        <w:jc w:val="both"/>
        <w:rPr>
          <w:rFonts w:ascii="Times New Roman" w:hAnsi="Times New Roman" w:cs="Times New Roman"/>
          <w:b/>
        </w:rPr>
      </w:pPr>
      <w:r w:rsidRPr="00F323DE">
        <w:rPr>
          <w:rFonts w:ascii="Times New Roman" w:hAnsi="Times New Roman" w:cs="Times New Roman"/>
        </w:rPr>
        <w:t xml:space="preserve">Natomiast zmiana zaproponowana w dodanym ust. 3 w art. 28 ustawy </w:t>
      </w:r>
      <w:r w:rsidR="008D28B5" w:rsidRPr="008D28B5">
        <w:rPr>
          <w:rFonts w:ascii="Times New Roman" w:hAnsi="Times New Roman" w:cs="Times New Roman"/>
        </w:rPr>
        <w:t xml:space="preserve">z dnia 19 grudnia 2008 r. </w:t>
      </w:r>
      <w:r w:rsidRPr="00F323DE">
        <w:rPr>
          <w:rFonts w:ascii="Times New Roman" w:hAnsi="Times New Roman" w:cs="Times New Roman"/>
        </w:rPr>
        <w:t>o emeryturach pomostowych umożliwi rozliczenie świadczeń w przypadku, gdy następuje zbieg emerytury pomostowej i renty z tytułu niezdolności do pracy, renty rodzinnej czy uposażenia w stanie spoczynku. Regulacja ma charakter porządkujący.</w:t>
      </w:r>
      <w:r w:rsidR="00BE0289" w:rsidRPr="00F323DE">
        <w:rPr>
          <w:rFonts w:ascii="Times New Roman" w:hAnsi="Times New Roman" w:cs="Times New Roman"/>
          <w:b/>
        </w:rPr>
        <w:t xml:space="preserve"> </w:t>
      </w:r>
    </w:p>
    <w:p w:rsidR="00310B3A" w:rsidRPr="00304DFA" w:rsidRDefault="00310B3A" w:rsidP="00BA130C">
      <w:pPr>
        <w:pStyle w:val="Akapitzlist"/>
        <w:numPr>
          <w:ilvl w:val="0"/>
          <w:numId w:val="17"/>
        </w:numPr>
        <w:tabs>
          <w:tab w:val="left" w:pos="142"/>
        </w:tabs>
        <w:spacing w:after="120" w:line="360" w:lineRule="auto"/>
        <w:ind w:left="0" w:hanging="284"/>
        <w:jc w:val="both"/>
        <w:rPr>
          <w:rFonts w:ascii="Times New Roman" w:hAnsi="Times New Roman" w:cs="Times New Roman"/>
          <w:b/>
        </w:rPr>
      </w:pPr>
      <w:r w:rsidRPr="00304DFA">
        <w:rPr>
          <w:rFonts w:ascii="Times New Roman" w:hAnsi="Times New Roman" w:cs="Times New Roman"/>
          <w:b/>
        </w:rPr>
        <w:t xml:space="preserve">Prawo do świadczeń z ubezpieczenia chorobowego (ustawa z dnia 25 czerwca 1999 r. o świadczeniach pieniężnych z ubezpieczenia społecznego w razie choroby i macierzyństwa </w:t>
      </w:r>
      <w:r w:rsidR="00BE0289" w:rsidRPr="00304DFA">
        <w:rPr>
          <w:rFonts w:ascii="Times New Roman" w:hAnsi="Times New Roman" w:cs="Times New Roman"/>
          <w:b/>
        </w:rPr>
        <w:t>–</w:t>
      </w:r>
      <w:r w:rsidRPr="00304DFA">
        <w:rPr>
          <w:rFonts w:ascii="Times New Roman" w:hAnsi="Times New Roman" w:cs="Times New Roman"/>
          <w:b/>
        </w:rPr>
        <w:t xml:space="preserve"> art. 8, art. 9 ust. 2, art. 13 ust. 1a, art. 18 ust. 8, art. 25, art. 30</w:t>
      </w:r>
      <w:r w:rsidR="00662F8E">
        <w:rPr>
          <w:rFonts w:ascii="Times New Roman" w:hAnsi="Times New Roman" w:cs="Times New Roman"/>
          <w:b/>
        </w:rPr>
        <w:t xml:space="preserve">, art. </w:t>
      </w:r>
      <w:r w:rsidR="00216325">
        <w:rPr>
          <w:rFonts w:ascii="Times New Roman" w:hAnsi="Times New Roman" w:cs="Times New Roman"/>
          <w:b/>
        </w:rPr>
        <w:t xml:space="preserve">43 </w:t>
      </w:r>
      <w:r w:rsidRPr="00304DFA">
        <w:rPr>
          <w:rFonts w:ascii="Times New Roman" w:hAnsi="Times New Roman" w:cs="Times New Roman"/>
          <w:b/>
        </w:rPr>
        <w:t>i art. 61a).</w:t>
      </w:r>
    </w:p>
    <w:p w:rsidR="00063471" w:rsidRPr="00FC18E4" w:rsidRDefault="00310B3A" w:rsidP="0086434E">
      <w:pPr>
        <w:pStyle w:val="ust"/>
        <w:spacing w:before="0" w:after="0" w:line="360" w:lineRule="auto"/>
        <w:ind w:left="0" w:firstLine="0"/>
        <w:rPr>
          <w:sz w:val="22"/>
          <w:szCs w:val="22"/>
        </w:rPr>
      </w:pPr>
      <w:r w:rsidRPr="00FC18E4">
        <w:rPr>
          <w:sz w:val="22"/>
          <w:szCs w:val="22"/>
        </w:rPr>
        <w:t xml:space="preserve">Projektowane zmiany przewidują nowe zasady zliczania okresów niezdolności do pracy do jednego okresu zasiłkowego. Będą do niego zaliczone zarówno okresy nieprzerwanej niezdolności do pracy, jak również okresy niezdolności do pracy, które zaistniały przed/po przerwie, jeżeli przerwa ta jest nie dłuższa niż 60 dni i </w:t>
      </w:r>
      <w:r w:rsidRPr="00FC18E4">
        <w:rPr>
          <w:color w:val="000000"/>
          <w:sz w:val="22"/>
          <w:szCs w:val="22"/>
        </w:rPr>
        <w:t>jeżeli niezdolność ta nie występuje w okresie ciąży. Z jednej strony taka regulacja ograniczy ewentualne nadużycia, z drugiej ochroni osobę ubezpieczoną w szczególnej sytuacji.</w:t>
      </w:r>
      <w:r w:rsidRPr="00FC18E4">
        <w:rPr>
          <w:sz w:val="22"/>
          <w:szCs w:val="22"/>
        </w:rPr>
        <w:t xml:space="preserve"> Nie zmieni się długość okresu zasiłkowego przysługującego w okresie ubezpieczenia – wynosi on nadal co do zasady 182 dni (270 w przypadku niezdolności zaistniałej w okresie ciąży i w przypadku gruźlicy). </w:t>
      </w:r>
      <w:r w:rsidRPr="00FC18E4">
        <w:rPr>
          <w:sz w:val="22"/>
          <w:szCs w:val="22"/>
        </w:rPr>
        <w:lastRenderedPageBreak/>
        <w:t xml:space="preserve">Skróceniu ulegnie natomiast okres pobierania zasiłku chorobowego po ustaniu ubezpieczenia – przyjęto, że nie będzie on dłuższy niż 91 dni. </w:t>
      </w:r>
      <w:r w:rsidR="00063471" w:rsidRPr="00FC18E4">
        <w:rPr>
          <w:sz w:val="22"/>
          <w:szCs w:val="22"/>
        </w:rPr>
        <w:t>W okres ten nie będzie wliczana niezdolność do pracy w czasie ubezpieczenia, bez względu na rodzaj choroby. Zasadą będzie, że zasiłek chorobowy, po ustaniu ubezpieczenia, przysługiwać będzie maksymalnie przez okres 91 dni. Obowiązywać będzie obecna zasada, że podstawa wymiaru zasiłku ograniczana jest do wysokości przeciętnego wynagrodzenia.</w:t>
      </w:r>
    </w:p>
    <w:p w:rsidR="00310B3A" w:rsidRPr="00FC18E4" w:rsidRDefault="00310B3A" w:rsidP="0086434E">
      <w:pPr>
        <w:spacing w:after="0" w:line="360" w:lineRule="auto"/>
        <w:contextualSpacing/>
        <w:jc w:val="both"/>
        <w:rPr>
          <w:rFonts w:ascii="Times New Roman" w:hAnsi="Times New Roman" w:cs="Times New Roman"/>
        </w:rPr>
      </w:pPr>
      <w:r w:rsidRPr="00FC18E4">
        <w:rPr>
          <w:rFonts w:ascii="Times New Roman" w:hAnsi="Times New Roman" w:cs="Times New Roman"/>
        </w:rPr>
        <w:t>Z drugiej strony proponowane zmiany mają na celu wprowadzenie do powołanej powyżej ustawy jednolitej zasady, zgodnie z którą prawo do zasiłku chorobowego po ustaniu tytułu ubezpieczenia chorobowego, prawo do świadczenia rehabilitacyjnego oraz zasiłku wyrównawczego nie przysługuje osobie, która ma ustalone prawo do emerytury lub renty z tytułu niezdolności do pracy niezależnie od systemu ubezpieczenia/zaopatrzenia, na podstawie którego prawo do tej emerytury lub renty zostało ustalone.</w:t>
      </w:r>
    </w:p>
    <w:p w:rsidR="00310B3A" w:rsidRPr="00304DFA" w:rsidRDefault="00310B3A" w:rsidP="0086434E">
      <w:pPr>
        <w:pStyle w:val="Akapitzlist"/>
        <w:spacing w:after="0" w:line="360" w:lineRule="auto"/>
        <w:ind w:left="0"/>
        <w:jc w:val="both"/>
        <w:rPr>
          <w:rFonts w:ascii="Times New Roman" w:hAnsi="Times New Roman" w:cs="Times New Roman"/>
        </w:rPr>
      </w:pPr>
      <w:r w:rsidRPr="00304DFA">
        <w:rPr>
          <w:rFonts w:ascii="Times New Roman" w:hAnsi="Times New Roman" w:cs="Times New Roman"/>
        </w:rPr>
        <w:t xml:space="preserve">W aktualnym stanie prawnym zgodnie z ustawą </w:t>
      </w:r>
      <w:r w:rsidR="00021610" w:rsidRPr="00021610">
        <w:rPr>
          <w:rFonts w:ascii="Times New Roman" w:hAnsi="Times New Roman" w:cs="Times New Roman"/>
        </w:rPr>
        <w:t xml:space="preserve">z dnia 25 czerwca 1999 r. </w:t>
      </w:r>
      <w:r w:rsidRPr="00304DFA">
        <w:rPr>
          <w:rFonts w:ascii="Times New Roman" w:hAnsi="Times New Roman" w:cs="Times New Roman"/>
        </w:rPr>
        <w:t xml:space="preserve">o świadczeniach pieniężnych z ubezpieczenia społecznego w razie choroby i macierzyństwa, prawo do zasiłku chorobowego za okres po ustaniu tytułu ubezpieczenia oraz prawo do świadczenia rehabilitacyjnego i zasiłku wyrównawczego nie przysługuje osobie, która ma ustalone prawo do emerytury lub renty z tytułu niezdolności do pracy. </w:t>
      </w:r>
    </w:p>
    <w:p w:rsidR="00310B3A" w:rsidRDefault="00310B3A" w:rsidP="0086434E">
      <w:pPr>
        <w:pStyle w:val="Akapitzlist"/>
        <w:spacing w:after="120" w:line="360" w:lineRule="auto"/>
        <w:ind w:left="0"/>
        <w:jc w:val="both"/>
        <w:rPr>
          <w:rFonts w:ascii="Times New Roman" w:hAnsi="Times New Roman" w:cs="Times New Roman"/>
        </w:rPr>
      </w:pPr>
      <w:r w:rsidRPr="00304DFA">
        <w:rPr>
          <w:rFonts w:ascii="Times New Roman" w:hAnsi="Times New Roman" w:cs="Times New Roman"/>
        </w:rPr>
        <w:t xml:space="preserve">Zgodnie z zasadą równego traktowania świadczeniobiorców, prawo do ww. świadczeń nie powinno przysługiwać w przypadku ustalonego prawa do emerytury lub renty z tytułu niezdolności do pracy nie tylko, jak obecnie z systemu powszechnego, lecz również z systemu zaopatrzenia emerytalnego służb mundurowych. </w:t>
      </w:r>
    </w:p>
    <w:p w:rsidR="00A75BCA" w:rsidRPr="00A75BCA" w:rsidRDefault="00662F8E" w:rsidP="0086434E">
      <w:pPr>
        <w:pStyle w:val="Akapitzlist"/>
        <w:spacing w:after="120" w:line="360" w:lineRule="auto"/>
        <w:ind w:left="0"/>
        <w:jc w:val="both"/>
        <w:rPr>
          <w:rFonts w:ascii="Times New Roman" w:hAnsi="Times New Roman" w:cs="Times New Roman"/>
        </w:rPr>
      </w:pPr>
      <w:r>
        <w:rPr>
          <w:rFonts w:ascii="Times New Roman" w:hAnsi="Times New Roman" w:cs="Times New Roman"/>
        </w:rPr>
        <w:t xml:space="preserve">Proponuje się także zmiany w zakresie ustalania podstawy wymiaru </w:t>
      </w:r>
      <w:r w:rsidRPr="00662F8E">
        <w:rPr>
          <w:rFonts w:ascii="Times New Roman" w:hAnsi="Times New Roman" w:cs="Times New Roman"/>
        </w:rPr>
        <w:t xml:space="preserve">zasiłku chorobowego przysługującego </w:t>
      </w:r>
      <w:r w:rsidR="00A75BCA">
        <w:rPr>
          <w:rFonts w:ascii="Times New Roman" w:hAnsi="Times New Roman" w:cs="Times New Roman"/>
        </w:rPr>
        <w:t xml:space="preserve">wszystkim </w:t>
      </w:r>
      <w:r w:rsidRPr="00662F8E">
        <w:rPr>
          <w:rFonts w:ascii="Times New Roman" w:hAnsi="Times New Roman" w:cs="Times New Roman"/>
        </w:rPr>
        <w:t>ubezpieczon</w:t>
      </w:r>
      <w:r w:rsidR="00A75BCA">
        <w:rPr>
          <w:rFonts w:ascii="Times New Roman" w:hAnsi="Times New Roman" w:cs="Times New Roman"/>
        </w:rPr>
        <w:t>ym.</w:t>
      </w:r>
      <w:r w:rsidRPr="00662F8E">
        <w:rPr>
          <w:rFonts w:ascii="Times New Roman" w:hAnsi="Times New Roman" w:cs="Times New Roman"/>
        </w:rPr>
        <w:t xml:space="preserve"> </w:t>
      </w:r>
      <w:r>
        <w:rPr>
          <w:rFonts w:ascii="Times New Roman" w:hAnsi="Times New Roman" w:cs="Times New Roman"/>
        </w:rPr>
        <w:t xml:space="preserve">oraz </w:t>
      </w:r>
      <w:r w:rsidRPr="00662F8E">
        <w:rPr>
          <w:rFonts w:ascii="Times New Roman" w:hAnsi="Times New Roman" w:cs="Times New Roman"/>
        </w:rPr>
        <w:t>podstawy wymiaru świadczenia rehabilitacyjnego, zasiłku macierzyńskiego i zasiłku opiekuńczego</w:t>
      </w:r>
      <w:r>
        <w:rPr>
          <w:rFonts w:ascii="Times New Roman" w:hAnsi="Times New Roman" w:cs="Times New Roman"/>
        </w:rPr>
        <w:t xml:space="preserve">. Zgodnie z zaproponowaną zmianą </w:t>
      </w:r>
      <w:r w:rsidR="00A75BCA">
        <w:rPr>
          <w:rFonts w:ascii="Times New Roman" w:hAnsi="Times New Roman" w:cs="Times New Roman"/>
        </w:rPr>
        <w:t>p</w:t>
      </w:r>
      <w:r w:rsidR="00A75BCA" w:rsidRPr="00A75BCA">
        <w:rPr>
          <w:rFonts w:ascii="Times New Roman" w:hAnsi="Times New Roman" w:cs="Times New Roman"/>
        </w:rPr>
        <w:t xml:space="preserve">odstawy wymiaru zasiłku nie </w:t>
      </w:r>
      <w:r w:rsidR="00A75BCA">
        <w:rPr>
          <w:rFonts w:ascii="Times New Roman" w:hAnsi="Times New Roman" w:cs="Times New Roman"/>
        </w:rPr>
        <w:t xml:space="preserve">będzie się </w:t>
      </w:r>
      <w:r w:rsidR="00A75BCA" w:rsidRPr="00A75BCA">
        <w:rPr>
          <w:rFonts w:ascii="Times New Roman" w:hAnsi="Times New Roman" w:cs="Times New Roman"/>
        </w:rPr>
        <w:t>ustala</w:t>
      </w:r>
      <w:r w:rsidR="00A75BCA">
        <w:rPr>
          <w:rFonts w:ascii="Times New Roman" w:hAnsi="Times New Roman" w:cs="Times New Roman"/>
        </w:rPr>
        <w:t>ć</w:t>
      </w:r>
      <w:r w:rsidR="00A75BCA" w:rsidRPr="00A75BCA">
        <w:rPr>
          <w:rFonts w:ascii="Times New Roman" w:hAnsi="Times New Roman" w:cs="Times New Roman"/>
        </w:rPr>
        <w:t xml:space="preserve"> się na nowo, jeżeli między okresami pobierania zasiłków zarówno tego samego rodzaju, jak i innego rodzaju, nie było przerwy albo przerwa była krótsza niż miesiąc kalendarzowy</w:t>
      </w:r>
      <w:r w:rsidR="00A75BCA">
        <w:rPr>
          <w:rFonts w:ascii="Times New Roman" w:hAnsi="Times New Roman" w:cs="Times New Roman"/>
        </w:rPr>
        <w:t>.</w:t>
      </w:r>
      <w:r w:rsidR="00A96C43">
        <w:rPr>
          <w:rFonts w:ascii="Times New Roman" w:hAnsi="Times New Roman" w:cs="Times New Roman"/>
        </w:rPr>
        <w:t xml:space="preserve"> Proponuje się również podwyższenie wymiaru zasiłku chorobowego za czas pobytu w szpitalu, zrównując wymiar tego zasiłku do 80%</w:t>
      </w:r>
      <w:r w:rsidR="00C027F3">
        <w:rPr>
          <w:rFonts w:ascii="Times New Roman" w:hAnsi="Times New Roman" w:cs="Times New Roman"/>
        </w:rPr>
        <w:t>.</w:t>
      </w:r>
    </w:p>
    <w:p w:rsidR="00310B3A" w:rsidRPr="00304DFA" w:rsidRDefault="00310B3A" w:rsidP="0086434E">
      <w:pPr>
        <w:pStyle w:val="Akapitzlist"/>
        <w:spacing w:after="120" w:line="360" w:lineRule="auto"/>
        <w:ind w:left="0"/>
        <w:jc w:val="both"/>
        <w:rPr>
          <w:rFonts w:ascii="Times New Roman" w:hAnsi="Times New Roman" w:cs="Times New Roman"/>
        </w:rPr>
      </w:pPr>
      <w:r w:rsidRPr="00304DFA">
        <w:rPr>
          <w:rFonts w:ascii="Times New Roman" w:hAnsi="Times New Roman" w:cs="Times New Roman"/>
        </w:rPr>
        <w:t>Dodatkowo, proponuje się przyznanie prawa do zasiłku macierzyńskiego osobom, które z przyczyn od siebie niezależnych (śmierć pracodawcy) utraciły prawo do ubezpieczenia chorobowego i urodziły dziecko po ustaniu tego ubezpieczenia. Propozycja ta wypełni obecną lukę prawną i zrównuje sytuację kobiet, które niejednokrotnie posiadają długi okres ubezpieczenia a ze względu na ustanie ubezpieczenia z przyczyn losowych (śmierć pracodawcy, ogłoszenie upadłości, likwidacja pracodawcy) pod względem prawa do zasiłku macierzyńskiego z osobami, które urodziły dziecko w czasie ubezpieczenia (nawet bardzo krótkiego).</w:t>
      </w:r>
    </w:p>
    <w:p w:rsidR="00310B3A" w:rsidRPr="00FC5FA5" w:rsidRDefault="00310B3A" w:rsidP="00BA130C">
      <w:pPr>
        <w:pStyle w:val="Akapitzlist"/>
        <w:spacing w:after="120" w:line="360" w:lineRule="auto"/>
        <w:ind w:left="0"/>
        <w:jc w:val="both"/>
        <w:rPr>
          <w:rFonts w:ascii="Times New Roman" w:hAnsi="Times New Roman" w:cs="Times New Roman"/>
        </w:rPr>
      </w:pPr>
      <w:r w:rsidRPr="00304DFA">
        <w:rPr>
          <w:rFonts w:ascii="Times New Roman" w:hAnsi="Times New Roman" w:cs="Times New Roman"/>
        </w:rPr>
        <w:t xml:space="preserve">Proponuje się również zapewnić </w:t>
      </w:r>
      <w:r w:rsidR="004B1660">
        <w:rPr>
          <w:rFonts w:ascii="Times New Roman" w:hAnsi="Times New Roman" w:cs="Times New Roman"/>
        </w:rPr>
        <w:t>ZUS</w:t>
      </w:r>
      <w:r w:rsidRPr="00304DFA">
        <w:rPr>
          <w:rFonts w:ascii="Times New Roman" w:hAnsi="Times New Roman" w:cs="Times New Roman"/>
        </w:rPr>
        <w:t xml:space="preserve"> dostęp do informacji niezbędnych do ustalenia prawa i wysokości zasiłku. Na płatników</w:t>
      </w:r>
      <w:r w:rsidR="00A75BCA">
        <w:rPr>
          <w:rFonts w:ascii="Times New Roman" w:hAnsi="Times New Roman" w:cs="Times New Roman"/>
        </w:rPr>
        <w:t xml:space="preserve"> i</w:t>
      </w:r>
      <w:r w:rsidRPr="00304DFA">
        <w:rPr>
          <w:rFonts w:ascii="Times New Roman" w:hAnsi="Times New Roman" w:cs="Times New Roman"/>
        </w:rPr>
        <w:t xml:space="preserve"> ubezpieczonych zostanie nałożony obowiązek przekazywania do </w:t>
      </w:r>
      <w:r w:rsidRPr="00304DFA">
        <w:rPr>
          <w:rFonts w:ascii="Times New Roman" w:hAnsi="Times New Roman" w:cs="Times New Roman"/>
        </w:rPr>
        <w:lastRenderedPageBreak/>
        <w:t xml:space="preserve">ZUS niezbędnych danych do ustalenia </w:t>
      </w:r>
      <w:r w:rsidR="00A75BCA">
        <w:rPr>
          <w:rFonts w:ascii="Times New Roman" w:hAnsi="Times New Roman" w:cs="Times New Roman"/>
        </w:rPr>
        <w:t>prawa</w:t>
      </w:r>
      <w:r w:rsidR="00A75BCA" w:rsidRPr="00304DFA">
        <w:rPr>
          <w:rFonts w:ascii="Times New Roman" w:hAnsi="Times New Roman" w:cs="Times New Roman"/>
        </w:rPr>
        <w:t xml:space="preserve"> </w:t>
      </w:r>
      <w:r w:rsidRPr="00304DFA">
        <w:rPr>
          <w:rFonts w:ascii="Times New Roman" w:hAnsi="Times New Roman" w:cs="Times New Roman"/>
        </w:rPr>
        <w:t xml:space="preserve">i wysokości świadczeń z ubezpieczenia chorobowego. </w:t>
      </w:r>
      <w:r w:rsidR="00D3547E">
        <w:rPr>
          <w:rFonts w:ascii="Times New Roman" w:hAnsi="Times New Roman" w:cs="Times New Roman"/>
        </w:rPr>
        <w:t xml:space="preserve">Zmiana ta nie będzie oznaczać zwiększenia obecnych obowiązków płatników składek, a korzyścią dla wszystkich, przede wszystkim dla ubezpieczonych będzie </w:t>
      </w:r>
      <w:r w:rsidRPr="00304DFA">
        <w:rPr>
          <w:rFonts w:ascii="Times New Roman" w:hAnsi="Times New Roman" w:cs="Times New Roman"/>
        </w:rPr>
        <w:t>usprawni</w:t>
      </w:r>
      <w:r w:rsidR="00D3547E">
        <w:rPr>
          <w:rFonts w:ascii="Times New Roman" w:hAnsi="Times New Roman" w:cs="Times New Roman"/>
        </w:rPr>
        <w:t>enie</w:t>
      </w:r>
      <w:r w:rsidRPr="00304DFA">
        <w:rPr>
          <w:rFonts w:ascii="Times New Roman" w:hAnsi="Times New Roman" w:cs="Times New Roman"/>
        </w:rPr>
        <w:t xml:space="preserve"> proces</w:t>
      </w:r>
      <w:r w:rsidR="00D3547E">
        <w:rPr>
          <w:rFonts w:ascii="Times New Roman" w:hAnsi="Times New Roman" w:cs="Times New Roman"/>
        </w:rPr>
        <w:t>u</w:t>
      </w:r>
      <w:r w:rsidRPr="00304DFA">
        <w:rPr>
          <w:rFonts w:ascii="Times New Roman" w:hAnsi="Times New Roman" w:cs="Times New Roman"/>
        </w:rPr>
        <w:t xml:space="preserve"> ustalenia prawa i wypłaty zasiłków. </w:t>
      </w:r>
      <w:r w:rsidR="00D3547E">
        <w:rPr>
          <w:rFonts w:ascii="Times New Roman" w:hAnsi="Times New Roman" w:cs="Times New Roman"/>
        </w:rPr>
        <w:t>Obecnie, brak wypłaty świadczeń z ubezpieczenia chorobowego lub ich znacznie opóźniona wypłata wynika z braku pełnej i rzetelnej dokumentacji przekazywanej przez płatników składek.</w:t>
      </w:r>
      <w:r w:rsidR="00FC5FA5">
        <w:rPr>
          <w:rFonts w:ascii="Times New Roman" w:hAnsi="Times New Roman" w:cs="Times New Roman"/>
        </w:rPr>
        <w:t xml:space="preserve"> Proponowane rozwiązanie będzie umożliwiać pozyskiwanie od płatnika składek i ubezpieczonego niezbędnych danych koniecznych do przyznania  prawa i wypłaty świadczenia z ubezpieczenia chorobowego </w:t>
      </w:r>
      <w:r w:rsidR="00FC5FA5" w:rsidRPr="00FC5FA5">
        <w:rPr>
          <w:rFonts w:ascii="Times New Roman" w:hAnsi="Times New Roman" w:cs="Times New Roman"/>
        </w:rPr>
        <w:t xml:space="preserve">(przykładowo </w:t>
      </w:r>
      <w:r w:rsidR="00FC5FA5" w:rsidRPr="00FC5FA5">
        <w:rPr>
          <w:rFonts w:ascii="Times New Roman" w:hAnsi="Times New Roman" w:cs="Times New Roman"/>
          <w:color w:val="000000"/>
        </w:rPr>
        <w:t>dotyczących potwierdzenia okoliczności zawartych w oświadczeniach składanych przez ubezpieczonych dla celów ustalenia prawa do zasiłku, istnienia okoliczności powodujących ustanie prawa do świadczeń albo wstrzymanie ich wypłaty, ustalenia okoliczności związanych z prawidłowością wykorzystywania zwolnień od pracy lub wykonywaniem pracy zarobkowej w czasie zwolnienia od pracy</w:t>
      </w:r>
      <w:r w:rsidR="002761C4">
        <w:rPr>
          <w:rFonts w:ascii="Times New Roman" w:hAnsi="Times New Roman" w:cs="Times New Roman"/>
          <w:color w:val="000000"/>
        </w:rPr>
        <w:t>)</w:t>
      </w:r>
      <w:r w:rsidR="00FC5FA5" w:rsidRPr="00FC5FA5">
        <w:rPr>
          <w:rFonts w:ascii="Times New Roman" w:hAnsi="Times New Roman" w:cs="Times New Roman"/>
          <w:color w:val="000000"/>
        </w:rPr>
        <w:t>.</w:t>
      </w:r>
    </w:p>
    <w:p w:rsidR="007515DA" w:rsidRPr="00304DFA" w:rsidRDefault="00BE0289" w:rsidP="00BA130C">
      <w:pPr>
        <w:pStyle w:val="Akapitzlist"/>
        <w:numPr>
          <w:ilvl w:val="0"/>
          <w:numId w:val="17"/>
        </w:numPr>
        <w:spacing w:after="0" w:line="360" w:lineRule="auto"/>
        <w:ind w:left="0" w:hanging="284"/>
        <w:jc w:val="both"/>
        <w:rPr>
          <w:rFonts w:ascii="Times New Roman" w:hAnsi="Times New Roman" w:cs="Times New Roman"/>
          <w:b/>
        </w:rPr>
      </w:pPr>
      <w:r>
        <w:rPr>
          <w:rFonts w:ascii="Times New Roman" w:hAnsi="Times New Roman" w:cs="Times New Roman"/>
          <w:b/>
        </w:rPr>
        <w:t xml:space="preserve"> </w:t>
      </w:r>
      <w:r w:rsidR="007515DA" w:rsidRPr="00304DFA">
        <w:rPr>
          <w:rFonts w:ascii="Times New Roman" w:hAnsi="Times New Roman" w:cs="Times New Roman"/>
          <w:b/>
        </w:rPr>
        <w:t>Zmiany w obszarze umarzania należności z tytułu składek</w:t>
      </w:r>
      <w:r w:rsidR="00BE4D9D" w:rsidRPr="00304DFA">
        <w:rPr>
          <w:rFonts w:ascii="Times New Roman" w:hAnsi="Times New Roman" w:cs="Times New Roman"/>
          <w:b/>
        </w:rPr>
        <w:t>,</w:t>
      </w:r>
      <w:r w:rsidR="000364F2" w:rsidRPr="00304DFA">
        <w:rPr>
          <w:rFonts w:ascii="Times New Roman" w:hAnsi="Times New Roman" w:cs="Times New Roman"/>
          <w:b/>
        </w:rPr>
        <w:t xml:space="preserve"> </w:t>
      </w:r>
      <w:r w:rsidR="001B71D8" w:rsidRPr="00304DFA">
        <w:rPr>
          <w:rFonts w:ascii="Times New Roman" w:hAnsi="Times New Roman" w:cs="Times New Roman"/>
          <w:b/>
        </w:rPr>
        <w:t xml:space="preserve">nienaliczania odsetek z tytułu składek, z przyczyn leżących po stronie </w:t>
      </w:r>
      <w:r w:rsidR="001975FD">
        <w:rPr>
          <w:rFonts w:ascii="Times New Roman" w:hAnsi="Times New Roman" w:cs="Times New Roman"/>
          <w:b/>
        </w:rPr>
        <w:t>ZUS</w:t>
      </w:r>
      <w:r w:rsidR="001B71D8" w:rsidRPr="00304DFA">
        <w:rPr>
          <w:rFonts w:ascii="Times New Roman" w:hAnsi="Times New Roman" w:cs="Times New Roman"/>
          <w:b/>
        </w:rPr>
        <w:t xml:space="preserve"> </w:t>
      </w:r>
      <w:r w:rsidR="00BE4D9D" w:rsidRPr="00304DFA">
        <w:rPr>
          <w:rFonts w:ascii="Times New Roman" w:hAnsi="Times New Roman" w:cs="Times New Roman"/>
          <w:b/>
        </w:rPr>
        <w:t xml:space="preserve">i wydawania zaświadczeń o niezaleganiu spadkobiercom </w:t>
      </w:r>
      <w:r w:rsidR="007515DA" w:rsidRPr="00304DFA">
        <w:rPr>
          <w:rFonts w:ascii="Times New Roman" w:hAnsi="Times New Roman" w:cs="Times New Roman"/>
          <w:b/>
        </w:rPr>
        <w:t xml:space="preserve">(ustawa z dnia 13 października 1998 r. o systemie ubezpieczeń społecznych </w:t>
      </w:r>
      <w:r w:rsidRPr="00304DFA">
        <w:rPr>
          <w:rFonts w:ascii="Times New Roman" w:hAnsi="Times New Roman" w:cs="Times New Roman"/>
          <w:b/>
        </w:rPr>
        <w:t>–</w:t>
      </w:r>
      <w:r w:rsidR="007515DA" w:rsidRPr="00304DFA">
        <w:rPr>
          <w:rFonts w:ascii="Times New Roman" w:hAnsi="Times New Roman" w:cs="Times New Roman"/>
          <w:b/>
        </w:rPr>
        <w:t xml:space="preserve"> art. 23</w:t>
      </w:r>
      <w:r w:rsidR="001B71D8" w:rsidRPr="00304DFA">
        <w:rPr>
          <w:rFonts w:ascii="Times New Roman" w:hAnsi="Times New Roman" w:cs="Times New Roman"/>
          <w:b/>
        </w:rPr>
        <w:t>, art. 28</w:t>
      </w:r>
      <w:r w:rsidR="00BE4D9D" w:rsidRPr="00304DFA">
        <w:rPr>
          <w:rFonts w:ascii="Times New Roman" w:hAnsi="Times New Roman" w:cs="Times New Roman"/>
          <w:b/>
        </w:rPr>
        <w:t>,</w:t>
      </w:r>
      <w:r w:rsidR="001B71D8" w:rsidRPr="00304DFA">
        <w:rPr>
          <w:rFonts w:ascii="Times New Roman" w:hAnsi="Times New Roman" w:cs="Times New Roman"/>
          <w:b/>
        </w:rPr>
        <w:t xml:space="preserve"> art. 30</w:t>
      </w:r>
      <w:r w:rsidR="00A75BCA">
        <w:rPr>
          <w:rFonts w:ascii="Times New Roman" w:hAnsi="Times New Roman" w:cs="Times New Roman"/>
          <w:b/>
        </w:rPr>
        <w:t>, art. 31</w:t>
      </w:r>
      <w:r w:rsidR="00BE4D9D" w:rsidRPr="00304DFA">
        <w:rPr>
          <w:rFonts w:ascii="Times New Roman" w:hAnsi="Times New Roman" w:cs="Times New Roman"/>
          <w:b/>
        </w:rPr>
        <w:t xml:space="preserve"> i art. 50</w:t>
      </w:r>
      <w:r w:rsidR="009C285A" w:rsidRPr="00304DFA">
        <w:rPr>
          <w:rFonts w:ascii="Times New Roman" w:hAnsi="Times New Roman" w:cs="Times New Roman"/>
          <w:b/>
        </w:rPr>
        <w:t xml:space="preserve"> ust. 4d</w:t>
      </w:r>
      <w:r w:rsidRPr="00304DFA">
        <w:rPr>
          <w:rFonts w:ascii="Times New Roman" w:hAnsi="Times New Roman" w:cs="Times New Roman"/>
          <w:b/>
        </w:rPr>
        <w:t>–</w:t>
      </w:r>
      <w:r w:rsidR="009C285A" w:rsidRPr="00304DFA">
        <w:rPr>
          <w:rFonts w:ascii="Times New Roman" w:hAnsi="Times New Roman" w:cs="Times New Roman"/>
          <w:b/>
        </w:rPr>
        <w:t>4</w:t>
      </w:r>
      <w:r w:rsidR="00A75BCA">
        <w:rPr>
          <w:rFonts w:ascii="Times New Roman" w:hAnsi="Times New Roman" w:cs="Times New Roman"/>
          <w:b/>
        </w:rPr>
        <w:t>h</w:t>
      </w:r>
      <w:r w:rsidR="001B71D8" w:rsidRPr="00304DFA">
        <w:rPr>
          <w:rFonts w:ascii="Times New Roman" w:hAnsi="Times New Roman" w:cs="Times New Roman"/>
          <w:b/>
        </w:rPr>
        <w:t>)</w:t>
      </w:r>
    </w:p>
    <w:p w:rsidR="00EC3790" w:rsidRDefault="007515DA" w:rsidP="00BA130C">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Proponuje się nienaliczanie odsetek za zwłokę od należności z tytułu składek z przyczyn leżących po stronie </w:t>
      </w:r>
      <w:r w:rsidR="001975FD">
        <w:rPr>
          <w:rFonts w:ascii="Times New Roman" w:eastAsia="Calibri" w:hAnsi="Times New Roman" w:cs="Times New Roman"/>
        </w:rPr>
        <w:t>ZUS</w:t>
      </w:r>
      <w:r w:rsidRPr="00304DFA">
        <w:rPr>
          <w:rFonts w:ascii="Times New Roman" w:eastAsia="Calibri" w:hAnsi="Times New Roman" w:cs="Times New Roman"/>
        </w:rPr>
        <w:t>. Wskazanie w ustawie sytuacji (niezawinionych przez płatnika składek), w których płatnik nie byłby zobowiązany do naliczania odsetek za zwłokę od nieopłaconych w terminie składek wydaje się rozwiązaniem racjonalnym oraz jest zmian</w:t>
      </w:r>
      <w:r w:rsidR="00582D85">
        <w:rPr>
          <w:rFonts w:ascii="Times New Roman" w:eastAsia="Calibri" w:hAnsi="Times New Roman" w:cs="Times New Roman"/>
        </w:rPr>
        <w:t>ą</w:t>
      </w:r>
      <w:r w:rsidRPr="00304DFA">
        <w:rPr>
          <w:rFonts w:ascii="Times New Roman" w:eastAsia="Calibri" w:hAnsi="Times New Roman" w:cs="Times New Roman"/>
        </w:rPr>
        <w:t xml:space="preserve"> korzystną z punktu widzenia płatnika. </w:t>
      </w:r>
    </w:p>
    <w:p w:rsidR="007515DA" w:rsidRPr="00304DFA" w:rsidRDefault="001B71D8" w:rsidP="007515DA">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Natomiast propozycja zmiany przepisów w obszarze umarzania należności z tytułu składek obejmuje dodanie przesłanki całkowitej nieściągalności warunkującej umorzeni</w:t>
      </w:r>
      <w:r w:rsidR="00BB33B1" w:rsidRPr="00304DFA">
        <w:rPr>
          <w:rFonts w:ascii="Times New Roman" w:eastAsia="Calibri" w:hAnsi="Times New Roman" w:cs="Times New Roman"/>
        </w:rPr>
        <w:t>e</w:t>
      </w:r>
      <w:r w:rsidRPr="00304DFA">
        <w:rPr>
          <w:rFonts w:ascii="Times New Roman" w:eastAsia="Calibri" w:hAnsi="Times New Roman" w:cs="Times New Roman"/>
        </w:rPr>
        <w:t xml:space="preserve"> należności na ubezpieczenia społeczne wobec osób fizycznych nieprowadzących działalności gospodarczej, w razie ogłoszenia upadłości przez te osoby. W obecnym stanie prawnym osoby te nie mają możliwości wnioskowania o umorzenie należności z tytułu ogłoszenia upadłości jako osoby nieprowadzące działalności gospodarczej.</w:t>
      </w:r>
    </w:p>
    <w:p w:rsidR="00EC3790" w:rsidRDefault="007457F3" w:rsidP="004B649B">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Propozycja u</w:t>
      </w:r>
      <w:r w:rsidR="001B71D8" w:rsidRPr="00304DFA">
        <w:rPr>
          <w:rFonts w:ascii="Times New Roman" w:eastAsia="Calibri" w:hAnsi="Times New Roman" w:cs="Times New Roman"/>
        </w:rPr>
        <w:t xml:space="preserve">względnia również zwolnienie </w:t>
      </w:r>
      <w:r w:rsidR="001975FD">
        <w:rPr>
          <w:rFonts w:ascii="Times New Roman" w:eastAsia="Calibri" w:hAnsi="Times New Roman" w:cs="Times New Roman"/>
        </w:rPr>
        <w:t>ZUS</w:t>
      </w:r>
      <w:r w:rsidR="001B71D8" w:rsidRPr="00304DFA">
        <w:rPr>
          <w:rFonts w:ascii="Times New Roman" w:eastAsia="Calibri" w:hAnsi="Times New Roman" w:cs="Times New Roman"/>
        </w:rPr>
        <w:t xml:space="preserve"> z obowiązku wydawania decyzji o umorzeniu należności w zakresie niskich kwot na kontach płatników składek oraz w przypadku śmierci dłużnika. </w:t>
      </w:r>
    </w:p>
    <w:p w:rsidR="00EC3790" w:rsidRDefault="00B85D04" w:rsidP="004B649B">
      <w:pPr>
        <w:autoSpaceDE w:val="0"/>
        <w:autoSpaceDN w:val="0"/>
        <w:adjustRightInd w:val="0"/>
        <w:spacing w:after="0" w:line="360" w:lineRule="auto"/>
        <w:jc w:val="both"/>
        <w:rPr>
          <w:rFonts w:ascii="Times New Roman" w:eastAsia="Calibri" w:hAnsi="Times New Roman" w:cs="Times New Roman"/>
        </w:rPr>
      </w:pPr>
      <w:r>
        <w:rPr>
          <w:rFonts w:ascii="Times New Roman" w:eastAsia="Calibri" w:hAnsi="Times New Roman" w:cs="Times New Roman"/>
        </w:rPr>
        <w:t xml:space="preserve">W pierwszym przypadku przesłankami umorzenia należności będzie </w:t>
      </w:r>
      <w:r w:rsidRPr="00B85D04">
        <w:rPr>
          <w:rFonts w:ascii="Times New Roman" w:eastAsia="Calibri" w:hAnsi="Times New Roman" w:cs="Times New Roman"/>
        </w:rPr>
        <w:t>wyrejestrowanie płatnika składek oraz ubezpieczonych</w:t>
      </w:r>
      <w:r>
        <w:rPr>
          <w:rFonts w:ascii="Times New Roman" w:eastAsia="Calibri" w:hAnsi="Times New Roman" w:cs="Times New Roman"/>
        </w:rPr>
        <w:t xml:space="preserve">, a także </w:t>
      </w:r>
      <w:r w:rsidR="00823A0F">
        <w:rPr>
          <w:rFonts w:ascii="Times New Roman" w:eastAsia="Calibri" w:hAnsi="Times New Roman" w:cs="Times New Roman"/>
        </w:rPr>
        <w:t xml:space="preserve">przesłanka związana z ponoszonymi kosztami postępowania egzekucyjnego tj. </w:t>
      </w:r>
      <w:r>
        <w:rPr>
          <w:rFonts w:ascii="Times New Roman" w:eastAsia="Calibri" w:hAnsi="Times New Roman" w:cs="Times New Roman"/>
        </w:rPr>
        <w:t xml:space="preserve">zadłużenie poniżej </w:t>
      </w:r>
      <w:r w:rsidRPr="00B85D04">
        <w:rPr>
          <w:rFonts w:ascii="Times New Roman" w:eastAsia="Calibri" w:hAnsi="Times New Roman" w:cs="Times New Roman"/>
        </w:rPr>
        <w:t>wysokości dziesięciokrotności kwoty kosztów upomnienia w postępowaniu egzekucyjnym w administracji.</w:t>
      </w:r>
      <w:r>
        <w:rPr>
          <w:rFonts w:ascii="Times New Roman" w:eastAsia="Calibri" w:hAnsi="Times New Roman" w:cs="Times New Roman"/>
        </w:rPr>
        <w:t xml:space="preserve"> Natomiast w przypadku śmierci dłużnika przesłanką umorzenia będzie </w:t>
      </w:r>
      <w:r w:rsidR="00823A0F">
        <w:rPr>
          <w:rFonts w:ascii="Times New Roman" w:eastAsia="Calibri" w:hAnsi="Times New Roman" w:cs="Times New Roman"/>
        </w:rPr>
        <w:t xml:space="preserve">istnienie </w:t>
      </w:r>
      <w:r>
        <w:rPr>
          <w:rFonts w:ascii="Times New Roman" w:eastAsia="Calibri" w:hAnsi="Times New Roman" w:cs="Times New Roman"/>
        </w:rPr>
        <w:t>należności z tytułu składek, które</w:t>
      </w:r>
      <w:r w:rsidRPr="00B85D04">
        <w:rPr>
          <w:rFonts w:ascii="Times New Roman" w:eastAsia="Calibri" w:hAnsi="Times New Roman" w:cs="Times New Roman"/>
        </w:rPr>
        <w:t xml:space="preserve"> nie przekraczają wysokości 10% przeciętnego miesięcznego wynagrodzenia w kwartale poprzedzającym datę zgonu dłużn</w:t>
      </w:r>
      <w:r w:rsidR="002532E9">
        <w:rPr>
          <w:rFonts w:ascii="Times New Roman" w:eastAsia="Calibri" w:hAnsi="Times New Roman" w:cs="Times New Roman"/>
        </w:rPr>
        <w:t xml:space="preserve">ika – próg ustalono wyższy ze względu na ewentualne koszty postepowania spadkowego i celowość jego prowadzenia. </w:t>
      </w:r>
    </w:p>
    <w:p w:rsidR="001B71D8" w:rsidRPr="00304DFA" w:rsidRDefault="001B71D8" w:rsidP="004B649B">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lastRenderedPageBreak/>
        <w:t xml:space="preserve">Proponuje się zastosowanie instytucji umorzenia – bez konieczności wydawania decyzji – w przypadku kont nieczynnych o saldzie zadłużenia nieprzekraczającym dziesięciokrotności kwoty kosztów upomnienia w postępowaniu </w:t>
      </w:r>
      <w:r w:rsidR="00BE4D9D" w:rsidRPr="00304DFA">
        <w:rPr>
          <w:rFonts w:ascii="Times New Roman" w:eastAsia="Calibri" w:hAnsi="Times New Roman" w:cs="Times New Roman"/>
        </w:rPr>
        <w:t>egzekucyjnym w stosunku do płatników, którzy dokonali wyrejestrowania siebie i ubezpieczonych oraz w przypadku zadłużenia nieprzekraczającego 10% przeciętnego wynagrodzenia, gdy dłużnik zmarł. Powyższa propozycja dotyczy przeszło 151 tys. płatników nieaktywnych, których poziom zaległości wynosi poniżej 116 zł (10-krotność kosztów upomnienia).</w:t>
      </w:r>
    </w:p>
    <w:p w:rsidR="00BE4D9D" w:rsidRPr="00304DFA" w:rsidRDefault="00BE4D9D" w:rsidP="004B649B">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Wprowadzenie tożsamego przepisu jaki funkcjonuje w ustawie </w:t>
      </w:r>
      <w:r w:rsidR="004E1855" w:rsidRPr="004E1855">
        <w:rPr>
          <w:rFonts w:ascii="Times New Roman" w:eastAsia="Calibri" w:hAnsi="Times New Roman" w:cs="Times New Roman"/>
        </w:rPr>
        <w:t xml:space="preserve">z dnia 29 sierpnia 1997 r. </w:t>
      </w:r>
      <w:r w:rsidR="004E1855">
        <w:rPr>
          <w:rFonts w:ascii="Times New Roman" w:eastAsia="Calibri" w:hAnsi="Times New Roman" w:cs="Times New Roman"/>
        </w:rPr>
        <w:t xml:space="preserve">– </w:t>
      </w:r>
      <w:r w:rsidRPr="00304DFA">
        <w:rPr>
          <w:rFonts w:ascii="Times New Roman" w:eastAsia="Calibri" w:hAnsi="Times New Roman" w:cs="Times New Roman"/>
        </w:rPr>
        <w:t xml:space="preserve">Ordynacja podatkowa, pozwalającego </w:t>
      </w:r>
      <w:r w:rsidR="001975FD">
        <w:rPr>
          <w:rFonts w:ascii="Times New Roman" w:eastAsia="Calibri" w:hAnsi="Times New Roman" w:cs="Times New Roman"/>
        </w:rPr>
        <w:t>ZUS</w:t>
      </w:r>
      <w:r w:rsidRPr="00304DFA">
        <w:rPr>
          <w:rFonts w:ascii="Times New Roman" w:eastAsia="Calibri" w:hAnsi="Times New Roman" w:cs="Times New Roman"/>
        </w:rPr>
        <w:t xml:space="preserve"> na wydawanie zaświadczenia o niezaleganiu spadkobiercom, jest wyjściem naprzeciw potencjalnym spadkobiercom, którzy przed podjęciem decyzji o przyjęciu lub odrzuceniu spadku będą mogli uzyskać informacje w tej kwestii. Obecnie </w:t>
      </w:r>
      <w:r w:rsidR="004B1660">
        <w:rPr>
          <w:rFonts w:ascii="Times New Roman" w:eastAsia="Calibri" w:hAnsi="Times New Roman" w:cs="Times New Roman"/>
        </w:rPr>
        <w:t>ZUS</w:t>
      </w:r>
      <w:r w:rsidRPr="00304DFA">
        <w:rPr>
          <w:rFonts w:ascii="Times New Roman" w:eastAsia="Calibri" w:hAnsi="Times New Roman" w:cs="Times New Roman"/>
        </w:rPr>
        <w:t xml:space="preserve"> nie udostępnia informacji o stanie kont płatników i ubezpieczonych, podmiotom innym niż wymienione w art. 50 ustawy o systemie ubezpieczeń społecznych.</w:t>
      </w:r>
    </w:p>
    <w:p w:rsidR="00BE4D9D" w:rsidRPr="00304DFA" w:rsidRDefault="00BE4D9D" w:rsidP="004B649B">
      <w:pPr>
        <w:autoSpaceDE w:val="0"/>
        <w:autoSpaceDN w:val="0"/>
        <w:adjustRightInd w:val="0"/>
        <w:spacing w:after="0" w:line="360" w:lineRule="auto"/>
        <w:jc w:val="both"/>
        <w:rPr>
          <w:rFonts w:ascii="Times New Roman" w:eastAsia="Calibri" w:hAnsi="Times New Roman" w:cs="Times New Roman"/>
        </w:rPr>
      </w:pPr>
      <w:r w:rsidRPr="00304DFA">
        <w:rPr>
          <w:rFonts w:ascii="Times New Roman" w:eastAsia="Calibri" w:hAnsi="Times New Roman" w:cs="Times New Roman"/>
        </w:rPr>
        <w:t>Proponuje się również, by potwierdzenie danych udostępnionych na portalu Platformy Usług Elektronicznych (PUE ZUS)</w:t>
      </w:r>
      <w:r w:rsidR="009C285A" w:rsidRPr="00304DFA">
        <w:rPr>
          <w:rFonts w:ascii="Times New Roman" w:eastAsia="Calibri" w:hAnsi="Times New Roman" w:cs="Times New Roman"/>
        </w:rPr>
        <w:t xml:space="preserve"> płatnikom składek, ubezpieczonym i świadczeniobiorcom funkcjonowało w obiegu prawnym z mocą zrównaną z mocą dokumentu wydanego przez pracowników </w:t>
      </w:r>
      <w:r w:rsidR="001975FD">
        <w:rPr>
          <w:rFonts w:ascii="Times New Roman" w:eastAsia="Calibri" w:hAnsi="Times New Roman" w:cs="Times New Roman"/>
        </w:rPr>
        <w:t>ZUS</w:t>
      </w:r>
      <w:r w:rsidR="009C285A" w:rsidRPr="00304DFA">
        <w:rPr>
          <w:rFonts w:ascii="Times New Roman" w:eastAsia="Calibri" w:hAnsi="Times New Roman" w:cs="Times New Roman"/>
        </w:rPr>
        <w:t>.</w:t>
      </w:r>
      <w:r w:rsidR="0056766E">
        <w:rPr>
          <w:rFonts w:ascii="Times New Roman" w:eastAsia="Calibri" w:hAnsi="Times New Roman" w:cs="Times New Roman"/>
        </w:rPr>
        <w:t xml:space="preserve"> Z uwagi na możliwości techniczne systemu informatycznego zakres danych </w:t>
      </w:r>
      <w:r w:rsidR="0056766E" w:rsidRPr="0056766E">
        <w:rPr>
          <w:rFonts w:ascii="Times New Roman" w:eastAsia="Calibri" w:hAnsi="Times New Roman" w:cs="Times New Roman"/>
        </w:rPr>
        <w:t xml:space="preserve">możliwych do samodzielnego pobrania z systemu teleinformatycznego </w:t>
      </w:r>
      <w:r w:rsidR="0056766E">
        <w:rPr>
          <w:rFonts w:ascii="Times New Roman" w:eastAsia="Calibri" w:hAnsi="Times New Roman" w:cs="Times New Roman"/>
        </w:rPr>
        <w:t xml:space="preserve">będzie określał </w:t>
      </w:r>
      <w:r w:rsidR="0056766E" w:rsidRPr="0056766E">
        <w:rPr>
          <w:rFonts w:ascii="Times New Roman" w:eastAsia="Calibri" w:hAnsi="Times New Roman" w:cs="Times New Roman"/>
        </w:rPr>
        <w:t>Zakład</w:t>
      </w:r>
      <w:r w:rsidR="003B6464">
        <w:rPr>
          <w:rFonts w:ascii="Times New Roman" w:eastAsia="Calibri" w:hAnsi="Times New Roman" w:cs="Times New Roman"/>
        </w:rPr>
        <w:t xml:space="preserve">. </w:t>
      </w:r>
      <w:r w:rsidR="0056766E">
        <w:rPr>
          <w:rFonts w:ascii="Times New Roman" w:eastAsia="Calibri" w:hAnsi="Times New Roman" w:cs="Times New Roman"/>
        </w:rPr>
        <w:t>Określenie przez Zakład zakresu danych będzie czynnoś</w:t>
      </w:r>
      <w:r w:rsidR="003F10F5">
        <w:rPr>
          <w:rFonts w:ascii="Times New Roman" w:eastAsia="Calibri" w:hAnsi="Times New Roman" w:cs="Times New Roman"/>
        </w:rPr>
        <w:t>cią</w:t>
      </w:r>
      <w:r w:rsidR="0056766E">
        <w:rPr>
          <w:rFonts w:ascii="Times New Roman" w:eastAsia="Calibri" w:hAnsi="Times New Roman" w:cs="Times New Roman"/>
        </w:rPr>
        <w:t xml:space="preserve"> wyłącznie techniczną, która nie będzie ingerować w przepisy z zakresu udostępniania informacji.</w:t>
      </w:r>
    </w:p>
    <w:p w:rsidR="00B77844" w:rsidRPr="00304DFA" w:rsidRDefault="00BE0289" w:rsidP="00310B3A">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77844" w:rsidRPr="00304DFA">
        <w:rPr>
          <w:rFonts w:ascii="Times New Roman" w:hAnsi="Times New Roman" w:cs="Times New Roman"/>
          <w:b/>
        </w:rPr>
        <w:t xml:space="preserve">Ograniczenie przekazywania korekt dokumentów ubezpieczeniowych (ustawa z dnia 13 października 1998 r. o systemie ubezpieczeń społecznych </w:t>
      </w:r>
      <w:r w:rsidRPr="00304DFA">
        <w:rPr>
          <w:rFonts w:ascii="Times New Roman" w:hAnsi="Times New Roman" w:cs="Times New Roman"/>
          <w:b/>
        </w:rPr>
        <w:t>–</w:t>
      </w:r>
      <w:r w:rsidR="00B77844" w:rsidRPr="00304DFA">
        <w:rPr>
          <w:rFonts w:ascii="Times New Roman" w:hAnsi="Times New Roman" w:cs="Times New Roman"/>
          <w:b/>
        </w:rPr>
        <w:t xml:space="preserve"> art. 41 ust.1, ust. 7a i 7b, art. 46 ust. 3, art. 47 ust. 3, dodanie art. 48d).</w:t>
      </w:r>
    </w:p>
    <w:p w:rsidR="00B77844" w:rsidRPr="00304DFA" w:rsidRDefault="00B77844" w:rsidP="00B77844">
      <w:pPr>
        <w:tabs>
          <w:tab w:val="left" w:pos="993"/>
          <w:tab w:val="left" w:pos="1276"/>
        </w:tabs>
        <w:suppressAutoHyphens/>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 xml:space="preserve">Proponowana zmiana ma przede wszystkim na celu wyeliminowanie występujących sytuacji, w których na skutek złożenia przez płatnika składek korekt deklaracji za wiele lat wstecz (np. bez wykazania należnych do zapłaty składek lub z obniżoną ich kwotą w stosunku do złożonej na bieżąco) zmianie ulega stan rozliczeń na koncie, poprzez „sztuczną likwidację” poprzedniego zadłużenia, bądź też przez powstanie nadpłaty. Zmiana przepisów ma służyć stabilizacji stanów kont płatników składek i ubezpieczonych poprzez uniemożliwienie składania pierwszorazowych deklaracji rozliczeniowych oraz korygowania deklaracji rozliczeniowych po upływie 5 lat licząc od dnia, w którym należności z tytułu składek stały się wymagalne. </w:t>
      </w:r>
    </w:p>
    <w:p w:rsidR="00B77844" w:rsidRPr="00304DFA" w:rsidRDefault="00B77844" w:rsidP="00B77844">
      <w:pPr>
        <w:tabs>
          <w:tab w:val="left" w:pos="993"/>
          <w:tab w:val="left" w:pos="1276"/>
        </w:tabs>
        <w:suppressAutoHyphens/>
        <w:autoSpaceDE w:val="0"/>
        <w:autoSpaceDN w:val="0"/>
        <w:adjustRightInd w:val="0"/>
        <w:spacing w:after="0" w:line="360" w:lineRule="auto"/>
        <w:jc w:val="both"/>
        <w:rPr>
          <w:rFonts w:ascii="Times New Roman" w:hAnsi="Times New Roman" w:cs="Times New Roman"/>
          <w:bCs/>
        </w:rPr>
      </w:pPr>
      <w:r w:rsidRPr="00304DFA">
        <w:rPr>
          <w:rFonts w:ascii="Times New Roman" w:hAnsi="Times New Roman" w:cs="Times New Roman"/>
        </w:rPr>
        <w:t>Zmiana przepisów spowoduje o</w:t>
      </w:r>
      <w:r w:rsidRPr="00304DFA">
        <w:rPr>
          <w:rFonts w:ascii="Times New Roman" w:hAnsi="Times New Roman" w:cs="Times New Roman"/>
          <w:bCs/>
        </w:rPr>
        <w:t>graniczenie do 5 lat, licząc od dnia wymagalności składki, możliwości składania korekt dokumentów (deklaracji rozliczeniowej i imiennego raportu miesięcznego) przez płatnika składek. Na bieg</w:t>
      </w:r>
      <w:r w:rsidRPr="00304DFA">
        <w:rPr>
          <w:rFonts w:ascii="Times New Roman" w:hAnsi="Times New Roman" w:cs="Times New Roman"/>
        </w:rPr>
        <w:t xml:space="preserve"> 5-letniego terminu nie będzie mieć wpływu zaistnienie okoliczności zawieszających i przerywających bieg terminu przedawnienia dla należności z tytułu składek. Po</w:t>
      </w:r>
      <w:r w:rsidRPr="00304DFA">
        <w:rPr>
          <w:rFonts w:ascii="Times New Roman" w:hAnsi="Times New Roman" w:cs="Times New Roman"/>
          <w:bCs/>
        </w:rPr>
        <w:t xml:space="preserve"> upływie 5 lat od dnia, w którym składki rozliczone w deklaracji i raporcie stały się wymagalne, </w:t>
      </w:r>
      <w:r w:rsidRPr="00304DFA">
        <w:rPr>
          <w:rFonts w:ascii="Times New Roman" w:hAnsi="Times New Roman" w:cs="Times New Roman"/>
          <w:bCs/>
        </w:rPr>
        <w:lastRenderedPageBreak/>
        <w:t xml:space="preserve">korekty dokumentów rozliczeniowych będą mogły być sporządzane wyłącznie z urzędu przez </w:t>
      </w:r>
      <w:r w:rsidR="001975FD">
        <w:rPr>
          <w:rFonts w:ascii="Times New Roman" w:hAnsi="Times New Roman" w:cs="Times New Roman"/>
          <w:bCs/>
        </w:rPr>
        <w:t>ZUS</w:t>
      </w:r>
      <w:r w:rsidRPr="00304DFA">
        <w:rPr>
          <w:rFonts w:ascii="Times New Roman" w:hAnsi="Times New Roman" w:cs="Times New Roman"/>
          <w:bCs/>
        </w:rPr>
        <w:t xml:space="preserve"> jedynie na koncie ubezpieczonego. Powstała z tego tytułu nadpłata na koncie ubezpieczonego nie będzie podlegała zwrotowi, lecz będzie zaliczana na przychody FUS. W takim przypadku po upływie 5 lat, </w:t>
      </w:r>
      <w:r w:rsidR="001975FD">
        <w:rPr>
          <w:rFonts w:ascii="Times New Roman" w:hAnsi="Times New Roman" w:cs="Times New Roman"/>
          <w:bCs/>
        </w:rPr>
        <w:t>ZUS</w:t>
      </w:r>
      <w:r w:rsidRPr="00304DFA">
        <w:rPr>
          <w:rFonts w:ascii="Times New Roman" w:hAnsi="Times New Roman" w:cs="Times New Roman"/>
          <w:bCs/>
        </w:rPr>
        <w:t xml:space="preserve"> nie będzie mógł dochodzić należności z tytułu składek, jeżeli na skutek dokonanej korekty powstanie zadłużenie.</w:t>
      </w:r>
    </w:p>
    <w:p w:rsidR="00B77844" w:rsidRPr="00304DFA" w:rsidRDefault="00B77844" w:rsidP="00337CF8">
      <w:pPr>
        <w:spacing w:after="0" w:line="360" w:lineRule="auto"/>
        <w:jc w:val="both"/>
        <w:rPr>
          <w:rFonts w:ascii="Times New Roman" w:eastAsia="Times New Roman" w:hAnsi="Times New Roman" w:cs="Times New Roman"/>
          <w:lang w:eastAsia="pl-PL"/>
        </w:rPr>
      </w:pPr>
      <w:r w:rsidRPr="00304DFA">
        <w:rPr>
          <w:rFonts w:ascii="Times New Roman" w:hAnsi="Times New Roman" w:cs="Times New Roman"/>
        </w:rPr>
        <w:t xml:space="preserve">Praktyka płatników składek w zakresie składania dokumentów rozliczeniowych korygujących wskazuje, że dokumenty te są dowolnie modyfikowane w każdym czasie i z różnych powodów. </w:t>
      </w:r>
      <w:r w:rsidRPr="00304DFA">
        <w:rPr>
          <w:rFonts w:ascii="Times New Roman" w:eastAsia="Times New Roman" w:hAnsi="Times New Roman" w:cs="Times New Roman"/>
          <w:lang w:eastAsia="pl-PL"/>
        </w:rPr>
        <w:t>W okresie od 1 stycznia 2014 r. do 31 grudnia 2018 r. liczba wszystkich korekt dokumentów złożonych w okresie ostatnich 5 lat w kompletach dokumentów rozliczeniowych złożonych przez płatników wyniosła 38,3 mln, w tym za okresy przedawnione: w 2017 r. złożono 908,3 tys. korekt, w 2018 r. złożono 457, tys. korekt</w:t>
      </w:r>
      <w:r w:rsidR="004A0EB5" w:rsidRPr="00304DFA">
        <w:rPr>
          <w:rFonts w:ascii="Times New Roman" w:eastAsia="Times New Roman" w:hAnsi="Times New Roman" w:cs="Times New Roman"/>
          <w:lang w:eastAsia="pl-PL"/>
        </w:rPr>
        <w:t xml:space="preserve">. W </w:t>
      </w:r>
      <w:r w:rsidR="00E82170" w:rsidRPr="00304DFA">
        <w:rPr>
          <w:rFonts w:ascii="Times New Roman" w:eastAsia="Times New Roman" w:hAnsi="Times New Roman" w:cs="Times New Roman"/>
          <w:lang w:eastAsia="pl-PL"/>
        </w:rPr>
        <w:t>2019 r. na kontach 280 tys. płatników składek (aktywnych i nieaktywnych) została odnotowana co najmniej 1 korekta deklaracji rozliczeniowej i to za okres rozliczeniowy sprzed więcej niż za 5 lat (czyli za lata 1999-2013).</w:t>
      </w:r>
    </w:p>
    <w:p w:rsidR="00B77844" w:rsidRPr="00304DFA" w:rsidRDefault="00B77844" w:rsidP="00337CF8">
      <w:pPr>
        <w:tabs>
          <w:tab w:val="left" w:pos="993"/>
          <w:tab w:val="left" w:pos="1276"/>
        </w:tabs>
        <w:suppressAutoHyphens/>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 xml:space="preserve">Bezterminowa możliwość składania korekt deklaracji przez płatników składek niewątpliwie powoduje zaburzenie informacji zgromadzonych na koncie przez zmianę rozliczenia konta, a tym samym utrudnienie ustalenia jego prawidłowego salda. Składanie korekt deklaracji ma wpływ na rozliczenia pomiędzy poszczególnymi Funduszami. </w:t>
      </w:r>
      <w:r w:rsidR="004B1660">
        <w:rPr>
          <w:rFonts w:ascii="Times New Roman" w:hAnsi="Times New Roman" w:cs="Times New Roman"/>
        </w:rPr>
        <w:t>ZUS</w:t>
      </w:r>
      <w:r w:rsidRPr="00304DFA">
        <w:rPr>
          <w:rFonts w:ascii="Times New Roman" w:hAnsi="Times New Roman" w:cs="Times New Roman"/>
        </w:rPr>
        <w:t xml:space="preserve"> pobiera składki nie tylko na ubezpieczenia społeczne, ale również na ubezpieczenie zdrowotne, Fundusz Pracy, Fundusz Gwarantowanych Świadczeń Pracowniczych oraz Fundusz Emerytur Pomostowych. W oparciu o dane wynikające ze składanych przez płatników składek deklaracji rozliczeniowych, dokonywana jest weryfikacja uprawnień do refundacji za zatrudnione osoby niepełnosprawne przez Państwowy Fundusz Rehabilitacji Osób Niepełnosprawnych. Co więcej część rozliczeń dokonywanych przez płatników składek, zarówno dotyczących należnych składek, jak też wypłacanych i rozliczanych w ciężar składek świadczeń, podlega dalszemu rozliczeniu przez </w:t>
      </w:r>
      <w:r w:rsidR="001975FD">
        <w:rPr>
          <w:rFonts w:ascii="Times New Roman" w:hAnsi="Times New Roman" w:cs="Times New Roman"/>
        </w:rPr>
        <w:t xml:space="preserve">ZUS </w:t>
      </w:r>
      <w:r w:rsidRPr="00304DFA">
        <w:rPr>
          <w:rFonts w:ascii="Times New Roman" w:hAnsi="Times New Roman" w:cs="Times New Roman"/>
        </w:rPr>
        <w:t>z Ministerstwem Finansów. Konsekwencją niestabilności stanów kont płatników składek jest więc nie tylko obciążenie systemu finansowego ubezpieczeń społecznych, ale również obciążenie budżetu państwa</w:t>
      </w:r>
      <w:r w:rsidR="006A507D" w:rsidRPr="00304DFA">
        <w:rPr>
          <w:rFonts w:ascii="Times New Roman" w:hAnsi="Times New Roman" w:cs="Times New Roman"/>
        </w:rPr>
        <w:t>, będącego gwarantem wypłat świadczeń z ubezpieczeń społecznych.</w:t>
      </w:r>
      <w:r w:rsidRPr="00304DFA">
        <w:rPr>
          <w:rFonts w:ascii="Times New Roman" w:hAnsi="Times New Roman" w:cs="Times New Roman"/>
        </w:rPr>
        <w:t xml:space="preserve"> </w:t>
      </w:r>
      <w:r w:rsidR="006A507D" w:rsidRPr="00304DFA">
        <w:rPr>
          <w:rFonts w:ascii="Times New Roman" w:hAnsi="Times New Roman" w:cs="Times New Roman"/>
        </w:rPr>
        <w:t>Dodatkowo,</w:t>
      </w:r>
      <w:r w:rsidRPr="00304DFA">
        <w:rPr>
          <w:rFonts w:ascii="Times New Roman" w:hAnsi="Times New Roman" w:cs="Times New Roman"/>
        </w:rPr>
        <w:t xml:space="preserve"> składane przez płatnika deklaracje rozliczeniowe korygujące podlegają księgowaniu na koncie skutkując zmianą rozliczeń w stosunku do wszystkich wymienionych wyżej podmiotów zewnętrznych</w:t>
      </w:r>
      <w:r w:rsidR="004A0EB5" w:rsidRPr="00304DFA">
        <w:rPr>
          <w:rFonts w:ascii="Times New Roman" w:hAnsi="Times New Roman" w:cs="Times New Roman"/>
        </w:rPr>
        <w:t>, a i</w:t>
      </w:r>
      <w:r w:rsidRPr="00304DFA">
        <w:rPr>
          <w:rFonts w:ascii="Times New Roman" w:hAnsi="Times New Roman" w:cs="Times New Roman"/>
        </w:rPr>
        <w:t xml:space="preserve">nformacje zawarte na koncie ubezpieczonego i koncie płatnika składek mogą być uznane jako środek dowodowy w postępowaniu administracyjnym i sądowym z zakresu ubezpieczeń społecznych. </w:t>
      </w:r>
    </w:p>
    <w:p w:rsidR="00B77844" w:rsidRPr="00304DFA" w:rsidRDefault="00B77844" w:rsidP="00B77844">
      <w:pPr>
        <w:tabs>
          <w:tab w:val="left" w:pos="567"/>
        </w:tabs>
        <w:suppressAutoHyphens/>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Brzmienie zaproponowanych w projekcie przepisów umożliwia ograniczenie w czasie składani</w:t>
      </w:r>
      <w:r w:rsidR="00F60607">
        <w:rPr>
          <w:rFonts w:ascii="Times New Roman" w:hAnsi="Times New Roman" w:cs="Times New Roman"/>
        </w:rPr>
        <w:t>a</w:t>
      </w:r>
      <w:r w:rsidRPr="00304DFA">
        <w:rPr>
          <w:rFonts w:ascii="Times New Roman" w:hAnsi="Times New Roman" w:cs="Times New Roman"/>
        </w:rPr>
        <w:t xml:space="preserve"> przez płatników składek korekt dokumentów</w:t>
      </w:r>
      <w:r w:rsidR="006C70E3">
        <w:rPr>
          <w:rFonts w:ascii="Times New Roman" w:hAnsi="Times New Roman" w:cs="Times New Roman"/>
        </w:rPr>
        <w:t>.</w:t>
      </w:r>
    </w:p>
    <w:p w:rsidR="00B77844" w:rsidRPr="00304DFA" w:rsidRDefault="00B77844" w:rsidP="00BB6093">
      <w:pPr>
        <w:tabs>
          <w:tab w:val="left" w:pos="567"/>
        </w:tabs>
        <w:suppressAutoHyphens/>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 xml:space="preserve">Przy czym termin </w:t>
      </w:r>
      <w:r w:rsidR="004A0EB5" w:rsidRPr="00304DFA">
        <w:rPr>
          <w:rFonts w:ascii="Times New Roman" w:hAnsi="Times New Roman" w:cs="Times New Roman"/>
        </w:rPr>
        <w:t>5 lat</w:t>
      </w:r>
      <w:r w:rsidRPr="00304DFA">
        <w:rPr>
          <w:rFonts w:ascii="Times New Roman" w:hAnsi="Times New Roman" w:cs="Times New Roman"/>
        </w:rPr>
        <w:t xml:space="preserve"> wydłużony będzie w sytuacji, gdy należności z tytułu składek, których dotyczy korekta nie uległy przedawnieniu na podstawie art. 24 ust. 5e i 5f ustawy o systemie ubezpieczeń społecznych. Inicjatywa w zakresie sporządzania korekt deklaracji rozliczeniowych, po upływie </w:t>
      </w:r>
      <w:r w:rsidRPr="00304DFA">
        <w:rPr>
          <w:rFonts w:ascii="Times New Roman" w:hAnsi="Times New Roman" w:cs="Times New Roman"/>
        </w:rPr>
        <w:lastRenderedPageBreak/>
        <w:t xml:space="preserve">omówionego powyżej okresu, przysługiwać będzie </w:t>
      </w:r>
      <w:r w:rsidR="001975FD">
        <w:rPr>
          <w:rFonts w:ascii="Times New Roman" w:hAnsi="Times New Roman" w:cs="Times New Roman"/>
        </w:rPr>
        <w:t>ZUS</w:t>
      </w:r>
      <w:r w:rsidRPr="00304DFA">
        <w:rPr>
          <w:rFonts w:ascii="Times New Roman" w:hAnsi="Times New Roman" w:cs="Times New Roman"/>
        </w:rPr>
        <w:t xml:space="preserve"> jedynie na podstawie prawomocnych wyroków sądowych.</w:t>
      </w:r>
    </w:p>
    <w:p w:rsidR="00B77844" w:rsidRDefault="00B77844" w:rsidP="00BA130C">
      <w:pPr>
        <w:spacing w:after="120" w:line="360" w:lineRule="auto"/>
        <w:jc w:val="both"/>
        <w:rPr>
          <w:rFonts w:ascii="Times New Roman" w:hAnsi="Times New Roman" w:cs="Times New Roman"/>
        </w:rPr>
      </w:pPr>
      <w:r w:rsidRPr="00304DFA">
        <w:rPr>
          <w:rFonts w:ascii="Times New Roman" w:hAnsi="Times New Roman" w:cs="Times New Roman"/>
        </w:rPr>
        <w:t xml:space="preserve">Proponowane zmiany art. 47a </w:t>
      </w:r>
      <w:r w:rsidR="0094406D" w:rsidRPr="00304DFA">
        <w:rPr>
          <w:rFonts w:ascii="Times New Roman" w:hAnsi="Times New Roman" w:cs="Times New Roman"/>
        </w:rPr>
        <w:t>ustaw</w:t>
      </w:r>
      <w:r w:rsidR="0094406D">
        <w:rPr>
          <w:rFonts w:ascii="Times New Roman" w:hAnsi="Times New Roman" w:cs="Times New Roman"/>
        </w:rPr>
        <w:t>y</w:t>
      </w:r>
      <w:r w:rsidR="0094406D" w:rsidRPr="00304DFA">
        <w:rPr>
          <w:rFonts w:ascii="Times New Roman" w:hAnsi="Times New Roman" w:cs="Times New Roman"/>
        </w:rPr>
        <w:t xml:space="preserve"> </w:t>
      </w:r>
      <w:r w:rsidRPr="00304DFA">
        <w:rPr>
          <w:rFonts w:ascii="Times New Roman" w:hAnsi="Times New Roman" w:cs="Times New Roman"/>
        </w:rPr>
        <w:t xml:space="preserve">o systemie ubezpieczeń społecznych wprowadzają nowe sposoby podpisywania dokumentów elektronicznych składanych do </w:t>
      </w:r>
      <w:r w:rsidR="004B1660">
        <w:rPr>
          <w:rFonts w:ascii="Times New Roman" w:hAnsi="Times New Roman" w:cs="Times New Roman"/>
        </w:rPr>
        <w:t>ZUS</w:t>
      </w:r>
      <w:r w:rsidRPr="00304DFA">
        <w:rPr>
          <w:rFonts w:ascii="Times New Roman" w:hAnsi="Times New Roman" w:cs="Times New Roman"/>
        </w:rPr>
        <w:t xml:space="preserve"> przez użycie podpisu osobistego oraz podpisu zaufanego. Obecny art. 47a powołanej ustawy pozwala na podpisywanie dokumentów elektronicznych wyłącznie kwalifikowanym podpisem elektronicznym. Zaproponowane zmiany rozszerzają sposoby podpisywania dokumentów i są konsekwencją wprowadzenia nowych form podpisywania i identyfikacji do polskiego porządku prawnego. Zaproponowane nowe rozwiązania ułatwią dostęp do usług w formie elektronicznej.</w:t>
      </w:r>
      <w:r w:rsidR="00765D02">
        <w:rPr>
          <w:rFonts w:ascii="Times New Roman" w:hAnsi="Times New Roman" w:cs="Times New Roman"/>
        </w:rPr>
        <w:t xml:space="preserve"> Proponuje się dodatkowo utrzymanie czasowo w mocy </w:t>
      </w:r>
      <w:r w:rsidR="00691F94">
        <w:rPr>
          <w:rFonts w:ascii="Times New Roman" w:hAnsi="Times New Roman" w:cs="Times New Roman"/>
        </w:rPr>
        <w:t>przepisów wykonawczych wydanych na podstawie art. 47a ust. 7</w:t>
      </w:r>
      <w:r w:rsidR="003F10F5">
        <w:rPr>
          <w:rFonts w:ascii="Times New Roman" w:hAnsi="Times New Roman" w:cs="Times New Roman"/>
        </w:rPr>
        <w:t xml:space="preserve"> ustawy o systemie ubezpieczeń społecznych</w:t>
      </w:r>
      <w:r w:rsidR="00691F94">
        <w:rPr>
          <w:rFonts w:ascii="Times New Roman" w:hAnsi="Times New Roman" w:cs="Times New Roman"/>
        </w:rPr>
        <w:t xml:space="preserve"> </w:t>
      </w:r>
      <w:r w:rsidR="00D30178">
        <w:rPr>
          <w:rFonts w:ascii="Times New Roman" w:hAnsi="Times New Roman" w:cs="Times New Roman"/>
        </w:rPr>
        <w:t xml:space="preserve">do czasu wydania nowych przepisów wykonawczych jednak nie dłużej niż </w:t>
      </w:r>
      <w:r w:rsidR="00765D02">
        <w:rPr>
          <w:rFonts w:ascii="Times New Roman" w:hAnsi="Times New Roman" w:cs="Times New Roman"/>
        </w:rPr>
        <w:t>przez okres 12 miesięcy, od daty wejścia w życie projektowanej regulacji</w:t>
      </w:r>
      <w:r w:rsidR="00691F94">
        <w:rPr>
          <w:rFonts w:ascii="Times New Roman" w:hAnsi="Times New Roman" w:cs="Times New Roman"/>
        </w:rPr>
        <w:t>.</w:t>
      </w:r>
    </w:p>
    <w:p w:rsidR="00B91889" w:rsidRPr="00304DFA" w:rsidRDefault="00B91889" w:rsidP="00BA130C">
      <w:pPr>
        <w:pStyle w:val="Akapitzlist"/>
        <w:numPr>
          <w:ilvl w:val="0"/>
          <w:numId w:val="17"/>
        </w:numPr>
        <w:spacing w:after="120" w:line="360" w:lineRule="auto"/>
        <w:ind w:left="0" w:hanging="284"/>
        <w:jc w:val="both"/>
        <w:rPr>
          <w:rFonts w:ascii="Times New Roman" w:hAnsi="Times New Roman" w:cs="Times New Roman"/>
          <w:b/>
        </w:rPr>
      </w:pPr>
      <w:r w:rsidRPr="00304DFA">
        <w:rPr>
          <w:rFonts w:ascii="Times New Roman" w:hAnsi="Times New Roman" w:cs="Times New Roman"/>
          <w:b/>
        </w:rPr>
        <w:t xml:space="preserve">Zapewnienie współmierności przychodów i kosztów FUS (ustawa z dnia 13 października 1998 r. o systemie ubezpieczeń społecznych </w:t>
      </w:r>
      <w:r w:rsidR="00BE0289" w:rsidRPr="00304DFA">
        <w:rPr>
          <w:rFonts w:ascii="Times New Roman" w:hAnsi="Times New Roman" w:cs="Times New Roman"/>
          <w:b/>
        </w:rPr>
        <w:t>–</w:t>
      </w:r>
      <w:r w:rsidRPr="00304DFA">
        <w:rPr>
          <w:rFonts w:ascii="Times New Roman" w:hAnsi="Times New Roman" w:cs="Times New Roman"/>
          <w:b/>
        </w:rPr>
        <w:t xml:space="preserve"> art. 54 pkt 11</w:t>
      </w:r>
      <w:r w:rsidR="00BA7846">
        <w:rPr>
          <w:rFonts w:ascii="Times New Roman" w:hAnsi="Times New Roman" w:cs="Times New Roman"/>
          <w:b/>
        </w:rPr>
        <w:t xml:space="preserve"> i </w:t>
      </w:r>
      <w:r w:rsidRPr="00304DFA">
        <w:rPr>
          <w:rFonts w:ascii="Times New Roman" w:hAnsi="Times New Roman" w:cs="Times New Roman"/>
          <w:b/>
        </w:rPr>
        <w:t>art. 58 ust. 2 pkt 4b).</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Art</w:t>
      </w:r>
      <w:r w:rsidR="00BE0289">
        <w:rPr>
          <w:rFonts w:ascii="Times New Roman" w:hAnsi="Times New Roman" w:cs="Times New Roman"/>
        </w:rPr>
        <w:t>.</w:t>
      </w:r>
      <w:r w:rsidRPr="00304DFA">
        <w:rPr>
          <w:rFonts w:ascii="Times New Roman" w:hAnsi="Times New Roman" w:cs="Times New Roman"/>
        </w:rPr>
        <w:t xml:space="preserve"> 22 ust. 4 ustawy o systemie ubezpieczeń społecznych określa, że część składki na ubezpieczenie emerytalne odprowadzana jest do Funduszu Rezerwy Demograficznej (FRD). Proces ten następuje po dokonaniu przypisu należnych składek emerytalnych na koncie płatnika, czyli zewidencjonowania przychodu FUS.</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W związku z tym, że składki na FRD wykazywane są w momencie ich ewidencji jako przychody, to w momencie ich przekazania powinny być ujmowane jako koszty i wydatki FUS. W ten sposób zapewniona zostanie współmierność przychodów i kosztów funduszu. W związku z powyższym w projekcie proponuje się dodanie w art. 54 ustawy o systemie ubezpieczeń społecznych pkt 11, który określa, że składki odprowadzane przez </w:t>
      </w:r>
      <w:r w:rsidR="004B1660">
        <w:rPr>
          <w:rFonts w:ascii="Times New Roman" w:hAnsi="Times New Roman" w:cs="Times New Roman"/>
        </w:rPr>
        <w:t>ZUS</w:t>
      </w:r>
      <w:r w:rsidRPr="00304DFA">
        <w:rPr>
          <w:rFonts w:ascii="Times New Roman" w:hAnsi="Times New Roman" w:cs="Times New Roman"/>
        </w:rPr>
        <w:t xml:space="preserve"> do FRD finansowane są ze środków zgromadzonych w FUS.  </w:t>
      </w:r>
    </w:p>
    <w:p w:rsidR="00B91889" w:rsidRDefault="00B91889" w:rsidP="00BB6093">
      <w:pPr>
        <w:spacing w:after="0" w:line="360" w:lineRule="auto"/>
        <w:jc w:val="both"/>
        <w:rPr>
          <w:rFonts w:ascii="Times New Roman" w:hAnsi="Times New Roman" w:cs="Times New Roman"/>
        </w:rPr>
      </w:pPr>
      <w:r w:rsidRPr="00304DFA">
        <w:rPr>
          <w:rFonts w:ascii="Times New Roman" w:hAnsi="Times New Roman" w:cs="Times New Roman"/>
        </w:rPr>
        <w:t xml:space="preserve">Zmiana jest neutralna finansowo dla FUS. Obecnie składki przekazywane do FRD pomniejszają przychody z tytułu składek FUS. Po zmianie przychody nie będą pomniejszane (nastąpi ich urealnienie), a kwota przekazanych składek zostanie ujęta w kosztach FUS. </w:t>
      </w:r>
      <w:r w:rsidR="00310B3A">
        <w:rPr>
          <w:rFonts w:ascii="Times New Roman" w:hAnsi="Times New Roman" w:cs="Times New Roman"/>
        </w:rPr>
        <w:t>W p</w:t>
      </w:r>
      <w:r w:rsidRPr="00304DFA">
        <w:rPr>
          <w:rFonts w:ascii="Times New Roman" w:eastAsia="Calibri" w:hAnsi="Times New Roman" w:cs="Times New Roman"/>
        </w:rPr>
        <w:t>rojekcie ustawy proponuje się dodanie</w:t>
      </w:r>
      <w:r w:rsidRPr="00304DFA">
        <w:rPr>
          <w:rFonts w:ascii="Times New Roman" w:hAnsi="Times New Roman" w:cs="Times New Roman"/>
        </w:rPr>
        <w:t xml:space="preserve"> w art. 58 w ust. 2 pkt 4b, który pozwala na zaliczenie na FRD odsetek naliczanych od środków na rachunkach bankowych dotyczących prowadzonej egzekucji zbiegowej. </w:t>
      </w:r>
      <w:r w:rsidRPr="00304DFA">
        <w:rPr>
          <w:rFonts w:ascii="Times New Roman" w:eastAsia="Calibri" w:hAnsi="Times New Roman" w:cs="Times New Roman"/>
        </w:rPr>
        <w:t xml:space="preserve">Mając na uwadze prawidłowe zasady gospodarowania środkami publicznymi, celowe wydaje się, aby uzyskane z egzekucji środki zgromadzone na rachunkach bankowych, do czasu dokonania podziału pomiędzy wierzycieli środków wyegzekwowanych i przekazanych przez dłużników zajętej wierzytelności (np. banki) dyrektorom oddziałów </w:t>
      </w:r>
      <w:r w:rsidR="004B1660">
        <w:rPr>
          <w:rFonts w:ascii="Times New Roman" w:eastAsia="Calibri" w:hAnsi="Times New Roman" w:cs="Times New Roman"/>
        </w:rPr>
        <w:t>ZUS</w:t>
      </w:r>
      <w:r w:rsidRPr="00304DFA">
        <w:rPr>
          <w:rFonts w:ascii="Times New Roman" w:eastAsia="Calibri" w:hAnsi="Times New Roman" w:cs="Times New Roman"/>
        </w:rPr>
        <w:t xml:space="preserve"> jako organom egzekucyjnym, były oprocentowane. Wobec braku określenia w ustawie z dnia 17 czerwca 1966 r. o postępowaniu egzekucyjnym w administracji podstaw do zadysponowania odsetkami jakie zostaną wygenerowane na tych rachunkach, zasadne wydaje się zasilenie nimi FRD. Według danych </w:t>
      </w:r>
      <w:r w:rsidR="004B1660">
        <w:rPr>
          <w:rFonts w:ascii="Times New Roman" w:eastAsia="Calibri" w:hAnsi="Times New Roman" w:cs="Times New Roman"/>
        </w:rPr>
        <w:t>ZUS</w:t>
      </w:r>
      <w:r w:rsidRPr="00304DFA">
        <w:rPr>
          <w:rFonts w:ascii="Times New Roman" w:eastAsia="Calibri" w:hAnsi="Times New Roman" w:cs="Times New Roman"/>
        </w:rPr>
        <w:t xml:space="preserve"> na koncie </w:t>
      </w:r>
      <w:r w:rsidRPr="00304DFA">
        <w:rPr>
          <w:rFonts w:ascii="Times New Roman" w:eastAsia="Calibri" w:hAnsi="Times New Roman" w:cs="Times New Roman"/>
        </w:rPr>
        <w:lastRenderedPageBreak/>
        <w:t xml:space="preserve">księgowym „Rozliczenie naliczonych odsetek od rachunku obsługującego egzekucję zbiegową”, </w:t>
      </w:r>
      <w:r w:rsidRPr="00304DFA">
        <w:rPr>
          <w:rFonts w:ascii="Times New Roman" w:hAnsi="Times New Roman" w:cs="Times New Roman"/>
        </w:rPr>
        <w:t xml:space="preserve">na dzień 31 grudnia 2018 r. zostały zewidencjonowane odsetki w wysokości 444,4 tys. zł, natomiast </w:t>
      </w:r>
      <w:r w:rsidR="006A507D" w:rsidRPr="00304DFA">
        <w:rPr>
          <w:rFonts w:ascii="Times New Roman" w:hAnsi="Times New Roman" w:cs="Times New Roman"/>
        </w:rPr>
        <w:t>na dzień</w:t>
      </w:r>
      <w:r w:rsidRPr="00304DFA">
        <w:rPr>
          <w:rFonts w:ascii="Times New Roman" w:hAnsi="Times New Roman" w:cs="Times New Roman"/>
        </w:rPr>
        <w:t xml:space="preserve"> 31 </w:t>
      </w:r>
      <w:r w:rsidR="006A507D" w:rsidRPr="00304DFA">
        <w:rPr>
          <w:rFonts w:ascii="Times New Roman" w:hAnsi="Times New Roman" w:cs="Times New Roman"/>
        </w:rPr>
        <w:t>grudnia</w:t>
      </w:r>
      <w:r w:rsidRPr="00304DFA">
        <w:rPr>
          <w:rFonts w:ascii="Times New Roman" w:hAnsi="Times New Roman" w:cs="Times New Roman"/>
        </w:rPr>
        <w:t xml:space="preserve"> 2019 r. – w wysokości 8</w:t>
      </w:r>
      <w:r w:rsidR="006A507D" w:rsidRPr="00304DFA">
        <w:rPr>
          <w:rFonts w:ascii="Times New Roman" w:hAnsi="Times New Roman" w:cs="Times New Roman"/>
        </w:rPr>
        <w:t>84</w:t>
      </w:r>
      <w:r w:rsidRPr="00304DFA">
        <w:rPr>
          <w:rFonts w:ascii="Times New Roman" w:hAnsi="Times New Roman" w:cs="Times New Roman"/>
        </w:rPr>
        <w:t>,</w:t>
      </w:r>
      <w:r w:rsidR="006A507D" w:rsidRPr="00304DFA">
        <w:rPr>
          <w:rFonts w:ascii="Times New Roman" w:hAnsi="Times New Roman" w:cs="Times New Roman"/>
        </w:rPr>
        <w:t>33</w:t>
      </w:r>
      <w:r w:rsidRPr="00304DFA">
        <w:rPr>
          <w:rFonts w:ascii="Times New Roman" w:hAnsi="Times New Roman" w:cs="Times New Roman"/>
        </w:rPr>
        <w:t xml:space="preserve"> tys. zł.</w:t>
      </w:r>
    </w:p>
    <w:p w:rsidR="007E2487" w:rsidRPr="00D569F8" w:rsidRDefault="007E2487" w:rsidP="007E2487">
      <w:pPr>
        <w:spacing w:after="0" w:line="360" w:lineRule="auto"/>
        <w:jc w:val="both"/>
        <w:rPr>
          <w:rFonts w:ascii="Times New Roman" w:hAnsi="Times New Roman" w:cs="Times New Roman"/>
        </w:rPr>
      </w:pPr>
      <w:r w:rsidRPr="00D569F8">
        <w:rPr>
          <w:rFonts w:ascii="Times New Roman" w:hAnsi="Times New Roman" w:cs="Times New Roman"/>
        </w:rPr>
        <w:t xml:space="preserve">Stanowi to odpowiednio na dzień 31  grudnia 2018 r. 0,0011% oraz na dzień 31 grudnia 2019 r. 0,0022% aktywów Funduszu Rezerwy Demograficznej. </w:t>
      </w:r>
    </w:p>
    <w:p w:rsidR="00B91889" w:rsidRPr="00304DFA" w:rsidRDefault="00BE0289" w:rsidP="00BA130C">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91889" w:rsidRPr="00304DFA">
        <w:rPr>
          <w:rFonts w:ascii="Times New Roman" w:hAnsi="Times New Roman" w:cs="Times New Roman"/>
          <w:b/>
        </w:rPr>
        <w:t xml:space="preserve">Likwidacja funduszu rezerwowego (ustawa z dnia 13 października 1998 r. o systemie ubezpieczeń społecznych </w:t>
      </w:r>
      <w:r w:rsidR="001C7E45" w:rsidRPr="00304DFA">
        <w:rPr>
          <w:rFonts w:ascii="Times New Roman" w:hAnsi="Times New Roman" w:cs="Times New Roman"/>
          <w:b/>
        </w:rPr>
        <w:t>–</w:t>
      </w:r>
      <w:r w:rsidR="006F5127">
        <w:rPr>
          <w:rFonts w:ascii="Times New Roman" w:hAnsi="Times New Roman" w:cs="Times New Roman"/>
          <w:b/>
        </w:rPr>
        <w:t xml:space="preserve">art. 53 ust. 2 i </w:t>
      </w:r>
      <w:r w:rsidR="00B91889" w:rsidRPr="00304DFA">
        <w:rPr>
          <w:rFonts w:ascii="Times New Roman" w:hAnsi="Times New Roman" w:cs="Times New Roman"/>
          <w:b/>
        </w:rPr>
        <w:t>art. 56).</w:t>
      </w:r>
    </w:p>
    <w:p w:rsidR="00B91889" w:rsidRPr="00304DFA" w:rsidRDefault="00B91889" w:rsidP="00F03EA5">
      <w:pPr>
        <w:spacing w:after="0" w:line="360" w:lineRule="auto"/>
        <w:jc w:val="both"/>
        <w:rPr>
          <w:rFonts w:ascii="Times New Roman" w:hAnsi="Times New Roman" w:cs="Times New Roman"/>
        </w:rPr>
      </w:pPr>
      <w:r w:rsidRPr="00304DFA">
        <w:rPr>
          <w:rFonts w:ascii="Times New Roman" w:hAnsi="Times New Roman" w:cs="Times New Roman"/>
        </w:rPr>
        <w:t>W projekcie proponuje się likwidację funduszu rezerwowego określonego w art. 56 ust. 1</w:t>
      </w:r>
      <w:r w:rsidR="001C7E45" w:rsidRPr="00304DFA">
        <w:rPr>
          <w:rFonts w:ascii="Times New Roman" w:hAnsi="Times New Roman" w:cs="Times New Roman"/>
          <w:b/>
        </w:rPr>
        <w:t>–</w:t>
      </w:r>
      <w:r w:rsidRPr="00304DFA">
        <w:rPr>
          <w:rFonts w:ascii="Times New Roman" w:hAnsi="Times New Roman" w:cs="Times New Roman"/>
        </w:rPr>
        <w:t xml:space="preserve">3 ustawy </w:t>
      </w:r>
      <w:r w:rsidR="00BA130C">
        <w:rPr>
          <w:rFonts w:ascii="Times New Roman" w:hAnsi="Times New Roman" w:cs="Times New Roman"/>
        </w:rPr>
        <w:br/>
      </w:r>
      <w:r w:rsidRPr="00304DFA">
        <w:rPr>
          <w:rFonts w:ascii="Times New Roman" w:hAnsi="Times New Roman" w:cs="Times New Roman"/>
        </w:rPr>
        <w:t xml:space="preserve">o systemie ubezpieczeń społecznych. Dotychczasowe przepisy przewidują konieczność tworzenia przez </w:t>
      </w:r>
      <w:r w:rsidR="00C56F84">
        <w:rPr>
          <w:rFonts w:ascii="Times New Roman" w:hAnsi="Times New Roman" w:cs="Times New Roman"/>
        </w:rPr>
        <w:t>ZUS</w:t>
      </w:r>
      <w:r w:rsidRPr="00304DFA">
        <w:rPr>
          <w:rFonts w:ascii="Times New Roman" w:hAnsi="Times New Roman" w:cs="Times New Roman"/>
        </w:rPr>
        <w:t xml:space="preserve"> ze środków pozostających w dniu 31 grudnia każdego roku na rachunku bankowym FUS funduszu rezerwowego. </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Biorąc pod uwagę fakt, że występuje ciągły niedobór środków w FUS i konieczność dotowania tego funduszu z budżetu państwa w celu zapewnienia środków na wypłatę świadczeń są to przepisy, które nie są możliwe do zrealizowania przez </w:t>
      </w:r>
      <w:r w:rsidR="00C56F84">
        <w:rPr>
          <w:rFonts w:ascii="Times New Roman" w:hAnsi="Times New Roman" w:cs="Times New Roman"/>
        </w:rPr>
        <w:t>ZUS</w:t>
      </w:r>
      <w:r w:rsidRPr="00304DFA">
        <w:rPr>
          <w:rFonts w:ascii="Times New Roman" w:hAnsi="Times New Roman" w:cs="Times New Roman"/>
        </w:rPr>
        <w:t xml:space="preserve">. Na koniec roku może się okazać, że dotacja z budżetu państwa jest głównym źródłem środków pozostających na dzień 31 grudnia na rachunku FUS i jednocześnie zachodzi przesłanka utworzenia funduszu rezerwowego, co doprowadziłoby do sytuacji, że fundusz rezerwowy utworzono by z dotacji z budżetu państwa. W związku z powyższym racjonalnym rozwiązaniem w tej sytuacji jest likwidacja przepisów nakładających na </w:t>
      </w:r>
      <w:r w:rsidR="00C56F84">
        <w:rPr>
          <w:rFonts w:ascii="Times New Roman" w:hAnsi="Times New Roman" w:cs="Times New Roman"/>
        </w:rPr>
        <w:t>ZUS</w:t>
      </w:r>
      <w:r w:rsidRPr="00304DFA">
        <w:rPr>
          <w:rFonts w:ascii="Times New Roman" w:hAnsi="Times New Roman" w:cs="Times New Roman"/>
        </w:rPr>
        <w:t xml:space="preserve"> ten obowiązek, jako przepisów martwych i nie znajdujących uzasadnienia w obecnej sytuacji finansowej FUS. Zwłaszcza, że sprawa ta była w kolejnych latach przedmiotem zainteresowania Najwyższej Izby Kontroli (NIK), która podczas corocznej kontroli wykonania budżetu i planów finansowych oczekiwała wyjaśnień o powody nie wypełniania przez </w:t>
      </w:r>
      <w:r w:rsidR="00C56F84">
        <w:rPr>
          <w:rFonts w:ascii="Times New Roman" w:hAnsi="Times New Roman" w:cs="Times New Roman"/>
        </w:rPr>
        <w:t xml:space="preserve">ZUS </w:t>
      </w:r>
      <w:r w:rsidRPr="00304DFA">
        <w:rPr>
          <w:rFonts w:ascii="Times New Roman" w:hAnsi="Times New Roman" w:cs="Times New Roman"/>
        </w:rPr>
        <w:t xml:space="preserve">zadania ustawowego i nie utworzenia funduszu rezerwowego. </w:t>
      </w:r>
      <w:r w:rsidR="006F5127">
        <w:rPr>
          <w:rFonts w:ascii="Times New Roman" w:hAnsi="Times New Roman" w:cs="Times New Roman"/>
        </w:rPr>
        <w:t>Zmiana przepisu art. 53 ust. 2 ustawy o systemie ubezpieczeń społecznych ma charakter porządkujący i jest zmianą wynikową ze zmiany art. 56 powyższej ustawy.</w:t>
      </w:r>
      <w:r w:rsidR="004F78C1">
        <w:rPr>
          <w:rFonts w:ascii="Times New Roman" w:hAnsi="Times New Roman" w:cs="Times New Roman"/>
        </w:rPr>
        <w:t xml:space="preserve"> </w:t>
      </w:r>
      <w:r w:rsidR="00765D02">
        <w:rPr>
          <w:rFonts w:ascii="Times New Roman" w:hAnsi="Times New Roman" w:cs="Times New Roman"/>
        </w:rPr>
        <w:t>Ze względu na występujący ciągły niedobór środków w FUS, nie ma potrzeby uzupełnieni</w:t>
      </w:r>
      <w:r w:rsidR="003F10F5">
        <w:rPr>
          <w:rFonts w:ascii="Times New Roman" w:hAnsi="Times New Roman" w:cs="Times New Roman"/>
        </w:rPr>
        <w:t>a</w:t>
      </w:r>
      <w:r w:rsidR="00765D02">
        <w:rPr>
          <w:rFonts w:ascii="Times New Roman" w:hAnsi="Times New Roman" w:cs="Times New Roman"/>
        </w:rPr>
        <w:t xml:space="preserve"> powyższej proponowanej zmiany o przepisy przejściowe.</w:t>
      </w:r>
    </w:p>
    <w:p w:rsidR="00B91889" w:rsidRPr="00304DFA" w:rsidRDefault="00B91889" w:rsidP="00F03EA5">
      <w:pPr>
        <w:pStyle w:val="Akapitzlist"/>
        <w:numPr>
          <w:ilvl w:val="0"/>
          <w:numId w:val="17"/>
        </w:numPr>
        <w:tabs>
          <w:tab w:val="left" w:pos="-142"/>
        </w:tabs>
        <w:spacing w:after="0" w:line="360" w:lineRule="auto"/>
        <w:ind w:left="0" w:hanging="284"/>
        <w:jc w:val="both"/>
        <w:rPr>
          <w:rFonts w:ascii="Times New Roman" w:hAnsi="Times New Roman" w:cs="Times New Roman"/>
          <w:b/>
        </w:rPr>
      </w:pPr>
      <w:r w:rsidRPr="00304DFA">
        <w:rPr>
          <w:rFonts w:ascii="Times New Roman" w:hAnsi="Times New Roman" w:cs="Times New Roman"/>
          <w:b/>
        </w:rPr>
        <w:t xml:space="preserve">Tryb dokonywania i zatwierdzania zmian w planie finansowym </w:t>
      </w:r>
      <w:r w:rsidR="00C56F84">
        <w:rPr>
          <w:rFonts w:ascii="Times New Roman" w:hAnsi="Times New Roman" w:cs="Times New Roman"/>
          <w:b/>
        </w:rPr>
        <w:t>ZUS</w:t>
      </w:r>
      <w:r w:rsidRPr="00304DFA">
        <w:rPr>
          <w:rFonts w:ascii="Times New Roman" w:hAnsi="Times New Roman" w:cs="Times New Roman"/>
          <w:b/>
        </w:rPr>
        <w:t xml:space="preserve"> (ustawa z dnia 13 października 1998 r. o systemie ubezpieczeń społecznych </w:t>
      </w:r>
      <w:r w:rsidR="001C7E45" w:rsidRPr="00304DFA">
        <w:rPr>
          <w:rFonts w:ascii="Times New Roman" w:hAnsi="Times New Roman" w:cs="Times New Roman"/>
          <w:b/>
        </w:rPr>
        <w:t>–</w:t>
      </w:r>
      <w:r w:rsidRPr="00304DFA">
        <w:rPr>
          <w:rFonts w:ascii="Times New Roman" w:hAnsi="Times New Roman" w:cs="Times New Roman"/>
          <w:b/>
        </w:rPr>
        <w:t xml:space="preserve"> art. 74 ust. 3 pkt 8 oraz art. 75 ust. 2 pkt 4).</w:t>
      </w:r>
    </w:p>
    <w:p w:rsidR="00B91889" w:rsidRPr="00304DFA" w:rsidRDefault="00B91889" w:rsidP="00F03EA5">
      <w:pPr>
        <w:spacing w:after="0" w:line="360" w:lineRule="auto"/>
        <w:jc w:val="both"/>
        <w:rPr>
          <w:rFonts w:ascii="Times New Roman" w:hAnsi="Times New Roman" w:cs="Times New Roman"/>
        </w:rPr>
      </w:pPr>
      <w:r w:rsidRPr="00304DFA">
        <w:rPr>
          <w:rFonts w:ascii="Times New Roman" w:hAnsi="Times New Roman" w:cs="Times New Roman"/>
        </w:rPr>
        <w:t xml:space="preserve">W obowiązujących przepisach brakuje uregulowania trybu dokonywania i zatwierdzania zmian w planie finansowym </w:t>
      </w:r>
      <w:r w:rsidR="00C56F84">
        <w:rPr>
          <w:rFonts w:ascii="Times New Roman" w:hAnsi="Times New Roman" w:cs="Times New Roman"/>
        </w:rPr>
        <w:t>ZUS</w:t>
      </w:r>
      <w:r w:rsidRPr="00304DFA">
        <w:rPr>
          <w:rFonts w:ascii="Times New Roman" w:hAnsi="Times New Roman" w:cs="Times New Roman"/>
        </w:rPr>
        <w:t xml:space="preserve">. Wprowadzenie powyższych zmian wypełni aktualną lukę prawną. W latach ubiegłych, na konieczność podjęcia inicjatywy w celu ustawowego uregulowania trybu zatwierdzania zmian w planie finansowym </w:t>
      </w:r>
      <w:r w:rsidR="00C56F84">
        <w:rPr>
          <w:rFonts w:ascii="Times New Roman" w:hAnsi="Times New Roman" w:cs="Times New Roman"/>
        </w:rPr>
        <w:t>ZUS-owi</w:t>
      </w:r>
      <w:r w:rsidRPr="00304DFA">
        <w:rPr>
          <w:rFonts w:ascii="Times New Roman" w:hAnsi="Times New Roman" w:cs="Times New Roman"/>
        </w:rPr>
        <w:t xml:space="preserve"> uwagę zwracał NIK w ramach rocznych kontroli wykonania budżetu państwa. Obecnie do zatwierdzania zmian wykorzystywany jest tryb określony w ustawie o systemie ubezpieczeń społecznych, analogiczny jak dla zatwierdzania rocznego planu finansowego. </w:t>
      </w:r>
      <w:r w:rsidRPr="00304DFA">
        <w:rPr>
          <w:rFonts w:ascii="Times New Roman" w:hAnsi="Times New Roman" w:cs="Times New Roman"/>
        </w:rPr>
        <w:lastRenderedPageBreak/>
        <w:t xml:space="preserve">Prawidłowość takiego postępowania została potwierdzona zarówno przez Ministra Finansów, jak i zewnętrznych ekspertów specjalistów prawa finansów publicznych. </w:t>
      </w:r>
    </w:p>
    <w:p w:rsidR="00B91889" w:rsidRDefault="00B91889" w:rsidP="00B91889">
      <w:pPr>
        <w:spacing w:after="120" w:line="360" w:lineRule="auto"/>
        <w:jc w:val="both"/>
        <w:rPr>
          <w:rFonts w:ascii="Times New Roman" w:hAnsi="Times New Roman" w:cs="Times New Roman"/>
        </w:rPr>
      </w:pPr>
      <w:r w:rsidRPr="00304DFA">
        <w:rPr>
          <w:rFonts w:ascii="Times New Roman" w:hAnsi="Times New Roman" w:cs="Times New Roman"/>
        </w:rPr>
        <w:t xml:space="preserve">Wprowadzenie zaproponowanych zmian do ustawy o systemie ubezpieczeń społecznych stanowić będzie usankcjonowanie obecnie stosowanej w </w:t>
      </w:r>
      <w:r w:rsidR="00C56F84">
        <w:rPr>
          <w:rFonts w:ascii="Times New Roman" w:hAnsi="Times New Roman" w:cs="Times New Roman"/>
        </w:rPr>
        <w:t>ZUS</w:t>
      </w:r>
      <w:r w:rsidRPr="00304DFA">
        <w:rPr>
          <w:rFonts w:ascii="Times New Roman" w:hAnsi="Times New Roman" w:cs="Times New Roman"/>
        </w:rPr>
        <w:t xml:space="preserve"> praktyki. W związku z powyższym w projekcie proponuje się rozszerzenie zadań Zarządu </w:t>
      </w:r>
      <w:r w:rsidR="00C56F84">
        <w:rPr>
          <w:rFonts w:ascii="Times New Roman" w:hAnsi="Times New Roman" w:cs="Times New Roman"/>
        </w:rPr>
        <w:t>ZUS</w:t>
      </w:r>
      <w:r w:rsidRPr="00304DFA">
        <w:rPr>
          <w:rFonts w:ascii="Times New Roman" w:hAnsi="Times New Roman" w:cs="Times New Roman"/>
        </w:rPr>
        <w:t xml:space="preserve"> również o możliwość dokonywania zmian do planu finansowego </w:t>
      </w:r>
      <w:r w:rsidR="00C56F84">
        <w:rPr>
          <w:rFonts w:ascii="Times New Roman" w:hAnsi="Times New Roman" w:cs="Times New Roman"/>
        </w:rPr>
        <w:t>ZUS</w:t>
      </w:r>
      <w:r w:rsidRPr="00304DFA">
        <w:rPr>
          <w:rFonts w:ascii="Times New Roman" w:hAnsi="Times New Roman" w:cs="Times New Roman"/>
        </w:rPr>
        <w:t xml:space="preserve">. W konsekwencji w art. 75 w ust. 2 pkt 4 proponuje się tożsame rozszerzenie zadań Rady Nadzorczej </w:t>
      </w:r>
      <w:r w:rsidR="00C56F84">
        <w:rPr>
          <w:rFonts w:ascii="Times New Roman" w:hAnsi="Times New Roman" w:cs="Times New Roman"/>
        </w:rPr>
        <w:t>ZUS</w:t>
      </w:r>
      <w:r w:rsidRPr="00304DFA">
        <w:rPr>
          <w:rFonts w:ascii="Times New Roman" w:hAnsi="Times New Roman" w:cs="Times New Roman"/>
        </w:rPr>
        <w:t xml:space="preserve"> w zakresie umożliwienia jej zatwierdzania zmian do planu finansowego.</w:t>
      </w:r>
    </w:p>
    <w:p w:rsidR="00F75103" w:rsidRDefault="00F75103" w:rsidP="00F75103">
      <w:pPr>
        <w:pStyle w:val="Akapitzlist"/>
        <w:numPr>
          <w:ilvl w:val="0"/>
          <w:numId w:val="17"/>
        </w:numPr>
        <w:spacing w:after="120" w:line="360" w:lineRule="auto"/>
        <w:ind w:left="357" w:hanging="357"/>
        <w:jc w:val="both"/>
        <w:rPr>
          <w:rFonts w:ascii="Times New Roman" w:hAnsi="Times New Roman" w:cs="Times New Roman"/>
          <w:b/>
        </w:rPr>
      </w:pPr>
      <w:r w:rsidRPr="00F75103">
        <w:rPr>
          <w:rFonts w:ascii="Times New Roman" w:hAnsi="Times New Roman" w:cs="Times New Roman"/>
          <w:b/>
        </w:rPr>
        <w:t>Nowe zasady powoływania Rady Nadzorczej ZUS (ustawa z dnia 13 października 1998 r. o systemie ubezpieczeń społecznych – art. 75)</w:t>
      </w:r>
    </w:p>
    <w:p w:rsidR="00CA57ED" w:rsidRDefault="00F75103" w:rsidP="000446C0">
      <w:pPr>
        <w:pStyle w:val="Akapitzlist"/>
        <w:tabs>
          <w:tab w:val="left" w:pos="142"/>
        </w:tabs>
        <w:spacing w:before="120" w:after="0" w:line="360" w:lineRule="auto"/>
        <w:ind w:left="0"/>
        <w:jc w:val="both"/>
        <w:rPr>
          <w:rFonts w:ascii="Times New Roman" w:hAnsi="Times New Roman" w:cs="Times New Roman"/>
        </w:rPr>
      </w:pPr>
      <w:r w:rsidRPr="002761C4">
        <w:rPr>
          <w:rFonts w:ascii="Times New Roman" w:hAnsi="Times New Roman" w:cs="Times New Roman"/>
        </w:rPr>
        <w:t xml:space="preserve">Proponuje się, by Rada Nadzorcza ZUS powoływana przez Prezesa Rady Ministrów na pięcioletnią kadencję składała się z 10 członków, w tym 3 członków, w tym przewodniczący Rady, powoływanych jest na wniosek ministra właściwego do spraw zabezpieczenia społecznego, złożony w porozumieniu z ministrem właściwym do spraw finansów publicznych, 3 członków wskazanych przez organizacje pracodawców oraz 3 członków wskazanych przez organizacje związkowe i 1 członka wskazanego przez </w:t>
      </w:r>
      <w:r w:rsidR="001C504C" w:rsidRPr="002761C4">
        <w:rPr>
          <w:rFonts w:ascii="Times New Roman" w:hAnsi="Times New Roman" w:cs="Times New Roman"/>
        </w:rPr>
        <w:t>ogólnokrajowe organizacje emerytów i rencistów.</w:t>
      </w:r>
      <w:r w:rsidR="00533D40" w:rsidRPr="002761C4">
        <w:rPr>
          <w:rFonts w:ascii="Times New Roman" w:hAnsi="Times New Roman" w:cs="Times New Roman"/>
        </w:rPr>
        <w:t xml:space="preserve"> Proponowana zmiana wskazuje </w:t>
      </w:r>
      <w:r w:rsidR="00533D40" w:rsidRPr="00CA57ED">
        <w:rPr>
          <w:rFonts w:ascii="Times New Roman" w:hAnsi="Times New Roman"/>
        </w:rPr>
        <w:t>stałą liczbę miejsc w Radzie, przysługujących poszczególnym stronom dialogu społecznego</w:t>
      </w:r>
      <w:r w:rsidR="00533D40" w:rsidRPr="002761C4">
        <w:rPr>
          <w:rFonts w:ascii="Times New Roman" w:hAnsi="Times New Roman"/>
          <w:color w:val="0070C0"/>
        </w:rPr>
        <w:t xml:space="preserve">. </w:t>
      </w:r>
      <w:r w:rsidR="00533D40" w:rsidRPr="002761C4">
        <w:rPr>
          <w:rFonts w:ascii="Times New Roman" w:hAnsi="Times New Roman" w:cs="Times New Roman"/>
        </w:rPr>
        <w:t xml:space="preserve">Szczegółowe zasady wyboru członków Rady Nadzorczej ZUS będzie określać rozporządzenie Prezesa Rady Ministrów zmieniające rozporządzenie w sprawie trybu zgłaszania kandydatów na członków Rady Nadzorczej Zakładu Ubezpieczeń Społecznych, regulaminu Rady Nadzorczej i zasad wynagradzania jej członków. </w:t>
      </w:r>
      <w:r w:rsidR="00C027F3">
        <w:rPr>
          <w:rFonts w:ascii="Times New Roman" w:hAnsi="Times New Roman" w:cs="Times New Roman"/>
        </w:rPr>
        <w:t>Proponuje się, by powyższe zasady obowiązywały od zakończenia obecnej 5-letniej kadencji Rady Nadzorczej Zakładu Ubezpieczeń Społecznych, tj. od października 2022 r.</w:t>
      </w:r>
    </w:p>
    <w:p w:rsidR="00B91889" w:rsidRPr="00304DFA" w:rsidRDefault="00B91889" w:rsidP="000446C0">
      <w:pPr>
        <w:pStyle w:val="Akapitzlist"/>
        <w:numPr>
          <w:ilvl w:val="0"/>
          <w:numId w:val="17"/>
        </w:numPr>
        <w:tabs>
          <w:tab w:val="left" w:pos="142"/>
        </w:tabs>
        <w:spacing w:before="120" w:after="0" w:line="360" w:lineRule="auto"/>
        <w:ind w:left="357" w:hanging="357"/>
        <w:jc w:val="both"/>
        <w:rPr>
          <w:rFonts w:ascii="Times New Roman" w:hAnsi="Times New Roman" w:cs="Times New Roman"/>
          <w:b/>
        </w:rPr>
      </w:pPr>
      <w:r w:rsidRPr="00304DFA">
        <w:rPr>
          <w:rFonts w:ascii="Times New Roman" w:hAnsi="Times New Roman" w:cs="Times New Roman"/>
          <w:b/>
        </w:rPr>
        <w:t xml:space="preserve">Wprowadzenie możliwości umorzenia, odroczenia lub udzielenia ulg w spłacie należności cywilnoprawnych przez </w:t>
      </w:r>
      <w:r w:rsidR="001975FD">
        <w:rPr>
          <w:rFonts w:ascii="Times New Roman" w:hAnsi="Times New Roman" w:cs="Times New Roman"/>
          <w:b/>
        </w:rPr>
        <w:t>ZUS</w:t>
      </w:r>
      <w:r w:rsidRPr="00304DFA">
        <w:rPr>
          <w:rFonts w:ascii="Times New Roman" w:hAnsi="Times New Roman" w:cs="Times New Roman"/>
          <w:b/>
        </w:rPr>
        <w:t xml:space="preserve"> (ustawa z dnia 13 października 1998 r. o systemie ubezpieczeń społecznych </w:t>
      </w:r>
      <w:r w:rsidR="001C7E45" w:rsidRPr="00304DFA">
        <w:rPr>
          <w:rFonts w:ascii="Times New Roman" w:hAnsi="Times New Roman" w:cs="Times New Roman"/>
          <w:b/>
        </w:rPr>
        <w:t>–</w:t>
      </w:r>
      <w:r w:rsidRPr="00304DFA">
        <w:rPr>
          <w:rFonts w:ascii="Times New Roman" w:hAnsi="Times New Roman" w:cs="Times New Roman"/>
          <w:b/>
        </w:rPr>
        <w:t xml:space="preserve"> dodanie art. 77a).</w:t>
      </w:r>
    </w:p>
    <w:p w:rsidR="00B91889" w:rsidRPr="00304DFA" w:rsidRDefault="00B91889" w:rsidP="00BA130C">
      <w:pPr>
        <w:spacing w:after="0" w:line="360" w:lineRule="auto"/>
        <w:jc w:val="both"/>
        <w:rPr>
          <w:rFonts w:ascii="Times New Roman" w:hAnsi="Times New Roman" w:cs="Times New Roman"/>
        </w:rPr>
      </w:pPr>
      <w:r w:rsidRPr="00304DFA">
        <w:rPr>
          <w:rFonts w:ascii="Times New Roman" w:hAnsi="Times New Roman" w:cs="Times New Roman"/>
        </w:rPr>
        <w:t xml:space="preserve">Proponowana zmiana przez dodanie do ustawy systemowej art. 77a umożliwi umarzanie należności cywilnoprawnych przypadających zarządzanym przez </w:t>
      </w:r>
      <w:r w:rsidR="00C56F84">
        <w:rPr>
          <w:rFonts w:ascii="Times New Roman" w:hAnsi="Times New Roman" w:cs="Times New Roman"/>
        </w:rPr>
        <w:t>ZUS</w:t>
      </w:r>
      <w:r w:rsidRPr="00304DFA">
        <w:rPr>
          <w:rFonts w:ascii="Times New Roman" w:hAnsi="Times New Roman" w:cs="Times New Roman"/>
        </w:rPr>
        <w:t xml:space="preserve"> funduszom, co w konsekwencji przyczyni się do racjonalnego i celowego wykorzystania środków publicznych, poprzez dochodzenie tylko tych należności cywilnoprawnych, których odzyskanie jest realne.</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ZUS jako podmiot należący do sektora finansów publicznych, podlega przepisom ustawy z dnia </w:t>
      </w:r>
      <w:r w:rsidR="00BA130C">
        <w:rPr>
          <w:rFonts w:ascii="Times New Roman" w:hAnsi="Times New Roman" w:cs="Times New Roman"/>
        </w:rPr>
        <w:br/>
      </w:r>
      <w:r w:rsidRPr="00304DFA">
        <w:rPr>
          <w:rFonts w:ascii="Times New Roman" w:hAnsi="Times New Roman" w:cs="Times New Roman"/>
        </w:rPr>
        <w:t>27 sierpnia 2009 r. o finansach publicznych. Nie jest jednak wymieniony w art. 55 ww. ustawy</w:t>
      </w:r>
      <w:r w:rsidR="00D536D8">
        <w:rPr>
          <w:rFonts w:ascii="Times New Roman" w:hAnsi="Times New Roman" w:cs="Times New Roman"/>
        </w:rPr>
        <w:t xml:space="preserve"> o finansach publicznych</w:t>
      </w:r>
      <w:r w:rsidRPr="00304DFA">
        <w:rPr>
          <w:rFonts w:ascii="Times New Roman" w:hAnsi="Times New Roman" w:cs="Times New Roman"/>
        </w:rPr>
        <w:t>, w związku z tym nie ma możliwości umarzania należności cywilnoprawnych lub udzielania ulg w ich spłacie.</w:t>
      </w:r>
      <w:r w:rsidR="006A507D" w:rsidRPr="00304DFA">
        <w:rPr>
          <w:rFonts w:ascii="Times New Roman" w:hAnsi="Times New Roman" w:cs="Times New Roman"/>
        </w:rPr>
        <w:t xml:space="preserve"> </w:t>
      </w:r>
      <w:r w:rsidRPr="00304DFA">
        <w:rPr>
          <w:rFonts w:ascii="Times New Roman" w:hAnsi="Times New Roman" w:cs="Times New Roman"/>
        </w:rPr>
        <w:t xml:space="preserve">Obliguje to </w:t>
      </w:r>
      <w:r w:rsidR="00C56F84">
        <w:rPr>
          <w:rFonts w:ascii="Times New Roman" w:hAnsi="Times New Roman" w:cs="Times New Roman"/>
        </w:rPr>
        <w:t>ZUS</w:t>
      </w:r>
      <w:r w:rsidRPr="00304DFA">
        <w:rPr>
          <w:rFonts w:ascii="Times New Roman" w:hAnsi="Times New Roman" w:cs="Times New Roman"/>
        </w:rPr>
        <w:t xml:space="preserve"> do podejmowania szeregu czynności mających na celu dochodzenie należności z tytułu kosztów zastępstwa procesowego także wówczas, gdy dotychczasowe postępowania egzekucyjne były bezskuteczne, a okoliczności sprawy uprawdopodobniają niecelowość podejmowania kolejnych działań. </w:t>
      </w:r>
    </w:p>
    <w:p w:rsidR="00B91889" w:rsidRPr="00304DFA" w:rsidRDefault="00B91889" w:rsidP="00DB7618">
      <w:pPr>
        <w:spacing w:after="120" w:line="360" w:lineRule="auto"/>
        <w:jc w:val="both"/>
        <w:rPr>
          <w:rFonts w:ascii="Times New Roman" w:hAnsi="Times New Roman" w:cs="Times New Roman"/>
        </w:rPr>
      </w:pPr>
      <w:r w:rsidRPr="00304DFA">
        <w:rPr>
          <w:rFonts w:ascii="Times New Roman" w:hAnsi="Times New Roman" w:cs="Times New Roman"/>
        </w:rPr>
        <w:lastRenderedPageBreak/>
        <w:t xml:space="preserve">W obecnym stanie prawnym </w:t>
      </w:r>
      <w:r w:rsidR="00C56F84">
        <w:rPr>
          <w:rFonts w:ascii="Times New Roman" w:hAnsi="Times New Roman" w:cs="Times New Roman"/>
        </w:rPr>
        <w:t>ZUS</w:t>
      </w:r>
      <w:r w:rsidRPr="00304DFA">
        <w:rPr>
          <w:rFonts w:ascii="Times New Roman" w:hAnsi="Times New Roman" w:cs="Times New Roman"/>
        </w:rPr>
        <w:t xml:space="preserve"> może umarzać i udzielać ulgi w stosunku do należności publicznoprawnych w oparciu o przepisy ustawy o systemie ubezpieczeń społecznych (art. 28</w:t>
      </w:r>
      <w:r w:rsidR="00D536D8">
        <w:rPr>
          <w:rFonts w:ascii="Times New Roman" w:hAnsi="Times New Roman" w:cs="Times New Roman"/>
          <w:b/>
        </w:rPr>
        <w:t xml:space="preserve"> </w:t>
      </w:r>
      <w:r w:rsidR="00D536D8" w:rsidRPr="00A82A4D">
        <w:rPr>
          <w:rFonts w:ascii="Times New Roman" w:hAnsi="Times New Roman" w:cs="Times New Roman"/>
        </w:rPr>
        <w:t>i</w:t>
      </w:r>
      <w:r w:rsidR="00D536D8">
        <w:rPr>
          <w:rFonts w:ascii="Times New Roman" w:hAnsi="Times New Roman" w:cs="Times New Roman"/>
          <w:b/>
        </w:rPr>
        <w:t xml:space="preserve"> </w:t>
      </w:r>
      <w:r w:rsidRPr="00304DFA">
        <w:rPr>
          <w:rFonts w:ascii="Times New Roman" w:hAnsi="Times New Roman" w:cs="Times New Roman"/>
        </w:rPr>
        <w:t xml:space="preserve">29 ustawy). Występują sytuacje, w których należności z tytułu składek podlegają umorzeniu, a wynikające z tego samego orzeczenia koszty zastępstwa (np. w kwocie 60, 90 lub 180 zł) nie. Podkreślenia wymaga fakt, iż wobec braku podstaw do zastosowania art. 55 ustawy o finansach publicznych do należności cywilnoprawnych przysługujących </w:t>
      </w:r>
      <w:r w:rsidR="00C56F84">
        <w:rPr>
          <w:rFonts w:ascii="Times New Roman" w:hAnsi="Times New Roman" w:cs="Times New Roman"/>
        </w:rPr>
        <w:t>ZUS</w:t>
      </w:r>
      <w:r w:rsidRPr="00304DFA">
        <w:rPr>
          <w:rFonts w:ascii="Times New Roman" w:hAnsi="Times New Roman" w:cs="Times New Roman"/>
        </w:rPr>
        <w:t>, wszystkie te należności z upływem lat ulegną przedawnieniu.</w:t>
      </w:r>
      <w:r w:rsidR="00DB7618">
        <w:rPr>
          <w:rFonts w:ascii="Times New Roman" w:hAnsi="Times New Roman" w:cs="Times New Roman"/>
        </w:rPr>
        <w:t xml:space="preserve"> Ponadto należy zaznaczyć </w:t>
      </w:r>
      <w:r w:rsidR="00DB7618" w:rsidRPr="00DB7618">
        <w:rPr>
          <w:rFonts w:ascii="Times New Roman" w:hAnsi="Times New Roman" w:cs="Times New Roman"/>
        </w:rPr>
        <w:t>art. 77a ust. 4 dotyczy umarzania, odraczania i</w:t>
      </w:r>
      <w:r w:rsidR="00DB7618">
        <w:rPr>
          <w:rFonts w:ascii="Times New Roman" w:hAnsi="Times New Roman" w:cs="Times New Roman"/>
        </w:rPr>
        <w:t xml:space="preserve"> rozkładania na raty należności </w:t>
      </w:r>
      <w:r w:rsidR="00DB7618" w:rsidRPr="00DB7618">
        <w:rPr>
          <w:rFonts w:ascii="Times New Roman" w:hAnsi="Times New Roman" w:cs="Times New Roman"/>
        </w:rPr>
        <w:t>cywilnoprawnych w przypadkach uzasadnionych wa</w:t>
      </w:r>
      <w:r w:rsidR="00DB7618">
        <w:rPr>
          <w:rFonts w:ascii="Times New Roman" w:hAnsi="Times New Roman" w:cs="Times New Roman"/>
        </w:rPr>
        <w:t xml:space="preserve">żnym interesem dłużnika lub też </w:t>
      </w:r>
      <w:r w:rsidR="00DB7618" w:rsidRPr="00DB7618">
        <w:rPr>
          <w:rFonts w:ascii="Times New Roman" w:hAnsi="Times New Roman" w:cs="Times New Roman"/>
        </w:rPr>
        <w:t>interesem publicznym oraz względami społecznymi i gosp</w:t>
      </w:r>
      <w:r w:rsidR="00DB7618">
        <w:rPr>
          <w:rFonts w:ascii="Times New Roman" w:hAnsi="Times New Roman" w:cs="Times New Roman"/>
        </w:rPr>
        <w:t xml:space="preserve">odarczymi. W tym przypadku ulgi </w:t>
      </w:r>
      <w:r w:rsidR="00DB7618" w:rsidRPr="00DB7618">
        <w:rPr>
          <w:rFonts w:ascii="Times New Roman" w:hAnsi="Times New Roman" w:cs="Times New Roman"/>
        </w:rPr>
        <w:t xml:space="preserve">udzielane </w:t>
      </w:r>
      <w:r w:rsidR="00467754">
        <w:rPr>
          <w:rFonts w:ascii="Times New Roman" w:hAnsi="Times New Roman" w:cs="Times New Roman"/>
        </w:rPr>
        <w:t>będą</w:t>
      </w:r>
      <w:r w:rsidR="00DB7618" w:rsidRPr="00DB7618">
        <w:rPr>
          <w:rFonts w:ascii="Times New Roman" w:hAnsi="Times New Roman" w:cs="Times New Roman"/>
        </w:rPr>
        <w:t xml:space="preserve"> na wniosek dłużnika, </w:t>
      </w:r>
      <w:r w:rsidR="00467754">
        <w:rPr>
          <w:rFonts w:ascii="Times New Roman" w:hAnsi="Times New Roman" w:cs="Times New Roman"/>
        </w:rPr>
        <w:t>będą miały</w:t>
      </w:r>
      <w:r w:rsidR="00DB7618" w:rsidRPr="00DB7618">
        <w:rPr>
          <w:rFonts w:ascii="Times New Roman" w:hAnsi="Times New Roman" w:cs="Times New Roman"/>
        </w:rPr>
        <w:t xml:space="preserve"> charakter uznaniow</w:t>
      </w:r>
      <w:r w:rsidR="00DB7618">
        <w:rPr>
          <w:rFonts w:ascii="Times New Roman" w:hAnsi="Times New Roman" w:cs="Times New Roman"/>
        </w:rPr>
        <w:t xml:space="preserve">y i będą stanowiły dla dłużnika </w:t>
      </w:r>
      <w:r w:rsidR="00DB7618" w:rsidRPr="00DB7618">
        <w:rPr>
          <w:rFonts w:ascii="Times New Roman" w:hAnsi="Times New Roman" w:cs="Times New Roman"/>
        </w:rPr>
        <w:t>korzyść ze środków publicznych. W związku z powy</w:t>
      </w:r>
      <w:r w:rsidR="00DB7618">
        <w:rPr>
          <w:rFonts w:ascii="Times New Roman" w:hAnsi="Times New Roman" w:cs="Times New Roman"/>
        </w:rPr>
        <w:t xml:space="preserve">ższym, ze względu na spełnienie </w:t>
      </w:r>
      <w:r w:rsidR="00DB7618" w:rsidRPr="00DB7618">
        <w:rPr>
          <w:rFonts w:ascii="Times New Roman" w:hAnsi="Times New Roman" w:cs="Times New Roman"/>
        </w:rPr>
        <w:t>przesłanek z art. 107 ust. 1 TFUE, ulgi te b</w:t>
      </w:r>
      <w:r w:rsidR="00052963">
        <w:rPr>
          <w:rFonts w:ascii="Times New Roman" w:hAnsi="Times New Roman" w:cs="Times New Roman"/>
        </w:rPr>
        <w:t xml:space="preserve">ędą stanowiły pomocą publiczną – </w:t>
      </w:r>
      <w:r w:rsidR="00DB7618" w:rsidRPr="00DB7618">
        <w:rPr>
          <w:rFonts w:ascii="Times New Roman" w:hAnsi="Times New Roman" w:cs="Times New Roman"/>
        </w:rPr>
        <w:t>umarzanie, odraczanie i rozkładanie na raty będzie udzielane z uwzg</w:t>
      </w:r>
      <w:r w:rsidR="00052963">
        <w:rPr>
          <w:rFonts w:ascii="Times New Roman" w:hAnsi="Times New Roman" w:cs="Times New Roman"/>
        </w:rPr>
        <w:t xml:space="preserve">lędnieniem przepisów </w:t>
      </w:r>
      <w:r w:rsidR="00DB7618" w:rsidRPr="00DB7618">
        <w:rPr>
          <w:rFonts w:ascii="Times New Roman" w:hAnsi="Times New Roman" w:cs="Times New Roman"/>
        </w:rPr>
        <w:t>o pomocy publicznej, np. przepisów rozporządzenia K</w:t>
      </w:r>
      <w:r w:rsidR="00052963">
        <w:rPr>
          <w:rFonts w:ascii="Times New Roman" w:hAnsi="Times New Roman" w:cs="Times New Roman"/>
        </w:rPr>
        <w:t xml:space="preserve">omisji (UE) nr 1407/2013 z dnia </w:t>
      </w:r>
      <w:r w:rsidR="00DB7618" w:rsidRPr="00DB7618">
        <w:rPr>
          <w:rFonts w:ascii="Times New Roman" w:hAnsi="Times New Roman" w:cs="Times New Roman"/>
        </w:rPr>
        <w:t>18 grudnia 2013 r. w sprawie stosowania art. 107 i 108</w:t>
      </w:r>
      <w:r w:rsidR="00052963">
        <w:rPr>
          <w:rFonts w:ascii="Times New Roman" w:hAnsi="Times New Roman" w:cs="Times New Roman"/>
        </w:rPr>
        <w:t xml:space="preserve"> Traktatu o funkcjonowaniu Unii </w:t>
      </w:r>
      <w:r w:rsidR="00DB7618" w:rsidRPr="00DB7618">
        <w:rPr>
          <w:rFonts w:ascii="Times New Roman" w:hAnsi="Times New Roman" w:cs="Times New Roman"/>
        </w:rPr>
        <w:t>Eu</w:t>
      </w:r>
      <w:r w:rsidR="00052963">
        <w:rPr>
          <w:rFonts w:ascii="Times New Roman" w:hAnsi="Times New Roman" w:cs="Times New Roman"/>
        </w:rPr>
        <w:t>ropejskiej do pomocy de minimis.</w:t>
      </w:r>
    </w:p>
    <w:p w:rsidR="006B6402" w:rsidRDefault="001C7E45" w:rsidP="00861C76">
      <w:pPr>
        <w:pStyle w:val="Akapitzlist"/>
        <w:numPr>
          <w:ilvl w:val="0"/>
          <w:numId w:val="17"/>
        </w:numPr>
        <w:spacing w:after="0" w:line="360" w:lineRule="auto"/>
        <w:ind w:left="0" w:hanging="284"/>
        <w:jc w:val="both"/>
        <w:rPr>
          <w:rFonts w:ascii="Times New Roman" w:hAnsi="Times New Roman" w:cs="Times New Roman"/>
          <w:b/>
        </w:rPr>
      </w:pPr>
      <w:r>
        <w:rPr>
          <w:rFonts w:ascii="Times New Roman" w:hAnsi="Times New Roman" w:cs="Times New Roman"/>
          <w:b/>
        </w:rPr>
        <w:t xml:space="preserve"> </w:t>
      </w:r>
      <w:bookmarkStart w:id="3" w:name="_Hlk66693064"/>
      <w:bookmarkStart w:id="4" w:name="_Hlk61379172"/>
      <w:r w:rsidR="006B6402">
        <w:rPr>
          <w:rFonts w:ascii="Times New Roman" w:hAnsi="Times New Roman" w:cs="Times New Roman"/>
          <w:b/>
        </w:rPr>
        <w:t>Zmiana zasad zawieszania rent socjalnych (</w:t>
      </w:r>
      <w:r w:rsidR="006B6402" w:rsidRPr="003950B0">
        <w:rPr>
          <w:rFonts w:ascii="Times New Roman" w:hAnsi="Times New Roman" w:cs="Times New Roman"/>
          <w:b/>
        </w:rPr>
        <w:t>ustawa z dnia 27 czerwca 2003 r. o rencie socjalnej</w:t>
      </w:r>
      <w:r w:rsidR="006B6402">
        <w:rPr>
          <w:rFonts w:ascii="Times New Roman" w:hAnsi="Times New Roman" w:cs="Times New Roman"/>
          <w:b/>
        </w:rPr>
        <w:t xml:space="preserve"> – art. 10)</w:t>
      </w:r>
    </w:p>
    <w:p w:rsidR="00984ECF" w:rsidRPr="00CD3746" w:rsidRDefault="00984ECF" w:rsidP="009376C1">
      <w:pPr>
        <w:shd w:val="clear" w:color="auto" w:fill="FFFFFF"/>
        <w:spacing w:after="0" w:line="360" w:lineRule="auto"/>
        <w:jc w:val="both"/>
        <w:rPr>
          <w:rFonts w:ascii="Times New Roman" w:eastAsia="Times New Roman" w:hAnsi="Times New Roman" w:cs="Times New Roman"/>
          <w:bCs/>
          <w:color w:val="222222"/>
          <w:lang w:eastAsia="pl-PL"/>
        </w:rPr>
      </w:pPr>
      <w:r w:rsidRPr="00CD3746">
        <w:rPr>
          <w:rFonts w:ascii="Times New Roman" w:eastAsia="Times New Roman" w:hAnsi="Times New Roman" w:cs="Times New Roman"/>
          <w:bCs/>
          <w:color w:val="222222"/>
          <w:lang w:eastAsia="pl-PL"/>
        </w:rPr>
        <w:t>Renta socjalna jest świadczeniem pieniężnym przysługującym w związku z niezdolnością do pracy. Stanowi rodzaj pomocy finansowej państwa dla osób, które w młodym wieku doznały naruszenia sprawności organizmu i tym samym utraciły szansę na samodzielne zarobkowanie.</w:t>
      </w:r>
    </w:p>
    <w:p w:rsidR="00984ECF" w:rsidRPr="00CD3746" w:rsidRDefault="00984ECF" w:rsidP="009376C1">
      <w:pPr>
        <w:pStyle w:val="NormalnyWeb"/>
        <w:shd w:val="clear" w:color="auto" w:fill="FFFFFF"/>
        <w:spacing w:before="0" w:beforeAutospacing="0" w:after="0" w:afterAutospacing="0" w:line="360" w:lineRule="auto"/>
        <w:jc w:val="both"/>
        <w:rPr>
          <w:color w:val="000000"/>
          <w:sz w:val="22"/>
          <w:szCs w:val="22"/>
        </w:rPr>
      </w:pPr>
      <w:r w:rsidRPr="00CD3746">
        <w:rPr>
          <w:color w:val="000000"/>
          <w:sz w:val="22"/>
          <w:szCs w:val="22"/>
        </w:rPr>
        <w:t>Prawo do renty socjalnej zawiesza się za miesiąc, w którym zostały osiągnięte przychody:</w:t>
      </w:r>
    </w:p>
    <w:p w:rsidR="00984ECF" w:rsidRPr="00CD3746" w:rsidRDefault="00984ECF" w:rsidP="00984ECF">
      <w:pPr>
        <w:pStyle w:val="NormalnyWeb"/>
        <w:numPr>
          <w:ilvl w:val="0"/>
          <w:numId w:val="21"/>
        </w:numPr>
        <w:shd w:val="clear" w:color="auto" w:fill="FFFFFF"/>
        <w:spacing w:before="0" w:beforeAutospacing="0" w:after="0" w:afterAutospacing="0" w:line="360" w:lineRule="auto"/>
        <w:ind w:left="240"/>
        <w:jc w:val="both"/>
        <w:rPr>
          <w:color w:val="000000"/>
          <w:sz w:val="22"/>
          <w:szCs w:val="22"/>
        </w:rPr>
      </w:pPr>
      <w:r w:rsidRPr="00CD3746">
        <w:rPr>
          <w:color w:val="000000"/>
          <w:sz w:val="22"/>
          <w:szCs w:val="22"/>
        </w:rPr>
        <w:t>z tytułu działalności podlegającej obowiązkowi ubezpieczenia społecznego</w:t>
      </w:r>
    </w:p>
    <w:p w:rsidR="00984ECF" w:rsidRPr="00CD3746" w:rsidRDefault="00984ECF" w:rsidP="001E510D">
      <w:pPr>
        <w:pStyle w:val="NormalnyWeb"/>
        <w:numPr>
          <w:ilvl w:val="0"/>
          <w:numId w:val="21"/>
        </w:numPr>
        <w:shd w:val="clear" w:color="auto" w:fill="FFFFFF"/>
        <w:spacing w:before="0" w:beforeAutospacing="0" w:after="0" w:afterAutospacing="0" w:line="360" w:lineRule="auto"/>
        <w:ind w:left="240"/>
        <w:jc w:val="both"/>
        <w:rPr>
          <w:color w:val="000000"/>
          <w:sz w:val="22"/>
          <w:szCs w:val="22"/>
        </w:rPr>
      </w:pPr>
      <w:r w:rsidRPr="00CD3746">
        <w:rPr>
          <w:color w:val="000000"/>
          <w:sz w:val="22"/>
          <w:szCs w:val="22"/>
        </w:rPr>
        <w:t>podlegające opodatkowaniu na zasadach określonych w ustawie o podatku dochodowym od osób fizycznych</w:t>
      </w:r>
    </w:p>
    <w:p w:rsidR="00984ECF" w:rsidRPr="00CD3746" w:rsidRDefault="00984ECF" w:rsidP="009376C1">
      <w:pPr>
        <w:pStyle w:val="NormalnyWeb"/>
        <w:numPr>
          <w:ilvl w:val="0"/>
          <w:numId w:val="21"/>
        </w:numPr>
        <w:shd w:val="clear" w:color="auto" w:fill="FFFFFF"/>
        <w:spacing w:before="0" w:beforeAutospacing="0" w:after="0" w:afterAutospacing="0" w:line="360" w:lineRule="auto"/>
        <w:ind w:left="240"/>
        <w:jc w:val="both"/>
        <w:rPr>
          <w:color w:val="000000"/>
          <w:sz w:val="22"/>
          <w:szCs w:val="22"/>
        </w:rPr>
      </w:pPr>
      <w:r w:rsidRPr="00CD3746">
        <w:rPr>
          <w:color w:val="000000"/>
          <w:sz w:val="22"/>
          <w:szCs w:val="22"/>
        </w:rPr>
        <w:t>z tytułu najmu, podnajmu, dzierżawy, poddzierżawy lub innych umów o podobnym charakterze, opodatkowanych na podstawie przepisów o zryczałtowanym podatku dochodowym od niektórych przychodów osiąganych przez osoby fizyczne</w:t>
      </w:r>
    </w:p>
    <w:p w:rsidR="00984ECF" w:rsidRPr="00CD3746" w:rsidRDefault="00984ECF" w:rsidP="00984ECF">
      <w:pPr>
        <w:pStyle w:val="NormalnyWeb"/>
        <w:shd w:val="clear" w:color="auto" w:fill="FFFFFF"/>
        <w:spacing w:before="0" w:beforeAutospacing="0" w:after="0" w:afterAutospacing="0" w:line="360" w:lineRule="auto"/>
        <w:jc w:val="both"/>
        <w:rPr>
          <w:color w:val="222222"/>
          <w:sz w:val="22"/>
          <w:szCs w:val="22"/>
          <w:shd w:val="clear" w:color="auto" w:fill="FFFFFF"/>
        </w:rPr>
      </w:pPr>
      <w:r w:rsidRPr="00CD3746">
        <w:rPr>
          <w:color w:val="000000"/>
          <w:sz w:val="22"/>
          <w:szCs w:val="22"/>
        </w:rPr>
        <w:t xml:space="preserve">w łącznej kwocie wyższej niż 70% przeciętnego miesięcznego wynagrodzenia za kwartał kalendarzowy ostatnio ogłoszonego przez Prezesa GUS do celów emerytalnych (od 1 marca 2021 r. </w:t>
      </w:r>
      <w:r w:rsidRPr="00CD3746">
        <w:rPr>
          <w:rStyle w:val="Pogrubienie"/>
          <w:b w:val="0"/>
          <w:color w:val="222222"/>
          <w:sz w:val="22"/>
          <w:szCs w:val="22"/>
          <w:shd w:val="clear" w:color="auto" w:fill="FFFFFF"/>
        </w:rPr>
        <w:t>3820,60 zł</w:t>
      </w:r>
      <w:r w:rsidRPr="00CD3746">
        <w:rPr>
          <w:b/>
          <w:color w:val="222222"/>
          <w:sz w:val="22"/>
          <w:szCs w:val="22"/>
          <w:shd w:val="clear" w:color="auto" w:fill="FFFFFF"/>
        </w:rPr>
        <w:t> </w:t>
      </w:r>
      <w:r w:rsidRPr="00CD3746">
        <w:rPr>
          <w:color w:val="222222"/>
          <w:sz w:val="22"/>
          <w:szCs w:val="22"/>
          <w:shd w:val="clear" w:color="auto" w:fill="FFFFFF"/>
        </w:rPr>
        <w:t>).</w:t>
      </w:r>
    </w:p>
    <w:p w:rsidR="00984ECF" w:rsidRPr="00CD3746" w:rsidRDefault="00984ECF" w:rsidP="00984ECF">
      <w:pPr>
        <w:pStyle w:val="NormalnyWeb"/>
        <w:shd w:val="clear" w:color="auto" w:fill="FFFFFF"/>
        <w:spacing w:before="0" w:beforeAutospacing="0" w:after="0" w:afterAutospacing="0" w:line="360" w:lineRule="auto"/>
        <w:jc w:val="both"/>
        <w:rPr>
          <w:rStyle w:val="Pogrubienie"/>
          <w:b w:val="0"/>
          <w:color w:val="222222"/>
          <w:sz w:val="22"/>
          <w:szCs w:val="22"/>
          <w:shd w:val="clear" w:color="auto" w:fill="FFFFFF"/>
        </w:rPr>
      </w:pPr>
      <w:r w:rsidRPr="00CD3746">
        <w:rPr>
          <w:color w:val="222222"/>
          <w:sz w:val="22"/>
          <w:szCs w:val="22"/>
          <w:shd w:val="clear" w:color="auto" w:fill="FFFFFF"/>
        </w:rPr>
        <w:t xml:space="preserve">Proponuje się, by renta socjalna podlegała takim samym zasadom </w:t>
      </w:r>
      <w:r w:rsidR="00275C6F" w:rsidRPr="00CD3746">
        <w:rPr>
          <w:sz w:val="22"/>
          <w:szCs w:val="22"/>
        </w:rPr>
        <w:t>zawieszenia lub zmniejszenia, w razie osiągania przychodu z tytułu działalności podlegającej obowiązkowi ubezpieczenia społecznego,</w:t>
      </w:r>
      <w:r w:rsidR="00275C6F" w:rsidRPr="00CD3746">
        <w:rPr>
          <w:color w:val="222222"/>
          <w:sz w:val="22"/>
          <w:szCs w:val="22"/>
          <w:shd w:val="clear" w:color="auto" w:fill="FFFFFF"/>
        </w:rPr>
        <w:t xml:space="preserve"> </w:t>
      </w:r>
      <w:r w:rsidRPr="00CD3746">
        <w:rPr>
          <w:color w:val="222222"/>
          <w:sz w:val="22"/>
          <w:szCs w:val="22"/>
          <w:shd w:val="clear" w:color="auto" w:fill="FFFFFF"/>
        </w:rPr>
        <w:t>co emerytury i renty z tytułu niezdolności do pracy</w:t>
      </w:r>
      <w:r w:rsidR="00275C6F" w:rsidRPr="00CD3746">
        <w:rPr>
          <w:color w:val="222222"/>
          <w:sz w:val="22"/>
          <w:szCs w:val="22"/>
          <w:shd w:val="clear" w:color="auto" w:fill="FFFFFF"/>
        </w:rPr>
        <w:t xml:space="preserve">, przyznane na mocy ustawy z dnia 17 grudnia 1998 r. o emeryturach i rentach z Funduszu Ubezpieczeń Społecznych. Począwszy od 1 stycznia 2022 r. w przypadku osiągania przychodu z tytułu działalności podlegającej obowiązkowi ubezpieczeń społecznych, rencista socjalny będzie mógł, bez konsekwencji w wysokości renty, osiągnąć przychód </w:t>
      </w:r>
      <w:r w:rsidR="00275C6F" w:rsidRPr="00CD3746">
        <w:rPr>
          <w:color w:val="222222"/>
          <w:sz w:val="22"/>
          <w:szCs w:val="22"/>
          <w:shd w:val="clear" w:color="auto" w:fill="FFFFFF"/>
        </w:rPr>
        <w:lastRenderedPageBreak/>
        <w:t>wynoszący do 70% przeciętnego wynagrodzenia (od 1 marca 2021 r. 3820,60 zł), natomiast renta socjalna ulegnie zawieszeniu w przypadku osiągania tego przychodu w wysokości przekraczającej 130</w:t>
      </w:r>
      <w:r w:rsidR="0094406D">
        <w:rPr>
          <w:color w:val="222222"/>
          <w:sz w:val="22"/>
          <w:szCs w:val="22"/>
          <w:shd w:val="clear" w:color="auto" w:fill="FFFFFF"/>
        </w:rPr>
        <w:t>%</w:t>
      </w:r>
      <w:r w:rsidR="00275C6F" w:rsidRPr="00CD3746">
        <w:rPr>
          <w:color w:val="222222"/>
          <w:sz w:val="22"/>
          <w:szCs w:val="22"/>
          <w:shd w:val="clear" w:color="auto" w:fill="FFFFFF"/>
        </w:rPr>
        <w:t xml:space="preserve"> przeciętnego wynagrodzenia (od 1 marca 2021 r. </w:t>
      </w:r>
      <w:r w:rsidR="00275C6F" w:rsidRPr="00CD3746">
        <w:rPr>
          <w:rStyle w:val="Pogrubienie"/>
          <w:b w:val="0"/>
          <w:color w:val="222222"/>
          <w:sz w:val="22"/>
          <w:szCs w:val="22"/>
          <w:shd w:val="clear" w:color="auto" w:fill="FFFFFF"/>
        </w:rPr>
        <w:t xml:space="preserve">7095,40 zł). Przychody w wysokości od 70% do 130% przeciętnego wynagrodzenia </w:t>
      </w:r>
      <w:r w:rsidR="00EC71F7" w:rsidRPr="00CD3746">
        <w:rPr>
          <w:rStyle w:val="Pogrubienie"/>
          <w:b w:val="0"/>
          <w:color w:val="222222"/>
          <w:sz w:val="22"/>
          <w:szCs w:val="22"/>
          <w:shd w:val="clear" w:color="auto" w:fill="FFFFFF"/>
        </w:rPr>
        <w:t xml:space="preserve">będą powodować zmniejszenie wysokości renty socjalnej, ale nie więcej niż o maksymalną kwotę zmniejszenia (od 1 marca 2021 r. 620,37 zł). </w:t>
      </w:r>
      <w:r w:rsidR="00EC71F7" w:rsidRPr="00CD3746">
        <w:rPr>
          <w:sz w:val="22"/>
          <w:szCs w:val="22"/>
        </w:rPr>
        <w:t>Osoba pobierająca rentę socjalną lub jej przedstawiciel ustawowy będą zobowiązani, tak jak obecnie niezwłocznie powiadomić organ wypłacający rentę socjalną o okolicznościach powodujących zawieszenie prawa do świadczeń albo zmniejszenie ich wysokości. Tryb rozliczania również będzie analogiczny jak w przypadku emerytur i rent z tytułu niezdolności do pracy z systemu powszechnego.</w:t>
      </w:r>
    </w:p>
    <w:p w:rsidR="00EC71F7" w:rsidRDefault="00EC71F7" w:rsidP="00984ECF">
      <w:pPr>
        <w:pStyle w:val="NormalnyWeb"/>
        <w:shd w:val="clear" w:color="auto" w:fill="FFFFFF"/>
        <w:spacing w:before="0" w:beforeAutospacing="0" w:after="0" w:afterAutospacing="0" w:line="360" w:lineRule="auto"/>
        <w:jc w:val="both"/>
        <w:rPr>
          <w:color w:val="222222"/>
          <w:sz w:val="22"/>
          <w:szCs w:val="22"/>
          <w:shd w:val="clear" w:color="auto" w:fill="FFFFFF"/>
        </w:rPr>
      </w:pPr>
      <w:r w:rsidRPr="00CD3746">
        <w:rPr>
          <w:color w:val="222222"/>
          <w:sz w:val="22"/>
          <w:szCs w:val="22"/>
          <w:shd w:val="clear" w:color="auto" w:fill="FFFFFF"/>
        </w:rPr>
        <w:t>Proponowane rozwiązanie wychodzi naprzeciw oczekiwaniom osób uprawnionych do rent socjalnych.</w:t>
      </w:r>
    </w:p>
    <w:bookmarkEnd w:id="3"/>
    <w:p w:rsidR="00861C76" w:rsidRPr="003950B0" w:rsidRDefault="00861C76" w:rsidP="00861C76">
      <w:pPr>
        <w:pStyle w:val="Akapitzlist"/>
        <w:numPr>
          <w:ilvl w:val="0"/>
          <w:numId w:val="17"/>
        </w:numPr>
        <w:spacing w:after="0" w:line="360" w:lineRule="auto"/>
        <w:ind w:left="0" w:hanging="284"/>
        <w:jc w:val="both"/>
        <w:rPr>
          <w:rFonts w:ascii="Times New Roman" w:hAnsi="Times New Roman" w:cs="Times New Roman"/>
          <w:b/>
        </w:rPr>
      </w:pPr>
      <w:r w:rsidRPr="003950B0">
        <w:rPr>
          <w:rFonts w:ascii="Times New Roman" w:hAnsi="Times New Roman" w:cs="Times New Roman"/>
          <w:b/>
        </w:rPr>
        <w:t xml:space="preserve">Zmiana w zakresie finansowania odsetek z tytułu renty socjalnej </w:t>
      </w:r>
      <w:bookmarkEnd w:id="4"/>
      <w:r w:rsidRPr="003950B0">
        <w:rPr>
          <w:rFonts w:ascii="Times New Roman" w:hAnsi="Times New Roman" w:cs="Times New Roman"/>
          <w:b/>
        </w:rPr>
        <w:t>(ustawa z dnia 27 czerwca 2003 r. o rencie socjalnej</w:t>
      </w:r>
      <w:r>
        <w:rPr>
          <w:rFonts w:ascii="Times New Roman" w:hAnsi="Times New Roman" w:cs="Times New Roman"/>
          <w:b/>
        </w:rPr>
        <w:t xml:space="preserve"> </w:t>
      </w:r>
      <w:r w:rsidRPr="003950B0">
        <w:rPr>
          <w:rFonts w:ascii="Times New Roman" w:hAnsi="Times New Roman" w:cs="Times New Roman"/>
          <w:b/>
        </w:rPr>
        <w:t xml:space="preserve">– art. </w:t>
      </w:r>
      <w:r w:rsidR="00582D85">
        <w:rPr>
          <w:rFonts w:ascii="Times New Roman" w:hAnsi="Times New Roman" w:cs="Times New Roman"/>
          <w:b/>
        </w:rPr>
        <w:t>14 i art. 15</w:t>
      </w:r>
      <w:r w:rsidRPr="003950B0">
        <w:rPr>
          <w:rFonts w:ascii="Times New Roman" w:hAnsi="Times New Roman" w:cs="Times New Roman"/>
          <w:b/>
        </w:rPr>
        <w:t>).</w:t>
      </w:r>
    </w:p>
    <w:p w:rsidR="00861C76" w:rsidRPr="00304DFA" w:rsidRDefault="00861C76" w:rsidP="00861C76">
      <w:pPr>
        <w:spacing w:after="0" w:line="360" w:lineRule="auto"/>
        <w:jc w:val="both"/>
        <w:rPr>
          <w:rFonts w:ascii="Times New Roman" w:hAnsi="Times New Roman" w:cs="Times New Roman"/>
        </w:rPr>
      </w:pPr>
      <w:r w:rsidRPr="00304DFA">
        <w:rPr>
          <w:rFonts w:ascii="Times New Roman" w:hAnsi="Times New Roman" w:cs="Times New Roman"/>
        </w:rPr>
        <w:t xml:space="preserve">Ustawa </w:t>
      </w:r>
      <w:r w:rsidR="00E475DC" w:rsidRPr="00E475DC">
        <w:rPr>
          <w:rFonts w:ascii="Times New Roman" w:hAnsi="Times New Roman" w:cs="Times New Roman"/>
        </w:rPr>
        <w:t xml:space="preserve">z dnia 27 czerwca 2003 r. </w:t>
      </w:r>
      <w:r w:rsidRPr="00304DFA">
        <w:rPr>
          <w:rFonts w:ascii="Times New Roman" w:hAnsi="Times New Roman" w:cs="Times New Roman"/>
        </w:rPr>
        <w:t>o rencie socjalnej nie uwzględnia możliwości wystąpienia odsetek za opóźnienie w wypłacie świadczenia, a tym samym nie określa źródła ich finansowania. Za przyjęciem takiego stanowiska przemawia literalne brzmienie jej art. 15 pkt 2. Przepis ten przewiduje, że w sprawach nieuregulowanych ustawą należy stosować odpowiednio jedynie regulacje art. 80</w:t>
      </w:r>
      <w:r w:rsidR="001C7E45" w:rsidRPr="00304DFA">
        <w:rPr>
          <w:rFonts w:ascii="Times New Roman" w:hAnsi="Times New Roman" w:cs="Times New Roman"/>
          <w:b/>
        </w:rPr>
        <w:t>–</w:t>
      </w:r>
      <w:r w:rsidRPr="00304DFA">
        <w:rPr>
          <w:rFonts w:ascii="Times New Roman" w:hAnsi="Times New Roman" w:cs="Times New Roman"/>
        </w:rPr>
        <w:t xml:space="preserve">82 i 84 ust. 6 ustawy o systemie ubezpieczeń społecznych, a tym samym nie przewiduje stosowania art. 85 ust. 1 </w:t>
      </w:r>
      <w:r w:rsidR="00F03EA5">
        <w:rPr>
          <w:rFonts w:ascii="Times New Roman" w:hAnsi="Times New Roman" w:cs="Times New Roman"/>
        </w:rPr>
        <w:t>tej ustawy,</w:t>
      </w:r>
      <w:r w:rsidRPr="00304DFA">
        <w:rPr>
          <w:rFonts w:ascii="Times New Roman" w:hAnsi="Times New Roman" w:cs="Times New Roman"/>
        </w:rPr>
        <w:t xml:space="preserve"> normującego kwestię odsetek od opóźnienia w wypłacie świadczenia.</w:t>
      </w:r>
    </w:p>
    <w:p w:rsidR="00861C76" w:rsidRPr="00304DFA" w:rsidRDefault="00861C76" w:rsidP="00861C76">
      <w:pPr>
        <w:spacing w:after="0" w:line="360" w:lineRule="auto"/>
        <w:jc w:val="both"/>
        <w:rPr>
          <w:rFonts w:ascii="Times New Roman" w:hAnsi="Times New Roman" w:cs="Times New Roman"/>
        </w:rPr>
      </w:pPr>
      <w:r w:rsidRPr="00304DFA">
        <w:rPr>
          <w:rFonts w:ascii="Times New Roman" w:hAnsi="Times New Roman" w:cs="Times New Roman"/>
        </w:rPr>
        <w:t xml:space="preserve">Przedstawiona powyżej wykładnia literalna jest jednak kwestionowana w orzecznictwie sądowym. Sądy  przyznają prawo do odsetek uzasadniając swoje stanowisko tym, że </w:t>
      </w:r>
      <w:r w:rsidR="00F03EA5">
        <w:rPr>
          <w:rFonts w:ascii="Times New Roman" w:hAnsi="Times New Roman" w:cs="Times New Roman"/>
        </w:rPr>
        <w:t xml:space="preserve">powołany </w:t>
      </w:r>
      <w:r w:rsidRPr="00304DFA">
        <w:rPr>
          <w:rFonts w:ascii="Times New Roman" w:hAnsi="Times New Roman" w:cs="Times New Roman"/>
        </w:rPr>
        <w:t xml:space="preserve">przepis art. 85 ust. 1 </w:t>
      </w:r>
      <w:r w:rsidR="00F03EA5">
        <w:rPr>
          <w:rFonts w:ascii="Times New Roman" w:hAnsi="Times New Roman" w:cs="Times New Roman"/>
        </w:rPr>
        <w:t>ustawy</w:t>
      </w:r>
      <w:r w:rsidRPr="00304DFA">
        <w:rPr>
          <w:rFonts w:ascii="Times New Roman" w:hAnsi="Times New Roman" w:cs="Times New Roman"/>
        </w:rPr>
        <w:t xml:space="preserve"> stanowi o zwłoce w przyznaniu świadczenia, nie definiując go wyłącznie jako świadczenie z ubezpieczenia społecznego. Wskazują, że w przepisie tego artykułu jest mowa nie tylko o świadczeniach z ubezpieczeń społecznych, ale również o świadczeniach innych </w:t>
      </w:r>
      <w:r w:rsidR="001C7E45" w:rsidRPr="00304DFA">
        <w:rPr>
          <w:rFonts w:ascii="Times New Roman" w:hAnsi="Times New Roman" w:cs="Times New Roman"/>
          <w:b/>
        </w:rPr>
        <w:t>–</w:t>
      </w:r>
      <w:r w:rsidRPr="00304DFA">
        <w:rPr>
          <w:rFonts w:ascii="Times New Roman" w:hAnsi="Times New Roman" w:cs="Times New Roman"/>
        </w:rPr>
        <w:t xml:space="preserve"> zleconych </w:t>
      </w:r>
      <w:r w:rsidR="001975FD">
        <w:rPr>
          <w:rFonts w:ascii="Times New Roman" w:hAnsi="Times New Roman" w:cs="Times New Roman"/>
        </w:rPr>
        <w:t>ZUS</w:t>
      </w:r>
      <w:r w:rsidRPr="00304DFA">
        <w:rPr>
          <w:rFonts w:ascii="Times New Roman" w:hAnsi="Times New Roman" w:cs="Times New Roman"/>
        </w:rPr>
        <w:t xml:space="preserve"> do wypłaty na mocy odrębnych przepisów albo umów międzynarodowych. W ocenie sądów w pojęciu takiego świadczenia mieści się również renta socjalna.</w:t>
      </w:r>
    </w:p>
    <w:p w:rsidR="00861C76" w:rsidRPr="00304DFA" w:rsidRDefault="00861C76" w:rsidP="00861C76">
      <w:pPr>
        <w:spacing w:after="0" w:line="360" w:lineRule="auto"/>
        <w:jc w:val="both"/>
        <w:rPr>
          <w:rFonts w:ascii="Times New Roman" w:hAnsi="Times New Roman" w:cs="Times New Roman"/>
        </w:rPr>
      </w:pPr>
      <w:r w:rsidRPr="00304DFA">
        <w:rPr>
          <w:rFonts w:ascii="Times New Roman" w:hAnsi="Times New Roman" w:cs="Times New Roman"/>
        </w:rPr>
        <w:t>Wobec występowania sytuacji konieczności wypłaty odsetek w przypadku wyroków sądowych dotyczących rent socjalnych, koniecznym wydaje się wprowadzenie odpowiednich zmian do przepisów obowiązujących.</w:t>
      </w:r>
    </w:p>
    <w:p w:rsidR="00A85E90" w:rsidRPr="00304DFA" w:rsidRDefault="00B83801" w:rsidP="00310B3A">
      <w:pPr>
        <w:pStyle w:val="Akapitzlist"/>
        <w:numPr>
          <w:ilvl w:val="0"/>
          <w:numId w:val="17"/>
        </w:numPr>
        <w:tabs>
          <w:tab w:val="left" w:pos="0"/>
        </w:tabs>
        <w:spacing w:after="0" w:line="360" w:lineRule="auto"/>
        <w:ind w:left="0" w:hanging="284"/>
        <w:jc w:val="both"/>
        <w:rPr>
          <w:rFonts w:ascii="Times New Roman" w:eastAsia="Calibri" w:hAnsi="Times New Roman" w:cs="Times New Roman"/>
          <w:b/>
        </w:rPr>
      </w:pPr>
      <w:r>
        <w:rPr>
          <w:rFonts w:ascii="Times New Roman" w:eastAsia="Calibri" w:hAnsi="Times New Roman" w:cs="Times New Roman"/>
          <w:b/>
        </w:rPr>
        <w:t xml:space="preserve"> </w:t>
      </w:r>
      <w:bookmarkStart w:id="5" w:name="_Hlk61379207"/>
      <w:r w:rsidR="00A85E90" w:rsidRPr="00304DFA">
        <w:rPr>
          <w:rFonts w:ascii="Times New Roman" w:eastAsia="Calibri" w:hAnsi="Times New Roman" w:cs="Times New Roman"/>
          <w:b/>
        </w:rPr>
        <w:t xml:space="preserve">Przeprowadzanie kontroli płatników składek oraz inspektorów kontroli </w:t>
      </w:r>
      <w:r w:rsidR="001975FD">
        <w:rPr>
          <w:rFonts w:ascii="Times New Roman" w:eastAsia="Calibri" w:hAnsi="Times New Roman" w:cs="Times New Roman"/>
          <w:b/>
        </w:rPr>
        <w:t>ZUS</w:t>
      </w:r>
      <w:bookmarkEnd w:id="5"/>
      <w:r w:rsidR="00A85E90" w:rsidRPr="00304DFA">
        <w:rPr>
          <w:rFonts w:ascii="Times New Roman" w:eastAsia="Calibri" w:hAnsi="Times New Roman" w:cs="Times New Roman"/>
          <w:b/>
        </w:rPr>
        <w:t xml:space="preserve"> (</w:t>
      </w:r>
      <w:r w:rsidR="00A85E90" w:rsidRPr="00304DFA">
        <w:rPr>
          <w:rFonts w:ascii="Times New Roman" w:hAnsi="Times New Roman" w:cs="Times New Roman"/>
          <w:b/>
        </w:rPr>
        <w:t>ustawa z dnia 13 października 1998 r. o systemie ubezpieczeń społecznych</w:t>
      </w:r>
      <w:r>
        <w:rPr>
          <w:rFonts w:ascii="Times New Roman" w:hAnsi="Times New Roman" w:cs="Times New Roman"/>
          <w:b/>
        </w:rPr>
        <w:t xml:space="preserve"> </w:t>
      </w:r>
      <w:r w:rsidRPr="00304DFA">
        <w:rPr>
          <w:rFonts w:ascii="Times New Roman" w:hAnsi="Times New Roman" w:cs="Times New Roman"/>
          <w:b/>
        </w:rPr>
        <w:t>–</w:t>
      </w:r>
      <w:r w:rsidR="00A85E90" w:rsidRPr="00304DFA">
        <w:rPr>
          <w:rFonts w:ascii="Times New Roman" w:eastAsia="Calibri" w:hAnsi="Times New Roman" w:cs="Times New Roman"/>
          <w:b/>
        </w:rPr>
        <w:t xml:space="preserve"> art. 87 i art. 91</w:t>
      </w:r>
      <w:r w:rsidR="00A85E90" w:rsidRPr="00304DFA">
        <w:rPr>
          <w:rFonts w:ascii="Times New Roman" w:hAnsi="Times New Roman" w:cs="Times New Roman"/>
          <w:b/>
        </w:rPr>
        <w:t>)</w:t>
      </w:r>
      <w:r w:rsidR="00A85E90" w:rsidRPr="00304DFA">
        <w:rPr>
          <w:rFonts w:ascii="Times New Roman" w:eastAsia="Calibri" w:hAnsi="Times New Roman" w:cs="Times New Roman"/>
          <w:b/>
        </w:rPr>
        <w:t>.</w:t>
      </w:r>
    </w:p>
    <w:p w:rsidR="00A85E90" w:rsidRPr="00304DFA" w:rsidRDefault="00A85E90" w:rsidP="00A85E90">
      <w:pPr>
        <w:spacing w:after="0" w:line="360" w:lineRule="auto"/>
        <w:jc w:val="both"/>
        <w:rPr>
          <w:rFonts w:ascii="Times New Roman" w:eastAsia="Calibri" w:hAnsi="Times New Roman" w:cs="Times New Roman"/>
        </w:rPr>
      </w:pPr>
      <w:r w:rsidRPr="00304DFA">
        <w:rPr>
          <w:rFonts w:ascii="Times New Roman" w:eastAsia="Calibri" w:hAnsi="Times New Roman" w:cs="Times New Roman"/>
        </w:rPr>
        <w:t xml:space="preserve">Zmiana art. 87 ma charakter </w:t>
      </w:r>
      <w:bookmarkStart w:id="6" w:name="_Hlk61379230"/>
      <w:r w:rsidRPr="00304DFA">
        <w:rPr>
          <w:rFonts w:ascii="Times New Roman" w:eastAsia="Calibri" w:hAnsi="Times New Roman" w:cs="Times New Roman"/>
        </w:rPr>
        <w:t>doprecyzowujący i porządkujący treść przepisu</w:t>
      </w:r>
      <w:bookmarkEnd w:id="6"/>
      <w:r w:rsidRPr="00304DFA">
        <w:rPr>
          <w:rFonts w:ascii="Times New Roman" w:eastAsia="Calibri" w:hAnsi="Times New Roman" w:cs="Times New Roman"/>
        </w:rPr>
        <w:t>. Utrwalony pogląd w orzecznictwie administracyjnym w świetle którego, kontrola nie jest postępowaniem administracyjnym uzasadnia poprzedzenie prawa przesłuchiwania świadków</w:t>
      </w:r>
      <w:r w:rsidR="00C56F84">
        <w:rPr>
          <w:rFonts w:ascii="Times New Roman" w:eastAsia="Calibri" w:hAnsi="Times New Roman" w:cs="Times New Roman"/>
        </w:rPr>
        <w:t xml:space="preserve"> </w:t>
      </w:r>
      <w:r w:rsidRPr="00304DFA">
        <w:rPr>
          <w:rFonts w:ascii="Times New Roman" w:eastAsia="Calibri" w:hAnsi="Times New Roman" w:cs="Times New Roman"/>
        </w:rPr>
        <w:t xml:space="preserve">i innych uczestników procesu kontroli prawem wzywania do czynności złożenia zeznań przez inspektora kontroli </w:t>
      </w:r>
      <w:r w:rsidR="001975FD">
        <w:rPr>
          <w:rFonts w:ascii="Times New Roman" w:eastAsia="Calibri" w:hAnsi="Times New Roman" w:cs="Times New Roman"/>
        </w:rPr>
        <w:t>ZUS</w:t>
      </w:r>
      <w:r w:rsidRPr="00304DFA">
        <w:rPr>
          <w:rFonts w:ascii="Times New Roman" w:eastAsia="Calibri" w:hAnsi="Times New Roman" w:cs="Times New Roman"/>
        </w:rPr>
        <w:t xml:space="preserve">. Dotychczasowa praktyka wskazuje, iż płatnicy składek niekiedy kwestionowali prawo do wzywania przez inspektorów kontroli </w:t>
      </w:r>
      <w:r w:rsidR="001975FD">
        <w:rPr>
          <w:rFonts w:ascii="Times New Roman" w:eastAsia="Calibri" w:hAnsi="Times New Roman" w:cs="Times New Roman"/>
        </w:rPr>
        <w:t>ZUS</w:t>
      </w:r>
      <w:r w:rsidRPr="00304DFA">
        <w:rPr>
          <w:rFonts w:ascii="Times New Roman" w:eastAsia="Calibri" w:hAnsi="Times New Roman" w:cs="Times New Roman"/>
        </w:rPr>
        <w:t xml:space="preserve"> uczestników postępowania kontrolnego.</w:t>
      </w:r>
    </w:p>
    <w:p w:rsidR="00A85E90" w:rsidRPr="00304DFA" w:rsidRDefault="00A85E90" w:rsidP="00A85E90">
      <w:pPr>
        <w:spacing w:after="0" w:line="360" w:lineRule="auto"/>
        <w:jc w:val="both"/>
        <w:rPr>
          <w:rFonts w:ascii="Times New Roman" w:hAnsi="Times New Roman" w:cs="Times New Roman"/>
        </w:rPr>
      </w:pPr>
      <w:r w:rsidRPr="00304DFA">
        <w:rPr>
          <w:rFonts w:ascii="Times New Roman" w:hAnsi="Times New Roman" w:cs="Times New Roman"/>
        </w:rPr>
        <w:lastRenderedPageBreak/>
        <w:t xml:space="preserve">Proponowana zmiana art. 91 ma również charakter porządkujący i doprecyzowujący (usunięcie z treści przepisu słów „pieczęć” i „jednobrzmiących” oraz wskazanie, że podpis ma obejmować podanie imienia i nazwiska inspektora kontroli </w:t>
      </w:r>
      <w:r w:rsidR="001975FD">
        <w:rPr>
          <w:rFonts w:ascii="Times New Roman" w:hAnsi="Times New Roman" w:cs="Times New Roman"/>
        </w:rPr>
        <w:t>ZUS</w:t>
      </w:r>
      <w:r w:rsidRPr="00304DFA">
        <w:rPr>
          <w:rFonts w:ascii="Times New Roman" w:hAnsi="Times New Roman" w:cs="Times New Roman"/>
        </w:rPr>
        <w:t xml:space="preserve">). Wprowadzenie ww. zmian umożliwi doręczanie protokołu kontroli w formie elektronicznej w razie żądania takiej formy doręczenia przez płatnika składek. </w:t>
      </w:r>
      <w:r w:rsidR="00EC71F7" w:rsidRPr="00EC71F7">
        <w:rPr>
          <w:rFonts w:ascii="Times New Roman" w:hAnsi="Times New Roman" w:cs="Times New Roman"/>
        </w:rPr>
        <w:t xml:space="preserve">Protokół kontroli </w:t>
      </w:r>
      <w:r w:rsidR="00EC71F7">
        <w:rPr>
          <w:rFonts w:ascii="Times New Roman" w:hAnsi="Times New Roman" w:cs="Times New Roman"/>
        </w:rPr>
        <w:t xml:space="preserve">będzie </w:t>
      </w:r>
      <w:r w:rsidR="00EC71F7" w:rsidRPr="00EC71F7">
        <w:rPr>
          <w:rFonts w:ascii="Times New Roman" w:hAnsi="Times New Roman" w:cs="Times New Roman"/>
        </w:rPr>
        <w:t>sporządza</w:t>
      </w:r>
      <w:r w:rsidR="00EC71F7">
        <w:rPr>
          <w:rFonts w:ascii="Times New Roman" w:hAnsi="Times New Roman" w:cs="Times New Roman"/>
        </w:rPr>
        <w:t>ny</w:t>
      </w:r>
      <w:r w:rsidR="00EC71F7" w:rsidRPr="00EC71F7">
        <w:rPr>
          <w:rFonts w:ascii="Times New Roman" w:hAnsi="Times New Roman" w:cs="Times New Roman"/>
        </w:rPr>
        <w:t xml:space="preserve"> w dwóch egzemplarzach, z których jeden doręcza</w:t>
      </w:r>
      <w:r w:rsidR="00EC71F7">
        <w:rPr>
          <w:rFonts w:ascii="Times New Roman" w:hAnsi="Times New Roman" w:cs="Times New Roman"/>
        </w:rPr>
        <w:t>ny będzie</w:t>
      </w:r>
      <w:r w:rsidR="00EC71F7" w:rsidRPr="00EC71F7">
        <w:rPr>
          <w:rFonts w:ascii="Times New Roman" w:hAnsi="Times New Roman" w:cs="Times New Roman"/>
        </w:rPr>
        <w:t xml:space="preserve"> kontrolowanemu płatnikowi składek lub osobie upoważnionej do reprezentowania lub prowadzenia jego spraw</w:t>
      </w:r>
      <w:r w:rsidR="00EC71F7">
        <w:rPr>
          <w:rFonts w:ascii="Times New Roman" w:hAnsi="Times New Roman" w:cs="Times New Roman"/>
        </w:rPr>
        <w:t>.</w:t>
      </w:r>
      <w:r w:rsidR="00EC71F7" w:rsidRPr="00304DFA">
        <w:rPr>
          <w:rFonts w:ascii="Times New Roman" w:hAnsi="Times New Roman" w:cs="Times New Roman"/>
        </w:rPr>
        <w:t xml:space="preserve"> </w:t>
      </w:r>
      <w:r w:rsidRPr="00304DFA">
        <w:rPr>
          <w:rFonts w:ascii="Times New Roman" w:hAnsi="Times New Roman" w:cs="Times New Roman"/>
        </w:rPr>
        <w:t xml:space="preserve">Natomiast wskazanie w jakiej formie następuje wprowadzenie zmian do protokołu kontroli ma na celu uzupełnienie braku w tym zakresie. </w:t>
      </w:r>
    </w:p>
    <w:p w:rsidR="00A85E90" w:rsidRPr="00304DFA" w:rsidRDefault="00A85E90" w:rsidP="00A85E90">
      <w:pPr>
        <w:spacing w:after="0" w:line="360" w:lineRule="auto"/>
        <w:jc w:val="both"/>
        <w:rPr>
          <w:rFonts w:ascii="Times New Roman" w:hAnsi="Times New Roman" w:cs="Times New Roman"/>
        </w:rPr>
      </w:pPr>
      <w:r w:rsidRPr="00304DFA">
        <w:rPr>
          <w:rFonts w:ascii="Times New Roman" w:hAnsi="Times New Roman" w:cs="Times New Roman"/>
        </w:rPr>
        <w:t xml:space="preserve">Ustawa o systemie ubezpieczeń społecznych w art. 91 ust. 4 wskazuje, iż w przypadku złożenia przez płatnika składek zastrzeżeń do protokołu kontroli, inspektor kontroli </w:t>
      </w:r>
      <w:r w:rsidR="001975FD">
        <w:rPr>
          <w:rFonts w:ascii="Times New Roman" w:hAnsi="Times New Roman" w:cs="Times New Roman"/>
        </w:rPr>
        <w:t>ZUS</w:t>
      </w:r>
      <w:r w:rsidRPr="00304DFA">
        <w:rPr>
          <w:rFonts w:ascii="Times New Roman" w:hAnsi="Times New Roman" w:cs="Times New Roman"/>
        </w:rPr>
        <w:t xml:space="preserve"> ma obowiązek pisemnie poinformować o sposobie rozpatrzenia zastrzeżeń. Prawo</w:t>
      </w:r>
      <w:r w:rsidR="00310B3A">
        <w:rPr>
          <w:rFonts w:ascii="Times New Roman" w:hAnsi="Times New Roman" w:cs="Times New Roman"/>
        </w:rPr>
        <w:t xml:space="preserve"> </w:t>
      </w:r>
      <w:r w:rsidRPr="00304DFA">
        <w:rPr>
          <w:rFonts w:ascii="Times New Roman" w:hAnsi="Times New Roman" w:cs="Times New Roman"/>
        </w:rPr>
        <w:t xml:space="preserve">złożenia zastrzeżeń umożliwia kontrolowanemu, jeszcze przed wydaniem decyzji administracyjnej, wyrażenie odmiennego stanowiska w zakresie ustaleń kontroli. W związku z tym w przypadku uwzględnienia przekazanego stanowiska, koniecznym jest poinformowanie przez kontrolującego o zakresie zmian ustaleń w protokole kontroli. </w:t>
      </w:r>
    </w:p>
    <w:p w:rsidR="00A85E90" w:rsidRPr="00304DFA" w:rsidRDefault="00A85E90" w:rsidP="00A85E90">
      <w:pPr>
        <w:spacing w:after="0" w:line="360" w:lineRule="auto"/>
        <w:jc w:val="both"/>
        <w:rPr>
          <w:rFonts w:ascii="Times New Roman" w:hAnsi="Times New Roman" w:cs="Times New Roman"/>
        </w:rPr>
      </w:pPr>
      <w:r w:rsidRPr="00304DFA">
        <w:rPr>
          <w:rFonts w:ascii="Times New Roman" w:hAnsi="Times New Roman" w:cs="Times New Roman"/>
        </w:rPr>
        <w:t>Wskazanie formy zmian protokołu kontroli wypełni lukę prawną w tym zakresie.</w:t>
      </w:r>
    </w:p>
    <w:p w:rsidR="00B91889" w:rsidRPr="00304DFA" w:rsidRDefault="00B83801" w:rsidP="00310B3A">
      <w:pPr>
        <w:pStyle w:val="Akapitzlist"/>
        <w:numPr>
          <w:ilvl w:val="0"/>
          <w:numId w:val="17"/>
        </w:numPr>
        <w:tabs>
          <w:tab w:val="left" w:pos="-142"/>
        </w:tabs>
        <w:spacing w:before="240"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91889" w:rsidRPr="00304DFA">
        <w:rPr>
          <w:rFonts w:ascii="Times New Roman" w:hAnsi="Times New Roman" w:cs="Times New Roman"/>
          <w:b/>
        </w:rPr>
        <w:t>Modyfikacja pojęcia „rodzaj działalności według PKD” (ustawa z dnia 30 października 2002 r. o ubezpieczeniu społecznym z tytułu wypadków przy pracy i chorób zawodowych</w:t>
      </w:r>
      <w:r>
        <w:rPr>
          <w:rFonts w:ascii="Times New Roman" w:hAnsi="Times New Roman" w:cs="Times New Roman"/>
          <w:b/>
        </w:rPr>
        <w:t xml:space="preserve"> </w:t>
      </w:r>
      <w:r w:rsidRPr="00304DFA">
        <w:rPr>
          <w:rFonts w:ascii="Times New Roman" w:hAnsi="Times New Roman" w:cs="Times New Roman"/>
          <w:b/>
        </w:rPr>
        <w:t>–</w:t>
      </w:r>
      <w:r w:rsidR="00B91889" w:rsidRPr="00304DFA">
        <w:rPr>
          <w:rFonts w:ascii="Times New Roman" w:hAnsi="Times New Roman" w:cs="Times New Roman"/>
          <w:b/>
        </w:rPr>
        <w:t xml:space="preserve"> art. 2 pkt 10).</w:t>
      </w:r>
    </w:p>
    <w:p w:rsidR="00B91889" w:rsidRPr="00304DFA" w:rsidRDefault="00B91889" w:rsidP="00B91889">
      <w:pPr>
        <w:spacing w:after="0" w:line="360" w:lineRule="auto"/>
        <w:contextualSpacing/>
        <w:jc w:val="both"/>
        <w:rPr>
          <w:rFonts w:ascii="Times New Roman" w:hAnsi="Times New Roman" w:cs="Times New Roman"/>
        </w:rPr>
      </w:pPr>
      <w:r w:rsidRPr="00304DFA">
        <w:rPr>
          <w:rFonts w:ascii="Times New Roman" w:hAnsi="Times New Roman" w:cs="Times New Roman"/>
        </w:rPr>
        <w:t xml:space="preserve">Projektowana zmiana art. 2 pkt 10 ww. ustawy w zakresie „rodzaju działalności według PKD” jest niezbędna w związku z wprowadzeniem w rozporządzeniu </w:t>
      </w:r>
      <w:r w:rsidR="00141415">
        <w:rPr>
          <w:rFonts w:ascii="Times New Roman" w:hAnsi="Times New Roman" w:cs="Times New Roman"/>
        </w:rPr>
        <w:t xml:space="preserve">Rady Ministrów </w:t>
      </w:r>
      <w:r w:rsidRPr="00304DFA">
        <w:rPr>
          <w:rFonts w:ascii="Times New Roman" w:hAnsi="Times New Roman" w:cs="Times New Roman"/>
        </w:rPr>
        <w:t xml:space="preserve">z dnia 30 listopada 2015 r. </w:t>
      </w:r>
      <w:r w:rsidRPr="00304DFA">
        <w:rPr>
          <w:rFonts w:ascii="Times New Roman" w:hAnsi="Times New Roman" w:cs="Times New Roman"/>
        </w:rPr>
        <w:br/>
        <w:t>w sprawie sposobu i metodologii prowadzenia i aktualizacji krajowego rejestru urzędowego podmiotów gospodarki narodowej, wzorów wniosków, ankiet i zaświadczeń (Dz. U. poz. 2009, z późn. zm.) § 9 ust. 2 pkt 3, zgodnie z którym rodzaj przeważającej działalności dla osób fizycznych prowadzących działalność gospodarczą ustala się odrębnie dla: działalności wpisanej do CEIDG, działalności rolniczej oraz pozostałej działalności, prowadzonej na własny rachunek w celu osiągnięcia zysku.</w:t>
      </w:r>
    </w:p>
    <w:p w:rsidR="00B91889" w:rsidRPr="00304DFA" w:rsidRDefault="00B91889" w:rsidP="00B91889">
      <w:pPr>
        <w:spacing w:after="120" w:line="360" w:lineRule="auto"/>
        <w:contextualSpacing/>
        <w:jc w:val="both"/>
        <w:rPr>
          <w:rFonts w:ascii="Times New Roman" w:hAnsi="Times New Roman" w:cs="Times New Roman"/>
        </w:rPr>
      </w:pPr>
      <w:r w:rsidRPr="00304DFA">
        <w:rPr>
          <w:rFonts w:ascii="Times New Roman" w:hAnsi="Times New Roman" w:cs="Times New Roman"/>
        </w:rPr>
        <w:t xml:space="preserve">W związku z wprowadzeniem tego przepisu występują przypadki, w których osoba fizyczna może mieć dwa „równorzędne” rodzaje przeważającej działalności wg PKD. Ustalenie właściwego rodzaju przeważającej działalności wg PKD ma istotny wpływ na ustalenie wysokości stopy procentowej składki na ubezpieczenie wypadkowe dla płatników składek </w:t>
      </w:r>
      <w:r w:rsidRPr="00304DFA">
        <w:rPr>
          <w:rFonts w:ascii="Times New Roman" w:hAnsi="Times New Roman" w:cs="Times New Roman"/>
          <w:bCs/>
        </w:rPr>
        <w:t>zgłaszających do ubezpieczenia wypadkowego co najmniej 10 ubezpieczonych</w:t>
      </w:r>
      <w:r w:rsidRPr="00304DFA">
        <w:rPr>
          <w:rFonts w:ascii="Times New Roman" w:hAnsi="Times New Roman" w:cs="Times New Roman"/>
        </w:rPr>
        <w:t>. Proponowana zmiana uporządkuje i ujednolici sposób określania przeważającej działalności zgodnie z CEIDG.</w:t>
      </w:r>
    </w:p>
    <w:p w:rsidR="00B91889" w:rsidRPr="00304DFA" w:rsidRDefault="000B1747" w:rsidP="00310B3A">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91889" w:rsidRPr="00304DFA">
        <w:rPr>
          <w:rFonts w:ascii="Times New Roman" w:hAnsi="Times New Roman" w:cs="Times New Roman"/>
          <w:b/>
        </w:rPr>
        <w:t xml:space="preserve">Wprowadzenie przepisu jednoznacznie definiującego jakie zdarzenia na potrzeby różnicowania stopy procentowej składki na ubezpieczenie wypadkowe są uznawane za wypadek przy pracy, a </w:t>
      </w:r>
      <w:r w:rsidR="00B91889" w:rsidRPr="00304DFA">
        <w:rPr>
          <w:rFonts w:ascii="Times New Roman" w:hAnsi="Times New Roman" w:cs="Times New Roman"/>
          <w:b/>
        </w:rPr>
        <w:lastRenderedPageBreak/>
        <w:t xml:space="preserve">zatem jakie wypadki pracodawca powinien ujmować w informacji ZUS IWA (ustawa z dnia 30 października 2002 r. o ubezpieczeniu społecznym z tytułu wypadków przy pracy i chorób zawodowych </w:t>
      </w:r>
      <w:r w:rsidR="00B83801" w:rsidRPr="00304DFA">
        <w:rPr>
          <w:rFonts w:ascii="Times New Roman" w:hAnsi="Times New Roman" w:cs="Times New Roman"/>
          <w:b/>
        </w:rPr>
        <w:t>–</w:t>
      </w:r>
      <w:r w:rsidR="00B91889" w:rsidRPr="00304DFA">
        <w:rPr>
          <w:rFonts w:ascii="Times New Roman" w:hAnsi="Times New Roman" w:cs="Times New Roman"/>
          <w:b/>
        </w:rPr>
        <w:t xml:space="preserve"> art. 3 ust. 2).</w:t>
      </w:r>
    </w:p>
    <w:p w:rsidR="00B91889" w:rsidRPr="00304DFA" w:rsidRDefault="00B91889" w:rsidP="00D9302A">
      <w:pPr>
        <w:spacing w:after="120" w:line="360" w:lineRule="auto"/>
        <w:contextualSpacing/>
        <w:jc w:val="both"/>
        <w:rPr>
          <w:rFonts w:ascii="Times New Roman" w:hAnsi="Times New Roman" w:cs="Times New Roman"/>
        </w:rPr>
      </w:pPr>
      <w:r w:rsidRPr="00304DFA">
        <w:rPr>
          <w:rFonts w:ascii="Times New Roman" w:hAnsi="Times New Roman" w:cs="Times New Roman"/>
        </w:rPr>
        <w:t xml:space="preserve">Proponowane nowe brzmienie art. 3 ust 2 ustawy </w:t>
      </w:r>
      <w:r w:rsidR="00A12956" w:rsidRPr="00A12956">
        <w:rPr>
          <w:rFonts w:ascii="Times New Roman" w:hAnsi="Times New Roman" w:cs="Times New Roman"/>
        </w:rPr>
        <w:t xml:space="preserve">z dnia 30 października 2002 r. </w:t>
      </w:r>
      <w:r w:rsidRPr="00304DFA">
        <w:rPr>
          <w:rFonts w:ascii="Times New Roman" w:hAnsi="Times New Roman" w:cs="Times New Roman"/>
        </w:rPr>
        <w:t>o ubezpieczeniu społecznym z tytułu wypadków przy pracy i chorób zawodowych ma na celu usunięcie wątpliwości interpretacyjnych.</w:t>
      </w:r>
      <w:r w:rsidR="00D9302A" w:rsidRPr="00304DFA">
        <w:rPr>
          <w:rFonts w:ascii="Times New Roman" w:hAnsi="Times New Roman" w:cs="Times New Roman"/>
        </w:rPr>
        <w:t xml:space="preserve"> </w:t>
      </w:r>
      <w:r w:rsidRPr="00304DFA">
        <w:rPr>
          <w:rFonts w:ascii="Times New Roman" w:hAnsi="Times New Roman" w:cs="Times New Roman"/>
        </w:rPr>
        <w:t xml:space="preserve">Powstają one na tle aktualnego brzmienia art. 3 ust. 2 ww. ustawy, który to przepis nakazuje traktować określone w nim zdarzenia za wypadek przy pracy, ale zawiera wskazanie, że w „zakresie uprawnienia do świadczeń określonych w ustawie”. W związku z tym na tym tle dochodzi do spraw spornych, gdyż płatnicy stoją na stanowisku, że wypadki określone w tym przepisie nie powinny być ujmowane w informacji ZUS IWA, a tym samym wpływać na wysokość ustalanej przez </w:t>
      </w:r>
      <w:r w:rsidR="001975FD">
        <w:rPr>
          <w:rFonts w:ascii="Times New Roman" w:hAnsi="Times New Roman" w:cs="Times New Roman"/>
        </w:rPr>
        <w:t>ZUS</w:t>
      </w:r>
      <w:r w:rsidRPr="00304DFA">
        <w:rPr>
          <w:rFonts w:ascii="Times New Roman" w:hAnsi="Times New Roman" w:cs="Times New Roman"/>
        </w:rPr>
        <w:t xml:space="preserve"> wysokości stopy procentowej składki na ubezpieczenie wypadkowe.</w:t>
      </w:r>
    </w:p>
    <w:p w:rsidR="00B91889" w:rsidRPr="00304DFA" w:rsidRDefault="000B1747" w:rsidP="003950B0">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91889" w:rsidRPr="00304DFA">
        <w:rPr>
          <w:rFonts w:ascii="Times New Roman" w:hAnsi="Times New Roman" w:cs="Times New Roman"/>
          <w:b/>
        </w:rPr>
        <w:t xml:space="preserve">Wprowadzenie braku sukcesji wysokości stopy procentowej składki na ubezpieczenie wypadkowe (ustawa z dnia 30 października 2002 r. o ubezpieczeniu społecznym z tytułu wypadków przy pracy i chorób zawodowych </w:t>
      </w:r>
      <w:r w:rsidRPr="00304DFA">
        <w:rPr>
          <w:rFonts w:ascii="Times New Roman" w:hAnsi="Times New Roman" w:cs="Times New Roman"/>
          <w:b/>
        </w:rPr>
        <w:t>–</w:t>
      </w:r>
      <w:r w:rsidR="00B91889" w:rsidRPr="00304DFA">
        <w:rPr>
          <w:rFonts w:ascii="Times New Roman" w:hAnsi="Times New Roman" w:cs="Times New Roman"/>
          <w:b/>
        </w:rPr>
        <w:t xml:space="preserve"> art. 27 ust.2).</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Proponowana zmiana art. 27 przez dodanie ust. 2 ma na celu wprowadzenie przepisu jednoznacznie rozstrzygającego o braku możliwości sukcesji wysokości stopy procentowej składki, w przypadkach przekształceń, łączenia się lub podziału płatników.</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Obecnie w orzecznictwie sądowym przeważa pogląd, że dopuszczalna jest sukcesja stopy procentowej składki pomiędzy podmiotami, które na gruncie ustawy o systemie ubezpieczeń społecznych są odrębnymi płatnikami składek (np. wyrok Sądu Najwyższego z dnia 20 marca 2009 r., sygn. akt. II UK 292/08). Sukcesję praw i obowiązków przewidują przepisy art. 93</w:t>
      </w:r>
      <w:r w:rsidR="000B1747" w:rsidRPr="00304DFA">
        <w:rPr>
          <w:rFonts w:ascii="Times New Roman" w:hAnsi="Times New Roman" w:cs="Times New Roman"/>
          <w:b/>
        </w:rPr>
        <w:t>–</w:t>
      </w:r>
      <w:r w:rsidRPr="00304DFA">
        <w:rPr>
          <w:rFonts w:ascii="Times New Roman" w:hAnsi="Times New Roman" w:cs="Times New Roman"/>
        </w:rPr>
        <w:t>93c ustawy z dnia 29 sierpnia 1997 r. – Ordynacja podatkowa, do których – w zakresie należności z tytułu składek – odsyła art. 31 ustawy o systemie ubezpieczeń społecznych</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Biorąc pod uwagę okoliczność, że przepisy ustawy </w:t>
      </w:r>
      <w:r w:rsidR="00E475DC" w:rsidRPr="00E475DC">
        <w:rPr>
          <w:rFonts w:ascii="Times New Roman" w:hAnsi="Times New Roman" w:cs="Times New Roman"/>
        </w:rPr>
        <w:t xml:space="preserve">z dnia 30 października 2002 r. </w:t>
      </w:r>
      <w:r w:rsidRPr="00304DFA">
        <w:rPr>
          <w:rFonts w:ascii="Times New Roman" w:hAnsi="Times New Roman" w:cs="Times New Roman"/>
        </w:rPr>
        <w:t xml:space="preserve">o ubezpieczeniu społecznym z tytułu wypadków przy pracy </w:t>
      </w:r>
      <w:r w:rsidR="00E475DC">
        <w:rPr>
          <w:rFonts w:ascii="Times New Roman" w:hAnsi="Times New Roman" w:cs="Times New Roman"/>
        </w:rPr>
        <w:t xml:space="preserve">i chorób zawodowych </w:t>
      </w:r>
      <w:r w:rsidRPr="00304DFA">
        <w:rPr>
          <w:rFonts w:ascii="Times New Roman" w:hAnsi="Times New Roman" w:cs="Times New Roman"/>
        </w:rPr>
        <w:t>nie zawierają przepisów szczególnych, które regulowałyby kwestie dopuszczalności sukcesji stopy procentowej składki w przypadkach łączenia się płatników (w tym przez przejęcie) lub ich podziału, należałoby stosować wykładnię systemową, uwzględniając całokształt przepisów tej ustawy odnoszących się do zasad ustalania stopy procentowej składki na ubezpieczenie wypadkowe. Powyższe przemawia za niedopuszczalnością sukcesji uprawnienia do posługiwania się daną wartością stopy procentowej składki.</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Przyjęcie zasady sukcesji stopy procentowej składki jest sprzeczne:</w:t>
      </w:r>
    </w:p>
    <w:p w:rsidR="00B91889" w:rsidRPr="00304DFA" w:rsidRDefault="00B91889" w:rsidP="00E475DC">
      <w:pPr>
        <w:numPr>
          <w:ilvl w:val="0"/>
          <w:numId w:val="10"/>
        </w:numPr>
        <w:tabs>
          <w:tab w:val="left" w:pos="284"/>
        </w:tabs>
        <w:spacing w:after="0" w:line="360" w:lineRule="auto"/>
        <w:contextualSpacing/>
        <w:jc w:val="both"/>
        <w:rPr>
          <w:rFonts w:ascii="Times New Roman" w:hAnsi="Times New Roman" w:cs="Times New Roman"/>
        </w:rPr>
      </w:pPr>
      <w:r w:rsidRPr="00304DFA">
        <w:rPr>
          <w:rFonts w:ascii="Times New Roman" w:hAnsi="Times New Roman" w:cs="Times New Roman"/>
        </w:rPr>
        <w:t xml:space="preserve"> z generalną zasadą wynikającą z brzmienia art. 27 ustawy </w:t>
      </w:r>
      <w:r w:rsidR="00E475DC" w:rsidRPr="00E475DC">
        <w:rPr>
          <w:rFonts w:ascii="Times New Roman" w:hAnsi="Times New Roman" w:cs="Times New Roman"/>
        </w:rPr>
        <w:t xml:space="preserve">z dnia 30 października 2002 r. </w:t>
      </w:r>
      <w:r w:rsidRPr="00304DFA">
        <w:rPr>
          <w:rFonts w:ascii="Times New Roman" w:hAnsi="Times New Roman" w:cs="Times New Roman"/>
        </w:rPr>
        <w:t xml:space="preserve">o ubezpieczeniu społecznym z tytułu wypadków przy pracy i chorób zawodowych, iż wysokość tej stopy jest ustalana płatnikowi tylko raz na dany rok składkowy i obowiązuje ona niezmiennie przez cały rok składkowy (założenie, że sukcesja może mieć miejsce oznacza </w:t>
      </w:r>
      <w:r w:rsidRPr="00304DFA">
        <w:rPr>
          <w:rFonts w:ascii="Times New Roman" w:hAnsi="Times New Roman" w:cs="Times New Roman"/>
        </w:rPr>
        <w:lastRenderedPageBreak/>
        <w:t xml:space="preserve">dopuszczenie sytuacji, w których płatnika będzie </w:t>
      </w:r>
      <w:r w:rsidR="00582D85">
        <w:rPr>
          <w:rFonts w:ascii="Times New Roman" w:hAnsi="Times New Roman" w:cs="Times New Roman"/>
        </w:rPr>
        <w:t>o</w:t>
      </w:r>
      <w:r w:rsidRPr="00304DFA">
        <w:rPr>
          <w:rFonts w:ascii="Times New Roman" w:hAnsi="Times New Roman" w:cs="Times New Roman"/>
        </w:rPr>
        <w:t xml:space="preserve">bowiązywało w danym roku składkowym nawet kilka wartości tej stopy, co miałoby miejsce w przypadkach, gdy płatnik kilkakrotnie w danym roku będzie przejmował innego płatnika); </w:t>
      </w:r>
    </w:p>
    <w:p w:rsidR="00B91889" w:rsidRPr="00304DFA" w:rsidRDefault="00B91889" w:rsidP="00B91889">
      <w:pPr>
        <w:numPr>
          <w:ilvl w:val="0"/>
          <w:numId w:val="10"/>
        </w:numPr>
        <w:tabs>
          <w:tab w:val="left" w:pos="284"/>
        </w:tabs>
        <w:spacing w:after="0" w:line="360" w:lineRule="auto"/>
        <w:ind w:left="284" w:hanging="284"/>
        <w:contextualSpacing/>
        <w:jc w:val="both"/>
        <w:rPr>
          <w:rFonts w:ascii="Times New Roman" w:hAnsi="Times New Roman" w:cs="Times New Roman"/>
        </w:rPr>
      </w:pPr>
      <w:r w:rsidRPr="00304DFA">
        <w:rPr>
          <w:rFonts w:ascii="Times New Roman" w:hAnsi="Times New Roman" w:cs="Times New Roman"/>
        </w:rPr>
        <w:t>z zasadą, iż stopa procentowa składki ustalana jest dla danego płatnika składek, przy czym pojęcie płatnika składek definiowane jest poprzez odniesienie do przepisów ustawy o systemie ubezpieczeń społecznych (art. 2 pkt 4 ustawy wypadkowej). Tym samym, dane brane pod uwagę przy ustalaniu stopy procentowej na dany rok składkowy powinny, w świetle przepisów ustawy, odnosić się ściśle do konkretnego płatnika składek. Tak więc w odniesieniu do:</w:t>
      </w:r>
    </w:p>
    <w:p w:rsidR="00B91889" w:rsidRPr="00304DFA" w:rsidRDefault="00B91889" w:rsidP="00B91889">
      <w:pPr>
        <w:numPr>
          <w:ilvl w:val="0"/>
          <w:numId w:val="11"/>
        </w:numPr>
        <w:tabs>
          <w:tab w:val="left" w:pos="284"/>
        </w:tabs>
        <w:spacing w:after="0" w:line="360" w:lineRule="auto"/>
        <w:ind w:left="567" w:hanging="283"/>
        <w:contextualSpacing/>
        <w:jc w:val="both"/>
        <w:rPr>
          <w:rFonts w:ascii="Times New Roman" w:hAnsi="Times New Roman" w:cs="Times New Roman"/>
        </w:rPr>
      </w:pPr>
      <w:r w:rsidRPr="00304DFA">
        <w:rPr>
          <w:rFonts w:ascii="Times New Roman" w:hAnsi="Times New Roman" w:cs="Times New Roman"/>
        </w:rPr>
        <w:t xml:space="preserve">płatników samodzielnie ustalających stopę procentową składki, zgłaszających do ubezpieczenia wypadkowego co najmniej 10 ubezpieczonych – stopa powinna być ustalana na podstawie danych o przeciętnej miesięcznej liczbie tych ubezpieczonych zgłaszanych do ubezpieczenia w poprzednim roku kalendarzowym oraz danych o grupie działalności, do której płatnik należał na dzień 31 grudnia poprzedniego roku (art. 33 ust. 1 w związku z art. 29 ust. 1),  </w:t>
      </w:r>
    </w:p>
    <w:p w:rsidR="00B91889" w:rsidRPr="00304DFA" w:rsidRDefault="00B91889" w:rsidP="00B91889">
      <w:pPr>
        <w:numPr>
          <w:ilvl w:val="0"/>
          <w:numId w:val="11"/>
        </w:numPr>
        <w:tabs>
          <w:tab w:val="left" w:pos="284"/>
        </w:tabs>
        <w:spacing w:after="0" w:line="360" w:lineRule="auto"/>
        <w:ind w:left="567" w:hanging="283"/>
        <w:contextualSpacing/>
        <w:jc w:val="both"/>
        <w:rPr>
          <w:rFonts w:ascii="Times New Roman" w:hAnsi="Times New Roman" w:cs="Times New Roman"/>
        </w:rPr>
      </w:pPr>
      <w:r w:rsidRPr="00304DFA">
        <w:rPr>
          <w:rFonts w:ascii="Times New Roman" w:hAnsi="Times New Roman" w:cs="Times New Roman"/>
        </w:rPr>
        <w:t xml:space="preserve">płatników nowo zgłaszanych w </w:t>
      </w:r>
      <w:r w:rsidR="001975FD">
        <w:rPr>
          <w:rFonts w:ascii="Times New Roman" w:hAnsi="Times New Roman" w:cs="Times New Roman"/>
        </w:rPr>
        <w:t>ZUS</w:t>
      </w:r>
      <w:r w:rsidRPr="00304DFA">
        <w:rPr>
          <w:rFonts w:ascii="Times New Roman" w:hAnsi="Times New Roman" w:cs="Times New Roman"/>
        </w:rPr>
        <w:t xml:space="preserve"> – stopa powinna być ustalana na podstawie danych o liczbie ubezpieczonych zgłaszanych do ubezpieczenia wypadkowego w miesiącu zgłoszenia płatnika, a gdy liczba ta wynosi co najmniej 10 ubezpieczonych, to także na podstawie grupy działalności, do której ten płatnik należy według stanu na dzień dokonania zgłoszenia płatnika składek (art. 33 ust. 1 w związku z art. 29 ust. 2),</w:t>
      </w:r>
    </w:p>
    <w:p w:rsidR="00B91889" w:rsidRPr="00304DFA" w:rsidRDefault="00B91889" w:rsidP="00B91889">
      <w:pPr>
        <w:numPr>
          <w:ilvl w:val="0"/>
          <w:numId w:val="11"/>
        </w:numPr>
        <w:tabs>
          <w:tab w:val="left" w:pos="284"/>
        </w:tabs>
        <w:spacing w:after="0" w:line="360" w:lineRule="auto"/>
        <w:ind w:left="567" w:hanging="283"/>
        <w:contextualSpacing/>
        <w:jc w:val="both"/>
        <w:rPr>
          <w:rFonts w:ascii="Times New Roman" w:hAnsi="Times New Roman" w:cs="Times New Roman"/>
        </w:rPr>
      </w:pPr>
      <w:r w:rsidRPr="00304DFA">
        <w:rPr>
          <w:rFonts w:ascii="Times New Roman" w:hAnsi="Times New Roman" w:cs="Times New Roman"/>
        </w:rPr>
        <w:t xml:space="preserve">płatników, którym stopę procentową ustala </w:t>
      </w:r>
      <w:r w:rsidR="001975FD">
        <w:rPr>
          <w:rFonts w:ascii="Times New Roman" w:hAnsi="Times New Roman" w:cs="Times New Roman"/>
        </w:rPr>
        <w:t>ZUS</w:t>
      </w:r>
      <w:r w:rsidRPr="00304DFA">
        <w:rPr>
          <w:rFonts w:ascii="Times New Roman" w:hAnsi="Times New Roman" w:cs="Times New Roman"/>
        </w:rPr>
        <w:t xml:space="preserve"> – stopa powinna być ustalona na podstawie danych o wypadkowości z trzech kolejnych informacji ZUS IWA złożonych przez tego płatnika.  </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Ustalona w powyższy sposób stopa procentowa składki nie powinna podlegać zmianie </w:t>
      </w:r>
      <w:r w:rsidRPr="00304DFA">
        <w:rPr>
          <w:rFonts w:ascii="Times New Roman" w:hAnsi="Times New Roman" w:cs="Times New Roman"/>
        </w:rPr>
        <w:br/>
        <w:t>w trakcie roku składkowego, o ile nie nastąpiła korekta danych, na podstawie których stopa ta została ustalona.</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Celem zróżnicowania wysokości stopy procentowej składki pomiędzy poszczególnymi płatnikami składek była potrzeba stymulacji płatników do podejmowania działań minimalizujących ryzyko wystąpienia wypadków przy pracy poprzez poprawę warunków bezpieczeństwa pracy. Tym samym, interpretację dopuszczającą możliwość „przejęcia” w drodze sukcesji stopy procentowej składki na ubezpieczenie wypadkowe należałoby uznać za interpretację </w:t>
      </w:r>
      <w:r w:rsidRPr="00304DFA">
        <w:rPr>
          <w:rFonts w:ascii="Times New Roman" w:hAnsi="Times New Roman" w:cs="Times New Roman"/>
          <w:i/>
        </w:rPr>
        <w:t>contra legem</w:t>
      </w:r>
      <w:r w:rsidRPr="00304DFA">
        <w:rPr>
          <w:rFonts w:ascii="Times New Roman" w:hAnsi="Times New Roman" w:cs="Times New Roman"/>
        </w:rPr>
        <w:t>, bowiem jej skutkiem dopuszczone zostałyby sytuacje, w których wysokość stosowanej przez płatnika stopy procentowej składki nie wynikałaby ani z jego rodzaju działalności, ani nie miał</w:t>
      </w:r>
      <w:r w:rsidR="00CC19CB">
        <w:rPr>
          <w:rFonts w:ascii="Times New Roman" w:hAnsi="Times New Roman" w:cs="Times New Roman"/>
        </w:rPr>
        <w:t>a</w:t>
      </w:r>
      <w:r w:rsidRPr="00304DFA">
        <w:rPr>
          <w:rFonts w:ascii="Times New Roman" w:hAnsi="Times New Roman" w:cs="Times New Roman"/>
        </w:rPr>
        <w:t>by powiązania z kategorią ryzyka ustaloną indywidualnie płatnikowi składek na podstawie liczby poszkodowanych w wypadkach przy pracy, jakie miały u niego miejsce oraz liczby pracowników zatrudnionych przez niego w warunkach zagrożenia.</w:t>
      </w:r>
      <w:r w:rsidR="00582D85">
        <w:rPr>
          <w:rFonts w:ascii="Times New Roman" w:hAnsi="Times New Roman" w:cs="Times New Roman"/>
        </w:rPr>
        <w:t xml:space="preserve"> </w:t>
      </w:r>
      <w:r w:rsidRPr="00304DFA">
        <w:rPr>
          <w:rFonts w:ascii="Times New Roman" w:hAnsi="Times New Roman" w:cs="Times New Roman"/>
        </w:rPr>
        <w:t xml:space="preserve">Poza tym, w takich przypadkach mogłoby dochodzić do sytuacji – co teoretycznie nie jest wykluczone – w której spółka, która przejmie w trakcie roku składkowego kilka spółek będących płatnikami składek o ustalonej różnej wartości stopy procentowej składki, nabywałaby prawo do dowolnego posługiwania się kilkoma stopami procentowymi składki, skoro w ramach sukcesji </w:t>
      </w:r>
      <w:r w:rsidRPr="00304DFA">
        <w:rPr>
          <w:rFonts w:ascii="Times New Roman" w:hAnsi="Times New Roman" w:cs="Times New Roman"/>
        </w:rPr>
        <w:lastRenderedPageBreak/>
        <w:t xml:space="preserve">uniwersalnej nabywałaby ona prawo do posługiwania się każdą ze stóp ustalonych wcześniej dla spółek przejętych. Zwrócić należy także uwagę na to, że dopuszczenie możliwości sukcesji wysokości stopy procentowej składki obowiązującej poprzednika prawnego konsekwentnie musiałoby też oznaczać obowiązek stosowania przez płatnika składek (następcę prawnego) wyższej wysokości stopy procentowej składki, jeśli taka obowiązywałaby poprzednika prawnego. W takich sytuacjach, płatnicy z całą pewnością kwestionowaliby dopuszczalność sukcesji powołując się na brak stosownych przepisów w tym zakresie. W przypadku wykrycia takiego przypadku i zaistnienia sporu z płatnikiem składek, </w:t>
      </w:r>
      <w:r w:rsidR="001975FD">
        <w:rPr>
          <w:rFonts w:ascii="Times New Roman" w:hAnsi="Times New Roman" w:cs="Times New Roman"/>
        </w:rPr>
        <w:t>ZUS</w:t>
      </w:r>
      <w:r w:rsidRPr="00304DFA">
        <w:rPr>
          <w:rFonts w:ascii="Times New Roman" w:hAnsi="Times New Roman" w:cs="Times New Roman"/>
        </w:rPr>
        <w:t xml:space="preserve"> zobowiązany byłby wydawać decyzję ustalającą wysokość tej stopy dla płatnika, co niewątpliwie płatnicy kwestionowaliby w postępowaniach odwoławczych przed sądem.</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Analogicznie należałoby rozpatrywać przypadki, w których w obrocie prawnym powstaje nowy podmiot (nowy płatnik), np. zawiązanie spółki, na którą przechodzi cały majątek spółki dzielonej (rozwiązanej). A zatem pomimo istnienia odrębnych uregulowań prawnych przewidujących sukcesję uniwersalną praw i obowiązków w takich przypadkach, nowo powstali płatnicy powinni ustalać obowiązującą ich wysokość stopy procentowej składki na ubezpieczenie wypadkowe na zasadach ogólnych.  </w:t>
      </w:r>
    </w:p>
    <w:p w:rsidR="00B91889" w:rsidRPr="00304DFA" w:rsidRDefault="00B91889" w:rsidP="00CA57ED">
      <w:pPr>
        <w:spacing w:after="120" w:line="360" w:lineRule="auto"/>
        <w:jc w:val="both"/>
        <w:rPr>
          <w:rFonts w:ascii="Times New Roman" w:hAnsi="Times New Roman" w:cs="Times New Roman"/>
        </w:rPr>
      </w:pPr>
      <w:r w:rsidRPr="00304DFA">
        <w:rPr>
          <w:rFonts w:ascii="Times New Roman" w:hAnsi="Times New Roman" w:cs="Times New Roman"/>
        </w:rPr>
        <w:t>Obowiązek posługiwania się w danym roku składkowym określoną wysokością stopy procentowej składki na ubezpieczenie wypadkowe przez danego płatnika składek nie może być postrzegany jako zobowiązanie czy uprawnienie, które przechodziłoby na następcę prawnego.</w:t>
      </w:r>
      <w:r w:rsidR="000B1747">
        <w:rPr>
          <w:rFonts w:ascii="Times New Roman" w:hAnsi="Times New Roman" w:cs="Times New Roman"/>
          <w:b/>
        </w:rPr>
        <w:t xml:space="preserve"> </w:t>
      </w:r>
    </w:p>
    <w:p w:rsidR="00B91889" w:rsidRPr="00304DFA" w:rsidRDefault="000B1747" w:rsidP="003950B0">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rPr>
        <w:t xml:space="preserve"> </w:t>
      </w:r>
      <w:r w:rsidR="00B91889" w:rsidRPr="00304DFA">
        <w:rPr>
          <w:rFonts w:ascii="Times New Roman" w:hAnsi="Times New Roman" w:cs="Times New Roman"/>
          <w:b/>
        </w:rPr>
        <w:t xml:space="preserve">Sposób ustalenia stopy procentowej składki na ubezpieczenie wypadkowe przez płatnika w okresie „przejściowym”, tj. do czasu uzyskania z urzędu statystycznego zaświadczenia o wpisie do rejestru REGON zawierającego informację o rodzaju działalności według PKD (ustawa z dnia 30 października 2002 r. o ubezpieczeniu społecznym z tytułu wypadków przy pracy i chorób zawodowych </w:t>
      </w:r>
      <w:r w:rsidRPr="00304DFA">
        <w:rPr>
          <w:rFonts w:ascii="Times New Roman" w:hAnsi="Times New Roman" w:cs="Times New Roman"/>
          <w:b/>
        </w:rPr>
        <w:t>–</w:t>
      </w:r>
      <w:r w:rsidR="00B91889" w:rsidRPr="00304DFA">
        <w:rPr>
          <w:rFonts w:ascii="Times New Roman" w:hAnsi="Times New Roman" w:cs="Times New Roman"/>
          <w:b/>
        </w:rPr>
        <w:t xml:space="preserve"> art. 32 i 33 ust. 2).</w:t>
      </w:r>
    </w:p>
    <w:p w:rsidR="00B91889" w:rsidRPr="00304DFA" w:rsidRDefault="00B91889" w:rsidP="00B91889">
      <w:pPr>
        <w:spacing w:after="0" w:line="360" w:lineRule="auto"/>
        <w:contextualSpacing/>
        <w:jc w:val="both"/>
        <w:rPr>
          <w:rFonts w:ascii="Times New Roman" w:hAnsi="Times New Roman" w:cs="Times New Roman"/>
        </w:rPr>
      </w:pPr>
      <w:r w:rsidRPr="00304DFA">
        <w:rPr>
          <w:rFonts w:ascii="Times New Roman" w:hAnsi="Times New Roman" w:cs="Times New Roman"/>
        </w:rPr>
        <w:t>W obecnym stanie prawnym brzmienie art. 33 ust. 2 jest nieaktualne. Przewiduje obowiązek wydawania przez urzędy statystyczne zaświadczeń o wpisie do rejestru REGON w odniesieniu do każdego podmiotu wpisywanego do tego rejestru. Aktualnie zaświadczenia o wpisie do rejestru REGON nie są wydawane z urzędu, ale na żądanie podmiotu wpisanego do tego rejestru.</w:t>
      </w:r>
    </w:p>
    <w:p w:rsidR="00B91889" w:rsidRPr="00304DFA" w:rsidRDefault="00B91889" w:rsidP="00B91889">
      <w:pPr>
        <w:spacing w:after="0" w:line="360" w:lineRule="auto"/>
        <w:jc w:val="both"/>
        <w:rPr>
          <w:rFonts w:ascii="Times New Roman" w:hAnsi="Times New Roman" w:cs="Times New Roman"/>
        </w:rPr>
      </w:pPr>
      <w:r w:rsidRPr="00304DFA">
        <w:rPr>
          <w:rFonts w:ascii="Times New Roman" w:hAnsi="Times New Roman" w:cs="Times New Roman"/>
        </w:rPr>
        <w:t xml:space="preserve">W związku z tym proponowana zmiana art. 33 ust. 2 w zakresie wprowadzenia stopy procentowej składki na ubezpieczenie wypadkowe w wysokości zaliczkowej związana jest ze zmianą przepisów ustawy z dnia 29 czerwca 1995 r. o statystyce publicznej (Dz. U. z </w:t>
      </w:r>
      <w:r w:rsidR="00096D52" w:rsidRPr="00304DFA">
        <w:rPr>
          <w:rFonts w:ascii="Times New Roman" w:hAnsi="Times New Roman" w:cs="Times New Roman"/>
        </w:rPr>
        <w:t>20</w:t>
      </w:r>
      <w:r w:rsidR="00096D52">
        <w:rPr>
          <w:rFonts w:ascii="Times New Roman" w:hAnsi="Times New Roman" w:cs="Times New Roman"/>
        </w:rPr>
        <w:t>20</w:t>
      </w:r>
      <w:r w:rsidR="00096D52" w:rsidRPr="00304DFA">
        <w:rPr>
          <w:rFonts w:ascii="Times New Roman" w:hAnsi="Times New Roman" w:cs="Times New Roman"/>
        </w:rPr>
        <w:t xml:space="preserve"> </w:t>
      </w:r>
      <w:r w:rsidRPr="00304DFA">
        <w:rPr>
          <w:rFonts w:ascii="Times New Roman" w:hAnsi="Times New Roman" w:cs="Times New Roman"/>
        </w:rPr>
        <w:t xml:space="preserve">r. poz. </w:t>
      </w:r>
      <w:r w:rsidR="00096D52">
        <w:rPr>
          <w:rFonts w:ascii="Times New Roman" w:hAnsi="Times New Roman" w:cs="Times New Roman"/>
        </w:rPr>
        <w:t>443,</w:t>
      </w:r>
      <w:r w:rsidR="00096D52" w:rsidRPr="00304DFA">
        <w:rPr>
          <w:rFonts w:ascii="Times New Roman" w:hAnsi="Times New Roman" w:cs="Times New Roman"/>
        </w:rPr>
        <w:t xml:space="preserve"> </w:t>
      </w:r>
      <w:r w:rsidRPr="00304DFA">
        <w:rPr>
          <w:rFonts w:ascii="Times New Roman" w:hAnsi="Times New Roman" w:cs="Times New Roman"/>
        </w:rPr>
        <w:t>z późn. zm.).</w:t>
      </w:r>
    </w:p>
    <w:p w:rsidR="00B91889" w:rsidRPr="00304DFA" w:rsidRDefault="00B91889" w:rsidP="00B91889">
      <w:pPr>
        <w:spacing w:after="120" w:line="360" w:lineRule="auto"/>
        <w:jc w:val="both"/>
        <w:rPr>
          <w:rFonts w:ascii="Times New Roman" w:hAnsi="Times New Roman" w:cs="Times New Roman"/>
        </w:rPr>
      </w:pPr>
      <w:r w:rsidRPr="00304DFA">
        <w:rPr>
          <w:rFonts w:ascii="Times New Roman" w:hAnsi="Times New Roman" w:cs="Times New Roman"/>
        </w:rPr>
        <w:t xml:space="preserve">Jak wynika bowiem z art. 43 ust. 3 cytowanej powyżej ustawy, w brzmieniu obowiązującym od dnia 1 lipca 2011 r., urzędy statystyczne wydają zaświadczenia o nadanym numerze identyfikacyjnym REGON jedynie na żądanie podmiotu wpisanego do rejestru REGON. Natomiast udostępnienie danych na stronie Głównego Urzędu Statystycznego lub za pośrednictwem ePUAP również jest powiązane z dokonaniem wpisu tych informacji najpierw w rejestrze podmiotów. </w:t>
      </w:r>
    </w:p>
    <w:p w:rsidR="00004D1D" w:rsidRDefault="00B91889" w:rsidP="00B91889">
      <w:pPr>
        <w:pStyle w:val="Tekstkomentarza"/>
        <w:spacing w:line="360" w:lineRule="auto"/>
        <w:jc w:val="both"/>
        <w:rPr>
          <w:rFonts w:ascii="Times New Roman" w:hAnsi="Times New Roman" w:cs="Times New Roman"/>
          <w:sz w:val="22"/>
          <w:szCs w:val="22"/>
        </w:rPr>
      </w:pPr>
      <w:r w:rsidRPr="00304DFA">
        <w:rPr>
          <w:rFonts w:ascii="Times New Roman" w:hAnsi="Times New Roman" w:cs="Times New Roman"/>
          <w:sz w:val="22"/>
          <w:szCs w:val="22"/>
        </w:rPr>
        <w:lastRenderedPageBreak/>
        <w:t xml:space="preserve">Proponowana zmiana w art. 32 ustawy </w:t>
      </w:r>
      <w:r w:rsidR="00E475DC" w:rsidRPr="00E475DC">
        <w:rPr>
          <w:rFonts w:ascii="Times New Roman" w:hAnsi="Times New Roman" w:cs="Times New Roman"/>
          <w:sz w:val="22"/>
          <w:szCs w:val="22"/>
        </w:rPr>
        <w:t xml:space="preserve">z dnia 30 października 2002 r. </w:t>
      </w:r>
      <w:r w:rsidRPr="00304DFA">
        <w:rPr>
          <w:rFonts w:ascii="Times New Roman" w:hAnsi="Times New Roman" w:cs="Times New Roman"/>
          <w:sz w:val="22"/>
          <w:szCs w:val="22"/>
        </w:rPr>
        <w:t xml:space="preserve">o ubezpieczeniu społecznym z tytułu wypadków przy pracy i chorób zawodowych dodająca ust. 3, wprowadza elektroniczne formy kontaktu na linii ZUS płatnik składek. Na mocy proponowanego przepisu płatnik składek, </w:t>
      </w:r>
      <w:r w:rsidR="008E6C27">
        <w:rPr>
          <w:rFonts w:ascii="Times New Roman" w:hAnsi="Times New Roman" w:cs="Times New Roman"/>
          <w:sz w:val="22"/>
          <w:szCs w:val="22"/>
        </w:rPr>
        <w:t xml:space="preserve">począwszy od 1 kwietnia 2022 r., </w:t>
      </w:r>
      <w:r w:rsidR="00EC71F7" w:rsidRPr="001E510D">
        <w:rPr>
          <w:rFonts w:ascii="Times New Roman" w:hAnsi="Times New Roman" w:cs="Times New Roman"/>
          <w:sz w:val="22"/>
          <w:szCs w:val="22"/>
        </w:rPr>
        <w:t xml:space="preserve">zawiadomienie o wysokości stopy procentowej składki na ubezpieczenie wypadkowe </w:t>
      </w:r>
      <w:r w:rsidR="001E510D" w:rsidRPr="001E510D">
        <w:rPr>
          <w:rFonts w:ascii="Times New Roman" w:hAnsi="Times New Roman" w:cs="Times New Roman"/>
          <w:sz w:val="22"/>
          <w:szCs w:val="22"/>
        </w:rPr>
        <w:t xml:space="preserve">obowiązującej w danym roku składkowym </w:t>
      </w:r>
      <w:r w:rsidR="00EC71F7" w:rsidRPr="001E510D">
        <w:rPr>
          <w:rFonts w:ascii="Times New Roman" w:hAnsi="Times New Roman" w:cs="Times New Roman"/>
          <w:sz w:val="22"/>
          <w:szCs w:val="22"/>
        </w:rPr>
        <w:t>Zakład Ubezpieczeń Społecznych będzie doręczać wyłącznie w postaci elektronicznej na profilu informacyjnym założonym w systemie teleinformatycznym Zakładu.</w:t>
      </w:r>
      <w:r w:rsidR="00EC71F7">
        <w:t xml:space="preserve"> </w:t>
      </w:r>
      <w:r w:rsidRPr="00304DFA">
        <w:rPr>
          <w:rFonts w:ascii="Times New Roman" w:hAnsi="Times New Roman" w:cs="Times New Roman"/>
          <w:sz w:val="22"/>
          <w:szCs w:val="22"/>
        </w:rPr>
        <w:t>Przyjęcie projektowanego założenia przyczyni się do usprawnienia kontaktów z płatnikiem składek.</w:t>
      </w:r>
    </w:p>
    <w:p w:rsidR="00004D1D" w:rsidRPr="006F5127" w:rsidRDefault="00004D1D" w:rsidP="00004D1D">
      <w:pPr>
        <w:pStyle w:val="Akapitzlist"/>
        <w:numPr>
          <w:ilvl w:val="0"/>
          <w:numId w:val="17"/>
        </w:numPr>
        <w:spacing w:line="360" w:lineRule="auto"/>
        <w:ind w:left="73" w:hanging="357"/>
        <w:jc w:val="both"/>
        <w:rPr>
          <w:rFonts w:ascii="Times New Roman" w:hAnsi="Times New Roman" w:cs="Times New Roman"/>
          <w:b/>
        </w:rPr>
      </w:pPr>
      <w:r w:rsidRPr="006F5127">
        <w:rPr>
          <w:rFonts w:ascii="Times New Roman" w:hAnsi="Times New Roman" w:cs="Times New Roman"/>
          <w:b/>
          <w:color w:val="090909"/>
          <w:shd w:val="clear" w:color="auto" w:fill="FFFFFF"/>
        </w:rPr>
        <w:t xml:space="preserve">Obowiązek założenia PUE </w:t>
      </w:r>
      <w:r w:rsidR="0065731D">
        <w:rPr>
          <w:rFonts w:ascii="Times New Roman" w:hAnsi="Times New Roman" w:cs="Times New Roman"/>
          <w:b/>
          <w:color w:val="090909"/>
          <w:shd w:val="clear" w:color="auto" w:fill="FFFFFF"/>
        </w:rPr>
        <w:t xml:space="preserve">ZUS </w:t>
      </w:r>
      <w:r w:rsidRPr="006F5127">
        <w:rPr>
          <w:rFonts w:ascii="Times New Roman" w:hAnsi="Times New Roman" w:cs="Times New Roman"/>
          <w:b/>
          <w:color w:val="090909"/>
          <w:shd w:val="clear" w:color="auto" w:fill="FFFFFF"/>
        </w:rPr>
        <w:t xml:space="preserve">przez wszystkich płatników składek </w:t>
      </w:r>
      <w:r w:rsidRPr="006F5127">
        <w:rPr>
          <w:rFonts w:ascii="Times New Roman" w:hAnsi="Times New Roman" w:cs="Times New Roman"/>
          <w:b/>
        </w:rPr>
        <w:t xml:space="preserve">(ustawa o systemie ubezpieczeń społecznych – art. </w:t>
      </w:r>
      <w:r w:rsidR="00D30178">
        <w:rPr>
          <w:rFonts w:ascii="Times New Roman" w:hAnsi="Times New Roman" w:cs="Times New Roman"/>
          <w:b/>
        </w:rPr>
        <w:t>47b</w:t>
      </w:r>
      <w:r w:rsidR="00D30178" w:rsidRPr="006F5127">
        <w:rPr>
          <w:rFonts w:ascii="Times New Roman" w:hAnsi="Times New Roman" w:cs="Times New Roman"/>
          <w:b/>
        </w:rPr>
        <w:t xml:space="preserve"> </w:t>
      </w:r>
      <w:r w:rsidR="00007209" w:rsidRPr="006F5127">
        <w:rPr>
          <w:rFonts w:ascii="Times New Roman" w:hAnsi="Times New Roman" w:cs="Times New Roman"/>
          <w:b/>
        </w:rPr>
        <w:t xml:space="preserve">i </w:t>
      </w:r>
      <w:r w:rsidR="006E655A" w:rsidRPr="006F5127">
        <w:rPr>
          <w:rFonts w:ascii="Times New Roman" w:hAnsi="Times New Roman" w:cs="Times New Roman"/>
          <w:b/>
        </w:rPr>
        <w:t xml:space="preserve">art. </w:t>
      </w:r>
      <w:r w:rsidR="00D30178">
        <w:rPr>
          <w:rFonts w:ascii="Times New Roman" w:hAnsi="Times New Roman" w:cs="Times New Roman"/>
          <w:b/>
        </w:rPr>
        <w:t>47c</w:t>
      </w:r>
      <w:r w:rsidRPr="006F5127">
        <w:rPr>
          <w:rFonts w:ascii="Times New Roman" w:hAnsi="Times New Roman" w:cs="Times New Roman"/>
          <w:b/>
        </w:rPr>
        <w:t>)</w:t>
      </w:r>
    </w:p>
    <w:p w:rsidR="00004D1D" w:rsidRDefault="00004D1D" w:rsidP="00004D1D">
      <w:pPr>
        <w:spacing w:line="360" w:lineRule="auto"/>
        <w:jc w:val="both"/>
        <w:rPr>
          <w:rFonts w:ascii="Times New Roman" w:hAnsi="Times New Roman" w:cs="Times New Roman"/>
        </w:rPr>
      </w:pPr>
      <w:r w:rsidRPr="00004D1D">
        <w:rPr>
          <w:rFonts w:ascii="Times New Roman" w:hAnsi="Times New Roman" w:cs="Times New Roman"/>
        </w:rPr>
        <w:t xml:space="preserve">W ustawie o systemie ubezpieczeń społecznych przewidziano rozwiązanie zobowiązujące wszystkich płatników składek do założenia profilu informacyjnego PUE ZUS. Obecnie zwolnieni z obowiązku zakładania profilu informacyjnego ZUS są pracodawcy zatrudniający do 5 osób. Ci przedsiębiorcy są zobowiązani do poinformowania swoich pracowników o tym, że nie posiadają konta na PUE ZUS, co oznacza konieczność dostarczania pracodawcy przez pracowników wydruków e-zwolnień lekarskich. Obecna propozycja oznacza, że również mali płatnicy składek będą zobligowani do założenia PUE ZUS (płatnicy zatrudniający powyżej 5 pracowników mieli obowiązek założenia PUE </w:t>
      </w:r>
      <w:r w:rsidR="0065731D">
        <w:rPr>
          <w:rFonts w:ascii="Times New Roman" w:hAnsi="Times New Roman" w:cs="Times New Roman"/>
        </w:rPr>
        <w:t xml:space="preserve">ZUS </w:t>
      </w:r>
      <w:r w:rsidRPr="00004D1D">
        <w:rPr>
          <w:rFonts w:ascii="Times New Roman" w:hAnsi="Times New Roman" w:cs="Times New Roman"/>
        </w:rPr>
        <w:t xml:space="preserve">do 31 grudnia 2015 r.). Proponuje się by przepisy w tym zakresie obowiązywały od 1 </w:t>
      </w:r>
      <w:r w:rsidR="00DB7618">
        <w:rPr>
          <w:rFonts w:ascii="Times New Roman" w:hAnsi="Times New Roman" w:cs="Times New Roman"/>
        </w:rPr>
        <w:t>stycznia</w:t>
      </w:r>
      <w:r w:rsidR="00DB7618" w:rsidRPr="00004D1D">
        <w:rPr>
          <w:rFonts w:ascii="Times New Roman" w:hAnsi="Times New Roman" w:cs="Times New Roman"/>
        </w:rPr>
        <w:t xml:space="preserve"> </w:t>
      </w:r>
      <w:r w:rsidRPr="00004D1D">
        <w:rPr>
          <w:rFonts w:ascii="Times New Roman" w:hAnsi="Times New Roman" w:cs="Times New Roman"/>
        </w:rPr>
        <w:t>202</w:t>
      </w:r>
      <w:r w:rsidR="00DB7618">
        <w:rPr>
          <w:rFonts w:ascii="Times New Roman" w:hAnsi="Times New Roman" w:cs="Times New Roman"/>
        </w:rPr>
        <w:t>3</w:t>
      </w:r>
      <w:r w:rsidRPr="00004D1D">
        <w:rPr>
          <w:rFonts w:ascii="Times New Roman" w:hAnsi="Times New Roman" w:cs="Times New Roman"/>
        </w:rPr>
        <w:t xml:space="preserve"> r. W przypadku, gdy płatnik składek nie założy PUE ZUS (do 3</w:t>
      </w:r>
      <w:r w:rsidR="003D044F">
        <w:rPr>
          <w:rFonts w:ascii="Times New Roman" w:hAnsi="Times New Roman" w:cs="Times New Roman"/>
        </w:rPr>
        <w:t>0</w:t>
      </w:r>
      <w:r w:rsidRPr="00004D1D">
        <w:rPr>
          <w:rFonts w:ascii="Times New Roman" w:hAnsi="Times New Roman" w:cs="Times New Roman"/>
        </w:rPr>
        <w:t xml:space="preserve"> grudnia 202</w:t>
      </w:r>
      <w:r w:rsidR="00DB7618">
        <w:rPr>
          <w:rFonts w:ascii="Times New Roman" w:hAnsi="Times New Roman" w:cs="Times New Roman"/>
        </w:rPr>
        <w:t>2</w:t>
      </w:r>
      <w:r w:rsidRPr="00004D1D">
        <w:rPr>
          <w:rFonts w:ascii="Times New Roman" w:hAnsi="Times New Roman" w:cs="Times New Roman"/>
        </w:rPr>
        <w:t xml:space="preserve"> r.), wówczas Zakład Ubezpieczeń Społecznych założy profil informacyjny, w terminie do 31 stycznia </w:t>
      </w:r>
      <w:r w:rsidR="00DB7618" w:rsidRPr="00004D1D">
        <w:rPr>
          <w:rFonts w:ascii="Times New Roman" w:hAnsi="Times New Roman" w:cs="Times New Roman"/>
        </w:rPr>
        <w:t>202</w:t>
      </w:r>
      <w:r w:rsidR="00DB7618">
        <w:rPr>
          <w:rFonts w:ascii="Times New Roman" w:hAnsi="Times New Roman" w:cs="Times New Roman"/>
        </w:rPr>
        <w:t>3</w:t>
      </w:r>
      <w:r w:rsidR="00DB7618" w:rsidRPr="00004D1D">
        <w:rPr>
          <w:rFonts w:ascii="Times New Roman" w:hAnsi="Times New Roman" w:cs="Times New Roman"/>
        </w:rPr>
        <w:t xml:space="preserve"> </w:t>
      </w:r>
      <w:r w:rsidRPr="00004D1D">
        <w:rPr>
          <w:rFonts w:ascii="Times New Roman" w:hAnsi="Times New Roman" w:cs="Times New Roman"/>
        </w:rPr>
        <w:t>r. płatnikom składek, na kontach których na dzień 31 grudnia 202</w:t>
      </w:r>
      <w:r w:rsidR="00DB7618">
        <w:rPr>
          <w:rFonts w:ascii="Times New Roman" w:hAnsi="Times New Roman" w:cs="Times New Roman"/>
        </w:rPr>
        <w:t>2</w:t>
      </w:r>
      <w:r w:rsidRPr="00004D1D">
        <w:rPr>
          <w:rFonts w:ascii="Times New Roman" w:hAnsi="Times New Roman" w:cs="Times New Roman"/>
        </w:rPr>
        <w:t xml:space="preserve"> r. prowadzone są rozliczenia z tytułu składek.</w:t>
      </w:r>
    </w:p>
    <w:p w:rsidR="006E655A" w:rsidRDefault="003B56F8" w:rsidP="006E655A">
      <w:pPr>
        <w:pStyle w:val="ZUSTzmustartykuempunktem"/>
        <w:ind w:left="0" w:firstLine="0"/>
        <w:rPr>
          <w:rFonts w:ascii="Times New Roman" w:hAnsi="Times New Roman" w:cs="Times New Roman"/>
          <w:sz w:val="22"/>
          <w:szCs w:val="22"/>
        </w:rPr>
      </w:pPr>
      <w:r w:rsidRPr="00BA232F">
        <w:rPr>
          <w:rFonts w:ascii="Times New Roman" w:hAnsi="Times New Roman" w:cs="Times New Roman"/>
          <w:sz w:val="22"/>
          <w:szCs w:val="22"/>
        </w:rPr>
        <w:t>Proponowane zmiany maj</w:t>
      </w:r>
      <w:r>
        <w:rPr>
          <w:rFonts w:ascii="Times New Roman" w:hAnsi="Times New Roman" w:cs="Times New Roman"/>
          <w:sz w:val="22"/>
          <w:szCs w:val="22"/>
        </w:rPr>
        <w:t>ą</w:t>
      </w:r>
      <w:r w:rsidRPr="00BA232F">
        <w:rPr>
          <w:rFonts w:ascii="Times New Roman" w:hAnsi="Times New Roman" w:cs="Times New Roman"/>
          <w:sz w:val="22"/>
          <w:szCs w:val="22"/>
        </w:rPr>
        <w:t xml:space="preserve"> na celu stworzenie rozwiązań umożliwiających szerokie wykorzystanie Portalu Usług Elektronicznych ZUS jako wygodnego, taniego, szybkiego i niezawodnego narzędzia komunikacji dwustronnej z klientami Zakładu</w:t>
      </w:r>
      <w:r w:rsidR="006E655A">
        <w:rPr>
          <w:rFonts w:ascii="Times New Roman" w:hAnsi="Times New Roman" w:cs="Times New Roman"/>
          <w:sz w:val="22"/>
          <w:szCs w:val="22"/>
        </w:rPr>
        <w:t>.</w:t>
      </w:r>
    </w:p>
    <w:p w:rsidR="001F2669" w:rsidRPr="009C0296" w:rsidRDefault="001F2669" w:rsidP="001F2669">
      <w:pPr>
        <w:spacing w:after="0" w:line="360" w:lineRule="auto"/>
        <w:jc w:val="both"/>
        <w:rPr>
          <w:rFonts w:ascii="Times New Roman" w:hAnsi="Times New Roman" w:cs="Times New Roman"/>
        </w:rPr>
      </w:pPr>
      <w:r w:rsidRPr="009C0296">
        <w:rPr>
          <w:rFonts w:ascii="Times New Roman" w:hAnsi="Times New Roman" w:cs="Times New Roman"/>
        </w:rPr>
        <w:t xml:space="preserve">Dowody otrzymania będą wystawiane przez PUE </w:t>
      </w:r>
      <w:r w:rsidR="0065731D" w:rsidRPr="009C0296">
        <w:rPr>
          <w:rFonts w:ascii="Times New Roman" w:hAnsi="Times New Roman" w:cs="Times New Roman"/>
        </w:rPr>
        <w:t xml:space="preserve">ZUS </w:t>
      </w:r>
      <w:r w:rsidRPr="009C0296">
        <w:rPr>
          <w:rFonts w:ascii="Times New Roman" w:hAnsi="Times New Roman" w:cs="Times New Roman"/>
        </w:rPr>
        <w:t>zgodnie z art. 41 ustawy o doręczeniach elektronicznych, tj. po:</w:t>
      </w:r>
    </w:p>
    <w:p w:rsidR="001F2669" w:rsidRPr="009C0296" w:rsidRDefault="001F2669" w:rsidP="001F2669">
      <w:pPr>
        <w:spacing w:after="0" w:line="360" w:lineRule="auto"/>
        <w:jc w:val="both"/>
        <w:rPr>
          <w:rFonts w:ascii="Times New Roman" w:hAnsi="Times New Roman" w:cs="Times New Roman"/>
        </w:rPr>
      </w:pPr>
      <w:r w:rsidRPr="009C0296">
        <w:rPr>
          <w:rFonts w:ascii="Times New Roman" w:hAnsi="Times New Roman" w:cs="Times New Roman"/>
        </w:rPr>
        <w:t>1)  odebraniu korespondencji;</w:t>
      </w:r>
    </w:p>
    <w:p w:rsidR="001F2669" w:rsidRPr="009C0296" w:rsidRDefault="001F2669" w:rsidP="001F2669">
      <w:pPr>
        <w:spacing w:after="0" w:line="360" w:lineRule="auto"/>
        <w:jc w:val="both"/>
        <w:rPr>
          <w:rFonts w:ascii="Times New Roman" w:hAnsi="Times New Roman" w:cs="Times New Roman"/>
        </w:rPr>
      </w:pPr>
      <w:r w:rsidRPr="009C0296">
        <w:rPr>
          <w:rFonts w:ascii="Times New Roman" w:hAnsi="Times New Roman" w:cs="Times New Roman"/>
        </w:rPr>
        <w:t>2)  upływie 14 dni od dnia wpłynięcia korespondencji, jeżeli adresat nie odebrał go przed upływem tego terminu.</w:t>
      </w:r>
    </w:p>
    <w:p w:rsidR="001F2669" w:rsidRPr="009C0296" w:rsidRDefault="001F2669" w:rsidP="001F2669">
      <w:pPr>
        <w:spacing w:after="0" w:line="360" w:lineRule="auto"/>
        <w:jc w:val="both"/>
        <w:rPr>
          <w:rFonts w:ascii="Times New Roman" w:hAnsi="Times New Roman" w:cs="Times New Roman"/>
        </w:rPr>
      </w:pPr>
      <w:r w:rsidRPr="009C0296">
        <w:rPr>
          <w:rFonts w:ascii="Times New Roman" w:hAnsi="Times New Roman" w:cs="Times New Roman"/>
        </w:rPr>
        <w:t xml:space="preserve">Jeżeli korespondencja jest wysyłana na adres do doręczeń elektronicznych wówczas dowody otrzymania będą wystawiane przez usługę rejestrowanego doręczenia elektronicznego. Na PUE </w:t>
      </w:r>
      <w:r w:rsidR="0065731D" w:rsidRPr="009C0296">
        <w:rPr>
          <w:rFonts w:ascii="Times New Roman" w:hAnsi="Times New Roman" w:cs="Times New Roman"/>
        </w:rPr>
        <w:t xml:space="preserve">ZUS </w:t>
      </w:r>
      <w:r w:rsidRPr="009C0296">
        <w:rPr>
          <w:rFonts w:ascii="Times New Roman" w:hAnsi="Times New Roman" w:cs="Times New Roman"/>
        </w:rPr>
        <w:t xml:space="preserve">korespondencja zostanie przekazana dopiero po otrzymaniu dowodu otrzymania z usługi rejestrowanego doręczenia elektronicznego. PUE </w:t>
      </w:r>
      <w:r w:rsidR="0065731D" w:rsidRPr="009C0296">
        <w:rPr>
          <w:rFonts w:ascii="Times New Roman" w:hAnsi="Times New Roman" w:cs="Times New Roman"/>
        </w:rPr>
        <w:t xml:space="preserve">ZUS </w:t>
      </w:r>
      <w:r w:rsidRPr="009C0296">
        <w:rPr>
          <w:rFonts w:ascii="Times New Roman" w:hAnsi="Times New Roman" w:cs="Times New Roman"/>
        </w:rPr>
        <w:t xml:space="preserve">nie wystawia dowodu otrzymania jeśli korespondencja jest doręczana na adres do doręczeń elektronicznych. </w:t>
      </w:r>
    </w:p>
    <w:p w:rsidR="00E55100" w:rsidRPr="00304DFA" w:rsidRDefault="00E55100" w:rsidP="003950B0">
      <w:pPr>
        <w:pStyle w:val="Akapitzlist"/>
        <w:numPr>
          <w:ilvl w:val="0"/>
          <w:numId w:val="17"/>
        </w:numPr>
        <w:spacing w:after="120" w:line="360" w:lineRule="auto"/>
        <w:ind w:left="0" w:hanging="284"/>
        <w:jc w:val="both"/>
        <w:rPr>
          <w:rFonts w:ascii="Times New Roman" w:hAnsi="Times New Roman" w:cs="Times New Roman"/>
          <w:b/>
        </w:rPr>
      </w:pPr>
      <w:r w:rsidRPr="00304DFA">
        <w:rPr>
          <w:rFonts w:ascii="Times New Roman" w:eastAsia="Calibri" w:hAnsi="Times New Roman" w:cs="Times New Roman"/>
          <w:b/>
        </w:rPr>
        <w:lastRenderedPageBreak/>
        <w:t>Elektronizacja składania wniosków o wydanie zaświadczenia A1 (ustawa z dnia 13 października 1998 r. o systemie ubezpieczeń społecznych – art. 83</w:t>
      </w:r>
      <w:r w:rsidR="001975FD">
        <w:rPr>
          <w:rFonts w:ascii="Times New Roman" w:eastAsia="Calibri" w:hAnsi="Times New Roman" w:cs="Times New Roman"/>
          <w:b/>
        </w:rPr>
        <w:t>e</w:t>
      </w:r>
      <w:r w:rsidRPr="00304DFA">
        <w:rPr>
          <w:rFonts w:ascii="Times New Roman" w:eastAsia="Calibri" w:hAnsi="Times New Roman" w:cs="Times New Roman"/>
          <w:b/>
        </w:rPr>
        <w:t>).</w:t>
      </w:r>
    </w:p>
    <w:p w:rsidR="00E55100" w:rsidRPr="00304DFA" w:rsidRDefault="001975FD" w:rsidP="00E55100">
      <w:pPr>
        <w:pStyle w:val="Tekstpodstawowy"/>
        <w:spacing w:line="360" w:lineRule="auto"/>
        <w:jc w:val="both"/>
        <w:rPr>
          <w:rFonts w:eastAsia="Calibri"/>
          <w:sz w:val="22"/>
          <w:szCs w:val="22"/>
        </w:rPr>
      </w:pPr>
      <w:r>
        <w:rPr>
          <w:rFonts w:eastAsia="Calibri"/>
          <w:sz w:val="22"/>
          <w:szCs w:val="22"/>
        </w:rPr>
        <w:t>ZUS</w:t>
      </w:r>
      <w:r w:rsidR="00E55100" w:rsidRPr="00304DFA">
        <w:rPr>
          <w:rFonts w:eastAsia="Calibri"/>
          <w:sz w:val="22"/>
          <w:szCs w:val="22"/>
        </w:rPr>
        <w:t xml:space="preserve">, jako instytucja zaufania publicznego zobowiązany jest do świadczenia usług na rzecz klientów oraz do ich ciągłego rozwoju i doskonalenia. Dalszym kierunkiem rozwoju usług wpisujących się w e-Państwo jest budowa usług elektronicznych, które umożliwiają załatwienie spraw urzędowych z dowolnego miejsca i w dowolnym czasie, bez konieczności osobistej wizyty w urzędzie. Nowe usługi powinny być projektowane tak, aby dzięki optymalizacji można było obniżyć całkowity koszt obsługi klientów, który ponosi ZUS, jak również klient </w:t>
      </w:r>
      <w:r>
        <w:rPr>
          <w:rFonts w:eastAsia="Calibri"/>
          <w:sz w:val="22"/>
          <w:szCs w:val="22"/>
        </w:rPr>
        <w:t>ZUS</w:t>
      </w:r>
      <w:r w:rsidR="00E55100" w:rsidRPr="00304DFA">
        <w:rPr>
          <w:rFonts w:eastAsia="Calibri"/>
          <w:sz w:val="22"/>
          <w:szCs w:val="22"/>
        </w:rPr>
        <w:t>. Jednym z istotnych elementów ochrony ubezpieczeniowej osób migrujących są regulacje dotyczące ustalania właściwego ustawodawstwa w świetle przepisów o koordynacji systemów zabezpieczenia społecznego. Dokumentem potwierdzającym zastosowanie właściwego ustawodawstwa w stosunku do takich osób jest formularz A1 potwierdzony przez właściwą instytucję danego państwa. Dlatego też proponowana zmiana zakłada elektronizację składania wniosków o wydanie zaświadczenia A1 jak i wydawanie zaświadczenia w tej formie</w:t>
      </w:r>
      <w:r w:rsidR="00691F94">
        <w:rPr>
          <w:rFonts w:eastAsia="Calibri"/>
          <w:sz w:val="22"/>
          <w:szCs w:val="22"/>
        </w:rPr>
        <w:t>.</w:t>
      </w:r>
      <w:r w:rsidR="00E55100" w:rsidRPr="00304DFA">
        <w:rPr>
          <w:rFonts w:eastAsia="Calibri"/>
          <w:sz w:val="22"/>
          <w:szCs w:val="22"/>
        </w:rPr>
        <w:t xml:space="preserve"> Zgodnie z proponowanymi zmianami wprowadzona zostanie zasada, że wnioski, jak </w:t>
      </w:r>
      <w:r w:rsidR="00E55100" w:rsidRPr="00304DFA">
        <w:rPr>
          <w:rFonts w:eastAsia="Calibri"/>
          <w:sz w:val="22"/>
          <w:szCs w:val="22"/>
        </w:rPr>
        <w:br/>
        <w:t>i zaświadczenia wydawane są w formie elektronicznej</w:t>
      </w:r>
      <w:r w:rsidR="007F097E">
        <w:rPr>
          <w:rFonts w:eastAsia="Calibri"/>
          <w:sz w:val="22"/>
          <w:szCs w:val="22"/>
        </w:rPr>
        <w:t>.</w:t>
      </w:r>
      <w:r w:rsidR="001E510D">
        <w:rPr>
          <w:rFonts w:eastAsia="Calibri"/>
          <w:sz w:val="22"/>
          <w:szCs w:val="22"/>
        </w:rPr>
        <w:t xml:space="preserve"> </w:t>
      </w:r>
      <w:r w:rsidR="00E55100" w:rsidRPr="00304DFA">
        <w:rPr>
          <w:rFonts w:eastAsia="Calibri"/>
          <w:sz w:val="22"/>
          <w:szCs w:val="22"/>
        </w:rPr>
        <w:t xml:space="preserve">Jednakże dokonując elektronizacji należy mieć na względzie, że nie każdy ubezpieczony może mieć dostęp do </w:t>
      </w:r>
      <w:r w:rsidR="000B1747">
        <w:rPr>
          <w:rFonts w:eastAsia="Calibri"/>
          <w:sz w:val="22"/>
          <w:szCs w:val="22"/>
        </w:rPr>
        <w:t>I</w:t>
      </w:r>
      <w:r w:rsidR="00E55100" w:rsidRPr="00304DFA">
        <w:rPr>
          <w:rFonts w:eastAsia="Calibri"/>
          <w:sz w:val="22"/>
          <w:szCs w:val="22"/>
        </w:rPr>
        <w:t xml:space="preserve">nternetu i umiejętność korzystania z tego narzędzia. Biorąc pod uwagę powyższe wprowadzono możliwość w szczególnie uzasadnionych przypadkach złożenia wniosku w postaci papierowej. Odpowiedź również będzie udzielana w postaci papierowej. </w:t>
      </w:r>
      <w:r w:rsidR="004D7B96">
        <w:rPr>
          <w:rFonts w:eastAsia="Calibri"/>
          <w:sz w:val="22"/>
          <w:szCs w:val="22"/>
        </w:rPr>
        <w:t xml:space="preserve">Proponuje się by powyższa zmiana weszła w życie z dniem 1 kwietnia 2022 r. </w:t>
      </w:r>
    </w:p>
    <w:p w:rsidR="00E55100" w:rsidRDefault="00E55100" w:rsidP="00E55100">
      <w:pPr>
        <w:pStyle w:val="Tekstpodstawowy"/>
        <w:spacing w:after="120" w:line="360" w:lineRule="auto"/>
        <w:jc w:val="both"/>
        <w:rPr>
          <w:rFonts w:eastAsia="Calibri"/>
          <w:sz w:val="22"/>
          <w:szCs w:val="22"/>
        </w:rPr>
      </w:pPr>
      <w:r w:rsidRPr="00304DFA">
        <w:rPr>
          <w:rFonts w:eastAsia="Calibri"/>
          <w:sz w:val="22"/>
          <w:szCs w:val="22"/>
        </w:rPr>
        <w:t xml:space="preserve">Patrząc na ostatnie lata, liczba wydawanych zaświadczeń A 1 systematycznie rośnie. Na przestrzeni lat 2009-2018 liczba wydawanych zaświadczeń wzrosła blisko trzykrotnie.  W 2009 </w:t>
      </w:r>
      <w:r w:rsidR="001975FD">
        <w:rPr>
          <w:rFonts w:eastAsia="Calibri"/>
          <w:sz w:val="22"/>
          <w:szCs w:val="22"/>
        </w:rPr>
        <w:t>ZUS</w:t>
      </w:r>
      <w:r w:rsidRPr="00304DFA">
        <w:rPr>
          <w:rFonts w:eastAsia="Calibri"/>
          <w:sz w:val="22"/>
          <w:szCs w:val="22"/>
        </w:rPr>
        <w:t xml:space="preserve"> wydał 208 tys., a w roku 2018 ponad 605 tys.</w:t>
      </w:r>
      <w:r w:rsidR="00582D85">
        <w:rPr>
          <w:rFonts w:eastAsia="Calibri"/>
          <w:sz w:val="22"/>
          <w:szCs w:val="22"/>
        </w:rPr>
        <w:t>, w</w:t>
      </w:r>
      <w:r w:rsidRPr="00304DFA">
        <w:rPr>
          <w:rFonts w:eastAsia="Calibri"/>
          <w:sz w:val="22"/>
          <w:szCs w:val="22"/>
        </w:rPr>
        <w:t xml:space="preserve"> I półrocze 2019 r. 342 tys.</w:t>
      </w:r>
      <w:r w:rsidR="00582D85">
        <w:rPr>
          <w:rFonts w:eastAsia="Calibri"/>
          <w:sz w:val="22"/>
          <w:szCs w:val="22"/>
        </w:rPr>
        <w:t xml:space="preserve"> zaświadczeń.</w:t>
      </w:r>
    </w:p>
    <w:p w:rsidR="00B91889" w:rsidRPr="00304DFA" w:rsidRDefault="000B1747" w:rsidP="003950B0">
      <w:pPr>
        <w:pStyle w:val="Akapitzlist"/>
        <w:numPr>
          <w:ilvl w:val="0"/>
          <w:numId w:val="17"/>
        </w:numPr>
        <w:spacing w:after="120" w:line="360" w:lineRule="auto"/>
        <w:ind w:left="0" w:hanging="284"/>
        <w:jc w:val="both"/>
        <w:rPr>
          <w:rFonts w:ascii="Times New Roman" w:hAnsi="Times New Roman" w:cs="Times New Roman"/>
          <w:b/>
        </w:rPr>
      </w:pPr>
      <w:r>
        <w:rPr>
          <w:rFonts w:ascii="Times New Roman" w:hAnsi="Times New Roman" w:cs="Times New Roman"/>
          <w:b/>
          <w:color w:val="000000"/>
        </w:rPr>
        <w:t xml:space="preserve"> </w:t>
      </w:r>
      <w:bookmarkStart w:id="7" w:name="_Hlk61379275"/>
      <w:r w:rsidR="00B91889" w:rsidRPr="00304DFA">
        <w:rPr>
          <w:rFonts w:ascii="Times New Roman" w:hAnsi="Times New Roman" w:cs="Times New Roman"/>
          <w:b/>
          <w:color w:val="000000"/>
        </w:rPr>
        <w:t xml:space="preserve">Wyeliminowanie obiegu papierowej dokumentacji w zakresie realizacji obowiązków dotyczących ubezpieczeń społecznych cudzoziemców </w:t>
      </w:r>
      <w:bookmarkEnd w:id="7"/>
      <w:r w:rsidR="00B91889" w:rsidRPr="00304DFA">
        <w:rPr>
          <w:rFonts w:ascii="Times New Roman" w:hAnsi="Times New Roman" w:cs="Times New Roman"/>
          <w:b/>
          <w:color w:val="000000"/>
        </w:rPr>
        <w:t xml:space="preserve">(dodanie pkt 10 w art. 90c w ust. 11 w ustawie z dnia 20 kwietnia 2004 r. o promocji zatrudnienia i instytucjach rynku pracy </w:t>
      </w:r>
      <w:r w:rsidR="00E475DC">
        <w:rPr>
          <w:rFonts w:ascii="Times New Roman" w:hAnsi="Times New Roman" w:cs="Times New Roman"/>
          <w:b/>
          <w:color w:val="000000"/>
        </w:rPr>
        <w:t>(</w:t>
      </w:r>
      <w:r w:rsidR="00B91889" w:rsidRPr="00304DFA">
        <w:rPr>
          <w:rFonts w:ascii="Times New Roman" w:hAnsi="Times New Roman" w:cs="Times New Roman"/>
          <w:b/>
          <w:color w:val="000000"/>
        </w:rPr>
        <w:t>Dz.</w:t>
      </w:r>
      <w:r>
        <w:rPr>
          <w:rFonts w:ascii="Times New Roman" w:hAnsi="Times New Roman" w:cs="Times New Roman"/>
          <w:b/>
          <w:color w:val="000000"/>
        </w:rPr>
        <w:t xml:space="preserve"> </w:t>
      </w:r>
      <w:r w:rsidR="00B91889" w:rsidRPr="00304DFA">
        <w:rPr>
          <w:rFonts w:ascii="Times New Roman" w:hAnsi="Times New Roman" w:cs="Times New Roman"/>
          <w:b/>
          <w:color w:val="000000"/>
        </w:rPr>
        <w:t xml:space="preserve">U. </w:t>
      </w:r>
      <w:r w:rsidR="00E475DC">
        <w:rPr>
          <w:rFonts w:ascii="Times New Roman" w:hAnsi="Times New Roman" w:cs="Times New Roman"/>
          <w:b/>
          <w:color w:val="000000"/>
        </w:rPr>
        <w:t xml:space="preserve">z </w:t>
      </w:r>
      <w:r w:rsidR="00B91889" w:rsidRPr="00304DFA">
        <w:rPr>
          <w:rFonts w:ascii="Times New Roman" w:hAnsi="Times New Roman" w:cs="Times New Roman"/>
          <w:b/>
          <w:color w:val="000000"/>
        </w:rPr>
        <w:t>20</w:t>
      </w:r>
      <w:r>
        <w:rPr>
          <w:rFonts w:ascii="Times New Roman" w:hAnsi="Times New Roman" w:cs="Times New Roman"/>
          <w:b/>
          <w:color w:val="000000"/>
        </w:rPr>
        <w:t>20</w:t>
      </w:r>
      <w:r w:rsidR="00B91889" w:rsidRPr="00304DFA">
        <w:rPr>
          <w:rFonts w:ascii="Times New Roman" w:hAnsi="Times New Roman" w:cs="Times New Roman"/>
          <w:b/>
          <w:color w:val="000000"/>
        </w:rPr>
        <w:t xml:space="preserve"> r. poz. 14</w:t>
      </w:r>
      <w:r>
        <w:rPr>
          <w:rFonts w:ascii="Times New Roman" w:hAnsi="Times New Roman" w:cs="Times New Roman"/>
          <w:b/>
          <w:color w:val="000000"/>
        </w:rPr>
        <w:t>09, z późn. zm.</w:t>
      </w:r>
      <w:r w:rsidR="00E475DC">
        <w:rPr>
          <w:rFonts w:ascii="Times New Roman" w:hAnsi="Times New Roman" w:cs="Times New Roman"/>
          <w:b/>
          <w:color w:val="000000"/>
        </w:rPr>
        <w:t>)</w:t>
      </w:r>
      <w:r w:rsidR="00B91889" w:rsidRPr="00304DFA">
        <w:rPr>
          <w:rFonts w:ascii="Times New Roman" w:hAnsi="Times New Roman" w:cs="Times New Roman"/>
          <w:b/>
          <w:color w:val="000000"/>
        </w:rPr>
        <w:t xml:space="preserve">). </w:t>
      </w:r>
    </w:p>
    <w:p w:rsidR="00CA57ED" w:rsidRDefault="00B91889" w:rsidP="005E49A1">
      <w:pPr>
        <w:pStyle w:val="Akapitzlist"/>
        <w:spacing w:after="240" w:line="360" w:lineRule="auto"/>
        <w:ind w:left="0"/>
        <w:jc w:val="both"/>
        <w:rPr>
          <w:rFonts w:ascii="Times New Roman" w:hAnsi="Times New Roman" w:cs="Times New Roman"/>
        </w:rPr>
      </w:pPr>
      <w:bookmarkStart w:id="8" w:name="_Hlk61379310"/>
      <w:r w:rsidRPr="00304DFA">
        <w:rPr>
          <w:rFonts w:ascii="Times New Roman" w:hAnsi="Times New Roman" w:cs="Times New Roman"/>
          <w:color w:val="000000"/>
        </w:rPr>
        <w:t xml:space="preserve">Zaproponowana zmiana pozwoli uzyskać przez </w:t>
      </w:r>
      <w:r w:rsidR="001975FD">
        <w:rPr>
          <w:rFonts w:ascii="Times New Roman" w:hAnsi="Times New Roman" w:cs="Times New Roman"/>
          <w:color w:val="000000"/>
        </w:rPr>
        <w:t>ZUS</w:t>
      </w:r>
      <w:r w:rsidRPr="00304DFA">
        <w:rPr>
          <w:rFonts w:ascii="Times New Roman" w:hAnsi="Times New Roman" w:cs="Times New Roman"/>
          <w:color w:val="000000"/>
        </w:rPr>
        <w:t xml:space="preserve"> </w:t>
      </w:r>
      <w:r w:rsidR="00334984" w:rsidRPr="00304DFA">
        <w:rPr>
          <w:rFonts w:ascii="Times New Roman" w:hAnsi="Times New Roman" w:cs="Times New Roman"/>
          <w:color w:val="000000"/>
        </w:rPr>
        <w:t>elektroniczn</w:t>
      </w:r>
      <w:r w:rsidR="00334984">
        <w:rPr>
          <w:rFonts w:ascii="Times New Roman" w:hAnsi="Times New Roman" w:cs="Times New Roman"/>
          <w:color w:val="000000"/>
        </w:rPr>
        <w:t>y</w:t>
      </w:r>
      <w:r w:rsidR="00334984" w:rsidRPr="00304DFA">
        <w:rPr>
          <w:rFonts w:ascii="Times New Roman" w:hAnsi="Times New Roman" w:cs="Times New Roman"/>
          <w:color w:val="000000"/>
        </w:rPr>
        <w:t xml:space="preserve"> </w:t>
      </w:r>
      <w:r w:rsidRPr="00304DFA">
        <w:rPr>
          <w:rFonts w:ascii="Times New Roman" w:hAnsi="Times New Roman" w:cs="Times New Roman"/>
          <w:color w:val="000000"/>
        </w:rPr>
        <w:t xml:space="preserve">dostęp do centralnego rejestru prowadzonego przez ministra właściwego do spraw pracy w zakresie, o którym mowa w art. 90c ust. 4 wymienionej ustawy, tj. w zakresie zezwoleń na pracę, zezwoleń na pracę sezonową oraz oświadczeń o powierzeniu wykonywania pracy cudzoziemcowi wraz z mechanizmem subskrypcji zmian. </w:t>
      </w:r>
      <w:bookmarkEnd w:id="8"/>
      <w:r w:rsidRPr="00304DFA">
        <w:rPr>
          <w:rFonts w:ascii="Times New Roman" w:hAnsi="Times New Roman" w:cs="Times New Roman"/>
          <w:color w:val="000000"/>
        </w:rPr>
        <w:t>Rozwiązanie to w szczególności wyeliminuje obieg papierowej dokumentacji jak też umożliwi  prowadzenie analizy ryzyka wystąpienia nieprawidłowości w zakresie realizacji obowiązków dotyczących ubezpieczeń społecznych cudzoziemców.</w:t>
      </w:r>
      <w:r w:rsidR="00372DEE">
        <w:rPr>
          <w:rFonts w:ascii="Times New Roman" w:hAnsi="Times New Roman" w:cs="Times New Roman"/>
          <w:color w:val="000000"/>
        </w:rPr>
        <w:t xml:space="preserve"> Dodatkowo </w:t>
      </w:r>
      <w:r w:rsidR="00372DEE" w:rsidRPr="00627016">
        <w:rPr>
          <w:rFonts w:ascii="Times New Roman" w:hAnsi="Times New Roman" w:cs="Times New Roman"/>
        </w:rPr>
        <w:t xml:space="preserve">uzyskanie przez ZUS nie tylko nowego trybu udostępniania danych, ale również samodzielnej przesłanki dostępu do ww. danych i rejestrów umożliwi weryfikację i prawidłowość podlegania tych osób </w:t>
      </w:r>
      <w:r w:rsidR="00627016">
        <w:rPr>
          <w:rFonts w:ascii="Times New Roman" w:hAnsi="Times New Roman" w:cs="Times New Roman"/>
        </w:rPr>
        <w:t>ubezpieczeniom.</w:t>
      </w:r>
    </w:p>
    <w:p w:rsidR="00CA57ED" w:rsidRPr="00CA57ED" w:rsidRDefault="00CA57ED" w:rsidP="005E49A1">
      <w:pPr>
        <w:pStyle w:val="Akapitzlist"/>
        <w:numPr>
          <w:ilvl w:val="0"/>
          <w:numId w:val="17"/>
        </w:numPr>
        <w:spacing w:after="0" w:line="360" w:lineRule="auto"/>
        <w:ind w:left="73" w:hanging="357"/>
        <w:jc w:val="both"/>
        <w:rPr>
          <w:rFonts w:ascii="Times New Roman" w:hAnsi="Times New Roman" w:cs="Times New Roman"/>
          <w:b/>
        </w:rPr>
      </w:pPr>
      <w:r>
        <w:rPr>
          <w:rFonts w:ascii="Times New Roman" w:hAnsi="Times New Roman" w:cs="Times New Roman"/>
          <w:b/>
        </w:rPr>
        <w:lastRenderedPageBreak/>
        <w:t>Uproszczenie procedur przy przyznawaniu rodzicielskiego świadczenia uzupełniającego (ustawa z dnia 31 stycznia 2019 r. o rodzicielskim świadczeniu uzupełniającym</w:t>
      </w:r>
      <w:r w:rsidR="008D28B5" w:rsidRPr="008D28B5">
        <w:t xml:space="preserve"> </w:t>
      </w:r>
      <w:r w:rsidR="008D28B5" w:rsidRPr="008D28B5">
        <w:rPr>
          <w:rFonts w:ascii="Times New Roman" w:hAnsi="Times New Roman" w:cs="Times New Roman"/>
          <w:b/>
        </w:rPr>
        <w:t>(Dz. U. z 2021 r. poz. 419)</w:t>
      </w:r>
      <w:r>
        <w:rPr>
          <w:rFonts w:ascii="Times New Roman" w:hAnsi="Times New Roman" w:cs="Times New Roman"/>
          <w:b/>
        </w:rPr>
        <w:t xml:space="preserve"> -</w:t>
      </w:r>
      <w:r w:rsidR="008D28B5">
        <w:rPr>
          <w:rFonts w:ascii="Times New Roman" w:hAnsi="Times New Roman" w:cs="Times New Roman"/>
          <w:b/>
        </w:rPr>
        <w:t xml:space="preserve"> </w:t>
      </w:r>
      <w:r>
        <w:rPr>
          <w:rFonts w:ascii="Times New Roman" w:hAnsi="Times New Roman" w:cs="Times New Roman"/>
          <w:b/>
        </w:rPr>
        <w:t>art. 4 i art. 6)</w:t>
      </w:r>
    </w:p>
    <w:p w:rsidR="001E510D" w:rsidRDefault="001E510D" w:rsidP="005E49A1">
      <w:pPr>
        <w:spacing w:after="0" w:line="360" w:lineRule="auto"/>
        <w:jc w:val="both"/>
        <w:rPr>
          <w:rFonts w:ascii="Times New Roman" w:hAnsi="Times New Roman" w:cs="Times New Roman"/>
          <w:color w:val="090909"/>
          <w:shd w:val="clear" w:color="auto" w:fill="FFFFFF"/>
        </w:rPr>
      </w:pPr>
      <w:r w:rsidRPr="001E510D">
        <w:rPr>
          <w:rStyle w:val="Pogrubienie"/>
          <w:rFonts w:ascii="Times New Roman" w:hAnsi="Times New Roman" w:cs="Times New Roman"/>
          <w:b w:val="0"/>
          <w:color w:val="090909"/>
          <w:shd w:val="clear" w:color="auto" w:fill="FFFFFF"/>
        </w:rPr>
        <w:t xml:space="preserve">Zmiana zaproponowana w projekcie ustawy </w:t>
      </w:r>
      <w:r w:rsidR="008D28B5">
        <w:rPr>
          <w:rStyle w:val="Pogrubienie"/>
          <w:rFonts w:ascii="Times New Roman" w:hAnsi="Times New Roman" w:cs="Times New Roman"/>
          <w:b w:val="0"/>
          <w:color w:val="090909"/>
          <w:shd w:val="clear" w:color="auto" w:fill="FFFFFF"/>
        </w:rPr>
        <w:t>do</w:t>
      </w:r>
      <w:r w:rsidRPr="001E510D">
        <w:rPr>
          <w:rStyle w:val="Pogrubienie"/>
          <w:rFonts w:ascii="Times New Roman" w:hAnsi="Times New Roman" w:cs="Times New Roman"/>
          <w:b w:val="0"/>
          <w:color w:val="090909"/>
          <w:shd w:val="clear" w:color="auto" w:fill="FFFFFF"/>
        </w:rPr>
        <w:t xml:space="preserve"> ustawy </w:t>
      </w:r>
      <w:r w:rsidR="008D28B5" w:rsidRPr="008D28B5">
        <w:rPr>
          <w:rStyle w:val="Pogrubienie"/>
          <w:rFonts w:ascii="Times New Roman" w:hAnsi="Times New Roman" w:cs="Times New Roman"/>
          <w:b w:val="0"/>
          <w:color w:val="090909"/>
          <w:shd w:val="clear" w:color="auto" w:fill="FFFFFF"/>
        </w:rPr>
        <w:t xml:space="preserve">z dnia 31 stycznia 2019 r. </w:t>
      </w:r>
      <w:r w:rsidRPr="001E510D">
        <w:rPr>
          <w:rStyle w:val="Pogrubienie"/>
          <w:rFonts w:ascii="Times New Roman" w:hAnsi="Times New Roman" w:cs="Times New Roman"/>
          <w:b w:val="0"/>
          <w:color w:val="090909"/>
          <w:shd w:val="clear" w:color="auto" w:fill="FFFFFF"/>
        </w:rPr>
        <w:t>o rodzicielskim świadczeniu uzupełniającym</w:t>
      </w:r>
      <w:r w:rsidRPr="001E510D">
        <w:rPr>
          <w:rFonts w:ascii="Times New Roman" w:hAnsi="Times New Roman" w:cs="Times New Roman"/>
          <w:color w:val="090909"/>
          <w:shd w:val="clear" w:color="auto" w:fill="FFFFFF"/>
        </w:rPr>
        <w:t xml:space="preserve"> znosi obowiązek przedłożenia odpisów aktów urodzenia dzieci przez osoby występujące o to świadczenie. Przewiduje, że wypadku konieczności weryfikacji danych zawartych we wniosku i oświadczeniu organ rozpatrujący wniosek (ZUS, KRUS) sam pobierze z rejestru stanu cywilnego odpisy aktów urodzenia dzieci wnioskodawcy poprzez dedykowaną do tego celu usługę sieciową. W wypadku braku aktów urodzenia dzieci w rejestrze stanu cywilnego organ wyśle poprzez ePUAP wniosek do kierownika urzędu stanu cywilnego o wydanie odpisów z rejestru stanu cywilnego. Zaproponowane rozwiązanie ma odformalizować i uprościć procedury związane z przyznaniem rodzicielskiego świadczenia uzupełniającego, a tym samym odciążyć obywateli od nadmiernych obowiązków administracyjnych. Skróci też czas załatwienia  sprawy i obniży koszty funkcjonowania administracji publicznej. Proponuje się by przepis </w:t>
      </w:r>
      <w:r>
        <w:rPr>
          <w:rFonts w:ascii="Times New Roman" w:hAnsi="Times New Roman" w:cs="Times New Roman"/>
          <w:color w:val="090909"/>
          <w:shd w:val="clear" w:color="auto" w:fill="FFFFFF"/>
        </w:rPr>
        <w:t xml:space="preserve">wszedł w życie </w:t>
      </w:r>
      <w:r w:rsidR="00877C33">
        <w:rPr>
          <w:rFonts w:ascii="Times New Roman" w:hAnsi="Times New Roman" w:cs="Times New Roman"/>
          <w:color w:val="090909"/>
          <w:shd w:val="clear" w:color="auto" w:fill="FFFFFF"/>
        </w:rPr>
        <w:t>z dniem 1 stycznia 2022 r.</w:t>
      </w:r>
    </w:p>
    <w:p w:rsidR="006A66E0" w:rsidRPr="00B6715F" w:rsidRDefault="006A66E0" w:rsidP="004D4801">
      <w:pPr>
        <w:pStyle w:val="Akapitzlist"/>
        <w:numPr>
          <w:ilvl w:val="0"/>
          <w:numId w:val="17"/>
        </w:numPr>
        <w:spacing w:after="0" w:line="360" w:lineRule="auto"/>
        <w:ind w:left="0"/>
        <w:jc w:val="both"/>
        <w:rPr>
          <w:rFonts w:ascii="Times New Roman" w:hAnsi="Times New Roman" w:cs="Times New Roman"/>
          <w:b/>
          <w:color w:val="090909"/>
          <w:shd w:val="clear" w:color="auto" w:fill="FFFFFF"/>
        </w:rPr>
      </w:pPr>
      <w:r w:rsidRPr="00B6715F">
        <w:rPr>
          <w:rFonts w:ascii="Times New Roman" w:hAnsi="Times New Roman" w:cs="Times New Roman"/>
          <w:b/>
          <w:color w:val="090909"/>
          <w:shd w:val="clear" w:color="auto" w:fill="FFFFFF"/>
        </w:rPr>
        <w:t>Dostosowanie przepis</w:t>
      </w:r>
      <w:r w:rsidR="00BA797F">
        <w:rPr>
          <w:rFonts w:ascii="Times New Roman" w:hAnsi="Times New Roman" w:cs="Times New Roman"/>
          <w:b/>
          <w:color w:val="090909"/>
          <w:shd w:val="clear" w:color="auto" w:fill="FFFFFF"/>
        </w:rPr>
        <w:t xml:space="preserve">ów </w:t>
      </w:r>
      <w:r w:rsidRPr="00B6715F">
        <w:rPr>
          <w:rFonts w:ascii="Times New Roman" w:hAnsi="Times New Roman" w:cs="Times New Roman"/>
          <w:b/>
          <w:color w:val="090909"/>
          <w:shd w:val="clear" w:color="auto" w:fill="FFFFFF"/>
        </w:rPr>
        <w:t>do zmian wprowadzonych przez ustawę z dnia 22 listopada 2018 r. o zmianie ustawy – Prawo oświatowe, ustawy o systemie oświaty oraz niektórych innych ustaw</w:t>
      </w:r>
      <w:r w:rsidR="008D28B5" w:rsidRPr="008D28B5">
        <w:t xml:space="preserve"> </w:t>
      </w:r>
      <w:r w:rsidR="008D28B5" w:rsidRPr="008D28B5">
        <w:rPr>
          <w:rFonts w:ascii="Times New Roman" w:hAnsi="Times New Roman" w:cs="Times New Roman"/>
          <w:b/>
          <w:color w:val="090909"/>
          <w:shd w:val="clear" w:color="auto" w:fill="FFFFFF"/>
        </w:rPr>
        <w:t>(Dz. U. poz. 2245</w:t>
      </w:r>
      <w:r w:rsidR="008D28B5">
        <w:rPr>
          <w:rFonts w:ascii="Times New Roman" w:hAnsi="Times New Roman" w:cs="Times New Roman"/>
          <w:b/>
          <w:color w:val="090909"/>
          <w:shd w:val="clear" w:color="auto" w:fill="FFFFFF"/>
        </w:rPr>
        <w:t>, z późn. zm.</w:t>
      </w:r>
      <w:r w:rsidR="00BA797F">
        <w:rPr>
          <w:rFonts w:ascii="Times New Roman" w:hAnsi="Times New Roman" w:cs="Times New Roman"/>
          <w:b/>
          <w:color w:val="090909"/>
          <w:shd w:val="clear" w:color="auto" w:fill="FFFFFF"/>
        </w:rPr>
        <w:t>)</w:t>
      </w:r>
      <w:r w:rsidRPr="00B6715F">
        <w:rPr>
          <w:rFonts w:ascii="Times New Roman" w:hAnsi="Times New Roman" w:cs="Times New Roman"/>
          <w:b/>
          <w:color w:val="090909"/>
          <w:shd w:val="clear" w:color="auto" w:fill="FFFFFF"/>
        </w:rPr>
        <w:t>, które wyszły w życie z dniem 1 września 2019 r.</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 xml:space="preserve">Celem </w:t>
      </w:r>
      <w:r>
        <w:rPr>
          <w:rFonts w:ascii="Times New Roman" w:hAnsi="Times New Roman" w:cs="Times New Roman"/>
          <w:color w:val="090909"/>
          <w:shd w:val="clear" w:color="auto" w:fill="FFFFFF"/>
        </w:rPr>
        <w:t>zmiany</w:t>
      </w:r>
      <w:r w:rsidRPr="006A66E0">
        <w:rPr>
          <w:rFonts w:ascii="Times New Roman" w:hAnsi="Times New Roman" w:cs="Times New Roman"/>
          <w:color w:val="090909"/>
          <w:shd w:val="clear" w:color="auto" w:fill="FFFFFF"/>
        </w:rPr>
        <w:t xml:space="preserve"> jest dostosowanie przepisu art. 2 pkt 1 lit. b ustawy z dnia 22 maja 2009 r. o nauczycielskich świadczeniach kompensacyjnych </w:t>
      </w:r>
      <w:r w:rsidR="00BA797F" w:rsidRPr="00BA797F">
        <w:rPr>
          <w:rFonts w:ascii="Times New Roman" w:hAnsi="Times New Roman" w:cs="Times New Roman"/>
          <w:color w:val="090909"/>
          <w:shd w:val="clear" w:color="auto" w:fill="FFFFFF"/>
        </w:rPr>
        <w:t xml:space="preserve">(Dz. U. z 2018 r. poz. 128) </w:t>
      </w:r>
      <w:r w:rsidRPr="006A66E0">
        <w:rPr>
          <w:rFonts w:ascii="Times New Roman" w:hAnsi="Times New Roman" w:cs="Times New Roman"/>
          <w:color w:val="090909"/>
          <w:shd w:val="clear" w:color="auto" w:fill="FFFFFF"/>
        </w:rPr>
        <w:t>do zmian dokonanych usta</w:t>
      </w:r>
      <w:r>
        <w:rPr>
          <w:rFonts w:ascii="Times New Roman" w:hAnsi="Times New Roman" w:cs="Times New Roman"/>
          <w:color w:val="090909"/>
          <w:shd w:val="clear" w:color="auto" w:fill="FFFFFF"/>
        </w:rPr>
        <w:t xml:space="preserve">wą z dnia 22 listopada 2018 r. </w:t>
      </w:r>
      <w:r w:rsidRPr="006A66E0">
        <w:rPr>
          <w:rFonts w:ascii="Times New Roman" w:hAnsi="Times New Roman" w:cs="Times New Roman"/>
          <w:color w:val="090909"/>
          <w:shd w:val="clear" w:color="auto" w:fill="FFFFFF"/>
        </w:rPr>
        <w:t>o zmianie ustawy – Prawo oświatowe, ustawy o systemie oświaty oraz niektórych innych ustaw, które wyszły w życie z dniem 1 września 2019 r.</w:t>
      </w:r>
      <w:r w:rsidR="00B6715F">
        <w:rPr>
          <w:rFonts w:ascii="Times New Roman" w:hAnsi="Times New Roman" w:cs="Times New Roman"/>
          <w:color w:val="090909"/>
          <w:shd w:val="clear" w:color="auto" w:fill="FFFFFF"/>
        </w:rPr>
        <w:t xml:space="preserve"> </w:t>
      </w:r>
      <w:r w:rsidRPr="006A66E0">
        <w:rPr>
          <w:rFonts w:ascii="Times New Roman" w:hAnsi="Times New Roman" w:cs="Times New Roman"/>
          <w:color w:val="090909"/>
          <w:shd w:val="clear" w:color="auto" w:fill="FFFFFF"/>
        </w:rPr>
        <w:t>Przed wprowadzeniem powyższych zmian, w systemie oświaty mogły funkcjonować: szkoły publiczne, szkoły niepubliczne z uprawnieniami szkół publicznych oraz szkoły niepubliczne bez uprawnień szkół publicznych.</w:t>
      </w:r>
      <w:r w:rsidR="00B6715F">
        <w:rPr>
          <w:rFonts w:ascii="Times New Roman" w:hAnsi="Times New Roman" w:cs="Times New Roman"/>
          <w:color w:val="090909"/>
          <w:shd w:val="clear" w:color="auto" w:fill="FFFFFF"/>
        </w:rPr>
        <w:t xml:space="preserve"> </w:t>
      </w:r>
      <w:r w:rsidRPr="006A66E0">
        <w:rPr>
          <w:rFonts w:ascii="Times New Roman" w:hAnsi="Times New Roman" w:cs="Times New Roman"/>
          <w:color w:val="090909"/>
          <w:shd w:val="clear" w:color="auto" w:fill="FFFFFF"/>
        </w:rPr>
        <w:t>Tylko szkoły publiczne oraz szkoły niepubliczne z uprawnieniami szkół publicznych mogły wydawać świadectwa promocyjne lub świadectwa świadczące o ukończeniu danego typu szkoły, a uczniowie tych szkół mogli przystępować do egzaminów przeprowadzanych przez okręgowe komisje egzaminacyjne.</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Tak więc osoba kształcąca się w szkole niepublicznej, która nie posiadała uprawnień szkoły publicznej, po ukończeniu kształcenia w tej szkole nie mogła otrzymać żadnego dokumentu państwowego poświadczającego uzyskanie określonego w przepisach poziomu wykształcenia lub kwalifikacji zawodowych. Osoby, które podejmowały kształcenie np. w niepublicznych szkołach policealnych, kształcących w zawodach ujętych w klasyfikacji zawodów i specjalności ustalanej na potrzeby rynku pracy przez ministra właściwego do spraw pracy, dopiero po ich ukończeniu orientowały się, że wydawane przez szkoły tzw. certyfikaty nie były respektowane przez pracodawców, gdyż nie miały rangi dokumentu urzędowego.</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lastRenderedPageBreak/>
        <w:t>W celu zmiany niekorzystnych przepisów, w 2018 r.</w:t>
      </w:r>
      <w:r>
        <w:rPr>
          <w:rFonts w:ascii="Times New Roman" w:hAnsi="Times New Roman" w:cs="Times New Roman"/>
          <w:color w:val="090909"/>
          <w:shd w:val="clear" w:color="auto" w:fill="FFFFFF"/>
        </w:rPr>
        <w:t xml:space="preserve"> określono, że </w:t>
      </w:r>
      <w:r w:rsidRPr="006A66E0">
        <w:rPr>
          <w:rFonts w:ascii="Times New Roman" w:hAnsi="Times New Roman" w:cs="Times New Roman"/>
          <w:color w:val="090909"/>
          <w:shd w:val="clear" w:color="auto" w:fill="FFFFFF"/>
        </w:rPr>
        <w:t>w systemie oświaty mogą funkcjonować wyłącznie szkoły publiczne oraz szkoły niepubliczne (które zbliżone są do dotychczasowych szkół niepublicznych z uprawnieniami szkoły publicznej), jednocześnie określając w art. 14 ust. 3 ustawy z dnia 14 grudnia 2016 r. – Prawo oświatowe (Dz. U. z 2020 r. poz. 910, z późn. zm.) wymagania, jakie musi spełnić szkoła niepubliczna. Należy jednak dodać, że w okresie przejściowym, na po</w:t>
      </w:r>
      <w:r>
        <w:rPr>
          <w:rFonts w:ascii="Times New Roman" w:hAnsi="Times New Roman" w:cs="Times New Roman"/>
          <w:color w:val="090909"/>
          <w:shd w:val="clear" w:color="auto" w:fill="FFFFFF"/>
        </w:rPr>
        <w:t xml:space="preserve">dstawie art. 104 ustawy z dnia </w:t>
      </w:r>
      <w:r w:rsidRPr="006A66E0">
        <w:rPr>
          <w:rFonts w:ascii="Times New Roman" w:hAnsi="Times New Roman" w:cs="Times New Roman"/>
          <w:color w:val="090909"/>
          <w:shd w:val="clear" w:color="auto" w:fill="FFFFFF"/>
        </w:rPr>
        <w:t xml:space="preserve">22 listopada 2018 r. o zmianie ustawy – Prawo oświatowe, ustawy o systemie oświaty oraz niektórych innych ustaw, do dnia 31 sierpnia 2022 r. mogą jeszcze funkcjonować szkoły niepubliczne nieposiadające uprawnień szkoły publicznej. </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 xml:space="preserve">W odniesieniu do szkół artystycznych pozostawiono podział na szkoły publiczne oraz niepubliczne szkoły artystyczne i niepubliczne szkoły artystyczne o uprawnieniach publicznej szkoły artystycznej. </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W związku z powyższym, obecnie w systemie oświaty funkcjonują:</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1)</w:t>
      </w:r>
      <w:r w:rsidRPr="006A66E0">
        <w:rPr>
          <w:rFonts w:ascii="Times New Roman" w:hAnsi="Times New Roman" w:cs="Times New Roman"/>
          <w:color w:val="090909"/>
          <w:shd w:val="clear" w:color="auto" w:fill="FFFFFF"/>
        </w:rPr>
        <w:tab/>
        <w:t>szkoły publiczne;</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2)</w:t>
      </w:r>
      <w:r w:rsidRPr="006A66E0">
        <w:rPr>
          <w:rFonts w:ascii="Times New Roman" w:hAnsi="Times New Roman" w:cs="Times New Roman"/>
          <w:color w:val="090909"/>
          <w:shd w:val="clear" w:color="auto" w:fill="FFFFFF"/>
        </w:rPr>
        <w:tab/>
        <w:t>szkoły niepubliczne;</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3)</w:t>
      </w:r>
      <w:r w:rsidRPr="006A66E0">
        <w:rPr>
          <w:rFonts w:ascii="Times New Roman" w:hAnsi="Times New Roman" w:cs="Times New Roman"/>
          <w:color w:val="090909"/>
          <w:shd w:val="clear" w:color="auto" w:fill="FFFFFF"/>
        </w:rPr>
        <w:tab/>
        <w:t>niepubliczne szkoły artystyczne o uprawnieniach publicznej szkoły artystycznej;</w:t>
      </w:r>
    </w:p>
    <w:p w:rsidR="006A66E0" w:rsidRPr="006A66E0" w:rsidRDefault="006A66E0" w:rsidP="006A66E0">
      <w:pPr>
        <w:spacing w:after="0" w:line="360" w:lineRule="auto"/>
        <w:jc w:val="both"/>
        <w:rPr>
          <w:rFonts w:ascii="Times New Roman" w:hAnsi="Times New Roman" w:cs="Times New Roman"/>
          <w:color w:val="090909"/>
          <w:shd w:val="clear" w:color="auto" w:fill="FFFFFF"/>
        </w:rPr>
      </w:pPr>
      <w:r w:rsidRPr="006A66E0">
        <w:rPr>
          <w:rFonts w:ascii="Times New Roman" w:hAnsi="Times New Roman" w:cs="Times New Roman"/>
          <w:color w:val="090909"/>
          <w:shd w:val="clear" w:color="auto" w:fill="FFFFFF"/>
        </w:rPr>
        <w:t xml:space="preserve">4) </w:t>
      </w:r>
      <w:r w:rsidR="00334984">
        <w:rPr>
          <w:rFonts w:ascii="Times New Roman" w:hAnsi="Times New Roman" w:cs="Times New Roman"/>
          <w:color w:val="090909"/>
          <w:shd w:val="clear" w:color="auto" w:fill="FFFFFF"/>
        </w:rPr>
        <w:t xml:space="preserve">        </w:t>
      </w:r>
      <w:r w:rsidRPr="006A66E0">
        <w:rPr>
          <w:rFonts w:ascii="Times New Roman" w:hAnsi="Times New Roman" w:cs="Times New Roman"/>
          <w:color w:val="090909"/>
          <w:shd w:val="clear" w:color="auto" w:fill="FFFFFF"/>
        </w:rPr>
        <w:t>niepubliczne szkoły artystyczne nieposiadające uprawnień publicznej szkoły artystycznej.</w:t>
      </w:r>
    </w:p>
    <w:p w:rsidR="001F2669" w:rsidRPr="004A6B3A" w:rsidRDefault="006A66E0" w:rsidP="00B91889">
      <w:pPr>
        <w:spacing w:after="120" w:line="360" w:lineRule="auto"/>
        <w:jc w:val="both"/>
        <w:rPr>
          <w:rFonts w:ascii="Times New Roman" w:hAnsi="Times New Roman" w:cs="Times New Roman"/>
        </w:rPr>
      </w:pPr>
      <w:r w:rsidRPr="006A66E0">
        <w:rPr>
          <w:rFonts w:ascii="Times New Roman" w:hAnsi="Times New Roman" w:cs="Times New Roman"/>
          <w:color w:val="090909"/>
          <w:shd w:val="clear" w:color="auto" w:fill="FFFFFF"/>
        </w:rPr>
        <w:t>Zmiany w przepisach ustawy z dnia 14 grudnia 2016 r. – Prawo oświatowe, wprowadzające rozróżnienie szkół na publiczne i niepubliczne, spowodowały niespójność z określeniami używanymi w ustawie z dnia 22 maja 2009 r. o nauczycielskich świadczeniach kompensacyjnych. Taki stan prawny może spowodować, że część nauczycieli wyłącznie z powodu przekształcenia niepublicznej szkoły o uprawnieniach szkoły publicznej w szkołę niepubliczną utraci prawo do uznania wykonywanej pracy jako pracy nauczycielskiej uprawniającej do nauczycielskiego świadczenia kompensacyjnego.</w:t>
      </w:r>
      <w:r w:rsidR="008E0336">
        <w:rPr>
          <w:rFonts w:ascii="Times New Roman" w:hAnsi="Times New Roman" w:cs="Times New Roman"/>
          <w:color w:val="090909"/>
          <w:shd w:val="clear" w:color="auto" w:fill="FFFFFF"/>
        </w:rPr>
        <w:t xml:space="preserve"> </w:t>
      </w:r>
      <w:r w:rsidR="008E0336" w:rsidRPr="004A6B3A">
        <w:rPr>
          <w:rFonts w:ascii="Times New Roman" w:hAnsi="Times New Roman" w:cs="Times New Roman"/>
          <w:color w:val="090909"/>
          <w:shd w:val="clear" w:color="auto" w:fill="FFFFFF"/>
        </w:rPr>
        <w:t xml:space="preserve">Proponuje się, by powyższa zmiana obowiązywała od </w:t>
      </w:r>
      <w:r w:rsidR="004A6B3A" w:rsidRPr="004A6B3A">
        <w:rPr>
          <w:rFonts w:ascii="Times New Roman" w:hAnsi="Times New Roman" w:cs="Times New Roman"/>
        </w:rPr>
        <w:t>dnia 1 września 2019 r.</w:t>
      </w:r>
      <w:r w:rsidR="00691F94">
        <w:rPr>
          <w:rFonts w:ascii="Times New Roman" w:hAnsi="Times New Roman" w:cs="Times New Roman"/>
        </w:rPr>
        <w:t xml:space="preserve"> </w:t>
      </w:r>
      <w:r w:rsidR="001F2669">
        <w:rPr>
          <w:rFonts w:ascii="Times New Roman" w:hAnsi="Times New Roman" w:cs="Times New Roman"/>
        </w:rPr>
        <w:t>Projektowane regulacje są korzystne dla jego adresatów, gdyż eliminują opisane powyżej niespójności i pozwalają uznać jako pracę nauczycielską każdą pracę nauczyciela, bez względu na przekształcenia szkół</w:t>
      </w:r>
      <w:r w:rsidR="004F78C1">
        <w:rPr>
          <w:rFonts w:ascii="Times New Roman" w:hAnsi="Times New Roman" w:cs="Times New Roman"/>
        </w:rPr>
        <w:t>, co w konsekwencji pozwoli na uzyskanie prawa przez te osoby do nauczycielskiego świadczenia kompensacyjnego.</w:t>
      </w:r>
    </w:p>
    <w:p w:rsidR="00B91889" w:rsidRDefault="00B91889" w:rsidP="00B91889">
      <w:pPr>
        <w:spacing w:after="120" w:line="360" w:lineRule="auto"/>
        <w:jc w:val="both"/>
        <w:rPr>
          <w:rFonts w:ascii="Times New Roman" w:hAnsi="Times New Roman" w:cs="Times New Roman"/>
        </w:rPr>
      </w:pPr>
      <w:r w:rsidRPr="00304DFA">
        <w:rPr>
          <w:rFonts w:ascii="Times New Roman" w:hAnsi="Times New Roman" w:cs="Times New Roman"/>
        </w:rPr>
        <w:t>Nie ma możliwości pozalegislacyjnego rozwiązania proponowanych zmian.</w:t>
      </w:r>
    </w:p>
    <w:p w:rsidR="000B1747" w:rsidRDefault="00AF4DB4" w:rsidP="00B91889">
      <w:pPr>
        <w:spacing w:after="120" w:line="360" w:lineRule="auto"/>
        <w:jc w:val="both"/>
        <w:rPr>
          <w:rFonts w:ascii="Times New Roman" w:hAnsi="Times New Roman" w:cs="Times New Roman"/>
          <w:b/>
        </w:rPr>
      </w:pPr>
      <w:r>
        <w:rPr>
          <w:rFonts w:ascii="Times New Roman" w:hAnsi="Times New Roman" w:cs="Times New Roman"/>
          <w:b/>
        </w:rPr>
        <w:t>Przepisy przejściowe</w:t>
      </w:r>
    </w:p>
    <w:p w:rsidR="006C70E3" w:rsidRPr="0044771D" w:rsidRDefault="006C70E3" w:rsidP="00B91889">
      <w:pPr>
        <w:spacing w:after="120" w:line="360" w:lineRule="auto"/>
        <w:jc w:val="both"/>
        <w:rPr>
          <w:rFonts w:ascii="Times New Roman" w:hAnsi="Times New Roman" w:cs="Times New Roman"/>
        </w:rPr>
      </w:pPr>
      <w:r w:rsidRPr="0044771D">
        <w:rPr>
          <w:rFonts w:ascii="Times New Roman" w:hAnsi="Times New Roman" w:cs="Times New Roman"/>
        </w:rPr>
        <w:t xml:space="preserve">Zaproponowany w art. </w:t>
      </w:r>
      <w:r w:rsidR="00C80416">
        <w:rPr>
          <w:rFonts w:ascii="Times New Roman" w:hAnsi="Times New Roman" w:cs="Times New Roman"/>
        </w:rPr>
        <w:t>1</w:t>
      </w:r>
      <w:r w:rsidR="009C63C4">
        <w:rPr>
          <w:rFonts w:ascii="Times New Roman" w:hAnsi="Times New Roman" w:cs="Times New Roman"/>
        </w:rPr>
        <w:t>1</w:t>
      </w:r>
      <w:r w:rsidRPr="0044771D">
        <w:rPr>
          <w:rFonts w:ascii="Times New Roman" w:hAnsi="Times New Roman" w:cs="Times New Roman"/>
        </w:rPr>
        <w:t xml:space="preserve"> przepis przejściowy w zakresie ograniczenia składania korekt rozliczeniowych umożliwi dokonanie w terminie stosownych korekt deklaracji rozliczeniowych w stosunku do złożonych deklaracji rozliczeniowych za okresy </w:t>
      </w:r>
      <w:r w:rsidR="005D0DB0">
        <w:rPr>
          <w:rFonts w:ascii="Times New Roman" w:hAnsi="Times New Roman" w:cs="Times New Roman"/>
        </w:rPr>
        <w:t>do grudnia 2021 r</w:t>
      </w:r>
      <w:r w:rsidRPr="0044771D">
        <w:rPr>
          <w:rFonts w:ascii="Times New Roman" w:hAnsi="Times New Roman" w:cs="Times New Roman"/>
        </w:rPr>
        <w:t>.</w:t>
      </w:r>
    </w:p>
    <w:p w:rsidR="006102AA" w:rsidRPr="00B042F8" w:rsidRDefault="006C70E3" w:rsidP="00B042F8">
      <w:pPr>
        <w:spacing w:after="120" w:line="360" w:lineRule="auto"/>
        <w:jc w:val="both"/>
        <w:rPr>
          <w:rFonts w:ascii="Times New Roman" w:hAnsi="Times New Roman" w:cs="Times New Roman"/>
        </w:rPr>
      </w:pPr>
      <w:r w:rsidRPr="00B042F8">
        <w:rPr>
          <w:rFonts w:ascii="Times New Roman" w:hAnsi="Times New Roman" w:cs="Times New Roman"/>
        </w:rPr>
        <w:t xml:space="preserve">W art. </w:t>
      </w:r>
      <w:r w:rsidR="00C80416">
        <w:rPr>
          <w:rFonts w:ascii="Times New Roman" w:hAnsi="Times New Roman" w:cs="Times New Roman"/>
        </w:rPr>
        <w:t>1</w:t>
      </w:r>
      <w:r w:rsidR="009C63C4">
        <w:rPr>
          <w:rFonts w:ascii="Times New Roman" w:hAnsi="Times New Roman" w:cs="Times New Roman"/>
        </w:rPr>
        <w:t>2</w:t>
      </w:r>
      <w:r w:rsidRPr="00B042F8">
        <w:rPr>
          <w:rFonts w:ascii="Times New Roman" w:hAnsi="Times New Roman" w:cs="Times New Roman"/>
        </w:rPr>
        <w:t xml:space="preserve"> </w:t>
      </w:r>
      <w:r w:rsidR="006102AA" w:rsidRPr="00B042F8">
        <w:rPr>
          <w:rFonts w:ascii="Times New Roman" w:hAnsi="Times New Roman" w:cs="Times New Roman"/>
        </w:rPr>
        <w:t>u</w:t>
      </w:r>
      <w:r w:rsidRPr="00B042F8">
        <w:rPr>
          <w:rFonts w:ascii="Times New Roman" w:hAnsi="Times New Roman" w:cs="Times New Roman"/>
        </w:rPr>
        <w:t>regulowano, że opłaty dodatkowe wymierzone na podstawie art. 47 ust. 10c</w:t>
      </w:r>
      <w:r w:rsidR="00C80416">
        <w:rPr>
          <w:rFonts w:ascii="Times New Roman" w:hAnsi="Times New Roman" w:cs="Times New Roman"/>
        </w:rPr>
        <w:t>,</w:t>
      </w:r>
      <w:r w:rsidRPr="00B042F8">
        <w:rPr>
          <w:rFonts w:ascii="Times New Roman" w:hAnsi="Times New Roman" w:cs="Times New Roman"/>
        </w:rPr>
        <w:t xml:space="preserve"> nieopłacone do dnia wejścia w życie niniejszej ustawy, ulegają umorzeniu z mocy prawa.</w:t>
      </w:r>
    </w:p>
    <w:p w:rsidR="006102AA" w:rsidRPr="0044771D" w:rsidRDefault="006C70E3" w:rsidP="00B042F8">
      <w:pPr>
        <w:spacing w:after="120" w:line="360" w:lineRule="auto"/>
        <w:jc w:val="both"/>
        <w:rPr>
          <w:rFonts w:ascii="Times New Roman" w:hAnsi="Times New Roman" w:cs="Times New Roman"/>
        </w:rPr>
      </w:pPr>
      <w:r w:rsidRPr="00B042F8">
        <w:rPr>
          <w:rFonts w:ascii="Times New Roman" w:hAnsi="Times New Roman" w:cs="Times New Roman"/>
        </w:rPr>
        <w:t xml:space="preserve">W związku ze zmianą w zakresie </w:t>
      </w:r>
      <w:r w:rsidR="0044771D">
        <w:rPr>
          <w:rFonts w:ascii="Times New Roman" w:hAnsi="Times New Roman" w:cs="Times New Roman"/>
        </w:rPr>
        <w:t xml:space="preserve">egzekucji </w:t>
      </w:r>
      <w:r w:rsidRPr="00B042F8">
        <w:rPr>
          <w:rFonts w:ascii="Times New Roman" w:hAnsi="Times New Roman" w:cs="Times New Roman"/>
        </w:rPr>
        <w:t>należności do poboru których obowiązany jest ZUS, wprowadzono w art. 1</w:t>
      </w:r>
      <w:r w:rsidR="009C63C4">
        <w:rPr>
          <w:rFonts w:ascii="Times New Roman" w:hAnsi="Times New Roman" w:cs="Times New Roman"/>
        </w:rPr>
        <w:t>3</w:t>
      </w:r>
      <w:r w:rsidRPr="00B042F8">
        <w:rPr>
          <w:rFonts w:ascii="Times New Roman" w:hAnsi="Times New Roman" w:cs="Times New Roman"/>
        </w:rPr>
        <w:t xml:space="preserve"> regulacj</w:t>
      </w:r>
      <w:r w:rsidR="00AD53B4">
        <w:rPr>
          <w:rFonts w:ascii="Times New Roman" w:hAnsi="Times New Roman" w:cs="Times New Roman"/>
        </w:rPr>
        <w:t>ę</w:t>
      </w:r>
      <w:r w:rsidRPr="00B042F8">
        <w:rPr>
          <w:rFonts w:ascii="Times New Roman" w:hAnsi="Times New Roman" w:cs="Times New Roman"/>
        </w:rPr>
        <w:t xml:space="preserve">, na mocy której </w:t>
      </w:r>
      <w:r w:rsidR="005D0DB0">
        <w:rPr>
          <w:rFonts w:ascii="Times New Roman" w:hAnsi="Times New Roman" w:cs="Times New Roman"/>
        </w:rPr>
        <w:t>przepisy dotychczasowe</w:t>
      </w:r>
      <w:r w:rsidRPr="00B042F8">
        <w:rPr>
          <w:rFonts w:ascii="Times New Roman" w:hAnsi="Times New Roman" w:cs="Times New Roman"/>
        </w:rPr>
        <w:t xml:space="preserve"> stosuje się do egzekucji ze </w:t>
      </w:r>
      <w:r w:rsidRPr="00B042F8">
        <w:rPr>
          <w:rFonts w:ascii="Times New Roman" w:hAnsi="Times New Roman" w:cs="Times New Roman"/>
        </w:rPr>
        <w:lastRenderedPageBreak/>
        <w:t>świadczeń z ubezpieczenia społecznego wszczętych i niezakończonych przed dniem wejścia w życie niniejszej ustawy.</w:t>
      </w:r>
    </w:p>
    <w:p w:rsidR="006102AA" w:rsidRPr="005D0DB0" w:rsidRDefault="006102AA" w:rsidP="00B042F8">
      <w:pPr>
        <w:spacing w:after="120" w:line="360" w:lineRule="auto"/>
        <w:jc w:val="both"/>
        <w:rPr>
          <w:rFonts w:ascii="Times New Roman" w:hAnsi="Times New Roman" w:cs="Times New Roman"/>
        </w:rPr>
      </w:pPr>
      <w:r w:rsidRPr="005D0DB0">
        <w:rPr>
          <w:rFonts w:ascii="Times New Roman" w:hAnsi="Times New Roman" w:cs="Times New Roman"/>
        </w:rPr>
        <w:t>W art. 1</w:t>
      </w:r>
      <w:r w:rsidR="009C63C4" w:rsidRPr="005D0DB0">
        <w:rPr>
          <w:rFonts w:ascii="Times New Roman" w:hAnsi="Times New Roman" w:cs="Times New Roman"/>
        </w:rPr>
        <w:t>4</w:t>
      </w:r>
      <w:r w:rsidRPr="005D0DB0">
        <w:rPr>
          <w:rFonts w:ascii="Times New Roman" w:hAnsi="Times New Roman" w:cs="Times New Roman"/>
        </w:rPr>
        <w:t xml:space="preserve"> wprowadzono</w:t>
      </w:r>
      <w:r w:rsidR="008E7962" w:rsidRPr="005D0DB0">
        <w:rPr>
          <w:rFonts w:ascii="Times New Roman" w:hAnsi="Times New Roman" w:cs="Times New Roman"/>
        </w:rPr>
        <w:t xml:space="preserve"> rozwiązanie</w:t>
      </w:r>
      <w:r w:rsidRPr="005D0DB0">
        <w:rPr>
          <w:rFonts w:ascii="Times New Roman" w:hAnsi="Times New Roman" w:cs="Times New Roman"/>
        </w:rPr>
        <w:t>, że wniosk</w:t>
      </w:r>
      <w:r w:rsidR="008E7962" w:rsidRPr="005D0DB0">
        <w:rPr>
          <w:rFonts w:ascii="Times New Roman" w:hAnsi="Times New Roman" w:cs="Times New Roman"/>
        </w:rPr>
        <w:t>i</w:t>
      </w:r>
      <w:r w:rsidRPr="005D0DB0">
        <w:rPr>
          <w:rFonts w:ascii="Times New Roman" w:hAnsi="Times New Roman" w:cs="Times New Roman"/>
        </w:rPr>
        <w:t xml:space="preserve"> o wyrażenie zgody na opłacenie składki chorobowej po terminie dotyczące okresu sprzed wejścia w życie niniejszej ustawy, mogą być składane nie później niż do </w:t>
      </w:r>
      <w:r w:rsidR="005D0DB0" w:rsidRPr="005D0DB0">
        <w:rPr>
          <w:rFonts w:ascii="Times New Roman" w:hAnsi="Times New Roman" w:cs="Times New Roman"/>
        </w:rPr>
        <w:t>dnia 30 czerwca 2022 r</w:t>
      </w:r>
      <w:r w:rsidRPr="005D0DB0">
        <w:rPr>
          <w:rFonts w:ascii="Times New Roman" w:hAnsi="Times New Roman" w:cs="Times New Roman"/>
        </w:rPr>
        <w:t>.</w:t>
      </w:r>
    </w:p>
    <w:p w:rsidR="00D10484" w:rsidRPr="005D0DB0" w:rsidRDefault="00D10484" w:rsidP="00D10484">
      <w:pPr>
        <w:pStyle w:val="ARTartustawynprozporzdzenia"/>
        <w:ind w:firstLine="0"/>
        <w:rPr>
          <w:rFonts w:ascii="Times New Roman" w:hAnsi="Times New Roman" w:cs="Times New Roman"/>
          <w:sz w:val="22"/>
          <w:szCs w:val="22"/>
        </w:rPr>
      </w:pPr>
      <w:r w:rsidRPr="005D0DB0">
        <w:rPr>
          <w:rFonts w:ascii="Times New Roman" w:hAnsi="Times New Roman" w:cs="Times New Roman"/>
          <w:sz w:val="22"/>
          <w:szCs w:val="22"/>
        </w:rPr>
        <w:t xml:space="preserve">Art. </w:t>
      </w:r>
      <w:r w:rsidR="00460283" w:rsidRPr="005D0DB0">
        <w:rPr>
          <w:rFonts w:ascii="Times New Roman" w:hAnsi="Times New Roman" w:cs="Times New Roman"/>
          <w:sz w:val="22"/>
          <w:szCs w:val="22"/>
        </w:rPr>
        <w:t>1</w:t>
      </w:r>
      <w:r w:rsidR="009C63C4" w:rsidRPr="005D0DB0">
        <w:rPr>
          <w:rFonts w:ascii="Times New Roman" w:hAnsi="Times New Roman" w:cs="Times New Roman"/>
          <w:sz w:val="22"/>
          <w:szCs w:val="22"/>
        </w:rPr>
        <w:t>5</w:t>
      </w:r>
      <w:r w:rsidR="00460283" w:rsidRPr="005D0DB0">
        <w:rPr>
          <w:rFonts w:ascii="Times New Roman" w:hAnsi="Times New Roman" w:cs="Times New Roman"/>
          <w:sz w:val="22"/>
          <w:szCs w:val="22"/>
        </w:rPr>
        <w:t xml:space="preserve"> </w:t>
      </w:r>
      <w:r w:rsidRPr="005D0DB0">
        <w:rPr>
          <w:rFonts w:ascii="Times New Roman" w:hAnsi="Times New Roman" w:cs="Times New Roman"/>
          <w:sz w:val="22"/>
          <w:szCs w:val="22"/>
        </w:rPr>
        <w:t xml:space="preserve">stanowi, że </w:t>
      </w:r>
      <w:r w:rsidR="005D0DB0" w:rsidRPr="005D0DB0">
        <w:rPr>
          <w:rFonts w:ascii="Times New Roman" w:hAnsi="Times New Roman" w:cs="Times New Roman"/>
          <w:sz w:val="22"/>
          <w:szCs w:val="22"/>
        </w:rPr>
        <w:t>p</w:t>
      </w:r>
      <w:r w:rsidR="005D0DB0" w:rsidRPr="00334984">
        <w:rPr>
          <w:rFonts w:ascii="Times New Roman" w:hAnsi="Times New Roman" w:cs="Times New Roman"/>
          <w:sz w:val="22"/>
          <w:szCs w:val="22"/>
        </w:rPr>
        <w:t>łatnicy składek, którzy nie posiadają profilu informacyjnego obowiązani są do założenia tego profilu</w:t>
      </w:r>
      <w:r w:rsidRPr="005D0DB0">
        <w:rPr>
          <w:rFonts w:ascii="Times New Roman" w:hAnsi="Times New Roman" w:cs="Times New Roman"/>
          <w:sz w:val="22"/>
          <w:szCs w:val="22"/>
        </w:rPr>
        <w:t xml:space="preserve"> </w:t>
      </w:r>
      <w:r w:rsidR="005D0DB0" w:rsidRPr="005D0DB0">
        <w:rPr>
          <w:rFonts w:ascii="Times New Roman" w:hAnsi="Times New Roman" w:cs="Times New Roman"/>
          <w:sz w:val="22"/>
          <w:szCs w:val="22"/>
        </w:rPr>
        <w:t xml:space="preserve">w terminie do </w:t>
      </w:r>
      <w:r w:rsidR="005D0DB0">
        <w:rPr>
          <w:rFonts w:ascii="Times New Roman" w:hAnsi="Times New Roman" w:cs="Times New Roman"/>
          <w:sz w:val="22"/>
          <w:szCs w:val="22"/>
        </w:rPr>
        <w:t xml:space="preserve">dnia </w:t>
      </w:r>
      <w:r w:rsidR="005D0DB0" w:rsidRPr="005D0DB0">
        <w:rPr>
          <w:rFonts w:ascii="Times New Roman" w:hAnsi="Times New Roman" w:cs="Times New Roman"/>
          <w:sz w:val="22"/>
          <w:szCs w:val="22"/>
        </w:rPr>
        <w:t>30 grudnia 2022 r.</w:t>
      </w:r>
      <w:r w:rsidR="005D0DB0">
        <w:rPr>
          <w:rFonts w:ascii="Times New Roman" w:hAnsi="Times New Roman" w:cs="Times New Roman"/>
          <w:sz w:val="22"/>
          <w:szCs w:val="22"/>
        </w:rPr>
        <w:t xml:space="preserve"> Natomiast w </w:t>
      </w:r>
      <w:r w:rsidRPr="005D0DB0">
        <w:rPr>
          <w:rFonts w:ascii="Times New Roman" w:hAnsi="Times New Roman" w:cs="Times New Roman"/>
          <w:sz w:val="22"/>
          <w:szCs w:val="22"/>
        </w:rPr>
        <w:t xml:space="preserve">terminie do </w:t>
      </w:r>
      <w:r w:rsidR="00682644">
        <w:rPr>
          <w:rFonts w:ascii="Times New Roman" w:hAnsi="Times New Roman" w:cs="Times New Roman"/>
          <w:sz w:val="22"/>
          <w:szCs w:val="22"/>
        </w:rPr>
        <w:t xml:space="preserve">dnia </w:t>
      </w:r>
      <w:r w:rsidRPr="005D0DB0">
        <w:rPr>
          <w:rFonts w:ascii="Times New Roman" w:hAnsi="Times New Roman" w:cs="Times New Roman"/>
          <w:sz w:val="22"/>
          <w:szCs w:val="22"/>
        </w:rPr>
        <w:t xml:space="preserve">31 stycznia </w:t>
      </w:r>
      <w:r w:rsidR="00CC19CB" w:rsidRPr="005D0DB0">
        <w:rPr>
          <w:rFonts w:ascii="Times New Roman" w:hAnsi="Times New Roman" w:cs="Times New Roman"/>
          <w:sz w:val="22"/>
          <w:szCs w:val="22"/>
        </w:rPr>
        <w:t xml:space="preserve">2023 </w:t>
      </w:r>
      <w:r w:rsidRPr="005D0DB0">
        <w:rPr>
          <w:rFonts w:ascii="Times New Roman" w:hAnsi="Times New Roman" w:cs="Times New Roman"/>
          <w:sz w:val="22"/>
          <w:szCs w:val="22"/>
        </w:rPr>
        <w:t>r. Zakład Ubezpieczeń Społecznych założy profil informacyjny płatnikom składek nieposiadającym tego profilu, na kontach których na dzień 31 grudnia 202</w:t>
      </w:r>
      <w:r w:rsidR="005D0DB0">
        <w:rPr>
          <w:rFonts w:ascii="Times New Roman" w:hAnsi="Times New Roman" w:cs="Times New Roman"/>
          <w:sz w:val="22"/>
          <w:szCs w:val="22"/>
        </w:rPr>
        <w:t>2</w:t>
      </w:r>
      <w:r w:rsidRPr="005D0DB0">
        <w:rPr>
          <w:rFonts w:ascii="Times New Roman" w:hAnsi="Times New Roman" w:cs="Times New Roman"/>
          <w:sz w:val="22"/>
          <w:szCs w:val="22"/>
        </w:rPr>
        <w:t xml:space="preserve"> r. prowadzone są rozliczenia z tytułu składek, a którzy nie założyli PUE ZUS do </w:t>
      </w:r>
      <w:r w:rsidR="00682644">
        <w:rPr>
          <w:rFonts w:ascii="Times New Roman" w:hAnsi="Times New Roman" w:cs="Times New Roman"/>
          <w:sz w:val="22"/>
          <w:szCs w:val="22"/>
        </w:rPr>
        <w:t xml:space="preserve">dnia </w:t>
      </w:r>
      <w:r w:rsidRPr="005D0DB0">
        <w:rPr>
          <w:rFonts w:ascii="Times New Roman" w:hAnsi="Times New Roman" w:cs="Times New Roman"/>
          <w:sz w:val="22"/>
          <w:szCs w:val="22"/>
        </w:rPr>
        <w:t>3</w:t>
      </w:r>
      <w:r w:rsidR="007F097E" w:rsidRPr="005D0DB0">
        <w:rPr>
          <w:rFonts w:ascii="Times New Roman" w:hAnsi="Times New Roman" w:cs="Times New Roman"/>
          <w:sz w:val="22"/>
          <w:szCs w:val="22"/>
        </w:rPr>
        <w:t>0</w:t>
      </w:r>
      <w:r w:rsidRPr="005D0DB0">
        <w:rPr>
          <w:rFonts w:ascii="Times New Roman" w:hAnsi="Times New Roman" w:cs="Times New Roman"/>
          <w:sz w:val="22"/>
          <w:szCs w:val="22"/>
        </w:rPr>
        <w:t xml:space="preserve"> grudnia 202</w:t>
      </w:r>
      <w:r w:rsidR="00CC19CB" w:rsidRPr="005D0DB0">
        <w:rPr>
          <w:rFonts w:ascii="Times New Roman" w:hAnsi="Times New Roman" w:cs="Times New Roman"/>
          <w:sz w:val="22"/>
          <w:szCs w:val="22"/>
        </w:rPr>
        <w:t>2</w:t>
      </w:r>
      <w:r w:rsidR="00AD53B4">
        <w:rPr>
          <w:rFonts w:ascii="Times New Roman" w:hAnsi="Times New Roman" w:cs="Times New Roman"/>
          <w:sz w:val="22"/>
          <w:szCs w:val="22"/>
        </w:rPr>
        <w:t xml:space="preserve"> </w:t>
      </w:r>
      <w:r w:rsidRPr="005D0DB0">
        <w:rPr>
          <w:rFonts w:ascii="Times New Roman" w:hAnsi="Times New Roman" w:cs="Times New Roman"/>
          <w:sz w:val="22"/>
          <w:szCs w:val="22"/>
        </w:rPr>
        <w:t>r.</w:t>
      </w:r>
    </w:p>
    <w:p w:rsidR="00877C33" w:rsidRDefault="00877C33" w:rsidP="00B042F8">
      <w:pPr>
        <w:spacing w:after="120" w:line="360" w:lineRule="auto"/>
        <w:jc w:val="both"/>
        <w:rPr>
          <w:rFonts w:ascii="Times New Roman" w:hAnsi="Times New Roman" w:cs="Times New Roman"/>
        </w:rPr>
      </w:pPr>
      <w:r>
        <w:rPr>
          <w:rFonts w:ascii="Times New Roman" w:hAnsi="Times New Roman" w:cs="Times New Roman"/>
        </w:rPr>
        <w:t>Art. 1</w:t>
      </w:r>
      <w:r w:rsidR="009C63C4">
        <w:rPr>
          <w:rFonts w:ascii="Times New Roman" w:hAnsi="Times New Roman" w:cs="Times New Roman"/>
        </w:rPr>
        <w:t>6</w:t>
      </w:r>
      <w:r>
        <w:rPr>
          <w:rFonts w:ascii="Times New Roman" w:hAnsi="Times New Roman" w:cs="Times New Roman"/>
        </w:rPr>
        <w:t xml:space="preserve"> </w:t>
      </w:r>
      <w:r w:rsidR="004D785B">
        <w:rPr>
          <w:rFonts w:ascii="Times New Roman" w:hAnsi="Times New Roman" w:cs="Times New Roman"/>
        </w:rPr>
        <w:t>stanowi, że obecna kadencja Rady Nadzorczej Zakładu Ubezpieczeń Społecznych upływa po okresie obecnej 5-letniej kadencji, czyli na koniec września 2022 r. Nowa Rada Nadzorcza, na zasadach określonych w projektowanej regulacji zostanie powołana od października 2022 r.</w:t>
      </w:r>
    </w:p>
    <w:p w:rsidR="008E0336" w:rsidRPr="008E0336" w:rsidRDefault="0044771D" w:rsidP="008E0336">
      <w:pPr>
        <w:pStyle w:val="USTustnpkodeksu"/>
        <w:ind w:firstLine="0"/>
        <w:rPr>
          <w:rFonts w:ascii="Times New Roman" w:hAnsi="Times New Roman" w:cs="Times New Roman"/>
          <w:sz w:val="22"/>
          <w:szCs w:val="22"/>
        </w:rPr>
      </w:pPr>
      <w:r w:rsidRPr="008E0336">
        <w:rPr>
          <w:rFonts w:ascii="Times New Roman" w:hAnsi="Times New Roman" w:cs="Times New Roman"/>
          <w:sz w:val="22"/>
          <w:szCs w:val="22"/>
        </w:rPr>
        <w:t>W art. 1</w:t>
      </w:r>
      <w:r w:rsidR="009C63C4">
        <w:rPr>
          <w:rFonts w:ascii="Times New Roman" w:hAnsi="Times New Roman" w:cs="Times New Roman"/>
          <w:sz w:val="22"/>
          <w:szCs w:val="22"/>
        </w:rPr>
        <w:t>7</w:t>
      </w:r>
      <w:r w:rsidRPr="008E0336">
        <w:rPr>
          <w:rFonts w:ascii="Times New Roman" w:hAnsi="Times New Roman" w:cs="Times New Roman"/>
          <w:sz w:val="22"/>
          <w:szCs w:val="22"/>
        </w:rPr>
        <w:t xml:space="preserve"> </w:t>
      </w:r>
      <w:r w:rsidR="008E7962" w:rsidRPr="008E0336">
        <w:rPr>
          <w:rFonts w:ascii="Times New Roman" w:hAnsi="Times New Roman" w:cs="Times New Roman"/>
          <w:sz w:val="22"/>
          <w:szCs w:val="22"/>
        </w:rPr>
        <w:t>uregulowane zostały</w:t>
      </w:r>
      <w:r w:rsidRPr="008E0336">
        <w:rPr>
          <w:rFonts w:ascii="Times New Roman" w:hAnsi="Times New Roman" w:cs="Times New Roman"/>
          <w:sz w:val="22"/>
          <w:szCs w:val="22"/>
        </w:rPr>
        <w:t xml:space="preserve"> now</w:t>
      </w:r>
      <w:r w:rsidR="008E7962" w:rsidRPr="008E0336">
        <w:rPr>
          <w:rFonts w:ascii="Times New Roman" w:hAnsi="Times New Roman" w:cs="Times New Roman"/>
          <w:sz w:val="22"/>
          <w:szCs w:val="22"/>
        </w:rPr>
        <w:t>e</w:t>
      </w:r>
      <w:r w:rsidRPr="008E0336">
        <w:rPr>
          <w:rFonts w:ascii="Times New Roman" w:hAnsi="Times New Roman" w:cs="Times New Roman"/>
          <w:sz w:val="22"/>
          <w:szCs w:val="22"/>
        </w:rPr>
        <w:t xml:space="preserve"> przepis</w:t>
      </w:r>
      <w:r w:rsidR="008E7962" w:rsidRPr="008E0336">
        <w:rPr>
          <w:rFonts w:ascii="Times New Roman" w:hAnsi="Times New Roman" w:cs="Times New Roman"/>
          <w:sz w:val="22"/>
          <w:szCs w:val="22"/>
        </w:rPr>
        <w:t>y</w:t>
      </w:r>
      <w:r w:rsidRPr="008E0336">
        <w:rPr>
          <w:rFonts w:ascii="Times New Roman" w:hAnsi="Times New Roman" w:cs="Times New Roman"/>
          <w:sz w:val="22"/>
          <w:szCs w:val="22"/>
        </w:rPr>
        <w:t xml:space="preserve"> w zakresie tzw. emerytur czerwcowych, </w:t>
      </w:r>
      <w:r w:rsidR="008E0336" w:rsidRPr="008E0336">
        <w:rPr>
          <w:rFonts w:ascii="Times New Roman" w:hAnsi="Times New Roman" w:cs="Times New Roman"/>
          <w:sz w:val="22"/>
          <w:szCs w:val="22"/>
        </w:rPr>
        <w:t xml:space="preserve">gwarantując przeliczenie przyznanych już w czerwcu 2021 r. </w:t>
      </w:r>
      <w:r w:rsidR="008E0336">
        <w:rPr>
          <w:rFonts w:ascii="Times New Roman" w:hAnsi="Times New Roman" w:cs="Times New Roman"/>
          <w:sz w:val="22"/>
          <w:szCs w:val="22"/>
        </w:rPr>
        <w:t>świadczeń emerytalno-rentowych (emerytur lub rent rodzinnych) w</w:t>
      </w:r>
      <w:r w:rsidR="008E0336" w:rsidRPr="008E0336">
        <w:rPr>
          <w:rFonts w:ascii="Times New Roman" w:hAnsi="Times New Roman" w:cs="Times New Roman"/>
          <w:sz w:val="22"/>
          <w:szCs w:val="22"/>
        </w:rPr>
        <w:t xml:space="preserve"> przypadku</w:t>
      </w:r>
      <w:r w:rsidR="008E0336">
        <w:rPr>
          <w:rFonts w:ascii="Times New Roman" w:hAnsi="Times New Roman" w:cs="Times New Roman"/>
          <w:sz w:val="22"/>
          <w:szCs w:val="22"/>
        </w:rPr>
        <w:t xml:space="preserve"> ich </w:t>
      </w:r>
      <w:r w:rsidR="008E0336" w:rsidRPr="008E0336">
        <w:rPr>
          <w:rFonts w:ascii="Times New Roman" w:hAnsi="Times New Roman" w:cs="Times New Roman"/>
          <w:sz w:val="22"/>
          <w:szCs w:val="22"/>
        </w:rPr>
        <w:t xml:space="preserve"> przyznania z uwzględnieniem </w:t>
      </w:r>
      <w:r w:rsidR="008E0336">
        <w:rPr>
          <w:rFonts w:ascii="Times New Roman" w:hAnsi="Times New Roman" w:cs="Times New Roman"/>
          <w:sz w:val="22"/>
          <w:szCs w:val="22"/>
        </w:rPr>
        <w:t xml:space="preserve">nowych zasad, </w:t>
      </w:r>
      <w:r w:rsidR="008E0336" w:rsidRPr="008E0336">
        <w:rPr>
          <w:rFonts w:ascii="Times New Roman" w:hAnsi="Times New Roman" w:cs="Times New Roman"/>
          <w:sz w:val="22"/>
          <w:szCs w:val="22"/>
        </w:rPr>
        <w:t>w terminie 30 dni od dnia wejścia w życie niniejszej ustawy.</w:t>
      </w:r>
    </w:p>
    <w:p w:rsidR="0044771D" w:rsidRPr="00B042F8" w:rsidRDefault="008E0336" w:rsidP="00B042F8">
      <w:pPr>
        <w:spacing w:after="120" w:line="360" w:lineRule="auto"/>
        <w:jc w:val="both"/>
        <w:rPr>
          <w:rFonts w:ascii="Times New Roman" w:hAnsi="Times New Roman" w:cs="Times New Roman"/>
        </w:rPr>
      </w:pPr>
      <w:r>
        <w:rPr>
          <w:rFonts w:ascii="Times New Roman" w:hAnsi="Times New Roman" w:cs="Times New Roman"/>
        </w:rPr>
        <w:t>W</w:t>
      </w:r>
      <w:r w:rsidR="00D23236">
        <w:rPr>
          <w:rFonts w:ascii="Times New Roman" w:hAnsi="Times New Roman" w:cs="Times New Roman"/>
        </w:rPr>
        <w:t xml:space="preserve"> art. </w:t>
      </w:r>
      <w:r w:rsidR="00745204">
        <w:rPr>
          <w:rFonts w:ascii="Times New Roman" w:hAnsi="Times New Roman" w:cs="Times New Roman"/>
        </w:rPr>
        <w:t>1</w:t>
      </w:r>
      <w:r w:rsidR="009C63C4">
        <w:rPr>
          <w:rFonts w:ascii="Times New Roman" w:hAnsi="Times New Roman" w:cs="Times New Roman"/>
        </w:rPr>
        <w:t>8</w:t>
      </w:r>
      <w:r w:rsidR="0078346A">
        <w:rPr>
          <w:rFonts w:ascii="Times New Roman" w:hAnsi="Times New Roman" w:cs="Times New Roman"/>
        </w:rPr>
        <w:t xml:space="preserve"> i </w:t>
      </w:r>
      <w:r w:rsidR="009C63C4">
        <w:rPr>
          <w:rFonts w:ascii="Times New Roman" w:hAnsi="Times New Roman" w:cs="Times New Roman"/>
        </w:rPr>
        <w:t>19</w:t>
      </w:r>
      <w:r w:rsidR="00460283">
        <w:rPr>
          <w:rFonts w:ascii="Times New Roman" w:hAnsi="Times New Roman" w:cs="Times New Roman"/>
        </w:rPr>
        <w:t xml:space="preserve"> </w:t>
      </w:r>
      <w:r w:rsidR="00D23236">
        <w:rPr>
          <w:rFonts w:ascii="Times New Roman" w:hAnsi="Times New Roman" w:cs="Times New Roman"/>
        </w:rPr>
        <w:t xml:space="preserve">zawarto przepis przejściowy w </w:t>
      </w:r>
      <w:r w:rsidR="00D23236" w:rsidRPr="00D23236">
        <w:rPr>
          <w:rFonts w:ascii="Times New Roman" w:hAnsi="Times New Roman" w:cs="Times New Roman"/>
        </w:rPr>
        <w:t>zakresie u</w:t>
      </w:r>
      <w:r w:rsidR="00D23236" w:rsidRPr="00E67663">
        <w:rPr>
          <w:rFonts w:ascii="Times New Roman" w:hAnsi="Times New Roman" w:cs="Times New Roman"/>
        </w:rPr>
        <w:t>jednolicenia przepisów w zakresie przeliczania emerytur z tzw. starego i nowego systemu</w:t>
      </w:r>
      <w:r w:rsidR="001913E3">
        <w:rPr>
          <w:rFonts w:ascii="Times New Roman" w:hAnsi="Times New Roman" w:cs="Times New Roman"/>
        </w:rPr>
        <w:t>,</w:t>
      </w:r>
      <w:r w:rsidR="00D23236" w:rsidRPr="00E67663">
        <w:rPr>
          <w:rFonts w:ascii="Times New Roman" w:hAnsi="Times New Roman" w:cs="Times New Roman"/>
        </w:rPr>
        <w:t xml:space="preserve"> </w:t>
      </w:r>
      <w:r w:rsidR="0044771D" w:rsidRPr="008E7962">
        <w:rPr>
          <w:rFonts w:ascii="Times New Roman" w:hAnsi="Times New Roman" w:cs="Times New Roman"/>
        </w:rPr>
        <w:t xml:space="preserve">natomiast w art. </w:t>
      </w:r>
      <w:r w:rsidR="00013114">
        <w:rPr>
          <w:rFonts w:ascii="Times New Roman" w:hAnsi="Times New Roman" w:cs="Times New Roman"/>
        </w:rPr>
        <w:t>2</w:t>
      </w:r>
      <w:r w:rsidR="009C63C4">
        <w:rPr>
          <w:rFonts w:ascii="Times New Roman" w:hAnsi="Times New Roman" w:cs="Times New Roman"/>
        </w:rPr>
        <w:t>0</w:t>
      </w:r>
      <w:r w:rsidR="0044771D" w:rsidRPr="008E7962">
        <w:rPr>
          <w:rFonts w:ascii="Times New Roman" w:hAnsi="Times New Roman" w:cs="Times New Roman"/>
        </w:rPr>
        <w:t xml:space="preserve"> </w:t>
      </w:r>
      <w:r w:rsidR="008E7962">
        <w:rPr>
          <w:rFonts w:ascii="Times New Roman" w:hAnsi="Times New Roman" w:cs="Times New Roman"/>
        </w:rPr>
        <w:t xml:space="preserve">została uregulowana </w:t>
      </w:r>
      <w:r w:rsidR="0044771D" w:rsidRPr="008E7962">
        <w:rPr>
          <w:rFonts w:ascii="Times New Roman" w:hAnsi="Times New Roman" w:cs="Times New Roman"/>
        </w:rPr>
        <w:t xml:space="preserve"> kwesti</w:t>
      </w:r>
      <w:r w:rsidR="008E7962">
        <w:rPr>
          <w:rFonts w:ascii="Times New Roman" w:hAnsi="Times New Roman" w:cs="Times New Roman"/>
        </w:rPr>
        <w:t>a</w:t>
      </w:r>
      <w:r w:rsidR="0044771D" w:rsidRPr="008E7962">
        <w:rPr>
          <w:rFonts w:ascii="Times New Roman" w:hAnsi="Times New Roman" w:cs="Times New Roman"/>
        </w:rPr>
        <w:t xml:space="preserve"> </w:t>
      </w:r>
      <w:r w:rsidR="0044771D" w:rsidRPr="00B042F8">
        <w:rPr>
          <w:rFonts w:ascii="Times New Roman" w:hAnsi="Times New Roman" w:cs="Times New Roman"/>
        </w:rPr>
        <w:t xml:space="preserve">wprowadzenia bezgotówkowej formy wypłaty świadczeń długoterminowych </w:t>
      </w:r>
      <w:r w:rsidR="00D23236">
        <w:rPr>
          <w:rFonts w:ascii="Times New Roman" w:hAnsi="Times New Roman" w:cs="Times New Roman"/>
        </w:rPr>
        <w:t>dla</w:t>
      </w:r>
      <w:r w:rsidR="0044771D" w:rsidRPr="00B042F8">
        <w:rPr>
          <w:rFonts w:ascii="Times New Roman" w:hAnsi="Times New Roman" w:cs="Times New Roman"/>
        </w:rPr>
        <w:t xml:space="preserve"> wypłaty świadczeń, przyznanych przed dniem wejścia w życie  niniejszych przepisów.</w:t>
      </w:r>
    </w:p>
    <w:p w:rsidR="006C70E3" w:rsidRDefault="008E0336" w:rsidP="00B91889">
      <w:pPr>
        <w:spacing w:after="120" w:line="360" w:lineRule="auto"/>
        <w:jc w:val="both"/>
        <w:rPr>
          <w:rFonts w:ascii="Times New Roman" w:hAnsi="Times New Roman" w:cs="Times New Roman"/>
        </w:rPr>
      </w:pPr>
      <w:r>
        <w:rPr>
          <w:rFonts w:ascii="Times New Roman" w:hAnsi="Times New Roman" w:cs="Times New Roman"/>
        </w:rPr>
        <w:t>A</w:t>
      </w:r>
      <w:r w:rsidR="009376C1" w:rsidRPr="009376C1">
        <w:rPr>
          <w:rFonts w:ascii="Times New Roman" w:hAnsi="Times New Roman" w:cs="Times New Roman"/>
        </w:rPr>
        <w:t>r</w:t>
      </w:r>
      <w:r w:rsidR="00877C33" w:rsidRPr="009376C1">
        <w:rPr>
          <w:rFonts w:ascii="Times New Roman" w:hAnsi="Times New Roman" w:cs="Times New Roman"/>
        </w:rPr>
        <w:t xml:space="preserve">t. </w:t>
      </w:r>
      <w:r w:rsidR="00013114">
        <w:rPr>
          <w:rFonts w:ascii="Times New Roman" w:hAnsi="Times New Roman" w:cs="Times New Roman"/>
        </w:rPr>
        <w:t>2</w:t>
      </w:r>
      <w:r w:rsidR="009C63C4">
        <w:rPr>
          <w:rFonts w:ascii="Times New Roman" w:hAnsi="Times New Roman" w:cs="Times New Roman"/>
        </w:rPr>
        <w:t>1</w:t>
      </w:r>
      <w:r w:rsidR="009376C1" w:rsidRPr="009376C1">
        <w:rPr>
          <w:rFonts w:ascii="Times New Roman" w:hAnsi="Times New Roman" w:cs="Times New Roman"/>
        </w:rPr>
        <w:t xml:space="preserve"> stanowi, że zasiłki oraz świadczenie rehabilitacyjne, do których prawo powstało przed dniem </w:t>
      </w:r>
      <w:r w:rsidR="003B6464">
        <w:rPr>
          <w:rFonts w:ascii="Times New Roman" w:hAnsi="Times New Roman" w:cs="Times New Roman"/>
        </w:rPr>
        <w:t>1 stycznia 2022 r.</w:t>
      </w:r>
      <w:r w:rsidR="009376C1" w:rsidRPr="009376C1">
        <w:rPr>
          <w:rFonts w:ascii="Times New Roman" w:hAnsi="Times New Roman" w:cs="Times New Roman"/>
        </w:rPr>
        <w:t xml:space="preserve">, wypłaca się w wysokości, na zasadach i w trybie, w brzmieniu obowiązującym przed dniem </w:t>
      </w:r>
      <w:r w:rsidR="00682644">
        <w:rPr>
          <w:rFonts w:ascii="Times New Roman" w:hAnsi="Times New Roman" w:cs="Times New Roman"/>
        </w:rPr>
        <w:t>1 stycznia 2022 r.</w:t>
      </w:r>
      <w:r w:rsidR="009376C1" w:rsidRPr="009376C1">
        <w:rPr>
          <w:rFonts w:ascii="Times New Roman" w:hAnsi="Times New Roman" w:cs="Times New Roman"/>
        </w:rPr>
        <w:t>, za cały okres nieprzerwanej niezdolności do pracy.</w:t>
      </w:r>
    </w:p>
    <w:p w:rsidR="0078346A" w:rsidRDefault="0078346A" w:rsidP="00B91889">
      <w:pPr>
        <w:spacing w:after="120" w:line="360" w:lineRule="auto"/>
        <w:jc w:val="both"/>
        <w:rPr>
          <w:rFonts w:ascii="Times New Roman" w:hAnsi="Times New Roman" w:cs="Times New Roman"/>
        </w:rPr>
      </w:pPr>
      <w:r>
        <w:rPr>
          <w:rFonts w:ascii="Times New Roman" w:hAnsi="Times New Roman" w:cs="Times New Roman"/>
        </w:rPr>
        <w:t>Art. 2</w:t>
      </w:r>
      <w:r w:rsidR="009C63C4">
        <w:rPr>
          <w:rFonts w:ascii="Times New Roman" w:hAnsi="Times New Roman" w:cs="Times New Roman"/>
        </w:rPr>
        <w:t>2</w:t>
      </w:r>
      <w:r>
        <w:rPr>
          <w:rFonts w:ascii="Times New Roman" w:hAnsi="Times New Roman" w:cs="Times New Roman"/>
        </w:rPr>
        <w:t xml:space="preserve"> reguluje, że d</w:t>
      </w:r>
      <w:r w:rsidRPr="0078346A">
        <w:rPr>
          <w:rFonts w:ascii="Times New Roman" w:hAnsi="Times New Roman" w:cs="Times New Roman"/>
        </w:rPr>
        <w:t xml:space="preserve">otychczasowe przepisy wykonawcze wydane na podstawie art. 47a ust. 7 ustawy </w:t>
      </w:r>
      <w:r>
        <w:rPr>
          <w:rFonts w:ascii="Times New Roman" w:hAnsi="Times New Roman" w:cs="Times New Roman"/>
        </w:rPr>
        <w:t>o systemie ubezpieczeń społecznych</w:t>
      </w:r>
      <w:r w:rsidRPr="0078346A">
        <w:rPr>
          <w:rFonts w:ascii="Times New Roman" w:hAnsi="Times New Roman" w:cs="Times New Roman"/>
        </w:rPr>
        <w:t xml:space="preserve"> zachowują moc do dnia wejścia w życie nowych przepisów wykonawczych, jednak nie dłużej niż przez 12 miesięcy od dnia wejścia w życie niniejszej ustawy</w:t>
      </w:r>
    </w:p>
    <w:p w:rsidR="005042F2" w:rsidRPr="009376C1" w:rsidRDefault="005042F2" w:rsidP="00B91889">
      <w:pPr>
        <w:spacing w:after="120" w:line="360" w:lineRule="auto"/>
        <w:jc w:val="both"/>
        <w:rPr>
          <w:rFonts w:ascii="Times New Roman" w:hAnsi="Times New Roman" w:cs="Times New Roman"/>
        </w:rPr>
      </w:pPr>
      <w:r>
        <w:rPr>
          <w:rFonts w:ascii="Times New Roman" w:hAnsi="Times New Roman" w:cs="Times New Roman"/>
        </w:rPr>
        <w:t xml:space="preserve">Tak zredagowane przepisy przejściowe zapewniają odpowiednio długi </w:t>
      </w:r>
      <w:r w:rsidR="00AD53B4">
        <w:rPr>
          <w:rFonts w:ascii="Times New Roman" w:hAnsi="Times New Roman" w:cs="Times New Roman"/>
        </w:rPr>
        <w:t xml:space="preserve">czas </w:t>
      </w:r>
      <w:r>
        <w:rPr>
          <w:rFonts w:ascii="Times New Roman" w:hAnsi="Times New Roman" w:cs="Times New Roman"/>
        </w:rPr>
        <w:t>na dostosowanie się wszystkich grup do nowego kształtu prawa.</w:t>
      </w:r>
    </w:p>
    <w:p w:rsidR="0026167F" w:rsidRPr="009C0296" w:rsidRDefault="007B099E" w:rsidP="009C0296">
      <w:pPr>
        <w:pStyle w:val="PKTpunkt"/>
        <w:ind w:left="0" w:firstLine="0"/>
        <w:rPr>
          <w:rFonts w:ascii="Times New Roman" w:hAnsi="Times New Roman" w:cs="Times New Roman"/>
          <w:sz w:val="22"/>
          <w:szCs w:val="22"/>
        </w:rPr>
      </w:pPr>
      <w:r w:rsidRPr="009C0296">
        <w:rPr>
          <w:rFonts w:ascii="Times New Roman" w:hAnsi="Times New Roman" w:cs="Times New Roman"/>
          <w:sz w:val="22"/>
          <w:szCs w:val="22"/>
        </w:rPr>
        <w:t xml:space="preserve">Proponuje się, aby ustawa weszła w życie </w:t>
      </w:r>
      <w:r w:rsidR="004A6B3A" w:rsidRPr="009C0296">
        <w:rPr>
          <w:rFonts w:ascii="Times New Roman" w:hAnsi="Times New Roman" w:cs="Times New Roman"/>
          <w:sz w:val="22"/>
          <w:szCs w:val="22"/>
        </w:rPr>
        <w:t>po upływie 14 dni od dnia ogłoszenia</w:t>
      </w:r>
      <w:r w:rsidRPr="009C0296">
        <w:rPr>
          <w:rFonts w:ascii="Times New Roman" w:hAnsi="Times New Roman" w:cs="Times New Roman"/>
          <w:sz w:val="22"/>
          <w:szCs w:val="22"/>
        </w:rPr>
        <w:t>.</w:t>
      </w:r>
      <w:r w:rsidR="004E6893" w:rsidRPr="009C0296">
        <w:rPr>
          <w:rFonts w:ascii="Times New Roman" w:hAnsi="Times New Roman" w:cs="Times New Roman"/>
          <w:sz w:val="22"/>
          <w:szCs w:val="22"/>
        </w:rPr>
        <w:t xml:space="preserve">, </w:t>
      </w:r>
      <w:r w:rsidR="00D44E98" w:rsidRPr="009C0296">
        <w:rPr>
          <w:rFonts w:ascii="Times New Roman" w:hAnsi="Times New Roman" w:cs="Times New Roman"/>
          <w:sz w:val="22"/>
          <w:szCs w:val="22"/>
        </w:rPr>
        <w:t xml:space="preserve"> z wyjątkiem </w:t>
      </w:r>
      <w:r w:rsidR="004A6B3A" w:rsidRPr="009C0296">
        <w:rPr>
          <w:rFonts w:ascii="Times New Roman" w:hAnsi="Times New Roman" w:cs="Times New Roman"/>
          <w:sz w:val="22"/>
          <w:szCs w:val="22"/>
        </w:rPr>
        <w:t xml:space="preserve">art. 9, który wchodzi w życie po upływie 14 dni od dnia ogłoszenia, z mocą </w:t>
      </w:r>
      <w:bookmarkStart w:id="9" w:name="_Hlk69396608"/>
      <w:r w:rsidR="004A6B3A" w:rsidRPr="009C0296">
        <w:rPr>
          <w:rFonts w:ascii="Times New Roman" w:hAnsi="Times New Roman" w:cs="Times New Roman"/>
          <w:sz w:val="22"/>
          <w:szCs w:val="22"/>
        </w:rPr>
        <w:t>od dnia 1 września 2019 r.</w:t>
      </w:r>
      <w:bookmarkEnd w:id="9"/>
      <w:r w:rsidR="004A6B3A" w:rsidRPr="009C0296">
        <w:rPr>
          <w:rFonts w:ascii="Times New Roman" w:hAnsi="Times New Roman" w:cs="Times New Roman"/>
          <w:sz w:val="22"/>
          <w:szCs w:val="22"/>
        </w:rPr>
        <w:t>;</w:t>
      </w:r>
      <w:r w:rsidR="009C63C4" w:rsidRPr="009C0296">
        <w:rPr>
          <w:rFonts w:ascii="Times New Roman" w:hAnsi="Times New Roman" w:cs="Times New Roman"/>
          <w:sz w:val="22"/>
          <w:szCs w:val="22"/>
        </w:rPr>
        <w:t xml:space="preserve"> art. 1 pkt 4, pkt 7 lit. a i b, pkt 11 lit. a, c i d, pkt 12, pkt 13 lit. b i pkt 16, art. 2, art. 3 pkt 4–13, art. 4, art. 5 pkt 3, art. 6 pkt 1–3 oraz art. 10, które wchodzą w życie z dniem 1 stycznia 2022 r.; art. 1 pkt 28 i art. 5 pkt 7, które wchodzą w życie z dniem 1 kwietnia 2022 r.; art. 1 pkt 15, który wchodzi w życie z dniem 1 stycznia 2023 r. </w:t>
      </w:r>
      <w:r w:rsidR="00ED0349" w:rsidRPr="009C0296">
        <w:rPr>
          <w:rFonts w:ascii="Times New Roman" w:hAnsi="Times New Roman" w:cs="Times New Roman"/>
          <w:sz w:val="22"/>
          <w:szCs w:val="22"/>
        </w:rPr>
        <w:t>(</w:t>
      </w:r>
      <w:r w:rsidR="00D44E98" w:rsidRPr="009C0296">
        <w:rPr>
          <w:rFonts w:ascii="Times New Roman" w:hAnsi="Times New Roman" w:cs="Times New Roman"/>
          <w:sz w:val="22"/>
          <w:szCs w:val="22"/>
        </w:rPr>
        <w:t>art. 2</w:t>
      </w:r>
      <w:r w:rsidR="00ED0349" w:rsidRPr="009C0296">
        <w:rPr>
          <w:rFonts w:ascii="Times New Roman" w:hAnsi="Times New Roman" w:cs="Times New Roman"/>
          <w:sz w:val="22"/>
          <w:szCs w:val="22"/>
        </w:rPr>
        <w:t>3</w:t>
      </w:r>
      <w:r w:rsidR="00D44E98" w:rsidRPr="009C0296">
        <w:rPr>
          <w:rFonts w:ascii="Times New Roman" w:hAnsi="Times New Roman" w:cs="Times New Roman"/>
          <w:sz w:val="22"/>
          <w:szCs w:val="22"/>
        </w:rPr>
        <w:t xml:space="preserve"> projektowanej ustawy).</w:t>
      </w:r>
    </w:p>
    <w:p w:rsidR="007B099E" w:rsidRPr="00304DFA" w:rsidRDefault="007B099E" w:rsidP="007B099E">
      <w:pPr>
        <w:shd w:val="clear" w:color="auto" w:fill="FFFFFF"/>
        <w:spacing w:before="60" w:after="60" w:line="360" w:lineRule="auto"/>
        <w:ind w:right="34"/>
        <w:jc w:val="both"/>
        <w:rPr>
          <w:rFonts w:ascii="Times New Roman" w:hAnsi="Times New Roman" w:cs="Times New Roman"/>
        </w:rPr>
      </w:pPr>
      <w:r w:rsidRPr="00304DFA">
        <w:rPr>
          <w:rFonts w:ascii="Times New Roman" w:hAnsi="Times New Roman" w:cs="Times New Roman"/>
        </w:rPr>
        <w:lastRenderedPageBreak/>
        <w:t xml:space="preserve">Wejście w życie projektowanej ustawy – zdaniem projektodawcy – nie naruszy wartości wyrażonych w Konstytucji Rzeczypospolitej Polskiej. </w:t>
      </w:r>
    </w:p>
    <w:p w:rsidR="007B099E" w:rsidRPr="00304DFA" w:rsidRDefault="007B099E" w:rsidP="007B099E">
      <w:pPr>
        <w:spacing w:before="60" w:after="60" w:line="360" w:lineRule="auto"/>
        <w:jc w:val="both"/>
        <w:rPr>
          <w:rFonts w:ascii="Times New Roman" w:hAnsi="Times New Roman" w:cs="Times New Roman"/>
        </w:rPr>
      </w:pPr>
      <w:r w:rsidRPr="00304DFA">
        <w:rPr>
          <w:rFonts w:ascii="Times New Roman" w:hAnsi="Times New Roman" w:cs="Times New Roman"/>
        </w:rPr>
        <w:t>Projekt ustawy nie jest sprzeczny z prawem Unii Europejskiej.</w:t>
      </w:r>
    </w:p>
    <w:p w:rsidR="007B099E" w:rsidRPr="00304DFA" w:rsidRDefault="007B099E" w:rsidP="009C0296">
      <w:pPr>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Projekt ustawy nie podlega obowiązkowi przedstawienia właściwym organom i instytucjom Unii Europejskiej, w tym Europejskiemu Bankowi Centralnemu, w celu uzyskania opinii, dokonania powiadomienia, konsultacji albo uzgodnienia.</w:t>
      </w:r>
    </w:p>
    <w:p w:rsidR="007B099E" w:rsidRPr="00304DFA" w:rsidRDefault="007B099E" w:rsidP="009C0296">
      <w:pPr>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 xml:space="preserve">Projekt ustawy nie będzie miał wpływu na działalność mikroprzedsiębiorców, małych </w:t>
      </w:r>
      <w:r w:rsidRPr="00304DFA">
        <w:rPr>
          <w:rFonts w:ascii="Times New Roman" w:hAnsi="Times New Roman" w:cs="Times New Roman"/>
        </w:rPr>
        <w:br/>
        <w:t>i średnich przedsiębiorców.</w:t>
      </w:r>
    </w:p>
    <w:p w:rsidR="007B099E" w:rsidRPr="00304DFA" w:rsidRDefault="007B099E" w:rsidP="009C0296">
      <w:pPr>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Projektowana ustawa nie zawiera przepisów technicznych w rozumieniu przepisów rozporządzenia Rady Ministrów z dnia 23 grudnia 2002 r. w sprawie sposobu funkcjonowania krajowego systemu notyfikacji norm i aktów prawnych (Dz. U. poz. 2039 oraz z 2004 r. poz. 597) i w związku z tym nie podlega notyfikacji.</w:t>
      </w:r>
    </w:p>
    <w:p w:rsidR="000C0907" w:rsidRPr="00304DFA" w:rsidRDefault="007B099E" w:rsidP="009C0296">
      <w:pPr>
        <w:autoSpaceDE w:val="0"/>
        <w:autoSpaceDN w:val="0"/>
        <w:adjustRightInd w:val="0"/>
        <w:spacing w:after="0" w:line="360" w:lineRule="auto"/>
        <w:jc w:val="both"/>
        <w:rPr>
          <w:rFonts w:ascii="Times New Roman" w:hAnsi="Times New Roman" w:cs="Times New Roman"/>
        </w:rPr>
      </w:pPr>
      <w:r w:rsidRPr="00304DFA">
        <w:rPr>
          <w:rFonts w:ascii="Times New Roman" w:hAnsi="Times New Roman" w:cs="Times New Roman"/>
        </w:rPr>
        <w:t>Zgodnie z art. 5 ustawy z dnia 7 lipca 2005 r. o działalności lobbingowej w procesie stanowienia prawa (Dz. U. z 2017 r. poz. 248) oraz § 52 uchwały nr 190 Rady Ministrów z dnia 29 października 2013 r. – Regulamin pracy Rady Ministrów (M.P. z 2016 r. poz. 1006, z późn. zm.) projekt został zamieszczony w Biuletynie Informacji Publicznej Ministerstwa Rodziny i Polityki Społecznej oraz na stronie podmiotowej Rządowego Centrum Legislacji, w serwisie Rządowy Proces Legislacyjny z dniem skierowania do uzgodnień i konsultacji publicznych.</w:t>
      </w:r>
      <w:r w:rsidR="00460283">
        <w:rPr>
          <w:rFonts w:ascii="Times New Roman" w:hAnsi="Times New Roman" w:cs="Times New Roman"/>
        </w:rPr>
        <w:t xml:space="preserve"> </w:t>
      </w:r>
      <w:r w:rsidR="00460283" w:rsidRPr="00460283">
        <w:rPr>
          <w:rFonts w:ascii="Times New Roman" w:hAnsi="Times New Roman" w:cs="Times New Roman"/>
        </w:rPr>
        <w:t>W trybie art. 7 ustawy z dnia 7 lipca 2005 r. o działalności lobbingowej w procesie stanowienia prawa żaden z podmiotów nie zgłosił zainteresowania pracami nad projektem.</w:t>
      </w:r>
    </w:p>
    <w:sectPr w:rsidR="000C0907" w:rsidRPr="00304DFA" w:rsidSect="005A0FE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01" w:rsidRDefault="00E02C01" w:rsidP="00B91889">
      <w:pPr>
        <w:spacing w:after="0" w:line="240" w:lineRule="auto"/>
      </w:pPr>
      <w:r>
        <w:separator/>
      </w:r>
    </w:p>
  </w:endnote>
  <w:endnote w:type="continuationSeparator" w:id="0">
    <w:p w:rsidR="00E02C01" w:rsidRDefault="00E02C01" w:rsidP="00B9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Japanese Gothic">
    <w:charset w:val="80"/>
    <w:family w:val="auto"/>
    <w:pitch w:val="variable"/>
    <w:sig w:usb0="B0000AEF" w:usb1="6987FC7B" w:usb2="00000036" w:usb3="00000000" w:csb0="002A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3894896"/>
      <w:docPartObj>
        <w:docPartGallery w:val="Page Numbers (Bottom of Page)"/>
        <w:docPartUnique/>
      </w:docPartObj>
    </w:sdtPr>
    <w:sdtContent>
      <w:p w:rsidR="005A0FE7" w:rsidRPr="005A0FE7" w:rsidRDefault="005A0FE7">
        <w:pPr>
          <w:pStyle w:val="Stopka"/>
          <w:jc w:val="center"/>
          <w:rPr>
            <w:rFonts w:ascii="Times New Roman" w:hAnsi="Times New Roman" w:cs="Times New Roman"/>
            <w:sz w:val="24"/>
            <w:szCs w:val="24"/>
          </w:rPr>
        </w:pPr>
        <w:r w:rsidRPr="005A0FE7">
          <w:rPr>
            <w:rFonts w:ascii="Times New Roman" w:hAnsi="Times New Roman" w:cs="Times New Roman"/>
            <w:sz w:val="24"/>
            <w:szCs w:val="24"/>
          </w:rPr>
          <w:fldChar w:fldCharType="begin"/>
        </w:r>
        <w:r w:rsidRPr="005A0FE7">
          <w:rPr>
            <w:rFonts w:ascii="Times New Roman" w:hAnsi="Times New Roman" w:cs="Times New Roman"/>
            <w:sz w:val="24"/>
            <w:szCs w:val="24"/>
          </w:rPr>
          <w:instrText>PAGE   \* MERGEFORMAT</w:instrText>
        </w:r>
        <w:r w:rsidRPr="005A0FE7">
          <w:rPr>
            <w:rFonts w:ascii="Times New Roman" w:hAnsi="Times New Roman" w:cs="Times New Roman"/>
            <w:sz w:val="24"/>
            <w:szCs w:val="24"/>
          </w:rPr>
          <w:fldChar w:fldCharType="separate"/>
        </w:r>
        <w:r>
          <w:rPr>
            <w:rFonts w:ascii="Times New Roman" w:hAnsi="Times New Roman" w:cs="Times New Roman"/>
            <w:noProof/>
            <w:sz w:val="24"/>
            <w:szCs w:val="24"/>
          </w:rPr>
          <w:t>2</w:t>
        </w:r>
        <w:r w:rsidRPr="005A0FE7">
          <w:rPr>
            <w:rFonts w:ascii="Times New Roman" w:hAnsi="Times New Roman" w:cs="Times New Roman"/>
            <w:sz w:val="24"/>
            <w:szCs w:val="24"/>
          </w:rPr>
          <w:fldChar w:fldCharType="end"/>
        </w:r>
      </w:p>
    </w:sdtContent>
  </w:sdt>
  <w:p w:rsidR="00877C33" w:rsidRDefault="00877C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01" w:rsidRDefault="00E02C01" w:rsidP="00B91889">
      <w:pPr>
        <w:spacing w:after="0" w:line="240" w:lineRule="auto"/>
      </w:pPr>
      <w:r>
        <w:separator/>
      </w:r>
    </w:p>
  </w:footnote>
  <w:footnote w:type="continuationSeparator" w:id="0">
    <w:p w:rsidR="00E02C01" w:rsidRDefault="00E02C01" w:rsidP="00B91889">
      <w:pPr>
        <w:spacing w:after="0" w:line="240" w:lineRule="auto"/>
      </w:pPr>
      <w:r>
        <w:continuationSeparator/>
      </w:r>
    </w:p>
  </w:footnote>
  <w:footnote w:id="1">
    <w:p w:rsidR="00877C33" w:rsidRPr="003B6BAA" w:rsidRDefault="00877C33" w:rsidP="008A749B">
      <w:pPr>
        <w:pStyle w:val="Tekstprzypisudolnego"/>
        <w:tabs>
          <w:tab w:val="left" w:pos="426"/>
        </w:tabs>
        <w:jc w:val="both"/>
        <w:rPr>
          <w:sz w:val="18"/>
          <w:szCs w:val="18"/>
        </w:rPr>
      </w:pPr>
      <w:r w:rsidRPr="003B6BAA">
        <w:rPr>
          <w:rStyle w:val="Odwoanieprzypisudolnego"/>
          <w:sz w:val="18"/>
          <w:szCs w:val="18"/>
        </w:rPr>
        <w:footnoteRef/>
      </w:r>
      <w:r w:rsidRPr="003B6BAA">
        <w:rPr>
          <w:sz w:val="18"/>
          <w:szCs w:val="18"/>
        </w:rPr>
        <w:t xml:space="preserve"> </w:t>
      </w:r>
      <w:r w:rsidRPr="003B6BAA">
        <w:rPr>
          <w:rFonts w:ascii="Times New Roman" w:eastAsia="Calibri" w:hAnsi="Times New Roman" w:cs="Times New Roman"/>
          <w:sz w:val="18"/>
          <w:szCs w:val="18"/>
        </w:rPr>
        <w:t>uchwała Sądu Najwyższego z 19 października 1988 r. III UZP 33/88, wyrok Sadu Najwyższego z 10 czerwca 2008 r. I UK 376/07, wyrok Sądu Najwyższego z 17 stycznia 2012 r. I UK 194/11, wyrok Sądu Najwyższego z 11 września 2014 r. II UK 570/13, wyrok Sądu Najwyższego z 24 stycznia 2017 r., I UK 36/16, wyrok Sądu Najwyższego z 16 maja 2017 r., I UK 186/16, wyrok Sądu Apelacyjnego w Łodzi z 3 grudnia 2013 r. III AUa 297/13</w:t>
      </w:r>
      <w:r>
        <w:rPr>
          <w:rFonts w:ascii="Times New Roman" w:eastAsia="Calibri"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A1F"/>
    <w:multiLevelType w:val="hybridMultilevel"/>
    <w:tmpl w:val="F12A7590"/>
    <w:lvl w:ilvl="0" w:tplc="F85CAE08">
      <w:start w:val="2"/>
      <w:numFmt w:val="upperRoman"/>
      <w:lvlText w:val="%1."/>
      <w:lvlJc w:val="righ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56274"/>
    <w:multiLevelType w:val="hybridMultilevel"/>
    <w:tmpl w:val="2F52B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64BF4"/>
    <w:multiLevelType w:val="hybridMultilevel"/>
    <w:tmpl w:val="F6F2515A"/>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FE015F2"/>
    <w:multiLevelType w:val="hybridMultilevel"/>
    <w:tmpl w:val="38EABF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272363"/>
    <w:multiLevelType w:val="hybridMultilevel"/>
    <w:tmpl w:val="9364E286"/>
    <w:lvl w:ilvl="0" w:tplc="0415000F">
      <w:start w:val="1"/>
      <w:numFmt w:val="decimal"/>
      <w:lvlText w:val="%1."/>
      <w:lvlJc w:val="left"/>
      <w:pPr>
        <w:ind w:left="1080" w:hanging="720"/>
      </w:pPr>
      <w:rPr>
        <w:rFonts w:hint="default"/>
      </w:rPr>
    </w:lvl>
    <w:lvl w:ilvl="1" w:tplc="E5EE593A">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80DA2"/>
    <w:multiLevelType w:val="hybridMultilevel"/>
    <w:tmpl w:val="754C4FC4"/>
    <w:lvl w:ilvl="0" w:tplc="75E2E7B2">
      <w:start w:val="1"/>
      <w:numFmt w:val="decimal"/>
      <w:lvlText w:val="%1."/>
      <w:lvlJc w:val="left"/>
      <w:pPr>
        <w:ind w:left="142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B876D1"/>
    <w:multiLevelType w:val="hybridMultilevel"/>
    <w:tmpl w:val="C7349936"/>
    <w:lvl w:ilvl="0" w:tplc="F828D122">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72A36B8"/>
    <w:multiLevelType w:val="hybridMultilevel"/>
    <w:tmpl w:val="C964B474"/>
    <w:lvl w:ilvl="0" w:tplc="0415000F">
      <w:start w:val="1"/>
      <w:numFmt w:val="decimal"/>
      <w:lvlText w:val="%1."/>
      <w:lvlJc w:val="left"/>
      <w:pPr>
        <w:ind w:left="26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8A4B77"/>
    <w:multiLevelType w:val="hybridMultilevel"/>
    <w:tmpl w:val="9E08F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5241BA"/>
    <w:multiLevelType w:val="multilevel"/>
    <w:tmpl w:val="9E0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402F4"/>
    <w:multiLevelType w:val="hybridMultilevel"/>
    <w:tmpl w:val="E4FE853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37270E73"/>
    <w:multiLevelType w:val="hybridMultilevel"/>
    <w:tmpl w:val="2CE2310E"/>
    <w:lvl w:ilvl="0" w:tplc="72ACD240">
      <w:start w:val="5"/>
      <w:numFmt w:val="decimal"/>
      <w:lvlText w:val="%1."/>
      <w:lvlJc w:val="left"/>
      <w:pPr>
        <w:ind w:left="142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47B19"/>
    <w:multiLevelType w:val="hybridMultilevel"/>
    <w:tmpl w:val="71F2A936"/>
    <w:lvl w:ilvl="0" w:tplc="04150001">
      <w:start w:val="1"/>
      <w:numFmt w:val="bullet"/>
      <w:lvlText w:val=""/>
      <w:lvlJc w:val="left"/>
      <w:pPr>
        <w:ind w:left="1424" w:hanging="360"/>
      </w:pPr>
      <w:rPr>
        <w:rFonts w:ascii="Symbol" w:hAnsi="Symbol" w:hint="default"/>
      </w:rPr>
    </w:lvl>
    <w:lvl w:ilvl="1" w:tplc="04150003" w:tentative="1">
      <w:start w:val="1"/>
      <w:numFmt w:val="bullet"/>
      <w:lvlText w:val="o"/>
      <w:lvlJc w:val="left"/>
      <w:pPr>
        <w:ind w:left="2144" w:hanging="360"/>
      </w:pPr>
      <w:rPr>
        <w:rFonts w:ascii="Courier New" w:hAnsi="Courier New" w:cs="Courier New" w:hint="default"/>
      </w:rPr>
    </w:lvl>
    <w:lvl w:ilvl="2" w:tplc="04150005" w:tentative="1">
      <w:start w:val="1"/>
      <w:numFmt w:val="bullet"/>
      <w:lvlText w:val=""/>
      <w:lvlJc w:val="left"/>
      <w:pPr>
        <w:ind w:left="2864" w:hanging="360"/>
      </w:pPr>
      <w:rPr>
        <w:rFonts w:ascii="Wingdings" w:hAnsi="Wingdings" w:hint="default"/>
      </w:rPr>
    </w:lvl>
    <w:lvl w:ilvl="3" w:tplc="04150001" w:tentative="1">
      <w:start w:val="1"/>
      <w:numFmt w:val="bullet"/>
      <w:lvlText w:val=""/>
      <w:lvlJc w:val="left"/>
      <w:pPr>
        <w:ind w:left="3584" w:hanging="360"/>
      </w:pPr>
      <w:rPr>
        <w:rFonts w:ascii="Symbol" w:hAnsi="Symbol" w:hint="default"/>
      </w:rPr>
    </w:lvl>
    <w:lvl w:ilvl="4" w:tplc="04150003" w:tentative="1">
      <w:start w:val="1"/>
      <w:numFmt w:val="bullet"/>
      <w:lvlText w:val="o"/>
      <w:lvlJc w:val="left"/>
      <w:pPr>
        <w:ind w:left="4304" w:hanging="360"/>
      </w:pPr>
      <w:rPr>
        <w:rFonts w:ascii="Courier New" w:hAnsi="Courier New" w:cs="Courier New" w:hint="default"/>
      </w:rPr>
    </w:lvl>
    <w:lvl w:ilvl="5" w:tplc="04150005" w:tentative="1">
      <w:start w:val="1"/>
      <w:numFmt w:val="bullet"/>
      <w:lvlText w:val=""/>
      <w:lvlJc w:val="left"/>
      <w:pPr>
        <w:ind w:left="5024" w:hanging="360"/>
      </w:pPr>
      <w:rPr>
        <w:rFonts w:ascii="Wingdings" w:hAnsi="Wingdings" w:hint="default"/>
      </w:rPr>
    </w:lvl>
    <w:lvl w:ilvl="6" w:tplc="04150001" w:tentative="1">
      <w:start w:val="1"/>
      <w:numFmt w:val="bullet"/>
      <w:lvlText w:val=""/>
      <w:lvlJc w:val="left"/>
      <w:pPr>
        <w:ind w:left="5744" w:hanging="360"/>
      </w:pPr>
      <w:rPr>
        <w:rFonts w:ascii="Symbol" w:hAnsi="Symbol" w:hint="default"/>
      </w:rPr>
    </w:lvl>
    <w:lvl w:ilvl="7" w:tplc="04150003" w:tentative="1">
      <w:start w:val="1"/>
      <w:numFmt w:val="bullet"/>
      <w:lvlText w:val="o"/>
      <w:lvlJc w:val="left"/>
      <w:pPr>
        <w:ind w:left="6464" w:hanging="360"/>
      </w:pPr>
      <w:rPr>
        <w:rFonts w:ascii="Courier New" w:hAnsi="Courier New" w:cs="Courier New" w:hint="default"/>
      </w:rPr>
    </w:lvl>
    <w:lvl w:ilvl="8" w:tplc="04150005" w:tentative="1">
      <w:start w:val="1"/>
      <w:numFmt w:val="bullet"/>
      <w:lvlText w:val=""/>
      <w:lvlJc w:val="left"/>
      <w:pPr>
        <w:ind w:left="7184" w:hanging="360"/>
      </w:pPr>
      <w:rPr>
        <w:rFonts w:ascii="Wingdings" w:hAnsi="Wingdings" w:hint="default"/>
      </w:rPr>
    </w:lvl>
  </w:abstractNum>
  <w:abstractNum w:abstractNumId="13" w15:restartNumberingAfterBreak="0">
    <w:nsid w:val="3CEA1A0B"/>
    <w:multiLevelType w:val="hybridMultilevel"/>
    <w:tmpl w:val="9A72B5DE"/>
    <w:lvl w:ilvl="0" w:tplc="0AF4817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B61EAA"/>
    <w:multiLevelType w:val="hybridMultilevel"/>
    <w:tmpl w:val="88C8CC32"/>
    <w:lvl w:ilvl="0" w:tplc="0C5C7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1367B"/>
    <w:multiLevelType w:val="hybridMultilevel"/>
    <w:tmpl w:val="7CB6C7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81C2704"/>
    <w:multiLevelType w:val="hybridMultilevel"/>
    <w:tmpl w:val="595A290A"/>
    <w:lvl w:ilvl="0" w:tplc="442CB61C">
      <w:start w:val="1"/>
      <w:numFmt w:val="upperRoman"/>
      <w:lvlText w:val="%1."/>
      <w:lvlJc w:val="left"/>
      <w:pPr>
        <w:ind w:left="1080" w:hanging="720"/>
      </w:pPr>
      <w:rPr>
        <w:rFonts w:hint="default"/>
      </w:rPr>
    </w:lvl>
    <w:lvl w:ilvl="1" w:tplc="E5EE593A">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FF0750"/>
    <w:multiLevelType w:val="hybridMultilevel"/>
    <w:tmpl w:val="AA6EEB4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3AD65F5"/>
    <w:multiLevelType w:val="hybridMultilevel"/>
    <w:tmpl w:val="7F740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397636"/>
    <w:multiLevelType w:val="hybridMultilevel"/>
    <w:tmpl w:val="AF40C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D009C1"/>
    <w:multiLevelType w:val="hybridMultilevel"/>
    <w:tmpl w:val="5C2C8480"/>
    <w:lvl w:ilvl="0" w:tplc="B3788B2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
  </w:num>
  <w:num w:numId="3">
    <w:abstractNumId w:val="16"/>
  </w:num>
  <w:num w:numId="4">
    <w:abstractNumId w:val="0"/>
  </w:num>
  <w:num w:numId="5">
    <w:abstractNumId w:val="15"/>
  </w:num>
  <w:num w:numId="6">
    <w:abstractNumId w:val="14"/>
  </w:num>
  <w:num w:numId="7">
    <w:abstractNumId w:val="4"/>
  </w:num>
  <w:num w:numId="8">
    <w:abstractNumId w:val="6"/>
  </w:num>
  <w:num w:numId="9">
    <w:abstractNumId w:val="20"/>
  </w:num>
  <w:num w:numId="10">
    <w:abstractNumId w:val="17"/>
  </w:num>
  <w:num w:numId="11">
    <w:abstractNumId w:val="10"/>
  </w:num>
  <w:num w:numId="12">
    <w:abstractNumId w:val="5"/>
  </w:num>
  <w:num w:numId="13">
    <w:abstractNumId w:val="19"/>
  </w:num>
  <w:num w:numId="14">
    <w:abstractNumId w:val="13"/>
  </w:num>
  <w:num w:numId="15">
    <w:abstractNumId w:val="11"/>
  </w:num>
  <w:num w:numId="16">
    <w:abstractNumId w:val="8"/>
  </w:num>
  <w:num w:numId="17">
    <w:abstractNumId w:val="7"/>
  </w:num>
  <w:num w:numId="18">
    <w:abstractNumId w:val="1"/>
  </w:num>
  <w:num w:numId="19">
    <w:abstractNumId w:val="18"/>
  </w:num>
  <w:num w:numId="20">
    <w:abstractNumId w:val="3"/>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07"/>
    <w:rsid w:val="00004A10"/>
    <w:rsid w:val="00004D1D"/>
    <w:rsid w:val="000057FD"/>
    <w:rsid w:val="00007209"/>
    <w:rsid w:val="00013114"/>
    <w:rsid w:val="0001527E"/>
    <w:rsid w:val="000171AF"/>
    <w:rsid w:val="00021610"/>
    <w:rsid w:val="000255DD"/>
    <w:rsid w:val="000364F2"/>
    <w:rsid w:val="000446C0"/>
    <w:rsid w:val="00046F00"/>
    <w:rsid w:val="00052963"/>
    <w:rsid w:val="00052A4F"/>
    <w:rsid w:val="000564B8"/>
    <w:rsid w:val="00063471"/>
    <w:rsid w:val="00065BBC"/>
    <w:rsid w:val="00066011"/>
    <w:rsid w:val="00070D76"/>
    <w:rsid w:val="000722F9"/>
    <w:rsid w:val="00074AD3"/>
    <w:rsid w:val="00076FE9"/>
    <w:rsid w:val="000824A7"/>
    <w:rsid w:val="0009031D"/>
    <w:rsid w:val="00095514"/>
    <w:rsid w:val="00096D52"/>
    <w:rsid w:val="000A6FA4"/>
    <w:rsid w:val="000B1747"/>
    <w:rsid w:val="000B6B21"/>
    <w:rsid w:val="000C0907"/>
    <w:rsid w:val="000C2F03"/>
    <w:rsid w:val="000E1A53"/>
    <w:rsid w:val="001006E9"/>
    <w:rsid w:val="0014065E"/>
    <w:rsid w:val="00141415"/>
    <w:rsid w:val="00150795"/>
    <w:rsid w:val="00153E48"/>
    <w:rsid w:val="00157986"/>
    <w:rsid w:val="00160633"/>
    <w:rsid w:val="00162AE1"/>
    <w:rsid w:val="001743F2"/>
    <w:rsid w:val="001913E3"/>
    <w:rsid w:val="001975FD"/>
    <w:rsid w:val="001B5354"/>
    <w:rsid w:val="001B71D8"/>
    <w:rsid w:val="001C504C"/>
    <w:rsid w:val="001C7E45"/>
    <w:rsid w:val="001D4974"/>
    <w:rsid w:val="001D5D0D"/>
    <w:rsid w:val="001E10FC"/>
    <w:rsid w:val="001E43B8"/>
    <w:rsid w:val="001E510D"/>
    <w:rsid w:val="001E6FB4"/>
    <w:rsid w:val="001E7A00"/>
    <w:rsid w:val="001F0CB6"/>
    <w:rsid w:val="001F2669"/>
    <w:rsid w:val="002004D8"/>
    <w:rsid w:val="00202876"/>
    <w:rsid w:val="00202AE8"/>
    <w:rsid w:val="00214938"/>
    <w:rsid w:val="00216325"/>
    <w:rsid w:val="002171B0"/>
    <w:rsid w:val="00230892"/>
    <w:rsid w:val="0023350F"/>
    <w:rsid w:val="00233D71"/>
    <w:rsid w:val="002532E9"/>
    <w:rsid w:val="00257EF4"/>
    <w:rsid w:val="0026167F"/>
    <w:rsid w:val="00267600"/>
    <w:rsid w:val="00275C6F"/>
    <w:rsid w:val="002761C4"/>
    <w:rsid w:val="00277648"/>
    <w:rsid w:val="002A0F1F"/>
    <w:rsid w:val="002B3FBB"/>
    <w:rsid w:val="002B614A"/>
    <w:rsid w:val="002B62ED"/>
    <w:rsid w:val="002D1287"/>
    <w:rsid w:val="002D1456"/>
    <w:rsid w:val="002E0611"/>
    <w:rsid w:val="002F06E7"/>
    <w:rsid w:val="002F3564"/>
    <w:rsid w:val="00303045"/>
    <w:rsid w:val="00304DFA"/>
    <w:rsid w:val="00310B3A"/>
    <w:rsid w:val="003155D0"/>
    <w:rsid w:val="00320B9A"/>
    <w:rsid w:val="00332AC8"/>
    <w:rsid w:val="00334984"/>
    <w:rsid w:val="00337CF8"/>
    <w:rsid w:val="00353AFA"/>
    <w:rsid w:val="0036592D"/>
    <w:rsid w:val="00372A74"/>
    <w:rsid w:val="00372DEE"/>
    <w:rsid w:val="0037392C"/>
    <w:rsid w:val="00375094"/>
    <w:rsid w:val="00385F09"/>
    <w:rsid w:val="00387454"/>
    <w:rsid w:val="003950B0"/>
    <w:rsid w:val="003963AA"/>
    <w:rsid w:val="003A5C80"/>
    <w:rsid w:val="003B2B36"/>
    <w:rsid w:val="003B56F8"/>
    <w:rsid w:val="003B6464"/>
    <w:rsid w:val="003C0765"/>
    <w:rsid w:val="003C1142"/>
    <w:rsid w:val="003C7C64"/>
    <w:rsid w:val="003D044F"/>
    <w:rsid w:val="003D5DBA"/>
    <w:rsid w:val="003D6788"/>
    <w:rsid w:val="003D77EE"/>
    <w:rsid w:val="003E6F01"/>
    <w:rsid w:val="003F10F5"/>
    <w:rsid w:val="003F325F"/>
    <w:rsid w:val="0040033B"/>
    <w:rsid w:val="0040224D"/>
    <w:rsid w:val="004074ED"/>
    <w:rsid w:val="00430289"/>
    <w:rsid w:val="00432C49"/>
    <w:rsid w:val="004338E3"/>
    <w:rsid w:val="0044771D"/>
    <w:rsid w:val="00456170"/>
    <w:rsid w:val="00460283"/>
    <w:rsid w:val="00467754"/>
    <w:rsid w:val="004767EB"/>
    <w:rsid w:val="00490A88"/>
    <w:rsid w:val="00491E4E"/>
    <w:rsid w:val="00492E55"/>
    <w:rsid w:val="004A0EB5"/>
    <w:rsid w:val="004A6B3A"/>
    <w:rsid w:val="004B1660"/>
    <w:rsid w:val="004B649B"/>
    <w:rsid w:val="004C0122"/>
    <w:rsid w:val="004C064C"/>
    <w:rsid w:val="004C1EF2"/>
    <w:rsid w:val="004C3489"/>
    <w:rsid w:val="004C603C"/>
    <w:rsid w:val="004D4801"/>
    <w:rsid w:val="004D77A4"/>
    <w:rsid w:val="004D785B"/>
    <w:rsid w:val="004D7B96"/>
    <w:rsid w:val="004E1855"/>
    <w:rsid w:val="004E6893"/>
    <w:rsid w:val="004F78C1"/>
    <w:rsid w:val="005011C0"/>
    <w:rsid w:val="005042F2"/>
    <w:rsid w:val="0052689A"/>
    <w:rsid w:val="00532E4B"/>
    <w:rsid w:val="00533D40"/>
    <w:rsid w:val="005350CB"/>
    <w:rsid w:val="005563AC"/>
    <w:rsid w:val="005623BD"/>
    <w:rsid w:val="0056766E"/>
    <w:rsid w:val="00574DD8"/>
    <w:rsid w:val="00582D85"/>
    <w:rsid w:val="00586D0A"/>
    <w:rsid w:val="00594122"/>
    <w:rsid w:val="005969A5"/>
    <w:rsid w:val="005A0FE7"/>
    <w:rsid w:val="005A271F"/>
    <w:rsid w:val="005A5E86"/>
    <w:rsid w:val="005B1A00"/>
    <w:rsid w:val="005B33D7"/>
    <w:rsid w:val="005B48F3"/>
    <w:rsid w:val="005B4C1A"/>
    <w:rsid w:val="005B6231"/>
    <w:rsid w:val="005C775B"/>
    <w:rsid w:val="005D0DB0"/>
    <w:rsid w:val="005D2928"/>
    <w:rsid w:val="005E49A1"/>
    <w:rsid w:val="005E5D76"/>
    <w:rsid w:val="005F2978"/>
    <w:rsid w:val="005F5438"/>
    <w:rsid w:val="006102AA"/>
    <w:rsid w:val="0061453B"/>
    <w:rsid w:val="00614617"/>
    <w:rsid w:val="0062590B"/>
    <w:rsid w:val="00627016"/>
    <w:rsid w:val="00632682"/>
    <w:rsid w:val="00636EE8"/>
    <w:rsid w:val="0065731D"/>
    <w:rsid w:val="00662F8E"/>
    <w:rsid w:val="006635CB"/>
    <w:rsid w:val="0066584F"/>
    <w:rsid w:val="00667F51"/>
    <w:rsid w:val="00670EEA"/>
    <w:rsid w:val="00672D77"/>
    <w:rsid w:val="006769FE"/>
    <w:rsid w:val="00682644"/>
    <w:rsid w:val="00682DA4"/>
    <w:rsid w:val="00691F94"/>
    <w:rsid w:val="00696675"/>
    <w:rsid w:val="006A4137"/>
    <w:rsid w:val="006A507D"/>
    <w:rsid w:val="006A66E0"/>
    <w:rsid w:val="006B6402"/>
    <w:rsid w:val="006B6757"/>
    <w:rsid w:val="006C0A22"/>
    <w:rsid w:val="006C70E3"/>
    <w:rsid w:val="006D21F1"/>
    <w:rsid w:val="006D4BE6"/>
    <w:rsid w:val="006D5ABC"/>
    <w:rsid w:val="006D7B47"/>
    <w:rsid w:val="006E2945"/>
    <w:rsid w:val="006E5E09"/>
    <w:rsid w:val="006E655A"/>
    <w:rsid w:val="006F02CB"/>
    <w:rsid w:val="006F055B"/>
    <w:rsid w:val="006F12A4"/>
    <w:rsid w:val="006F2E1B"/>
    <w:rsid w:val="006F5127"/>
    <w:rsid w:val="007007E5"/>
    <w:rsid w:val="00720B15"/>
    <w:rsid w:val="00724361"/>
    <w:rsid w:val="00734DA0"/>
    <w:rsid w:val="007404D4"/>
    <w:rsid w:val="00745204"/>
    <w:rsid w:val="007457F3"/>
    <w:rsid w:val="007472F8"/>
    <w:rsid w:val="007515DA"/>
    <w:rsid w:val="00765D02"/>
    <w:rsid w:val="0078346A"/>
    <w:rsid w:val="007A3590"/>
    <w:rsid w:val="007A3956"/>
    <w:rsid w:val="007B099E"/>
    <w:rsid w:val="007B3EBF"/>
    <w:rsid w:val="007C538A"/>
    <w:rsid w:val="007D009B"/>
    <w:rsid w:val="007D04D2"/>
    <w:rsid w:val="007D2C61"/>
    <w:rsid w:val="007E013C"/>
    <w:rsid w:val="007E2487"/>
    <w:rsid w:val="007F097E"/>
    <w:rsid w:val="007F25BD"/>
    <w:rsid w:val="007F2F31"/>
    <w:rsid w:val="007F45B5"/>
    <w:rsid w:val="007F4BC1"/>
    <w:rsid w:val="00802A10"/>
    <w:rsid w:val="00802EC0"/>
    <w:rsid w:val="00805161"/>
    <w:rsid w:val="00807F9F"/>
    <w:rsid w:val="008162C6"/>
    <w:rsid w:val="00823A0F"/>
    <w:rsid w:val="008375DC"/>
    <w:rsid w:val="0084078C"/>
    <w:rsid w:val="00861C76"/>
    <w:rsid w:val="0086434E"/>
    <w:rsid w:val="00866A7E"/>
    <w:rsid w:val="00877C33"/>
    <w:rsid w:val="00894F66"/>
    <w:rsid w:val="008A0E2A"/>
    <w:rsid w:val="008A233F"/>
    <w:rsid w:val="008A749B"/>
    <w:rsid w:val="008B2133"/>
    <w:rsid w:val="008B582F"/>
    <w:rsid w:val="008D28B5"/>
    <w:rsid w:val="008D7BFF"/>
    <w:rsid w:val="008E0336"/>
    <w:rsid w:val="008E6C27"/>
    <w:rsid w:val="008E7962"/>
    <w:rsid w:val="008F1160"/>
    <w:rsid w:val="009054F4"/>
    <w:rsid w:val="00932922"/>
    <w:rsid w:val="009376C1"/>
    <w:rsid w:val="0094406D"/>
    <w:rsid w:val="00944F73"/>
    <w:rsid w:val="009450FD"/>
    <w:rsid w:val="00947AEC"/>
    <w:rsid w:val="00947D85"/>
    <w:rsid w:val="00947E5E"/>
    <w:rsid w:val="009537B8"/>
    <w:rsid w:val="00953E93"/>
    <w:rsid w:val="00981177"/>
    <w:rsid w:val="00984ECF"/>
    <w:rsid w:val="00993FFF"/>
    <w:rsid w:val="009B1F2E"/>
    <w:rsid w:val="009B588A"/>
    <w:rsid w:val="009C0296"/>
    <w:rsid w:val="009C075F"/>
    <w:rsid w:val="009C2403"/>
    <w:rsid w:val="009C285A"/>
    <w:rsid w:val="009C63C4"/>
    <w:rsid w:val="009F66C3"/>
    <w:rsid w:val="00A00169"/>
    <w:rsid w:val="00A03D05"/>
    <w:rsid w:val="00A045F4"/>
    <w:rsid w:val="00A04C75"/>
    <w:rsid w:val="00A12956"/>
    <w:rsid w:val="00A12E61"/>
    <w:rsid w:val="00A200F9"/>
    <w:rsid w:val="00A3144E"/>
    <w:rsid w:val="00A370A1"/>
    <w:rsid w:val="00A40F67"/>
    <w:rsid w:val="00A475D6"/>
    <w:rsid w:val="00A654BF"/>
    <w:rsid w:val="00A75BCA"/>
    <w:rsid w:val="00A75FE2"/>
    <w:rsid w:val="00A770B2"/>
    <w:rsid w:val="00A82A4D"/>
    <w:rsid w:val="00A85E90"/>
    <w:rsid w:val="00A93FCA"/>
    <w:rsid w:val="00A96C43"/>
    <w:rsid w:val="00AA2B9A"/>
    <w:rsid w:val="00AA7AE8"/>
    <w:rsid w:val="00AB4931"/>
    <w:rsid w:val="00AC17D3"/>
    <w:rsid w:val="00AC7E6A"/>
    <w:rsid w:val="00AD1731"/>
    <w:rsid w:val="00AD53B4"/>
    <w:rsid w:val="00AD6A44"/>
    <w:rsid w:val="00AD6DD3"/>
    <w:rsid w:val="00AE08A6"/>
    <w:rsid w:val="00AE512A"/>
    <w:rsid w:val="00AE64A1"/>
    <w:rsid w:val="00AF4DB4"/>
    <w:rsid w:val="00B0288D"/>
    <w:rsid w:val="00B042F8"/>
    <w:rsid w:val="00B131EA"/>
    <w:rsid w:val="00B15201"/>
    <w:rsid w:val="00B2044A"/>
    <w:rsid w:val="00B23E28"/>
    <w:rsid w:val="00B31F09"/>
    <w:rsid w:val="00B40BAD"/>
    <w:rsid w:val="00B65E2D"/>
    <w:rsid w:val="00B66D5A"/>
    <w:rsid w:val="00B6715F"/>
    <w:rsid w:val="00B7551B"/>
    <w:rsid w:val="00B77844"/>
    <w:rsid w:val="00B82C21"/>
    <w:rsid w:val="00B83801"/>
    <w:rsid w:val="00B85D04"/>
    <w:rsid w:val="00B86C22"/>
    <w:rsid w:val="00B905CD"/>
    <w:rsid w:val="00B91889"/>
    <w:rsid w:val="00B978F7"/>
    <w:rsid w:val="00BA130C"/>
    <w:rsid w:val="00BA232F"/>
    <w:rsid w:val="00BA7846"/>
    <w:rsid w:val="00BA797F"/>
    <w:rsid w:val="00BB0B2E"/>
    <w:rsid w:val="00BB33B1"/>
    <w:rsid w:val="00BB6093"/>
    <w:rsid w:val="00BC4098"/>
    <w:rsid w:val="00BE0289"/>
    <w:rsid w:val="00BE44E3"/>
    <w:rsid w:val="00BE4D9D"/>
    <w:rsid w:val="00BE5371"/>
    <w:rsid w:val="00BE5DA8"/>
    <w:rsid w:val="00BF47A8"/>
    <w:rsid w:val="00C027F3"/>
    <w:rsid w:val="00C02833"/>
    <w:rsid w:val="00C10F64"/>
    <w:rsid w:val="00C21466"/>
    <w:rsid w:val="00C21B3B"/>
    <w:rsid w:val="00C235BC"/>
    <w:rsid w:val="00C463D5"/>
    <w:rsid w:val="00C54F65"/>
    <w:rsid w:val="00C56F84"/>
    <w:rsid w:val="00C57D3F"/>
    <w:rsid w:val="00C67491"/>
    <w:rsid w:val="00C70D7A"/>
    <w:rsid w:val="00C7460D"/>
    <w:rsid w:val="00C80416"/>
    <w:rsid w:val="00C84DDA"/>
    <w:rsid w:val="00C85797"/>
    <w:rsid w:val="00C9362D"/>
    <w:rsid w:val="00CA326C"/>
    <w:rsid w:val="00CA5286"/>
    <w:rsid w:val="00CA57ED"/>
    <w:rsid w:val="00CA72BD"/>
    <w:rsid w:val="00CC19CB"/>
    <w:rsid w:val="00CC25C9"/>
    <w:rsid w:val="00CC3329"/>
    <w:rsid w:val="00CC407A"/>
    <w:rsid w:val="00CC4FD3"/>
    <w:rsid w:val="00CD120F"/>
    <w:rsid w:val="00CD1B08"/>
    <w:rsid w:val="00CD3746"/>
    <w:rsid w:val="00CF0CB2"/>
    <w:rsid w:val="00D02975"/>
    <w:rsid w:val="00D031F1"/>
    <w:rsid w:val="00D10484"/>
    <w:rsid w:val="00D20DFD"/>
    <w:rsid w:val="00D21ACC"/>
    <w:rsid w:val="00D23236"/>
    <w:rsid w:val="00D30178"/>
    <w:rsid w:val="00D3547E"/>
    <w:rsid w:val="00D40437"/>
    <w:rsid w:val="00D42EDB"/>
    <w:rsid w:val="00D44E98"/>
    <w:rsid w:val="00D50AF3"/>
    <w:rsid w:val="00D536D8"/>
    <w:rsid w:val="00D53F51"/>
    <w:rsid w:val="00D545B4"/>
    <w:rsid w:val="00D569F8"/>
    <w:rsid w:val="00D66075"/>
    <w:rsid w:val="00D74269"/>
    <w:rsid w:val="00D749BE"/>
    <w:rsid w:val="00D74A85"/>
    <w:rsid w:val="00D9302A"/>
    <w:rsid w:val="00D94CA1"/>
    <w:rsid w:val="00D95A0C"/>
    <w:rsid w:val="00DB0000"/>
    <w:rsid w:val="00DB628B"/>
    <w:rsid w:val="00DB7618"/>
    <w:rsid w:val="00DC55FE"/>
    <w:rsid w:val="00DC6489"/>
    <w:rsid w:val="00DD41F1"/>
    <w:rsid w:val="00DE25A9"/>
    <w:rsid w:val="00DE729E"/>
    <w:rsid w:val="00E02C01"/>
    <w:rsid w:val="00E03ADD"/>
    <w:rsid w:val="00E05D75"/>
    <w:rsid w:val="00E10226"/>
    <w:rsid w:val="00E130DB"/>
    <w:rsid w:val="00E17AB7"/>
    <w:rsid w:val="00E22FAF"/>
    <w:rsid w:val="00E376BA"/>
    <w:rsid w:val="00E411DD"/>
    <w:rsid w:val="00E4264E"/>
    <w:rsid w:val="00E475DC"/>
    <w:rsid w:val="00E52E56"/>
    <w:rsid w:val="00E55100"/>
    <w:rsid w:val="00E6504A"/>
    <w:rsid w:val="00E67663"/>
    <w:rsid w:val="00E73260"/>
    <w:rsid w:val="00E82170"/>
    <w:rsid w:val="00E94081"/>
    <w:rsid w:val="00E96878"/>
    <w:rsid w:val="00EB593F"/>
    <w:rsid w:val="00EB7309"/>
    <w:rsid w:val="00EC2230"/>
    <w:rsid w:val="00EC3790"/>
    <w:rsid w:val="00EC6408"/>
    <w:rsid w:val="00EC6776"/>
    <w:rsid w:val="00EC71F7"/>
    <w:rsid w:val="00ED0349"/>
    <w:rsid w:val="00ED3586"/>
    <w:rsid w:val="00EE36F4"/>
    <w:rsid w:val="00F03EA5"/>
    <w:rsid w:val="00F05F91"/>
    <w:rsid w:val="00F107DC"/>
    <w:rsid w:val="00F11166"/>
    <w:rsid w:val="00F3087C"/>
    <w:rsid w:val="00F323DE"/>
    <w:rsid w:val="00F40296"/>
    <w:rsid w:val="00F455DC"/>
    <w:rsid w:val="00F46F67"/>
    <w:rsid w:val="00F524AB"/>
    <w:rsid w:val="00F60607"/>
    <w:rsid w:val="00F707F5"/>
    <w:rsid w:val="00F75103"/>
    <w:rsid w:val="00F75460"/>
    <w:rsid w:val="00F77548"/>
    <w:rsid w:val="00F9563D"/>
    <w:rsid w:val="00FA5009"/>
    <w:rsid w:val="00FA7541"/>
    <w:rsid w:val="00FB081F"/>
    <w:rsid w:val="00FB74B5"/>
    <w:rsid w:val="00FB7C56"/>
    <w:rsid w:val="00FC18E4"/>
    <w:rsid w:val="00FC5FA5"/>
    <w:rsid w:val="00FD332D"/>
    <w:rsid w:val="00FE5617"/>
    <w:rsid w:val="00FF456F"/>
    <w:rsid w:val="00FF4EEA"/>
    <w:rsid w:val="00FF6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46D5-E181-42D2-B34E-0324DB3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0B3A"/>
  </w:style>
  <w:style w:type="paragraph" w:styleId="Nagwek1">
    <w:name w:val="heading 1"/>
    <w:basedOn w:val="Normalny"/>
    <w:next w:val="Normalny"/>
    <w:link w:val="Nagwek1Znak"/>
    <w:uiPriority w:val="9"/>
    <w:qFormat/>
    <w:rsid w:val="00310B3A"/>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310B3A"/>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310B3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310B3A"/>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310B3A"/>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310B3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310B3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310B3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310B3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PDST,lp1,Preambuła,HŁ_Bullet1,Wyliczanie,List Paragraph,BulletC,A_wyliczenie,K-P_odwolanie,Akapit z listą5,maz_wyliczenie,opis dzialania,Table of contents numbered,Numerowanie,Tytuły tabel i wykresów,Akapit z listą 1,L1,Dot pt"/>
    <w:basedOn w:val="Normalny"/>
    <w:link w:val="AkapitzlistZnak"/>
    <w:uiPriority w:val="34"/>
    <w:qFormat/>
    <w:rsid w:val="00A475D6"/>
    <w:pPr>
      <w:ind w:left="720"/>
      <w:contextualSpacing/>
    </w:pPr>
  </w:style>
  <w:style w:type="character" w:customStyle="1" w:styleId="AkapitzlistZnak">
    <w:name w:val="Akapit z listą Znak"/>
    <w:aliases w:val="Normalny PDST Znak,lp1 Znak,Preambuła Znak,HŁ_Bullet1 Znak,Wyliczanie Znak,List Paragraph Znak,BulletC Znak,A_wyliczenie Znak,K-P_odwolanie Znak,Akapit z listą5 Znak,maz_wyliczenie Znak,opis dzialania Znak,Numerowanie Znak,L1 Znak"/>
    <w:link w:val="Akapitzlist"/>
    <w:uiPriority w:val="34"/>
    <w:qFormat/>
    <w:locked/>
    <w:rsid w:val="00FF4EEA"/>
  </w:style>
  <w:style w:type="paragraph" w:styleId="Nagwek">
    <w:name w:val="header"/>
    <w:basedOn w:val="Normalny"/>
    <w:link w:val="NagwekZnak"/>
    <w:uiPriority w:val="99"/>
    <w:unhideWhenUsed/>
    <w:rsid w:val="00B918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1889"/>
  </w:style>
  <w:style w:type="paragraph" w:styleId="Stopka">
    <w:name w:val="footer"/>
    <w:basedOn w:val="Normalny"/>
    <w:link w:val="StopkaZnak"/>
    <w:uiPriority w:val="99"/>
    <w:unhideWhenUsed/>
    <w:rsid w:val="00B91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1889"/>
  </w:style>
  <w:style w:type="character" w:styleId="Odwoanieprzypisudolnego">
    <w:name w:val="footnote reference"/>
    <w:aliases w:val="Footnote Reference Number,Footnote symbol,Footnote reference number,note TESI,Footnote Reference Superscript,Appel note de bas de p,Times 10 Point,Exposant 3 Point,EN Footnote Reference,BVI fnr,E FNZ,SUPERS,Footnote number,Ref"/>
    <w:basedOn w:val="Domylnaczcionkaakapitu"/>
    <w:link w:val="FootnoteReferneceCarcter"/>
    <w:uiPriority w:val="99"/>
    <w:unhideWhenUsed/>
    <w:qFormat/>
    <w:rsid w:val="00B91889"/>
    <w:rPr>
      <w:vertAlign w:val="superscript"/>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Fußnote,Footnote,Podrozdzia3"/>
    <w:basedOn w:val="Normalny"/>
    <w:link w:val="TekstprzypisudolnegoZnak1"/>
    <w:uiPriority w:val="99"/>
    <w:unhideWhenUsed/>
    <w:rsid w:val="00B91889"/>
    <w:pPr>
      <w:spacing w:after="0" w:line="240" w:lineRule="auto"/>
    </w:pPr>
    <w:rPr>
      <w:sz w:val="20"/>
      <w:szCs w:val="20"/>
    </w:rPr>
  </w:style>
  <w:style w:type="character" w:customStyle="1" w:styleId="TekstprzypisudolnegoZnak">
    <w:name w:val="Tekst przypisu dolnego Znak"/>
    <w:basedOn w:val="Domylnaczcionkaakapitu"/>
    <w:uiPriority w:val="99"/>
    <w:semiHidden/>
    <w:rsid w:val="00B91889"/>
    <w:rPr>
      <w:sz w:val="20"/>
      <w:szCs w:val="20"/>
    </w:rPr>
  </w:style>
  <w:style w:type="character" w:customStyle="1" w:styleId="TekstprzypisudolnegoZnak1">
    <w:name w:val="Tekst przypisu dolnego Znak1"/>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rsid w:val="00B91889"/>
    <w:rPr>
      <w:sz w:val="20"/>
      <w:szCs w:val="20"/>
    </w:rPr>
  </w:style>
  <w:style w:type="paragraph" w:styleId="Tekstkomentarza">
    <w:name w:val="annotation text"/>
    <w:basedOn w:val="Normalny"/>
    <w:link w:val="TekstkomentarzaZnak"/>
    <w:uiPriority w:val="99"/>
    <w:semiHidden/>
    <w:unhideWhenUsed/>
    <w:rsid w:val="00B918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1889"/>
    <w:rPr>
      <w:sz w:val="20"/>
      <w:szCs w:val="20"/>
    </w:rPr>
  </w:style>
  <w:style w:type="paragraph" w:customStyle="1" w:styleId="FootnoteReferneceCarcter">
    <w:name w:val="Footnote Refernece Carácter"/>
    <w:aliases w:val="ftref Carácter,4_G Carácter"/>
    <w:basedOn w:val="Normalny"/>
    <w:link w:val="Odwoanieprzypisudolnego"/>
    <w:rsid w:val="00B91889"/>
    <w:pPr>
      <w:spacing w:before="120" w:line="240" w:lineRule="exact"/>
      <w:jc w:val="both"/>
    </w:pPr>
    <w:rPr>
      <w:vertAlign w:val="superscript"/>
    </w:rPr>
  </w:style>
  <w:style w:type="paragraph" w:styleId="Tekstdymka">
    <w:name w:val="Balloon Text"/>
    <w:basedOn w:val="Normalny"/>
    <w:link w:val="TekstdymkaZnak"/>
    <w:uiPriority w:val="99"/>
    <w:semiHidden/>
    <w:unhideWhenUsed/>
    <w:rsid w:val="006145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453B"/>
    <w:rPr>
      <w:rFonts w:ascii="Segoe UI" w:hAnsi="Segoe UI" w:cs="Segoe UI"/>
      <w:sz w:val="18"/>
      <w:szCs w:val="18"/>
    </w:rPr>
  </w:style>
  <w:style w:type="paragraph" w:styleId="Tekstpodstawowy">
    <w:name w:val="Body Text"/>
    <w:basedOn w:val="Normalny"/>
    <w:link w:val="TekstpodstawowyZnak"/>
    <w:uiPriority w:val="1"/>
    <w:rsid w:val="00E55100"/>
    <w:pPr>
      <w:widowControl w:val="0"/>
      <w:autoSpaceDE w:val="0"/>
      <w:autoSpaceDN w:val="0"/>
      <w:spacing w:after="0" w:line="240" w:lineRule="auto"/>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E55100"/>
    <w:rPr>
      <w:rFonts w:ascii="Times New Roman" w:eastAsia="Times New Roman" w:hAnsi="Times New Roman" w:cs="Times New Roman"/>
      <w:sz w:val="24"/>
      <w:szCs w:val="24"/>
      <w:lang w:eastAsia="pl-PL" w:bidi="pl-PL"/>
    </w:rPr>
  </w:style>
  <w:style w:type="paragraph" w:customStyle="1" w:styleId="ARTartustawynprozporzdzenia">
    <w:name w:val="ART(§) – art. ustawy (§ np. rozporządzenia)"/>
    <w:uiPriority w:val="11"/>
    <w:qFormat/>
    <w:rsid w:val="00A3144E"/>
    <w:pPr>
      <w:suppressAutoHyphens/>
      <w:autoSpaceDE w:val="0"/>
      <w:autoSpaceDN w:val="0"/>
      <w:adjustRightInd w:val="0"/>
      <w:spacing w:before="120" w:after="0" w:line="360" w:lineRule="auto"/>
      <w:ind w:firstLine="510"/>
      <w:jc w:val="both"/>
    </w:pPr>
    <w:rPr>
      <w:rFonts w:ascii="Times" w:hAnsi="Times" w:cs="Arial"/>
      <w:sz w:val="24"/>
      <w:szCs w:val="20"/>
      <w:lang w:eastAsia="pl-PL"/>
    </w:rPr>
  </w:style>
  <w:style w:type="paragraph" w:customStyle="1" w:styleId="ZPKTzmpktartykuempunktem">
    <w:name w:val="Z/PKT – zm. pkt artykułem (punktem)"/>
    <w:basedOn w:val="Normalny"/>
    <w:uiPriority w:val="31"/>
    <w:rsid w:val="00A3144E"/>
    <w:pPr>
      <w:spacing w:after="0" w:line="360" w:lineRule="auto"/>
      <w:ind w:left="1020" w:hanging="510"/>
      <w:jc w:val="both"/>
    </w:pPr>
    <w:rPr>
      <w:rFonts w:ascii="Times" w:hAnsi="Times" w:cs="Arial"/>
      <w:bCs/>
      <w:sz w:val="24"/>
      <w:szCs w:val="20"/>
      <w:lang w:eastAsia="pl-PL"/>
    </w:rPr>
  </w:style>
  <w:style w:type="paragraph" w:customStyle="1" w:styleId="LITlitera">
    <w:name w:val="LIT – litera"/>
    <w:basedOn w:val="Normalny"/>
    <w:uiPriority w:val="14"/>
    <w:rsid w:val="00CA72BD"/>
    <w:pPr>
      <w:spacing w:after="0" w:line="360" w:lineRule="auto"/>
      <w:ind w:left="986" w:hanging="476"/>
      <w:jc w:val="both"/>
    </w:pPr>
    <w:rPr>
      <w:rFonts w:ascii="Times" w:hAnsi="Times" w:cs="Arial"/>
      <w:bCs/>
      <w:sz w:val="24"/>
      <w:szCs w:val="20"/>
      <w:lang w:eastAsia="pl-PL"/>
    </w:rPr>
  </w:style>
  <w:style w:type="paragraph" w:customStyle="1" w:styleId="ZLITUSTzmustliter">
    <w:name w:val="Z_LIT/UST(§) – zm. ust. (§) literą"/>
    <w:basedOn w:val="Normalny"/>
    <w:uiPriority w:val="46"/>
    <w:qFormat/>
    <w:rsid w:val="00CA72BD"/>
    <w:pPr>
      <w:suppressAutoHyphens/>
      <w:autoSpaceDE w:val="0"/>
      <w:autoSpaceDN w:val="0"/>
      <w:adjustRightInd w:val="0"/>
      <w:spacing w:after="0" w:line="360" w:lineRule="auto"/>
      <w:ind w:left="987" w:firstLine="510"/>
      <w:jc w:val="both"/>
    </w:pPr>
    <w:rPr>
      <w:rFonts w:ascii="Times" w:hAnsi="Times" w:cs="Arial"/>
      <w:bCs/>
      <w:sz w:val="24"/>
      <w:szCs w:val="20"/>
      <w:lang w:eastAsia="pl-PL"/>
    </w:rPr>
  </w:style>
  <w:style w:type="paragraph" w:customStyle="1" w:styleId="ZLITPKTzmpktliter">
    <w:name w:val="Z_LIT/PKT – zm. pkt literą"/>
    <w:basedOn w:val="Normalny"/>
    <w:uiPriority w:val="47"/>
    <w:qFormat/>
    <w:rsid w:val="00CA72BD"/>
    <w:pPr>
      <w:spacing w:after="0" w:line="360" w:lineRule="auto"/>
      <w:ind w:left="1497" w:hanging="510"/>
      <w:jc w:val="both"/>
    </w:pPr>
    <w:rPr>
      <w:rFonts w:ascii="Times" w:hAnsi="Times" w:cs="Arial"/>
      <w:bCs/>
      <w:sz w:val="24"/>
      <w:szCs w:val="20"/>
      <w:lang w:eastAsia="pl-PL"/>
    </w:rPr>
  </w:style>
  <w:style w:type="paragraph" w:customStyle="1" w:styleId="ZLITARTzmartliter">
    <w:name w:val="Z_LIT/ART(§) – zm. art. (§) literą"/>
    <w:basedOn w:val="ZLITUSTzmustliter"/>
    <w:uiPriority w:val="46"/>
    <w:rsid w:val="00CA72BD"/>
    <w:rPr>
      <w:rFonts w:ascii="Times New Roman" w:hAnsi="Times New Roman"/>
    </w:rPr>
  </w:style>
  <w:style w:type="paragraph" w:customStyle="1" w:styleId="PKTpunkt">
    <w:name w:val="PKT – punkt"/>
    <w:uiPriority w:val="13"/>
    <w:qFormat/>
    <w:rsid w:val="00CA72BD"/>
    <w:pPr>
      <w:spacing w:after="0" w:line="360" w:lineRule="auto"/>
      <w:ind w:left="510" w:hanging="510"/>
      <w:jc w:val="both"/>
    </w:pPr>
    <w:rPr>
      <w:rFonts w:ascii="Times" w:hAnsi="Times" w:cs="Arial"/>
      <w:bCs/>
      <w:sz w:val="24"/>
      <w:szCs w:val="20"/>
      <w:lang w:eastAsia="pl-PL"/>
    </w:rPr>
  </w:style>
  <w:style w:type="paragraph" w:customStyle="1" w:styleId="ZUSTzmustartykuempunktem">
    <w:name w:val="Z/UST(§) – zm. ust. (§) artykułem (punktem)"/>
    <w:basedOn w:val="Normalny"/>
    <w:uiPriority w:val="30"/>
    <w:qFormat/>
    <w:rsid w:val="00CA72BD"/>
    <w:pPr>
      <w:suppressAutoHyphens/>
      <w:autoSpaceDE w:val="0"/>
      <w:autoSpaceDN w:val="0"/>
      <w:adjustRightInd w:val="0"/>
      <w:spacing w:after="0" w:line="360" w:lineRule="auto"/>
      <w:ind w:left="510" w:firstLine="510"/>
      <w:jc w:val="both"/>
    </w:pPr>
    <w:rPr>
      <w:rFonts w:ascii="Times" w:hAnsi="Times" w:cs="Arial"/>
      <w:sz w:val="24"/>
      <w:szCs w:val="20"/>
      <w:lang w:eastAsia="pl-PL"/>
    </w:rPr>
  </w:style>
  <w:style w:type="character" w:customStyle="1" w:styleId="Nagwek1Znak">
    <w:name w:val="Nagłówek 1 Znak"/>
    <w:basedOn w:val="Domylnaczcionkaakapitu"/>
    <w:link w:val="Nagwek1"/>
    <w:uiPriority w:val="9"/>
    <w:rsid w:val="00310B3A"/>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310B3A"/>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310B3A"/>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310B3A"/>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310B3A"/>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310B3A"/>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310B3A"/>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310B3A"/>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310B3A"/>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310B3A"/>
    <w:pPr>
      <w:spacing w:line="240" w:lineRule="auto"/>
    </w:pPr>
    <w:rPr>
      <w:b/>
      <w:bCs/>
      <w:smallCaps/>
      <w:color w:val="595959" w:themeColor="text1" w:themeTint="A6"/>
    </w:rPr>
  </w:style>
  <w:style w:type="paragraph" w:styleId="Tytu">
    <w:name w:val="Title"/>
    <w:basedOn w:val="Normalny"/>
    <w:next w:val="Normalny"/>
    <w:link w:val="TytuZnak"/>
    <w:uiPriority w:val="10"/>
    <w:qFormat/>
    <w:rsid w:val="00310B3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310B3A"/>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310B3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310B3A"/>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310B3A"/>
    <w:rPr>
      <w:b/>
      <w:bCs/>
    </w:rPr>
  </w:style>
  <w:style w:type="character" w:styleId="Uwydatnienie">
    <w:name w:val="Emphasis"/>
    <w:basedOn w:val="Domylnaczcionkaakapitu"/>
    <w:uiPriority w:val="20"/>
    <w:qFormat/>
    <w:rsid w:val="00310B3A"/>
    <w:rPr>
      <w:i/>
      <w:iCs/>
    </w:rPr>
  </w:style>
  <w:style w:type="paragraph" w:styleId="Bezodstpw">
    <w:name w:val="No Spacing"/>
    <w:uiPriority w:val="1"/>
    <w:qFormat/>
    <w:rsid w:val="00310B3A"/>
    <w:pPr>
      <w:spacing w:after="0" w:line="240" w:lineRule="auto"/>
    </w:pPr>
  </w:style>
  <w:style w:type="paragraph" w:styleId="Cytat">
    <w:name w:val="Quote"/>
    <w:basedOn w:val="Normalny"/>
    <w:next w:val="Normalny"/>
    <w:link w:val="CytatZnak"/>
    <w:uiPriority w:val="29"/>
    <w:qFormat/>
    <w:rsid w:val="00310B3A"/>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310B3A"/>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310B3A"/>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310B3A"/>
    <w:rPr>
      <w:color w:val="404040" w:themeColor="text1" w:themeTint="BF"/>
      <w:sz w:val="32"/>
      <w:szCs w:val="32"/>
    </w:rPr>
  </w:style>
  <w:style w:type="character" w:styleId="Wyrnieniedelikatne">
    <w:name w:val="Subtle Emphasis"/>
    <w:basedOn w:val="Domylnaczcionkaakapitu"/>
    <w:uiPriority w:val="19"/>
    <w:qFormat/>
    <w:rsid w:val="00310B3A"/>
    <w:rPr>
      <w:i/>
      <w:iCs/>
      <w:color w:val="595959" w:themeColor="text1" w:themeTint="A6"/>
    </w:rPr>
  </w:style>
  <w:style w:type="character" w:styleId="Wyrnienieintensywne">
    <w:name w:val="Intense Emphasis"/>
    <w:basedOn w:val="Domylnaczcionkaakapitu"/>
    <w:uiPriority w:val="21"/>
    <w:qFormat/>
    <w:rsid w:val="00310B3A"/>
    <w:rPr>
      <w:b/>
      <w:bCs/>
      <w:i/>
      <w:iCs/>
    </w:rPr>
  </w:style>
  <w:style w:type="character" w:styleId="Odwoaniedelikatne">
    <w:name w:val="Subtle Reference"/>
    <w:basedOn w:val="Domylnaczcionkaakapitu"/>
    <w:uiPriority w:val="31"/>
    <w:qFormat/>
    <w:rsid w:val="00310B3A"/>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310B3A"/>
    <w:rPr>
      <w:b/>
      <w:bCs/>
      <w:caps w:val="0"/>
      <w:smallCaps/>
      <w:color w:val="auto"/>
      <w:spacing w:val="3"/>
      <w:u w:val="single"/>
    </w:rPr>
  </w:style>
  <w:style w:type="character" w:styleId="Tytuksiki">
    <w:name w:val="Book Title"/>
    <w:basedOn w:val="Domylnaczcionkaakapitu"/>
    <w:uiPriority w:val="33"/>
    <w:qFormat/>
    <w:rsid w:val="00310B3A"/>
    <w:rPr>
      <w:b/>
      <w:bCs/>
      <w:smallCaps/>
      <w:spacing w:val="7"/>
    </w:rPr>
  </w:style>
  <w:style w:type="paragraph" w:styleId="Nagwekspisutreci">
    <w:name w:val="TOC Heading"/>
    <w:basedOn w:val="Nagwek1"/>
    <w:next w:val="Normalny"/>
    <w:uiPriority w:val="39"/>
    <w:semiHidden/>
    <w:unhideWhenUsed/>
    <w:qFormat/>
    <w:rsid w:val="00310B3A"/>
    <w:pPr>
      <w:outlineLvl w:val="9"/>
    </w:pPr>
  </w:style>
  <w:style w:type="character" w:styleId="Odwoaniedokomentarza">
    <w:name w:val="annotation reference"/>
    <w:basedOn w:val="Domylnaczcionkaakapitu"/>
    <w:uiPriority w:val="99"/>
    <w:semiHidden/>
    <w:unhideWhenUsed/>
    <w:rsid w:val="001C7E45"/>
    <w:rPr>
      <w:sz w:val="16"/>
      <w:szCs w:val="16"/>
    </w:rPr>
  </w:style>
  <w:style w:type="paragraph" w:styleId="Tematkomentarza">
    <w:name w:val="annotation subject"/>
    <w:basedOn w:val="Tekstkomentarza"/>
    <w:next w:val="Tekstkomentarza"/>
    <w:link w:val="TematkomentarzaZnak"/>
    <w:uiPriority w:val="99"/>
    <w:semiHidden/>
    <w:unhideWhenUsed/>
    <w:rsid w:val="001C7E45"/>
    <w:rPr>
      <w:b/>
      <w:bCs/>
    </w:rPr>
  </w:style>
  <w:style w:type="character" w:customStyle="1" w:styleId="TematkomentarzaZnak">
    <w:name w:val="Temat komentarza Znak"/>
    <w:basedOn w:val="TekstkomentarzaZnak"/>
    <w:link w:val="Tematkomentarza"/>
    <w:uiPriority w:val="99"/>
    <w:semiHidden/>
    <w:rsid w:val="001C7E45"/>
    <w:rPr>
      <w:b/>
      <w:bCs/>
      <w:sz w:val="20"/>
      <w:szCs w:val="20"/>
    </w:rPr>
  </w:style>
  <w:style w:type="character" w:styleId="Tekstzastpczy">
    <w:name w:val="Placeholder Text"/>
    <w:basedOn w:val="Domylnaczcionkaakapitu"/>
    <w:uiPriority w:val="99"/>
    <w:semiHidden/>
    <w:rsid w:val="00E05D75"/>
    <w:rPr>
      <w:color w:val="808080"/>
    </w:rPr>
  </w:style>
  <w:style w:type="paragraph" w:customStyle="1" w:styleId="ust">
    <w:name w:val="ust"/>
    <w:rsid w:val="000634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ZLITwPKTzmlitwpktartykuempunktem">
    <w:name w:val="Z/LIT_w_PKT – zm. lit. w pkt artykułem (punktem)"/>
    <w:basedOn w:val="LITlitera"/>
    <w:uiPriority w:val="32"/>
    <w:qFormat/>
    <w:rsid w:val="00F75103"/>
    <w:pPr>
      <w:ind w:left="1497"/>
    </w:pPr>
  </w:style>
  <w:style w:type="paragraph" w:customStyle="1" w:styleId="TYTUAKTUprzedmiotregulacjiustawylubrozporzdzenia">
    <w:name w:val="TYTUŁ_AKTU – przedmiot regulacji ustawy lub rozporządzenia"/>
    <w:next w:val="ARTartustawynprozporzdzenia"/>
    <w:uiPriority w:val="6"/>
    <w:qFormat/>
    <w:rsid w:val="00533D40"/>
    <w:pPr>
      <w:keepNext/>
      <w:suppressAutoHyphens/>
      <w:spacing w:before="120" w:after="360" w:line="360" w:lineRule="auto"/>
      <w:jc w:val="center"/>
    </w:pPr>
    <w:rPr>
      <w:rFonts w:ascii="Times" w:hAnsi="Times" w:cs="Arial"/>
      <w:b/>
      <w:bCs/>
      <w:sz w:val="24"/>
      <w:szCs w:val="24"/>
      <w:lang w:eastAsia="pl-PL"/>
    </w:rPr>
  </w:style>
  <w:style w:type="paragraph" w:styleId="NormalnyWeb">
    <w:name w:val="Normal (Web)"/>
    <w:basedOn w:val="Normalny"/>
    <w:uiPriority w:val="99"/>
    <w:semiHidden/>
    <w:unhideWhenUsed/>
    <w:rsid w:val="00984E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A232F"/>
    <w:pPr>
      <w:autoSpaceDE w:val="0"/>
      <w:autoSpaceDN w:val="0"/>
      <w:adjustRightInd w:val="0"/>
      <w:spacing w:after="0" w:line="240" w:lineRule="auto"/>
    </w:pPr>
    <w:rPr>
      <w:rFonts w:ascii="Calibri" w:hAnsi="Calibri" w:cs="Calibri"/>
      <w:color w:val="000000"/>
      <w:sz w:val="24"/>
      <w:szCs w:val="24"/>
    </w:rPr>
  </w:style>
  <w:style w:type="paragraph" w:customStyle="1" w:styleId="USTustnpkodeksu">
    <w:name w:val="UST(§) – ust. (§ np. kodeksu)"/>
    <w:basedOn w:val="ARTartustawynprozporzdzenia"/>
    <w:uiPriority w:val="12"/>
    <w:qFormat/>
    <w:rsid w:val="008E0336"/>
    <w:pPr>
      <w:spacing w:befor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7095">
      <w:bodyDiv w:val="1"/>
      <w:marLeft w:val="0"/>
      <w:marRight w:val="0"/>
      <w:marTop w:val="0"/>
      <w:marBottom w:val="0"/>
      <w:divBdr>
        <w:top w:val="none" w:sz="0" w:space="0" w:color="auto"/>
        <w:left w:val="none" w:sz="0" w:space="0" w:color="auto"/>
        <w:bottom w:val="none" w:sz="0" w:space="0" w:color="auto"/>
        <w:right w:val="none" w:sz="0" w:space="0" w:color="auto"/>
      </w:divBdr>
    </w:div>
    <w:div w:id="649746243">
      <w:bodyDiv w:val="1"/>
      <w:marLeft w:val="0"/>
      <w:marRight w:val="0"/>
      <w:marTop w:val="0"/>
      <w:marBottom w:val="0"/>
      <w:divBdr>
        <w:top w:val="none" w:sz="0" w:space="0" w:color="auto"/>
        <w:left w:val="none" w:sz="0" w:space="0" w:color="auto"/>
        <w:bottom w:val="none" w:sz="0" w:space="0" w:color="auto"/>
        <w:right w:val="none" w:sz="0" w:space="0" w:color="auto"/>
      </w:divBdr>
    </w:div>
    <w:div w:id="19175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CD8E-F175-430E-A843-AE557CD7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30</Pages>
  <Words>12699</Words>
  <Characters>76197</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Wiśniewska</dc:creator>
  <cp:keywords/>
  <dc:description/>
  <cp:lastModifiedBy>Czarnecka Grażyna</cp:lastModifiedBy>
  <cp:revision>6</cp:revision>
  <cp:lastPrinted>2020-09-08T08:53:00Z</cp:lastPrinted>
  <dcterms:created xsi:type="dcterms:W3CDTF">2021-05-07T05:13:00Z</dcterms:created>
  <dcterms:modified xsi:type="dcterms:W3CDTF">2021-05-11T10:02:00Z</dcterms:modified>
</cp:coreProperties>
</file>