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B0FB7C" w14:textId="77777777" w:rsidR="00A05CD4" w:rsidRPr="00754822" w:rsidRDefault="00A05CD4" w:rsidP="00A05CD4">
      <w:pPr>
        <w:spacing w:line="360" w:lineRule="auto"/>
        <w:ind w:left="6" w:right="20"/>
        <w:jc w:val="center"/>
        <w:rPr>
          <w:rFonts w:ascii="Tahoma" w:eastAsia="Times New Roman" w:hAnsi="Tahoma" w:cs="Tahoma"/>
          <w:b/>
          <w:bCs/>
          <w:sz w:val="24"/>
          <w:szCs w:val="24"/>
        </w:rPr>
      </w:pPr>
      <w:bookmarkStart w:id="0" w:name="_Hlk65865135"/>
      <w:r w:rsidRPr="00754822">
        <w:rPr>
          <w:rFonts w:ascii="Tahoma" w:eastAsia="Times New Roman" w:hAnsi="Tahoma" w:cs="Tahoma"/>
          <w:b/>
          <w:bCs/>
          <w:sz w:val="24"/>
          <w:szCs w:val="24"/>
        </w:rPr>
        <w:t>Uzasadnienie</w:t>
      </w:r>
    </w:p>
    <w:p w14:paraId="32AC8BE7" w14:textId="77777777" w:rsidR="00A05CD4" w:rsidRPr="00754822" w:rsidRDefault="00A05CD4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sz w:val="24"/>
          <w:szCs w:val="24"/>
        </w:rPr>
      </w:pPr>
    </w:p>
    <w:p w14:paraId="207FFE2D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ind w:right="20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sz w:val="24"/>
          <w:szCs w:val="24"/>
        </w:rPr>
        <w:t>Potrzeba i cel uchwalenia ustawy, rzeczywisty stan prawny w przedmiotowej dziedzinie</w:t>
      </w:r>
    </w:p>
    <w:p w14:paraId="6946D558" w14:textId="77777777" w:rsidR="00A05CD4" w:rsidRPr="00754822" w:rsidRDefault="00A05CD4" w:rsidP="00A05CD4">
      <w:pPr>
        <w:spacing w:line="360" w:lineRule="auto"/>
        <w:ind w:left="6" w:right="20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</w:p>
    <w:bookmarkEnd w:id="0"/>
    <w:p w14:paraId="0A17826C" w14:textId="13F5668D" w:rsidR="00A05CD4" w:rsidRPr="00754822" w:rsidRDefault="00A05CD4" w:rsidP="00A05CD4">
      <w:pPr>
        <w:spacing w:line="360" w:lineRule="auto"/>
        <w:ind w:left="6" w:right="20" w:firstLine="360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754822">
        <w:rPr>
          <w:rFonts w:ascii="Tahoma" w:eastAsia="Times New Roman" w:hAnsi="Tahoma" w:cs="Tahoma"/>
          <w:bCs/>
          <w:sz w:val="24"/>
          <w:szCs w:val="24"/>
        </w:rPr>
        <w:t>Celem projektu jest zmiana przepisów ustawy z dnia 30 sierpnia 2013 r. o dotacji przeznaczonej dla niektórych podmiotów (Dz. U. z 2019 r. poz. 1771) polegająca na dodaniu do katalogu podmiotów: Zabytkowa Kopalnia Srebra  oraz Sztolnia "Czarnego Pstrąga" w Tarnowskich Górach zarządzane przez Stowarzyszenie Miłośników Ziemi Tarnogórskiej”. Zabytkowa kopalnia</w:t>
      </w:r>
      <w:r w:rsidR="00754822" w:rsidRPr="00754822">
        <w:rPr>
          <w:rFonts w:ascii="Tahoma" w:eastAsia="Times New Roman" w:hAnsi="Tahoma" w:cs="Tahoma"/>
          <w:bCs/>
          <w:sz w:val="24"/>
          <w:szCs w:val="24"/>
        </w:rPr>
        <w:t xml:space="preserve"> w</w:t>
      </w:r>
      <w:r w:rsidRPr="00754822">
        <w:rPr>
          <w:rFonts w:ascii="Tahoma" w:eastAsia="Times New Roman" w:hAnsi="Tahoma" w:cs="Tahoma"/>
          <w:bCs/>
          <w:sz w:val="24"/>
          <w:szCs w:val="24"/>
        </w:rPr>
        <w:t xml:space="preserve"> lipc</w:t>
      </w:r>
      <w:r w:rsidR="00754822" w:rsidRPr="00754822">
        <w:rPr>
          <w:rFonts w:ascii="Tahoma" w:eastAsia="Times New Roman" w:hAnsi="Tahoma" w:cs="Tahoma"/>
          <w:bCs/>
          <w:sz w:val="24"/>
          <w:szCs w:val="24"/>
        </w:rPr>
        <w:t>u</w:t>
      </w:r>
      <w:r w:rsidRPr="00754822">
        <w:rPr>
          <w:rFonts w:ascii="Tahoma" w:eastAsia="Times New Roman" w:hAnsi="Tahoma" w:cs="Tahoma"/>
          <w:bCs/>
          <w:sz w:val="24"/>
          <w:szCs w:val="24"/>
        </w:rPr>
        <w:t xml:space="preserve"> 2017</w:t>
      </w:r>
      <w:r w:rsidR="00754822" w:rsidRPr="00754822">
        <w:rPr>
          <w:rFonts w:ascii="Tahoma" w:eastAsia="Times New Roman" w:hAnsi="Tahoma" w:cs="Tahoma"/>
          <w:bCs/>
          <w:sz w:val="24"/>
          <w:szCs w:val="24"/>
        </w:rPr>
        <w:t xml:space="preserve"> r.</w:t>
      </w:r>
      <w:r w:rsidRPr="00754822"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="00754822" w:rsidRPr="00754822">
        <w:rPr>
          <w:rFonts w:ascii="Tahoma" w:eastAsia="Times New Roman" w:hAnsi="Tahoma" w:cs="Tahoma"/>
          <w:bCs/>
          <w:sz w:val="24"/>
          <w:szCs w:val="24"/>
        </w:rPr>
        <w:t>została</w:t>
      </w:r>
      <w:r w:rsidRPr="00754822">
        <w:rPr>
          <w:rFonts w:ascii="Tahoma" w:eastAsia="Times New Roman" w:hAnsi="Tahoma" w:cs="Tahoma"/>
          <w:bCs/>
          <w:sz w:val="24"/>
          <w:szCs w:val="24"/>
        </w:rPr>
        <w:t xml:space="preserve"> wpisana na Listę Światowego Dziedzictwa UNESCO jako jeden z obiektów wpisu o nazwie: Kopalnia rud ołowiu, srebra i cynku wraz z systemem gospodarowania wodami podziemnymi w Tarnowskich Górach.</w:t>
      </w:r>
    </w:p>
    <w:p w14:paraId="176F09BA" w14:textId="0EF1DD46" w:rsidR="00754822" w:rsidRPr="00754822" w:rsidRDefault="00754822" w:rsidP="0075482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754822">
        <w:rPr>
          <w:rFonts w:ascii="Tahoma" w:eastAsiaTheme="minorHAnsi" w:hAnsi="Tahoma" w:cs="Tahoma"/>
          <w:sz w:val="24"/>
          <w:szCs w:val="24"/>
          <w:lang w:eastAsia="en-US"/>
        </w:rPr>
        <w:t>Miesięczny koszt funkcjonowania podmiotów to 200 tysięcy złotych, do tej pory wydatki pokrywano ze środków własnych stowarzyszenia prowadzącego placówkę oraz wsparcia unijnego i samorządowego. Wydatki są przeznaczane na niezbędne inwestycje, warunkujące jej utrzymanie się na prestiżowej liście światowego dziedzictwa UNESCO. Działacze społecznych podejmują aktywności crowdfundingowe, jednak są one niewystarczające.</w:t>
      </w:r>
    </w:p>
    <w:p w14:paraId="486BF4AE" w14:textId="4E5AE56B" w:rsidR="00754822" w:rsidRPr="00754822" w:rsidRDefault="00754822" w:rsidP="00754822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ahoma" w:eastAsiaTheme="minorHAnsi" w:hAnsi="Tahoma" w:cs="Tahoma"/>
          <w:sz w:val="24"/>
          <w:szCs w:val="24"/>
          <w:lang w:eastAsia="en-US"/>
        </w:rPr>
      </w:pPr>
      <w:r w:rsidRPr="00754822">
        <w:rPr>
          <w:rFonts w:ascii="Tahoma" w:eastAsiaTheme="minorHAnsi" w:hAnsi="Tahoma" w:cs="Tahoma"/>
          <w:sz w:val="24"/>
          <w:szCs w:val="24"/>
          <w:lang w:eastAsia="en-US"/>
        </w:rPr>
        <w:t xml:space="preserve">Do tej pory instytucja nie otrzymała wsparcia ze środków budżetu państwa - brak pomocy może spowodować bankructwo, konieczność zwalniania pracowników i wykreślenie z prestiżowego wpisu UNESCO. </w:t>
      </w:r>
    </w:p>
    <w:p w14:paraId="37AE5994" w14:textId="77777777" w:rsidR="00A05CD4" w:rsidRPr="00754822" w:rsidRDefault="00A05CD4" w:rsidP="00A05CD4">
      <w:pPr>
        <w:spacing w:line="360" w:lineRule="auto"/>
        <w:ind w:left="6" w:right="20" w:firstLine="360"/>
        <w:jc w:val="both"/>
        <w:rPr>
          <w:rFonts w:ascii="Tahoma" w:eastAsia="Times New Roman" w:hAnsi="Tahoma" w:cs="Tahoma"/>
          <w:sz w:val="24"/>
          <w:szCs w:val="24"/>
        </w:rPr>
      </w:pPr>
    </w:p>
    <w:p w14:paraId="42F3149E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ind w:right="20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bookmarkStart w:id="1" w:name="page7"/>
      <w:bookmarkEnd w:id="1"/>
      <w:r w:rsidRPr="00754822">
        <w:rPr>
          <w:rFonts w:ascii="Tahoma" w:eastAsia="Times New Roman" w:hAnsi="Tahoma" w:cs="Tahoma"/>
          <w:b/>
          <w:bCs/>
          <w:sz w:val="24"/>
          <w:szCs w:val="24"/>
        </w:rPr>
        <w:t>Różnice między dotychczasowym za projektowanym stanem prawnym</w:t>
      </w:r>
    </w:p>
    <w:p w14:paraId="34FBB205" w14:textId="77777777" w:rsidR="00754822" w:rsidRPr="00754822" w:rsidRDefault="00754822" w:rsidP="00754822">
      <w:pPr>
        <w:spacing w:line="360" w:lineRule="auto"/>
        <w:ind w:right="20"/>
        <w:jc w:val="both"/>
        <w:rPr>
          <w:rFonts w:ascii="Tahoma" w:eastAsia="Times New Roman" w:hAnsi="Tahoma" w:cs="Tahoma"/>
          <w:sz w:val="24"/>
          <w:szCs w:val="24"/>
        </w:rPr>
      </w:pPr>
    </w:p>
    <w:p w14:paraId="026AD1C3" w14:textId="75395EED" w:rsidR="00A05CD4" w:rsidRPr="00754822" w:rsidRDefault="00754822" w:rsidP="00754822">
      <w:pPr>
        <w:spacing w:line="360" w:lineRule="auto"/>
        <w:ind w:right="20"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sz w:val="24"/>
          <w:szCs w:val="24"/>
        </w:rPr>
        <w:t>W art. 1 ustawy z dnia 30 sierpnia 2013 r. o dotacji przeznaczonej dla niektórych podmiotów do katalogu dodaje się Zabytkową Kopalnię Srebra oraz Sztolnię "Czarnego Pstrąga" w Tarnowskich Górach, zarządzane przez Stowarzyszenie Miłośników Ziemi Tarnogórskiej”. W art. 3 dodaje się cel dotacji dla wskazanych podmiotów, jakim jest utrzymanie, zabezpieczenie i ratowanie zabytkowych części. Proponuje się, żeby ustawa weszła w życie po upływie 30 dni od dnia ogłoszenia, co będzie czasem wystarczającym dla korekt</w:t>
      </w:r>
      <w:bookmarkStart w:id="2" w:name="_GoBack"/>
      <w:bookmarkEnd w:id="2"/>
      <w:r w:rsidRPr="00754822">
        <w:rPr>
          <w:rFonts w:ascii="Tahoma" w:eastAsia="Times New Roman" w:hAnsi="Tahoma" w:cs="Tahoma"/>
          <w:sz w:val="24"/>
          <w:szCs w:val="24"/>
        </w:rPr>
        <w:t xml:space="preserve"> planów finansowych. </w:t>
      </w:r>
    </w:p>
    <w:p w14:paraId="79D1E994" w14:textId="36E9307A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sz w:val="24"/>
          <w:szCs w:val="24"/>
        </w:rPr>
        <w:lastRenderedPageBreak/>
        <w:t>Przewidywane skutki społeczne i finansowe</w:t>
      </w:r>
    </w:p>
    <w:p w14:paraId="2AF576D0" w14:textId="3725C464" w:rsidR="00754822" w:rsidRPr="00754822" w:rsidRDefault="00754822" w:rsidP="00754822">
      <w:pPr>
        <w:spacing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</w:p>
    <w:p w14:paraId="3EEC0F90" w14:textId="07A84F15" w:rsidR="00754822" w:rsidRPr="00754822" w:rsidRDefault="00754822" w:rsidP="00D27332">
      <w:pPr>
        <w:spacing w:line="360" w:lineRule="auto"/>
        <w:ind w:firstLine="708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sz w:val="24"/>
          <w:szCs w:val="24"/>
        </w:rPr>
        <w:t>Projektowana ustawa utrzyma i rozszerzy dostęp do kultury i narodowego dziedzictwa, jakim jest kopalnia srebra w Tarnowskich Górach.</w:t>
      </w:r>
    </w:p>
    <w:p w14:paraId="0FDC99E9" w14:textId="77777777" w:rsidR="00A05CD4" w:rsidRPr="00754822" w:rsidRDefault="00A05CD4" w:rsidP="00A05CD4">
      <w:pPr>
        <w:spacing w:line="360" w:lineRule="auto"/>
        <w:ind w:left="6"/>
        <w:jc w:val="both"/>
        <w:rPr>
          <w:rFonts w:ascii="Tahoma" w:eastAsia="Times New Roman" w:hAnsi="Tahoma" w:cs="Tahoma"/>
          <w:sz w:val="24"/>
          <w:szCs w:val="24"/>
        </w:rPr>
      </w:pPr>
    </w:p>
    <w:p w14:paraId="1D093406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sz w:val="24"/>
          <w:szCs w:val="24"/>
        </w:rPr>
        <w:t>Źródła finansowania</w:t>
      </w:r>
    </w:p>
    <w:p w14:paraId="051D7C63" w14:textId="77777777" w:rsidR="00A05CD4" w:rsidRPr="00754822" w:rsidRDefault="00A05CD4" w:rsidP="00A05CD4">
      <w:pPr>
        <w:spacing w:line="360" w:lineRule="auto"/>
        <w:ind w:left="366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</w:p>
    <w:p w14:paraId="556C35A3" w14:textId="7BF9BE78" w:rsidR="00A05CD4" w:rsidRPr="00754822" w:rsidRDefault="00A05CD4" w:rsidP="00754822">
      <w:pPr>
        <w:spacing w:line="360" w:lineRule="auto"/>
        <w:ind w:left="6" w:firstLine="714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sz w:val="24"/>
          <w:szCs w:val="24"/>
        </w:rPr>
        <w:t>Projekt</w:t>
      </w:r>
      <w:r w:rsidR="007B2CA4">
        <w:rPr>
          <w:rFonts w:ascii="Tahoma" w:eastAsia="Times New Roman" w:hAnsi="Tahoma" w:cs="Tahoma"/>
          <w:sz w:val="24"/>
          <w:szCs w:val="24"/>
        </w:rPr>
        <w:t xml:space="preserve"> nie</w:t>
      </w:r>
      <w:r w:rsidRPr="00754822">
        <w:rPr>
          <w:rFonts w:ascii="Tahoma" w:eastAsia="Times New Roman" w:hAnsi="Tahoma" w:cs="Tahoma"/>
          <w:sz w:val="24"/>
          <w:szCs w:val="24"/>
        </w:rPr>
        <w:t xml:space="preserve"> </w:t>
      </w:r>
      <w:r w:rsidR="00754822" w:rsidRPr="00754822">
        <w:rPr>
          <w:rFonts w:ascii="Tahoma" w:eastAsia="Times New Roman" w:hAnsi="Tahoma" w:cs="Tahoma"/>
          <w:sz w:val="24"/>
          <w:szCs w:val="24"/>
        </w:rPr>
        <w:t xml:space="preserve">pociąga za sobą dodatkowych </w:t>
      </w:r>
      <w:r w:rsidRPr="00754822">
        <w:rPr>
          <w:rFonts w:ascii="Tahoma" w:eastAsia="Times New Roman" w:hAnsi="Tahoma" w:cs="Tahoma"/>
          <w:sz w:val="24"/>
          <w:szCs w:val="24"/>
        </w:rPr>
        <w:t>skutków finansowych dla budżetu państwa lub budżetów</w:t>
      </w:r>
      <w:r w:rsidR="00754822" w:rsidRPr="00754822">
        <w:rPr>
          <w:rFonts w:ascii="Tahoma" w:eastAsia="Times New Roman" w:hAnsi="Tahoma" w:cs="Tahoma"/>
          <w:sz w:val="24"/>
          <w:szCs w:val="24"/>
        </w:rPr>
        <w:t xml:space="preserve"> </w:t>
      </w:r>
      <w:r w:rsidRPr="00754822">
        <w:rPr>
          <w:rFonts w:ascii="Tahoma" w:eastAsia="Times New Roman" w:hAnsi="Tahoma" w:cs="Tahoma"/>
          <w:sz w:val="24"/>
          <w:szCs w:val="24"/>
        </w:rPr>
        <w:t>jednostek samorządu terytorialnego</w:t>
      </w:r>
      <w:r w:rsidR="00754822" w:rsidRPr="00754822">
        <w:rPr>
          <w:rFonts w:ascii="Tahoma" w:eastAsia="Times New Roman" w:hAnsi="Tahoma" w:cs="Tahoma"/>
          <w:sz w:val="24"/>
          <w:szCs w:val="24"/>
        </w:rPr>
        <w:t>, zwłaszcza po zwiększeniu środków na wykonanie ustawy w wyniku nowelizacji z dnia 27 listopada 2020 r. (Dz.U. poz. 2398)</w:t>
      </w:r>
      <w:r w:rsidR="007B2CA4">
        <w:rPr>
          <w:rFonts w:ascii="Tahoma" w:eastAsia="Times New Roman" w:hAnsi="Tahoma" w:cs="Tahoma"/>
          <w:sz w:val="24"/>
          <w:szCs w:val="24"/>
        </w:rPr>
        <w:t>.</w:t>
      </w:r>
    </w:p>
    <w:p w14:paraId="33529C6F" w14:textId="77777777" w:rsidR="00A05CD4" w:rsidRPr="00754822" w:rsidRDefault="00A05CD4" w:rsidP="00A05CD4">
      <w:pPr>
        <w:spacing w:line="360" w:lineRule="auto"/>
        <w:ind w:left="6"/>
        <w:jc w:val="both"/>
        <w:rPr>
          <w:rFonts w:ascii="Tahoma" w:eastAsia="Times New Roman" w:hAnsi="Tahoma" w:cs="Tahoma"/>
          <w:sz w:val="24"/>
          <w:szCs w:val="24"/>
        </w:rPr>
      </w:pPr>
    </w:p>
    <w:p w14:paraId="03482F96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eastAsia="Times New Roman" w:hAnsi="Tahoma" w:cs="Tahoma"/>
          <w:b/>
          <w:bCs/>
          <w:color w:val="000000"/>
          <w:sz w:val="24"/>
          <w:szCs w:val="24"/>
        </w:rPr>
      </w:pPr>
      <w:r w:rsidRPr="00754822">
        <w:rPr>
          <w:rFonts w:ascii="Tahoma" w:eastAsia="Times New Roman" w:hAnsi="Tahoma" w:cs="Tahoma"/>
          <w:b/>
          <w:bCs/>
          <w:sz w:val="24"/>
          <w:szCs w:val="24"/>
        </w:rPr>
        <w:t>Oświadczenie o zgodności projektu ustawy z prawem Unii Europejskiej</w:t>
      </w:r>
    </w:p>
    <w:p w14:paraId="03563821" w14:textId="77777777" w:rsidR="00A05CD4" w:rsidRPr="00754822" w:rsidRDefault="00A05CD4" w:rsidP="00A05CD4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1DB40B08" w14:textId="7E8EA47C" w:rsidR="00A05CD4" w:rsidRPr="00754822" w:rsidRDefault="00A05CD4" w:rsidP="00A05CD4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754822">
        <w:rPr>
          <w:rFonts w:ascii="Tahoma" w:eastAsia="Times New Roman" w:hAnsi="Tahoma" w:cs="Tahoma"/>
          <w:sz w:val="24"/>
          <w:szCs w:val="24"/>
        </w:rPr>
        <w:t xml:space="preserve">Projekt jest zgodny z prawem Unii Europejskiej. </w:t>
      </w:r>
    </w:p>
    <w:p w14:paraId="1F17EF7E" w14:textId="77777777" w:rsidR="00A05CD4" w:rsidRPr="00754822" w:rsidRDefault="00A05CD4" w:rsidP="00A05CD4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</w:p>
    <w:p w14:paraId="744B64D6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754822">
        <w:rPr>
          <w:rFonts w:ascii="Tahoma" w:hAnsi="Tahoma" w:cs="Tahoma"/>
          <w:b/>
          <w:bCs/>
          <w:sz w:val="24"/>
          <w:szCs w:val="24"/>
        </w:rPr>
        <w:t>Oświadczenie o notyfikacji zgodnie z przepisami dotyczącymi funkcjonowania krajowego sytemu notyfikacji norm i aktów prawnych</w:t>
      </w:r>
    </w:p>
    <w:p w14:paraId="0B6866CF" w14:textId="77777777" w:rsidR="00A05CD4" w:rsidRPr="00754822" w:rsidRDefault="00A05CD4" w:rsidP="00A05CD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3F3CD536" w14:textId="27BD9147" w:rsidR="00A05CD4" w:rsidRPr="00754822" w:rsidRDefault="00A05CD4" w:rsidP="00A05CD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754822">
        <w:rPr>
          <w:rFonts w:ascii="Tahoma" w:hAnsi="Tahoma" w:cs="Tahoma"/>
          <w:sz w:val="24"/>
          <w:szCs w:val="24"/>
        </w:rPr>
        <w:t>Projekt ustawy nie wymaga przedstawienia właściwym organom i instytucjom Unii Europejskiej w tym Europejskiemu Bankowi Centralnemu, w celu uzyskania opinii, dokonania powiadomienia, konsultacji lub uzgodnienia.</w:t>
      </w:r>
      <w:r w:rsidR="00754822" w:rsidRPr="00754822">
        <w:rPr>
          <w:rFonts w:ascii="Tahoma" w:hAnsi="Tahoma" w:cs="Tahoma"/>
          <w:sz w:val="24"/>
          <w:szCs w:val="24"/>
        </w:rPr>
        <w:t xml:space="preserve"> Projekt nie będzie podlegał notyfikacji zgodnie z rozporządzeniem Rady Ministrów z dnia 23 grudnia 2002 r. w sprawie sposobu funkcjonowania krajowego systemu notyfikacji norm i aktów prawnych (Dz. U. poz. 2039, z późn. zm.).</w:t>
      </w:r>
    </w:p>
    <w:p w14:paraId="1BCC536F" w14:textId="77777777" w:rsidR="00A05CD4" w:rsidRPr="00754822" w:rsidRDefault="00A05CD4" w:rsidP="00A05CD4">
      <w:p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</w:p>
    <w:p w14:paraId="08A98280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754822">
        <w:rPr>
          <w:rFonts w:ascii="Tahoma" w:hAnsi="Tahoma" w:cs="Tahoma"/>
          <w:b/>
          <w:bCs/>
          <w:sz w:val="24"/>
          <w:szCs w:val="24"/>
        </w:rPr>
        <w:t>Zgodność z Konstytucją RP</w:t>
      </w:r>
    </w:p>
    <w:p w14:paraId="6A000C50" w14:textId="77777777" w:rsidR="00A05CD4" w:rsidRPr="00754822" w:rsidRDefault="00A05CD4" w:rsidP="00A05CD4">
      <w:pPr>
        <w:spacing w:line="360" w:lineRule="auto"/>
        <w:ind w:left="366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EE55286" w14:textId="77777777" w:rsidR="00A05CD4" w:rsidRPr="00754822" w:rsidRDefault="00A05CD4" w:rsidP="00A05CD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754822">
        <w:rPr>
          <w:rFonts w:ascii="Tahoma" w:hAnsi="Tahoma" w:cs="Tahoma"/>
          <w:sz w:val="24"/>
          <w:szCs w:val="24"/>
        </w:rPr>
        <w:t>Projektodawcy oświadczają, iż przedstawiony projekt ustawy w ich ocenie jest zgodny z Konstytucją RP.</w:t>
      </w:r>
    </w:p>
    <w:p w14:paraId="5E9BA303" w14:textId="77777777" w:rsidR="00A05CD4" w:rsidRPr="00754822" w:rsidRDefault="00A05CD4" w:rsidP="00A05CD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13C99D1C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754822">
        <w:rPr>
          <w:rFonts w:ascii="Tahoma" w:hAnsi="Tahoma" w:cs="Tahoma"/>
          <w:b/>
          <w:bCs/>
          <w:sz w:val="24"/>
          <w:szCs w:val="24"/>
        </w:rPr>
        <w:t>Założenia projektów aktów wykonawczych</w:t>
      </w:r>
    </w:p>
    <w:p w14:paraId="389CE7AE" w14:textId="77777777" w:rsidR="00A05CD4" w:rsidRPr="00754822" w:rsidRDefault="00A05CD4" w:rsidP="00A05CD4">
      <w:pPr>
        <w:spacing w:line="360" w:lineRule="auto"/>
        <w:ind w:left="366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670D400" w14:textId="77777777" w:rsidR="00A05CD4" w:rsidRPr="00754822" w:rsidRDefault="00A05CD4" w:rsidP="00A05CD4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754822">
        <w:rPr>
          <w:rFonts w:ascii="Tahoma" w:hAnsi="Tahoma" w:cs="Tahoma"/>
          <w:sz w:val="24"/>
          <w:szCs w:val="24"/>
        </w:rPr>
        <w:t xml:space="preserve">Projekt nie wymaga wydania dodatkowych aktów wykonawczych. </w:t>
      </w:r>
    </w:p>
    <w:p w14:paraId="61820360" w14:textId="77777777" w:rsidR="00A05CD4" w:rsidRPr="00754822" w:rsidRDefault="00A05CD4" w:rsidP="00A05CD4">
      <w:pPr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53C871FC" w14:textId="77777777" w:rsidR="00A05CD4" w:rsidRPr="00754822" w:rsidRDefault="00A05CD4" w:rsidP="00A05CD4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b/>
          <w:bCs/>
          <w:sz w:val="24"/>
          <w:szCs w:val="24"/>
        </w:rPr>
      </w:pPr>
      <w:r w:rsidRPr="00754822">
        <w:rPr>
          <w:rFonts w:ascii="Tahoma" w:hAnsi="Tahoma" w:cs="Tahoma"/>
          <w:b/>
          <w:bCs/>
          <w:sz w:val="24"/>
          <w:szCs w:val="24"/>
        </w:rPr>
        <w:t>Konsultacje społeczne</w:t>
      </w:r>
    </w:p>
    <w:p w14:paraId="4BC9B0E7" w14:textId="77777777" w:rsidR="00A05CD4" w:rsidRPr="00754822" w:rsidRDefault="00A05CD4" w:rsidP="00A05CD4">
      <w:pPr>
        <w:spacing w:line="360" w:lineRule="auto"/>
        <w:ind w:left="366"/>
        <w:jc w:val="both"/>
        <w:rPr>
          <w:rFonts w:ascii="Tahoma" w:hAnsi="Tahoma" w:cs="Tahoma"/>
          <w:b/>
          <w:bCs/>
          <w:sz w:val="24"/>
          <w:szCs w:val="24"/>
        </w:rPr>
      </w:pPr>
    </w:p>
    <w:p w14:paraId="13947E63" w14:textId="5828872B" w:rsidR="00A05CD4" w:rsidRPr="00754822" w:rsidRDefault="00754822" w:rsidP="00A05CD4">
      <w:pPr>
        <w:spacing w:line="360" w:lineRule="auto"/>
        <w:ind w:left="6" w:firstLine="714"/>
        <w:jc w:val="both"/>
        <w:rPr>
          <w:rFonts w:ascii="Tahoma" w:hAnsi="Tahoma" w:cs="Tahoma"/>
          <w:b/>
          <w:bCs/>
          <w:sz w:val="24"/>
          <w:szCs w:val="24"/>
        </w:rPr>
      </w:pPr>
      <w:r w:rsidRPr="00754822">
        <w:rPr>
          <w:rFonts w:ascii="Tahoma" w:hAnsi="Tahoma" w:cs="Tahoma"/>
          <w:sz w:val="24"/>
          <w:szCs w:val="24"/>
        </w:rPr>
        <w:t xml:space="preserve">Projekt nie był poddawany formalnym konsultacjom społecznym. </w:t>
      </w:r>
    </w:p>
    <w:p w14:paraId="42C16818" w14:textId="77777777" w:rsidR="00A05CD4" w:rsidRPr="00754822" w:rsidRDefault="00A05CD4" w:rsidP="00A05CD4">
      <w:pPr>
        <w:spacing w:line="360" w:lineRule="auto"/>
        <w:ind w:left="340"/>
        <w:jc w:val="both"/>
        <w:rPr>
          <w:rFonts w:ascii="Tahoma" w:hAnsi="Tahoma" w:cs="Tahoma"/>
          <w:sz w:val="24"/>
          <w:szCs w:val="24"/>
        </w:rPr>
      </w:pPr>
      <w:r w:rsidRPr="00754822">
        <w:rPr>
          <w:rFonts w:ascii="Tahoma" w:hAnsi="Tahoma" w:cs="Tahoma"/>
          <w:sz w:val="24"/>
          <w:szCs w:val="24"/>
        </w:rPr>
        <w:t>.</w:t>
      </w:r>
    </w:p>
    <w:p w14:paraId="10C3292D" w14:textId="77777777" w:rsidR="00A05CD4" w:rsidRPr="00754822" w:rsidRDefault="00A05CD4" w:rsidP="00A05CD4">
      <w:pPr>
        <w:spacing w:line="360" w:lineRule="auto"/>
        <w:ind w:left="340"/>
        <w:jc w:val="both"/>
        <w:rPr>
          <w:rFonts w:ascii="Tahoma" w:hAnsi="Tahoma" w:cs="Tahoma"/>
          <w:sz w:val="24"/>
          <w:szCs w:val="24"/>
        </w:rPr>
      </w:pPr>
    </w:p>
    <w:p w14:paraId="05A7D1CF" w14:textId="77777777" w:rsidR="00A822A9" w:rsidRPr="00754822" w:rsidRDefault="009E11E5">
      <w:pPr>
        <w:rPr>
          <w:rFonts w:ascii="Tahoma" w:hAnsi="Tahoma" w:cs="Tahoma"/>
        </w:rPr>
      </w:pPr>
    </w:p>
    <w:sectPr w:rsidR="00A822A9" w:rsidRPr="00754822" w:rsidSect="00F94278">
      <w:footerReference w:type="default" r:id="rId7"/>
      <w:pgSz w:w="11900" w:h="16838"/>
      <w:pgMar w:top="1440" w:right="1440" w:bottom="1440" w:left="1440" w:header="0" w:footer="483" w:gutter="0"/>
      <w:pgNumType w:start="2"/>
      <w:cols w:space="0" w:equalWidth="0">
        <w:col w:w="9026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6C6E08" w14:textId="77777777" w:rsidR="009E11E5" w:rsidRDefault="009E11E5">
      <w:r>
        <w:separator/>
      </w:r>
    </w:p>
  </w:endnote>
  <w:endnote w:type="continuationSeparator" w:id="0">
    <w:p w14:paraId="12E0738A" w14:textId="77777777" w:rsidR="009E11E5" w:rsidRDefault="009E1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0F6FA0" w14:textId="7EF1F9F6" w:rsidR="001214B2" w:rsidRPr="001214B2" w:rsidRDefault="00C92CD7">
    <w:pPr>
      <w:pStyle w:val="Stopka"/>
      <w:jc w:val="center"/>
      <w:rPr>
        <w:rFonts w:ascii="Tahoma" w:hAnsi="Tahoma" w:cs="Tahoma"/>
      </w:rPr>
    </w:pPr>
    <w:r w:rsidRPr="001214B2">
      <w:rPr>
        <w:rFonts w:ascii="Tahoma" w:hAnsi="Tahoma" w:cs="Tahoma"/>
      </w:rPr>
      <w:fldChar w:fldCharType="begin"/>
    </w:r>
    <w:r w:rsidRPr="001214B2">
      <w:rPr>
        <w:rFonts w:ascii="Tahoma" w:hAnsi="Tahoma" w:cs="Tahoma"/>
      </w:rPr>
      <w:instrText>PAGE   \* MERGEFORMAT</w:instrText>
    </w:r>
    <w:r w:rsidRPr="001214B2">
      <w:rPr>
        <w:rFonts w:ascii="Tahoma" w:hAnsi="Tahoma" w:cs="Tahoma"/>
      </w:rPr>
      <w:fldChar w:fldCharType="separate"/>
    </w:r>
    <w:r w:rsidR="00F94278">
      <w:rPr>
        <w:rFonts w:ascii="Tahoma" w:hAnsi="Tahoma" w:cs="Tahoma"/>
        <w:noProof/>
      </w:rPr>
      <w:t>2</w:t>
    </w:r>
    <w:r w:rsidRPr="001214B2">
      <w:rPr>
        <w:rFonts w:ascii="Tahoma" w:hAnsi="Tahoma" w:cs="Tahoma"/>
      </w:rPr>
      <w:fldChar w:fldCharType="end"/>
    </w:r>
  </w:p>
  <w:p w14:paraId="2D3A2385" w14:textId="77777777" w:rsidR="001214B2" w:rsidRPr="001214B2" w:rsidRDefault="009E11E5">
    <w:pPr>
      <w:pStyle w:val="Stopka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057EF17" w14:textId="77777777" w:rsidR="009E11E5" w:rsidRDefault="009E11E5">
      <w:r>
        <w:separator/>
      </w:r>
    </w:p>
  </w:footnote>
  <w:footnote w:type="continuationSeparator" w:id="0">
    <w:p w14:paraId="77CF0BFF" w14:textId="77777777" w:rsidR="009E11E5" w:rsidRDefault="009E11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9D4BC0"/>
    <w:multiLevelType w:val="multilevel"/>
    <w:tmpl w:val="B45A4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CC7225"/>
    <w:multiLevelType w:val="multilevel"/>
    <w:tmpl w:val="A00ED2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CC6A03"/>
    <w:multiLevelType w:val="hybridMultilevel"/>
    <w:tmpl w:val="1D12A2B0"/>
    <w:lvl w:ilvl="0" w:tplc="02EC7EA6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D4"/>
    <w:rsid w:val="000A2F11"/>
    <w:rsid w:val="00355801"/>
    <w:rsid w:val="00430892"/>
    <w:rsid w:val="00584233"/>
    <w:rsid w:val="00611DAF"/>
    <w:rsid w:val="00754822"/>
    <w:rsid w:val="007B2CA4"/>
    <w:rsid w:val="008F0B26"/>
    <w:rsid w:val="00981648"/>
    <w:rsid w:val="009E11E5"/>
    <w:rsid w:val="00A05CD4"/>
    <w:rsid w:val="00B806B3"/>
    <w:rsid w:val="00C92CD7"/>
    <w:rsid w:val="00D27332"/>
    <w:rsid w:val="00DB0AEB"/>
    <w:rsid w:val="00F45826"/>
    <w:rsid w:val="00F94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25872"/>
  <w15:chartTrackingRefBased/>
  <w15:docId w15:val="{A7846F73-EF79-4F99-A05A-AA8D0CA34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5CD4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05CD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05CD4"/>
    <w:rPr>
      <w:rFonts w:ascii="Calibri" w:eastAsia="Calibri" w:hAnsi="Calibri" w:cs="Arial"/>
      <w:sz w:val="20"/>
      <w:szCs w:val="20"/>
      <w:lang w:eastAsia="pl-PL"/>
    </w:rPr>
  </w:style>
  <w:style w:type="paragraph" w:customStyle="1" w:styleId="PKTpunkt">
    <w:name w:val="PKT – punkt"/>
    <w:uiPriority w:val="13"/>
    <w:qFormat/>
    <w:rsid w:val="00A05CD4"/>
    <w:pPr>
      <w:spacing w:after="0" w:line="360" w:lineRule="auto"/>
      <w:ind w:left="51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548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F942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278"/>
    <w:rPr>
      <w:rFonts w:ascii="Calibri" w:eastAsia="Calibri" w:hAnsi="Calibri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476</Words>
  <Characters>2861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7</cp:revision>
  <dcterms:created xsi:type="dcterms:W3CDTF">2021-03-10T11:51:00Z</dcterms:created>
  <dcterms:modified xsi:type="dcterms:W3CDTF">2021-05-19T09:33:00Z</dcterms:modified>
</cp:coreProperties>
</file>