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5F" w14:textId="77777777" w:rsidR="008C2278" w:rsidRPr="001C2658" w:rsidRDefault="004B3CF8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UZASADNIENIE</w:t>
      </w:r>
    </w:p>
    <w:p w14:paraId="00000060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0000061" w14:textId="77777777" w:rsidR="008C2278" w:rsidRPr="001C2658" w:rsidRDefault="004B3CF8">
      <w:pPr>
        <w:numPr>
          <w:ilvl w:val="0"/>
          <w:numId w:val="3"/>
        </w:numPr>
        <w:spacing w:line="360" w:lineRule="auto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b/>
          <w:sz w:val="24"/>
          <w:szCs w:val="24"/>
        </w:rPr>
        <w:t>Potrzeba i cel uchwalenia ustawy</w:t>
      </w:r>
    </w:p>
    <w:p w14:paraId="00000062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0000063" w14:textId="77777777" w:rsidR="008C2278" w:rsidRPr="001C2658" w:rsidRDefault="004B3CF8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Projektowane zmiany w ustawie z dnia 12 maja 2011 r. o refundacji leków, środków spożywczych specjalnego przeznaczenia żywieniowego oraz wyrobów medycznych (Dz. U. z 2019 r. poz. 784), zwanej dalej „ustawą o refundacji”, mają na celu uproszczenie systemu refundacji leków oraz zmniejszenie obciążeń finansowych pacjentów.</w:t>
      </w:r>
    </w:p>
    <w:p w14:paraId="00000064" w14:textId="77777777" w:rsidR="008C2278" w:rsidRPr="001C2658" w:rsidRDefault="004B3CF8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Projekt ustawy rozszerza zakres refundowanych leków i wyrobów medycznych na wszystkie leki na receptę oraz wprowadza dwa modele refundacji: pełna refundacja lub odpłatność ryczałtowa.</w:t>
      </w:r>
    </w:p>
    <w:p w14:paraId="00000065" w14:textId="77777777" w:rsidR="008C2278" w:rsidRPr="001C2658" w:rsidRDefault="004B3CF8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Proponowane zmiany zapewniają równy dostęp do produktów leczniczych wszystkim obywatelom, co przyczyni się do poprawy zdrowia, wzrostu oczekiwanej długości życia oraz zmniejszenia poziomu ubóstwa.</w:t>
      </w:r>
    </w:p>
    <w:p w14:paraId="00000066" w14:textId="77777777" w:rsidR="008C2278" w:rsidRPr="001C2658" w:rsidRDefault="004B3CF8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0000067" w14:textId="77777777" w:rsidR="008C2278" w:rsidRPr="001C2658" w:rsidRDefault="004B3CF8">
      <w:pPr>
        <w:numPr>
          <w:ilvl w:val="0"/>
          <w:numId w:val="1"/>
        </w:numPr>
        <w:spacing w:line="360" w:lineRule="auto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b/>
          <w:sz w:val="24"/>
          <w:szCs w:val="24"/>
        </w:rPr>
        <w:t>Projektowane rozwiązania</w:t>
      </w:r>
    </w:p>
    <w:p w14:paraId="00000068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0000069" w14:textId="77777777" w:rsidR="008C2278" w:rsidRPr="001C2658" w:rsidRDefault="004B3CF8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W art. 1 proponuje się szereg zmian w ustawie o refundacji. Wprowadza się pojęcie "pełnej refundacji" oraz zmienia się znaczenie pojęcia "odpłatności ryczałtowej". Zgodnie z proponowanymi zmianami, pierwszy z tych modeli oznacza 100-procentową refundację oraz bezpłatną dostępność leków w przypadkach określonych w ustawie i przepisach odrębnych. Odpłatność ryczałtowa oznacza refundację leku powyżej kwoty określonej przez ministra właściwego ds. zdrowia. Z punktu widzenia pacjenta oznacza to dostępność każdego leku w tej kategorii po stałej, jednolitej cenie.</w:t>
      </w:r>
    </w:p>
    <w:p w14:paraId="0000006A" w14:textId="77777777" w:rsidR="008C2278" w:rsidRPr="001C2658" w:rsidRDefault="004B3CF8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Proponowany art. 14a ustawy o refundacji stanowi delegację ustawową do wydania rozporządzenia przez ministra właściwego ds. zdrowia. Minister określi kwotę odpłatności ryczałtowej, czyli cenę leku na receptę z perspektywy pacjenta. Ustawa ogranicza wysokość odpłatności ryczałtowej do 40% minimalnej stawki godzinowej, która jest określana przez Radę Ministrów w drodze rozporządzenia. W 2019 roku odpłatność ryczałtowa mogłaby wynosić maksymalnie 5,88 zł</w:t>
      </w:r>
      <w:bookmarkStart w:id="0" w:name="_GoBack"/>
      <w:bookmarkEnd w:id="0"/>
      <w:r w:rsidRPr="001C2658">
        <w:rPr>
          <w:rFonts w:ascii="Tahoma" w:eastAsia="Times New Roman" w:hAnsi="Tahoma" w:cs="Tahoma"/>
          <w:sz w:val="24"/>
          <w:szCs w:val="24"/>
        </w:rPr>
        <w:t xml:space="preserve">. </w:t>
      </w:r>
      <w:r w:rsidRPr="001C2658">
        <w:rPr>
          <w:rFonts w:ascii="Tahoma" w:eastAsia="Times New Roman" w:hAnsi="Tahoma" w:cs="Tahoma"/>
          <w:sz w:val="24"/>
          <w:szCs w:val="24"/>
        </w:rPr>
        <w:lastRenderedPageBreak/>
        <w:t>Rozporządzenie ws. odpłatności ryczałtowej nie wygasa z terminem z góry określonym. Obowiązuje do czasu jego uchylenia przez właściwego ministra lub ustawę.</w:t>
      </w:r>
    </w:p>
    <w:p w14:paraId="0000006B" w14:textId="77777777" w:rsidR="008C2278" w:rsidRPr="001C2658" w:rsidRDefault="004B3CF8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Proponowane zmiany wprowadzają nowy podział budżetu na refundację. Dotychczasowe rozwiązania wskazują na ograniczony budżet w wysokości 17% sumy środków publicznych przeznaczonych na finansowanie świadczeń gwarantowanych w planie finansowym Narodowego Funduszu Zdrowia, zwanym dalej: “NFZ”. Zgodnie z proponowanymi zmianami, część ta będzie oznaczona jako budżet podstawowy i zostanie uzupełniony przez budżet dodatkowy wpisywany do ustawy budżetowej na podstawie wolumenu sprzedaży z roku poprzedniego. Obecne przepisy zobowiązują NFZ do przeprowadzania analiz rynku farmaceutycznego w segmencie leków na receptę. Proponowane przepisy przewidują nowe wykorzystanie wspomnianych analiz.</w:t>
      </w:r>
    </w:p>
    <w:p w14:paraId="0000006C" w14:textId="77777777" w:rsidR="008C2278" w:rsidRPr="001C2658" w:rsidRDefault="004B3CF8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Proponowany projekt rozszerza zakres przedmiotowy refundacji. W myśl proponowanego art. 11a odpłatności ryczałtowej będzie podlegać każdy lek na receptę, który nie jest przedmiotem pełnej refundacji. Oznacza to, że dany lek trafi do grupy leków refundowanych sensu largo z mocy prawa, a nie na podstawie decyzji administracyjnej ministra właściwego ds. zdrowia, jak dotychczas. Przesłanką będzie wskazanie odpowiedniej kategorii dostępności w decyzji Prezesa Urzędu Rejestracji Produktów Leczniczych, Wyrobów Medycznych i Produktów Biobójczych.</w:t>
      </w:r>
    </w:p>
    <w:p w14:paraId="0000006D" w14:textId="77777777" w:rsidR="008C2278" w:rsidRPr="001C2658" w:rsidRDefault="004B3CF8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Zgodnie z proponowaną zmianą art. 13 ustawy o refundacji, minister właściwy ds. zdrowia ustala urzędową cenę zbytu leku dla wszystkich leków objętych przepisami niniejszej ustawy. Jest to znaczące rozszerzenie zakresu przedmiotowego decyzji ministra w zakresie urzędowej ceny zbytu. Rozwiązanie to ma na celu uniknięcie znacznego, nieuzasadnionego rynkowo, wzrostu cen leków na receptę. Samo zwiększenie nakładów w tym zakresie nie może być wystarczającą przesłanką do podwyżek. Dlatego wprowadza się dodatkowe rozwiązanie w postaci ustawowego ograniczenia wnioskowanego podwyższenia ceny urzędowego na rok 2021 do 5,06% wartości z dnia 1 stycznia 2019 roku (art. 6 proponowanej ustawy). Jest to równoważne z dwuletnim poziomem inflacji według celu Narodowego Banku Polskiego.</w:t>
      </w:r>
    </w:p>
    <w:p w14:paraId="0000006E" w14:textId="77777777" w:rsidR="008C2278" w:rsidRPr="001C2658" w:rsidRDefault="004B3CF8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lastRenderedPageBreak/>
        <w:t>W art. 2 proponowanej ustawy wprowadza się zmiany dostosowujące przepisy ustawy z dnia 27 sierpnia 2004 r. o świadczeniach opieki zdrowotnej finansowanych ze środków publicznych.</w:t>
      </w:r>
    </w:p>
    <w:p w14:paraId="0000006F" w14:textId="77777777" w:rsidR="008C2278" w:rsidRPr="001C2658" w:rsidRDefault="004B3CF8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Art. 3 wyznacza termin wydania rozporządzenia ws. odpłatności ryczałtowej na 1 września 2020 roku. To ważne z punktu widzenia prac nad ustawą budżetową, obliczenia kwoty przekroczenia i ustalenia wysokości budżetu dodatkowego. Podobnie, art. 4 zobowiązuje ministra właściwego ds. zdrowia do zaktualizowania wykazu leków objętych pełną refundacją w tym samym terminie.</w:t>
      </w:r>
    </w:p>
    <w:p w14:paraId="00000070" w14:textId="77777777" w:rsidR="008C2278" w:rsidRPr="001C2658" w:rsidRDefault="004B3CF8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W art. 5 ustala się tryb ustalenia pierwszego budżetu podstawowego i dodatkowego. Jest to tryb szczególny rozporządzenia ministra właściwego ds. zdrowia ze względu na to, że rok poprzedzający w rozumieniu nowelizowanego art. 4 ust. 2 obejmuje okres przed obowiązywaniem proponowanej ustawy. Termin został ustalony na 30 dni po terminie wydania rozporządzenia i wykazu, o których mowa w art. 3 i 4.</w:t>
      </w:r>
    </w:p>
    <w:p w14:paraId="00000071" w14:textId="77777777" w:rsidR="008C2278" w:rsidRPr="001C2658" w:rsidRDefault="004B3CF8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W art. 7 przewiduje się, że recepty wystawione, ale nie zrealizowane przed wejściem proponowanej ustawy w życie są realizowane na zasadach sprzed wejścia ustawy w życie. Recepty elektroniczne są realizowane na dotychczasowych zasadach do upływu 30 dni od ich wystawienia. Oznacza to, że okres przejściowy występowania dwóch systemów refundacji będzie wynosił maksymalnie 30 dni.</w:t>
      </w:r>
    </w:p>
    <w:p w14:paraId="00000072" w14:textId="77777777" w:rsidR="008C2278" w:rsidRPr="001C2658" w:rsidRDefault="004B3CF8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W art. 8 określono termin wejście w życie ustawy - 1 stycznia 2023 roku.</w:t>
      </w:r>
    </w:p>
    <w:p w14:paraId="00000073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0000074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b/>
          <w:sz w:val="24"/>
          <w:szCs w:val="24"/>
        </w:rPr>
      </w:pPr>
      <w:r w:rsidRPr="001C2658">
        <w:rPr>
          <w:rFonts w:ascii="Tahoma" w:eastAsia="Times New Roman" w:hAnsi="Tahoma" w:cs="Tahoma"/>
          <w:b/>
          <w:sz w:val="24"/>
          <w:szCs w:val="24"/>
        </w:rPr>
        <w:t>3. Źródła finansowania</w:t>
      </w:r>
    </w:p>
    <w:p w14:paraId="00000075" w14:textId="77777777" w:rsidR="008C2278" w:rsidRPr="001C2658" w:rsidRDefault="004B3CF8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ab/>
        <w:t>Szacuje się, że dodatkowe roczne wydatki wynikające z niniejszej ustawy wyniosą do 8 mld zł. Koszty wynikające z proponowanej ustawy zostaną sfinansowane z budżetu państwa z części budżetowej, której dysponentem jest minister właściwy do spraw zdrowia w ramach przepisów ustawy z dnia 5 lipca 2018 r. o zmianie ustawy o świadczeniach opieki zdrowotnej finansowanych ze środków publicznych oraz niektórych innych ustaw.</w:t>
      </w:r>
    </w:p>
    <w:p w14:paraId="00000076" w14:textId="77777777" w:rsidR="008C2278" w:rsidRPr="001C2658" w:rsidRDefault="008C2278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00000077" w14:textId="77777777" w:rsidR="008C2278" w:rsidRPr="001C2658" w:rsidRDefault="008C2278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14:paraId="00000078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b/>
          <w:sz w:val="24"/>
          <w:szCs w:val="24"/>
        </w:rPr>
      </w:pPr>
      <w:r w:rsidRPr="001C2658">
        <w:rPr>
          <w:rFonts w:ascii="Tahoma" w:eastAsia="Times New Roman" w:hAnsi="Tahoma" w:cs="Tahoma"/>
          <w:b/>
          <w:sz w:val="24"/>
          <w:szCs w:val="24"/>
        </w:rPr>
        <w:t>4. Oświadczenie o zgodności projektu ustawy z prawem Unii Europejskiej i braku obowiązku przedstawienia projektu instytucjom Unii Europejskiej</w:t>
      </w:r>
    </w:p>
    <w:p w14:paraId="00000079" w14:textId="77777777" w:rsidR="008C2278" w:rsidRPr="001C2658" w:rsidRDefault="004B3CF8">
      <w:pPr>
        <w:spacing w:line="360" w:lineRule="auto"/>
        <w:ind w:firstLine="720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lastRenderedPageBreak/>
        <w:t>W ocenie projektodawcy przedmiot projektowanej regulacji nie jest objęty prawem Unii Europejskiej.</w:t>
      </w:r>
    </w:p>
    <w:p w14:paraId="0000007A" w14:textId="77777777" w:rsidR="008C2278" w:rsidRPr="001C2658" w:rsidRDefault="008C2278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14:paraId="0000007B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b/>
          <w:sz w:val="24"/>
          <w:szCs w:val="24"/>
        </w:rPr>
      </w:pPr>
      <w:r w:rsidRPr="001C2658">
        <w:rPr>
          <w:rFonts w:ascii="Tahoma" w:eastAsia="Times New Roman" w:hAnsi="Tahoma" w:cs="Tahoma"/>
          <w:b/>
          <w:sz w:val="24"/>
          <w:szCs w:val="24"/>
        </w:rPr>
        <w:t>5. Brak obowiązku notyfikacji zgodnie z przepisami dotyczącymi funkcjonowania krajowego systemu notyfikacji norm i aktów prawnych</w:t>
      </w:r>
    </w:p>
    <w:p w14:paraId="0000007C" w14:textId="77777777" w:rsidR="008C2278" w:rsidRPr="001C2658" w:rsidRDefault="004B3CF8">
      <w:pPr>
        <w:spacing w:line="360" w:lineRule="auto"/>
        <w:ind w:right="-15"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Projekt ustawy nie wymaga przedstawienia właściwym organom i instytucjom Unii Europejskiej, w tym Europejskiemu Bankowi Centralnemu, w celu uzyskania opinii, dokonania powiadomienia, konsultacji lub uzgodnienia.</w:t>
      </w:r>
    </w:p>
    <w:p w14:paraId="0000007D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000007E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b/>
          <w:sz w:val="24"/>
          <w:szCs w:val="24"/>
        </w:rPr>
      </w:pPr>
      <w:r w:rsidRPr="001C2658">
        <w:rPr>
          <w:rFonts w:ascii="Tahoma" w:eastAsia="Times New Roman" w:hAnsi="Tahoma" w:cs="Tahoma"/>
          <w:b/>
          <w:sz w:val="24"/>
          <w:szCs w:val="24"/>
        </w:rPr>
        <w:t>6. Wpływ na działalność mikroprzedsiębiorców oraz małych i średnich przedsiębiorców.</w:t>
      </w:r>
    </w:p>
    <w:p w14:paraId="0000007F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 xml:space="preserve"> Zmiany proponowane w projekcie dotyczą wszystkich obywateli. W związku z tym nie zachodzi zjawisko dyskryminacji określonej grupy przedsiębiorców.</w:t>
      </w:r>
    </w:p>
    <w:p w14:paraId="00000080" w14:textId="77777777" w:rsidR="008C2278" w:rsidRPr="001C2658" w:rsidRDefault="008C2278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14:paraId="00000081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b/>
          <w:sz w:val="24"/>
          <w:szCs w:val="24"/>
        </w:rPr>
      </w:pPr>
      <w:r w:rsidRPr="001C2658">
        <w:rPr>
          <w:rFonts w:ascii="Tahoma" w:eastAsia="Times New Roman" w:hAnsi="Tahoma" w:cs="Tahoma"/>
          <w:b/>
          <w:sz w:val="24"/>
          <w:szCs w:val="24"/>
        </w:rPr>
        <w:t>7. Konsultacje społeczne</w:t>
      </w:r>
    </w:p>
    <w:p w14:paraId="00000082" w14:textId="77777777" w:rsidR="008C2278" w:rsidRPr="001C2658" w:rsidRDefault="004B3CF8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 xml:space="preserve">Między listopadem 2020 roku a styczniem 2021 roku trwały konsultacje społeczne, w ramach których zwrócono się o opinie do przedstawicieli samorządu zawodowego oraz organizacji pozarządowych. </w:t>
      </w:r>
    </w:p>
    <w:p w14:paraId="00000083" w14:textId="77777777" w:rsidR="008C2278" w:rsidRPr="001C2658" w:rsidRDefault="008C2278">
      <w:pPr>
        <w:spacing w:line="360" w:lineRule="auto"/>
        <w:rPr>
          <w:rFonts w:ascii="Tahoma" w:eastAsia="Times New Roman" w:hAnsi="Tahoma" w:cs="Tahoma"/>
          <w:b/>
          <w:sz w:val="24"/>
          <w:szCs w:val="24"/>
        </w:rPr>
      </w:pPr>
    </w:p>
    <w:p w14:paraId="00000084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b/>
          <w:sz w:val="24"/>
          <w:szCs w:val="24"/>
        </w:rPr>
      </w:pPr>
      <w:r w:rsidRPr="001C2658">
        <w:rPr>
          <w:rFonts w:ascii="Tahoma" w:eastAsia="Times New Roman" w:hAnsi="Tahoma" w:cs="Tahoma"/>
          <w:b/>
          <w:sz w:val="24"/>
          <w:szCs w:val="24"/>
        </w:rPr>
        <w:t>8. Zgodność z Konstytucją RP</w:t>
      </w:r>
    </w:p>
    <w:p w14:paraId="00000085" w14:textId="77777777" w:rsidR="008C2278" w:rsidRPr="001C2658" w:rsidRDefault="004B3CF8">
      <w:pPr>
        <w:spacing w:line="360" w:lineRule="auto"/>
        <w:ind w:right="-15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W ocenie projektodawcy przedstawiony projekt ustawy jest zgodny z Konstytucją RP.</w:t>
      </w:r>
    </w:p>
    <w:p w14:paraId="00000086" w14:textId="77777777" w:rsidR="008C2278" w:rsidRPr="001C2658" w:rsidRDefault="008C2278">
      <w:pPr>
        <w:spacing w:line="360" w:lineRule="auto"/>
        <w:rPr>
          <w:rFonts w:ascii="Tahoma" w:eastAsia="Times New Roman" w:hAnsi="Tahoma" w:cs="Tahoma"/>
          <w:b/>
          <w:sz w:val="24"/>
          <w:szCs w:val="24"/>
        </w:rPr>
      </w:pPr>
    </w:p>
    <w:p w14:paraId="00000087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b/>
          <w:sz w:val="24"/>
          <w:szCs w:val="24"/>
        </w:rPr>
      </w:pPr>
      <w:r w:rsidRPr="001C2658">
        <w:rPr>
          <w:rFonts w:ascii="Tahoma" w:eastAsia="Times New Roman" w:hAnsi="Tahoma" w:cs="Tahoma"/>
          <w:b/>
          <w:sz w:val="24"/>
          <w:szCs w:val="24"/>
        </w:rPr>
        <w:t xml:space="preserve">9. Założenia projektów podstawowych aktów wykonawczych </w:t>
      </w:r>
    </w:p>
    <w:p w14:paraId="00000088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Projekt Rozporządzenia Ministra Zdrowia ws. ustalenia odpłatności ryczałtowej leku, środka spożywczego specjalnego przeznaczenia żywieniowego lub wyrobu medycznego:</w:t>
      </w:r>
    </w:p>
    <w:p w14:paraId="00000089" w14:textId="77777777" w:rsidR="008C2278" w:rsidRPr="001C2658" w:rsidRDefault="008C2278">
      <w:pPr>
        <w:spacing w:line="360" w:lineRule="auto"/>
        <w:rPr>
          <w:rFonts w:ascii="Tahoma" w:eastAsia="Times New Roman" w:hAnsi="Tahoma" w:cs="Tahoma"/>
          <w:b/>
          <w:sz w:val="24"/>
          <w:szCs w:val="24"/>
        </w:rPr>
      </w:pPr>
    </w:p>
    <w:p w14:paraId="0000008A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 xml:space="preserve">  </w:t>
      </w:r>
    </w:p>
    <w:p w14:paraId="0000008B" w14:textId="77777777" w:rsidR="008C2278" w:rsidRPr="001C2658" w:rsidRDefault="004B3CF8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1C2658">
        <w:rPr>
          <w:rFonts w:ascii="Tahoma" w:eastAsia="Times New Roman" w:hAnsi="Tahoma" w:cs="Tahoma"/>
          <w:b/>
          <w:sz w:val="24"/>
          <w:szCs w:val="24"/>
        </w:rPr>
        <w:t>Rozporządzenie Ministra Zdrowia</w:t>
      </w:r>
    </w:p>
    <w:p w14:paraId="0000008C" w14:textId="77777777" w:rsidR="008C2278" w:rsidRPr="001C2658" w:rsidRDefault="004B3CF8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1C2658">
        <w:rPr>
          <w:rFonts w:ascii="Tahoma" w:eastAsia="Times New Roman" w:hAnsi="Tahoma" w:cs="Tahoma"/>
          <w:b/>
          <w:sz w:val="24"/>
          <w:szCs w:val="24"/>
        </w:rPr>
        <w:t xml:space="preserve"> </w:t>
      </w:r>
    </w:p>
    <w:p w14:paraId="0000008D" w14:textId="77777777" w:rsidR="008C2278" w:rsidRPr="001C2658" w:rsidRDefault="004B3CF8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1C2658">
        <w:rPr>
          <w:rFonts w:ascii="Tahoma" w:eastAsia="Times New Roman" w:hAnsi="Tahoma" w:cs="Tahoma"/>
          <w:b/>
          <w:sz w:val="24"/>
          <w:szCs w:val="24"/>
        </w:rPr>
        <w:t>ws. ustalenia odpłatności ryczałtowej leku, środka spożywczego specjalnego przeznaczenia żywieniowego lub wyrobu medycznego</w:t>
      </w:r>
    </w:p>
    <w:p w14:paraId="0000008E" w14:textId="77777777" w:rsidR="008C2278" w:rsidRPr="001C2658" w:rsidRDefault="004B3CF8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1C2658">
        <w:rPr>
          <w:rFonts w:ascii="Tahoma" w:eastAsia="Times New Roman" w:hAnsi="Tahoma" w:cs="Tahoma"/>
          <w:b/>
          <w:sz w:val="24"/>
          <w:szCs w:val="24"/>
        </w:rPr>
        <w:lastRenderedPageBreak/>
        <w:t xml:space="preserve"> </w:t>
      </w:r>
    </w:p>
    <w:p w14:paraId="0000008F" w14:textId="77777777" w:rsidR="008C2278" w:rsidRPr="001C2658" w:rsidRDefault="004B3CF8">
      <w:pPr>
        <w:spacing w:line="360" w:lineRule="auto"/>
        <w:jc w:val="center"/>
        <w:rPr>
          <w:rFonts w:ascii="Tahoma" w:eastAsia="Times New Roman" w:hAnsi="Tahoma" w:cs="Tahoma"/>
          <w:i/>
          <w:sz w:val="24"/>
          <w:szCs w:val="24"/>
        </w:rPr>
      </w:pPr>
      <w:r w:rsidRPr="001C2658">
        <w:rPr>
          <w:rFonts w:ascii="Tahoma" w:eastAsia="Times New Roman" w:hAnsi="Tahoma" w:cs="Tahoma"/>
          <w:i/>
          <w:sz w:val="24"/>
          <w:szCs w:val="24"/>
        </w:rPr>
        <w:t>projekt</w:t>
      </w:r>
    </w:p>
    <w:p w14:paraId="00000090" w14:textId="77777777" w:rsidR="008C2278" w:rsidRPr="001C2658" w:rsidRDefault="004B3CF8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0000091" w14:textId="77777777" w:rsidR="008C2278" w:rsidRPr="001C2658" w:rsidRDefault="004B3CF8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Na podstawie art. 14a ustawy z dnia z dnia 12 maja 2011 r. o zmianie ustawy o refundacji leków, środków spożywczych specjalnego przeznaczenia żywieniowego oraz wyrobów medycznych (Dz.U. 2019 poz. 784) ustala się co następuje:</w:t>
      </w:r>
    </w:p>
    <w:p w14:paraId="00000092" w14:textId="77777777" w:rsidR="008C2278" w:rsidRPr="001C2658" w:rsidRDefault="004B3CF8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0000093" w14:textId="77777777" w:rsidR="008C2278" w:rsidRPr="001C2658" w:rsidRDefault="004B3CF8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 xml:space="preserve">§1. Odpłatność ryczałtowa leku, środka spożywczego specjalnego przeznaczenia żywieniowego lub wyrobu medycznego wynosi 5 zł. </w:t>
      </w:r>
    </w:p>
    <w:p w14:paraId="00000094" w14:textId="77777777" w:rsidR="008C2278" w:rsidRPr="001C2658" w:rsidRDefault="004B3CF8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0000095" w14:textId="77777777" w:rsidR="008C2278" w:rsidRPr="001C2658" w:rsidRDefault="004B3CF8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>§2. Rozporządzenie wchodzi w życie z dniem ogłoszenia.</w:t>
      </w:r>
    </w:p>
    <w:p w14:paraId="00000096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0000097" w14:textId="77777777" w:rsidR="008C2278" w:rsidRPr="001C2658" w:rsidRDefault="004B3CF8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0000098" w14:textId="77777777" w:rsidR="008C2278" w:rsidRPr="001C2658" w:rsidRDefault="004B3CF8">
      <w:pPr>
        <w:spacing w:line="360" w:lineRule="auto"/>
        <w:jc w:val="right"/>
        <w:rPr>
          <w:rFonts w:ascii="Tahoma" w:eastAsia="Times New Roman" w:hAnsi="Tahoma" w:cs="Tahoma"/>
          <w:sz w:val="24"/>
          <w:szCs w:val="24"/>
        </w:rPr>
      </w:pPr>
      <w:r w:rsidRPr="001C2658">
        <w:rPr>
          <w:rFonts w:ascii="Tahoma" w:eastAsia="Times New Roman" w:hAnsi="Tahoma" w:cs="Tahoma"/>
          <w:i/>
          <w:sz w:val="24"/>
          <w:szCs w:val="24"/>
        </w:rPr>
        <w:t>Minister Zdrowia</w:t>
      </w:r>
    </w:p>
    <w:sectPr w:rsidR="008C2278" w:rsidRPr="001C2658" w:rsidSect="007B09BB">
      <w:footerReference w:type="default" r:id="rId7"/>
      <w:pgSz w:w="11909" w:h="16834"/>
      <w:pgMar w:top="1440" w:right="1561" w:bottom="1515" w:left="1440" w:header="720" w:footer="720" w:gutter="0"/>
      <w:pgNumType w:start="1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98F4EB" w14:textId="77777777" w:rsidR="00414360" w:rsidRDefault="00414360">
      <w:pPr>
        <w:spacing w:line="240" w:lineRule="auto"/>
      </w:pPr>
      <w:r>
        <w:separator/>
      </w:r>
    </w:p>
  </w:endnote>
  <w:endnote w:type="continuationSeparator" w:id="0">
    <w:p w14:paraId="61474191" w14:textId="77777777" w:rsidR="00414360" w:rsidRDefault="004143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99" w14:textId="19459FE1" w:rsidR="008C2278" w:rsidRDefault="004B3CF8">
    <w:pPr>
      <w:jc w:val="right"/>
    </w:pPr>
    <w:r>
      <w:fldChar w:fldCharType="begin"/>
    </w:r>
    <w:r>
      <w:instrText>PAGE</w:instrText>
    </w:r>
    <w:r>
      <w:fldChar w:fldCharType="separate"/>
    </w:r>
    <w:r w:rsidR="007B09BB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E61104" w14:textId="77777777" w:rsidR="00414360" w:rsidRDefault="00414360">
      <w:pPr>
        <w:spacing w:line="240" w:lineRule="auto"/>
      </w:pPr>
      <w:r>
        <w:separator/>
      </w:r>
    </w:p>
  </w:footnote>
  <w:footnote w:type="continuationSeparator" w:id="0">
    <w:p w14:paraId="482480A7" w14:textId="77777777" w:rsidR="00414360" w:rsidRDefault="0041436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647FAF"/>
    <w:multiLevelType w:val="multilevel"/>
    <w:tmpl w:val="6844889C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2E2012B"/>
    <w:multiLevelType w:val="multilevel"/>
    <w:tmpl w:val="FD625086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720"/>
      </w:pPr>
      <w:rPr>
        <w:u w:val="none"/>
      </w:rPr>
    </w:lvl>
    <w:lvl w:ilvl="2">
      <w:start w:val="1"/>
      <w:numFmt w:val="bullet"/>
      <w:lvlText w:val="−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7296DCF"/>
    <w:multiLevelType w:val="multilevel"/>
    <w:tmpl w:val="C7CC5706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72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A8231A1"/>
    <w:multiLevelType w:val="hybridMultilevel"/>
    <w:tmpl w:val="7FEE3594"/>
    <w:lvl w:ilvl="0" w:tplc="3522A1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3C69B5"/>
    <w:multiLevelType w:val="multilevel"/>
    <w:tmpl w:val="358244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278"/>
    <w:rsid w:val="00051731"/>
    <w:rsid w:val="001C2658"/>
    <w:rsid w:val="00414360"/>
    <w:rsid w:val="004B3CF8"/>
    <w:rsid w:val="007B09BB"/>
    <w:rsid w:val="008C2278"/>
    <w:rsid w:val="00D8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7CAF3"/>
  <w15:docId w15:val="{3EFDA46B-76B8-4891-8AA8-402AFE32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1C265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84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D7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B09B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09BB"/>
  </w:style>
  <w:style w:type="paragraph" w:styleId="Stopka">
    <w:name w:val="footer"/>
    <w:basedOn w:val="Normalny"/>
    <w:link w:val="StopkaZnak"/>
    <w:uiPriority w:val="99"/>
    <w:unhideWhenUsed/>
    <w:rsid w:val="007B09B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0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1113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Kuszłejko</dc:creator>
  <cp:lastModifiedBy>Grzegorz Molesztak</cp:lastModifiedBy>
  <cp:revision>3</cp:revision>
  <cp:lastPrinted>2021-05-19T09:50:00Z</cp:lastPrinted>
  <dcterms:created xsi:type="dcterms:W3CDTF">2021-04-28T08:58:00Z</dcterms:created>
  <dcterms:modified xsi:type="dcterms:W3CDTF">2021-05-19T09:50:00Z</dcterms:modified>
</cp:coreProperties>
</file>