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F93" w:rsidRPr="00583E97" w:rsidRDefault="00BE4F93" w:rsidP="00583E97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  <w:r w:rsidRPr="00583E97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Uzasadnienie</w:t>
      </w:r>
    </w:p>
    <w:p w:rsidR="00BE4F93" w:rsidRPr="00583E97" w:rsidRDefault="00BE4F93" w:rsidP="00583E97">
      <w:pPr>
        <w:suppressAutoHyphens/>
        <w:autoSpaceDE w:val="0"/>
        <w:autoSpaceDN w:val="0"/>
        <w:adjustRightInd w:val="0"/>
        <w:spacing w:before="24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Nowelizacja ustawy z dnia 8 czerwca 2017 r. o sposobie ustalania najniższego wynagrodzenia zasadniczego niektórych pracowników zatrudnionych w podmiotach leczniczych (Dz. U. z 2020 r. poz. 830 i 2401) stanowi realizację ustaleń w ramach prac Trójstronnego Zespołu ds. Ochrony Zdrowia i odzwierciedlonych w stanowisku tego Zespołu z dnia 17 marca 2021 r. (ze zdaniem odrębnym zgłoszonym przez Forum Związków Zawodowych).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Projektowane zmiany zakładają:</w:t>
      </w:r>
    </w:p>
    <w:p w:rsidR="00BE4F93" w:rsidRPr="00583E97" w:rsidRDefault="00BE4F93" w:rsidP="00583E97">
      <w:p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1)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podwyższenie współczynników pracy dla wszystkich grup zawodowych wyszczególnionych w załączniku do ustawy z dnia 8 czerwca 2017 r. o sposobie ustalania najniższego wynagrodzenia zasadniczego niektór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ych pracowników zatrudnionych w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podmiotach leczniczych;</w:t>
      </w:r>
    </w:p>
    <w:p w:rsidR="00BE4F93" w:rsidRPr="00583E97" w:rsidRDefault="00BE4F93" w:rsidP="00583E97">
      <w:p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2)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przyspieszenie o pół roku wymogu osiągnięcia przez wszystkie podmioty lecznicze ustawowo gwarantowanych poziomów wynagrodzeń zasadniczych pracowników medycznych oraz innych pracowników działalności podstawowej (spowoduje to, że już od dnia 1 lipca 2021 r. żaden pracownik medyczny oraz pracownik działalności podstawowej podmiotu leczniczego nie będzie mógł mieć ustalonego wynagrodzenia zasadniczego na poziomie niższym niż wynikający z nowo</w:t>
      </w:r>
      <w:r w:rsidR="003938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przyjętego br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zmienia ustawy z 8 czerwca 2017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r. o sposobie ustalania najniższego wynagrodzenia zasadniczego niektórych pracowników zatrudnionych w podmiotach leczniczych);</w:t>
      </w:r>
    </w:p>
    <w:p w:rsidR="00BE4F93" w:rsidRPr="00583E97" w:rsidRDefault="00BE4F93" w:rsidP="00583E97">
      <w:p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3)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modyfikację ustawowego mechanizmu gwarantującego niepogarszanie warunków wynagradzania osobom objętym do połowy 2021 r. regulacjami płacowymi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opartymi o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odrębne strumienie finansowania (pielęgniarki, położne, ratownicy medyczni, lekarze posiadający specjalizację).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dokonuje również zmiany art. 2 pkt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1 ustawy z 8 czerwca 2017 r. o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sposobie ustalania najniższego wynagrodzenia zasadniczego niektórych pracowników zatrudnionych w podmiotach leczniczych celem dostosowania brzmienia tego przepisu do zmiany ustawy dokonanej w ustawie z dnia 27 listopada 2020 r. o zmianie niektórych ustaw w celu zapewnienia w okresie ogłoszenia stanu zagrożenia epidemicznego lub stanu epidemii kadr medycznych </w:t>
      </w:r>
      <w:hyperlink r:id="rId6" w:history="1">
        <w:r w:rsidRPr="00583E97">
          <w:rPr>
            <w:rFonts w:ascii="Times New Roman" w:eastAsia="Times New Roman" w:hAnsi="Times New Roman" w:cs="Times New Roman"/>
            <w:sz w:val="24"/>
            <w:szCs w:val="20"/>
            <w:lang w:eastAsia="pl-PL"/>
          </w:rPr>
          <w:t>(Dz. U. poz. 2401)</w:t>
        </w:r>
      </w:hyperlink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przez dodanie odesłania do art. 3a.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Dodatkowo w projekcie ustawy przewidziano modyfikację ustawowego mechanizmu gwarantującego niepogarszanie warunków wynagradzani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a osobom objętym do połowy 2021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r.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regulacjami płacowymi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opartymi o odrębne strumienie finansowania (pielęgniarki, położne, ratownicy medyczni, lekarze posiadający specjalizację). Prop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onowana zmiana art. 19 ustawy z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dnia 27 listopada 2020 r. o zmianie niektórych ustaw w celu zapewnienia w okresie ogłoszenia stanu zagrożenia epidemicznego lub stanu epidemii kadr med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ycznych określa nowe, zbieżne z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przepisami wydanymi na podstawie art. 137 ust. 2 usta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wy z dnia 27 sierpnia 2004 r. o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świadczeniach opieki zdrowotnej finansowanych ze śro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dków publicznych (Dz. U. z 2020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r. poz. 1398, z późn. zm.), daty według stanu, na które będzie się ustalać wysokości wynagrodzeń gwarantowanych jako prawa nabyte. Zmiana art. 19 ustawy z dnia 27 listopada 20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20 r. o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zmianie niektórych ustaw w celu zapewnienia w okresie ogłoszenia stanu zagrożenia epidemicznego lub stanu epidemii kadr medycznych obejmuje również doprecyzowanie przepisu ust. 4 przez wskazanie, że ewentualna proporcjonalna zmiana wysokości gwarantowanego wynagrodzenia według stanu na dzień 30 czerwca 2021 r. będzie dopuszczalna również w przypadku zmiany zasad ustalania wysokości składników wynagrodzenia wynikającej z odwołania stanu zagrożenia epidemicznego lub stanu epidemii.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Ponadto projekt ustawy zawiera zmianę ustawy z dnia 19 listopada 2020 r. o szczególnych rozwiązaniach służących realizacji ustawy budżetowej n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a rok 2021 (Dz. U. poz. 2400) w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zakresie nadania nowego brzmienia art. 68, zgodnie z którym w roku 2021 limit wydatków przeznaczonych na finansowanie staży podyplomowych lekarzy i lekarzy dentystów, o których mowa w ustawie z dnia 5 grudnia 1996 r. o zawodach lekarza i lekarza dentysty (Dz.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 U. z 2021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r. poz. 790), ma wynosić 451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000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tys.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zł.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w art. 4 przewiduje, że sposób dokonania podwyższenia wynagrodzeń na dzień 1 lipca 2021 r. zostanie określony w podmiocie leczniczym w drodze porozumienia zawartego przez strony uprawnione w danym podmiocie leczniczym do zawarcia zakładowego układu zbiorowego pracy (a w przypadku ich braku w drodze porozumienia podmiotu leczniczego z pracownikiem wybranym przez pracowników podmiotu leczniczego do reprezentowania ich interesów) w terminie 14 dni od dnia wejścia w życie projektowanej ustawy. Jeżeli do zawarcia porozumienia nie dojdzie, wówczas sposób dokonania wzrostu wynagrodzeń określi, w drodze zarządzenia, kierow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nik podmiotu leczniczego albo w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określonych przypadkach podmiot tworzący.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Przewiduje się, że ustawa wejdzie w życie z dniem na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stępującym po dniu ogłoszenia z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wyjątkiem art. 1 pkt 1, który wejdzie w życie z dniem 1 stycznia 2022 r. Takie działanie pozwoli na dokonanie podwyższenia wynagrodzeń zasadniczych pracowników podmiotów leczniczych do poziomów wynikających z ustawy z dniem 1 lipca 2021 r. oraz na prawidłowe 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zadziałanie mechanizmu gwarancyjnego przewidzianego w art. 19 ustawy o zmianie niektórych ustaw w celu zapewnienia w okresie ogłoszenia stanu zagrożenia epidemicznego lub stanu epidemii kadr medycznych. Zapewni ono jednocześnie realizację ustaleń poczynionych przez stronę rządową z partnerami społecznymi na forum Trójstronnego Zespołu ds. Ochrony Zdrowia.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Zgodnie z art. 4 ust. 2 ustawy z dnia 20 lipca 2000 r. o ogłaszaniu aktów normatywnych i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niektórych innych aktów prawnych (Dz. U. z 2019 r. poz. 1461) w uzasadnionych przypadkach akty normatywne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 Tak określonemu </w:t>
      </w:r>
      <w:r w:rsidRPr="00DB5EFB"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  <w:t>vacatio legis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nie stoją na przeszkodzie zasady demokratycznego państwa prawnego, a realizacja celów projektu ustawy w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ymaga, aby weszła ona w życie w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zaproponowanym powyżej dniu. Mając na uwadze powyższe, proponowany termin wejścia w życie ustawy jest uzasadniony.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jest sprzeczny z prawem Unii Europejskiej.</w:t>
      </w:r>
    </w:p>
    <w:p w:rsidR="00BE4F93" w:rsidRPr="00583E97" w:rsidRDefault="00BE4F93" w:rsidP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wymaga przedstawienia organom i instytucjom Unii Europejskiej, w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tym Europejskiemu Bankowi Centralnemu, w celu uzyskania opinii, dokonania powiadomienia, konsultacji albo uzgodnienia.</w:t>
      </w:r>
    </w:p>
    <w:p w:rsidR="00BE4F93" w:rsidRPr="00583E97" w:rsidRDefault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będzie miał negatywnego wpływu na działalność mikroprzedsiębiorców oraz małych i średnich przedsiębiorców w zakresie nałożenia na nich nowych albo wykonywania dotychczasowych obowiązków.</w:t>
      </w:r>
    </w:p>
    <w:p w:rsidR="00BE4F93" w:rsidRPr="00583E97" w:rsidRDefault="00BE4F93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zawiera przepisów technicznych w rozumieniu przepisów rozporządzenia Rady Ministrów z dnia 23 grudnia 2002 r. w sprawie sposobu funkcjonowania krajowego systemu notyfikacji norm i aktów prawnych (Dz. U</w:t>
      </w:r>
      <w:r w:rsidR="00890488">
        <w:rPr>
          <w:rFonts w:ascii="Times New Roman" w:eastAsia="Times New Roman" w:hAnsi="Times New Roman" w:cs="Times New Roman"/>
          <w:sz w:val="24"/>
          <w:szCs w:val="20"/>
          <w:lang w:eastAsia="pl-PL"/>
        </w:rPr>
        <w:t>. poz. 2039 oraz z 2004 r. poz. </w:t>
      </w: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597) i w związku z tym nie podlega procedurze notyfikacji.</w:t>
      </w:r>
    </w:p>
    <w:p w:rsidR="007F577D" w:rsidRPr="00583E97" w:rsidRDefault="00BE4F93" w:rsidP="00583E97">
      <w:pPr>
        <w:spacing w:before="120" w:after="0" w:line="360" w:lineRule="auto"/>
        <w:rPr>
          <w:rFonts w:ascii="Times New Roman" w:hAnsi="Times New Roman" w:cs="Times New Roman"/>
        </w:rPr>
      </w:pPr>
      <w:r w:rsidRPr="00583E97">
        <w:rPr>
          <w:rFonts w:ascii="Times New Roman" w:eastAsia="Times New Roman" w:hAnsi="Times New Roman" w:cs="Times New Roman"/>
          <w:sz w:val="24"/>
          <w:szCs w:val="20"/>
          <w:lang w:eastAsia="pl-PL"/>
        </w:rPr>
        <w:t>Nie ma możliwości podjęcia alternatywnych w stosunku do uchwalenia projektu ustawy środków umożliwiających osiągnięcie zamierzonego celu.</w:t>
      </w:r>
    </w:p>
    <w:sectPr w:rsidR="007F577D" w:rsidRPr="00583E97" w:rsidSect="00890488">
      <w:footerReference w:type="default" r:id="rId7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300" w:rsidRDefault="004C3300" w:rsidP="00BE4F93">
      <w:pPr>
        <w:spacing w:after="0" w:line="240" w:lineRule="auto"/>
      </w:pPr>
      <w:r>
        <w:separator/>
      </w:r>
    </w:p>
  </w:endnote>
  <w:endnote w:type="continuationSeparator" w:id="0">
    <w:p w:rsidR="004C3300" w:rsidRDefault="004C3300" w:rsidP="00BE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25086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E4F93" w:rsidRPr="00583E97" w:rsidRDefault="00BE4F93" w:rsidP="00583E97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583E97">
          <w:rPr>
            <w:rFonts w:ascii="Times New Roman" w:hAnsi="Times New Roman" w:cs="Times New Roman"/>
            <w:sz w:val="24"/>
          </w:rPr>
          <w:fldChar w:fldCharType="begin"/>
        </w:r>
        <w:r w:rsidRPr="00583E97">
          <w:rPr>
            <w:rFonts w:ascii="Times New Roman" w:hAnsi="Times New Roman" w:cs="Times New Roman"/>
            <w:sz w:val="24"/>
          </w:rPr>
          <w:instrText>PAGE   \* MERGEFORMAT</w:instrText>
        </w:r>
        <w:r w:rsidRPr="00583E97">
          <w:rPr>
            <w:rFonts w:ascii="Times New Roman" w:hAnsi="Times New Roman" w:cs="Times New Roman"/>
            <w:sz w:val="24"/>
          </w:rPr>
          <w:fldChar w:fldCharType="separate"/>
        </w:r>
        <w:r w:rsidR="002E7310">
          <w:rPr>
            <w:rFonts w:ascii="Times New Roman" w:hAnsi="Times New Roman" w:cs="Times New Roman"/>
            <w:noProof/>
            <w:sz w:val="24"/>
          </w:rPr>
          <w:t>3</w:t>
        </w:r>
        <w:r w:rsidRPr="00583E97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300" w:rsidRDefault="004C3300" w:rsidP="00BE4F93">
      <w:pPr>
        <w:spacing w:after="0" w:line="240" w:lineRule="auto"/>
      </w:pPr>
      <w:r>
        <w:separator/>
      </w:r>
    </w:p>
  </w:footnote>
  <w:footnote w:type="continuationSeparator" w:id="0">
    <w:p w:rsidR="004C3300" w:rsidRDefault="004C3300" w:rsidP="00BE4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93"/>
    <w:rsid w:val="002E7310"/>
    <w:rsid w:val="003938CF"/>
    <w:rsid w:val="004C3300"/>
    <w:rsid w:val="00583E97"/>
    <w:rsid w:val="006177CF"/>
    <w:rsid w:val="007F577D"/>
    <w:rsid w:val="00890488"/>
    <w:rsid w:val="00B91D71"/>
    <w:rsid w:val="00BE4F93"/>
    <w:rsid w:val="00C05345"/>
    <w:rsid w:val="00DB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5E9CF-1A24-4550-9A40-74C105CC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F93"/>
  </w:style>
  <w:style w:type="paragraph" w:styleId="Stopka">
    <w:name w:val="footer"/>
    <w:basedOn w:val="Normalny"/>
    <w:link w:val="StopkaZnak"/>
    <w:uiPriority w:val="99"/>
    <w:unhideWhenUsed/>
    <w:rsid w:val="00BE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F93"/>
  </w:style>
  <w:style w:type="paragraph" w:styleId="Tekstdymka">
    <w:name w:val="Balloon Text"/>
    <w:basedOn w:val="Normalny"/>
    <w:link w:val="TekstdymkaZnak"/>
    <w:uiPriority w:val="99"/>
    <w:semiHidden/>
    <w:unhideWhenUsed/>
    <w:rsid w:val="00BE4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F9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B5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ytkobtgqzd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1022</Words>
  <Characters>6136</Characters>
  <Application>Microsoft Office Word</Application>
  <DocSecurity>0</DocSecurity>
  <Lines>51</Lines>
  <Paragraphs>14</Paragraphs>
  <ScaleCrop>false</ScaleCrop>
  <Company>Kancelaria Prezesa Rady Ministrow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Pietrzak Ewa</dc:creator>
  <cp:keywords/>
  <dc:description/>
  <cp:lastModifiedBy>DJS</cp:lastModifiedBy>
  <cp:revision>8</cp:revision>
  <dcterms:created xsi:type="dcterms:W3CDTF">2021-05-19T15:41:00Z</dcterms:created>
  <dcterms:modified xsi:type="dcterms:W3CDTF">2021-05-19T16:49:00Z</dcterms:modified>
</cp:coreProperties>
</file>