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207B1" w14:textId="77777777" w:rsidR="00157E7E" w:rsidRPr="008A67EC" w:rsidRDefault="00157E7E" w:rsidP="008A67EC">
      <w:pPr>
        <w:spacing w:before="120" w:after="0" w:line="360" w:lineRule="auto"/>
        <w:jc w:val="center"/>
        <w:rPr>
          <w:rFonts w:ascii="Times New Roman" w:eastAsia="Calibri" w:hAnsi="Times New Roman" w:cs="Times New Roman"/>
          <w:sz w:val="24"/>
          <w:szCs w:val="24"/>
        </w:rPr>
      </w:pPr>
      <w:bookmarkStart w:id="0" w:name="_GoBack"/>
      <w:bookmarkEnd w:id="0"/>
      <w:r w:rsidRPr="008A67EC">
        <w:rPr>
          <w:rFonts w:ascii="Times New Roman" w:eastAsia="Calibri" w:hAnsi="Times New Roman" w:cs="Times New Roman"/>
          <w:sz w:val="24"/>
          <w:szCs w:val="24"/>
        </w:rPr>
        <w:t>UZASADNIENIE</w:t>
      </w:r>
    </w:p>
    <w:p w14:paraId="5E7F1251" w14:textId="77777777" w:rsidR="00157E7E" w:rsidRPr="008A67EC" w:rsidRDefault="00157E7E" w:rsidP="008A67EC">
      <w:pPr>
        <w:numPr>
          <w:ilvl w:val="0"/>
          <w:numId w:val="1"/>
        </w:numPr>
        <w:spacing w:before="240" w:after="0" w:line="360" w:lineRule="auto"/>
        <w:ind w:left="391" w:hanging="391"/>
        <w:rPr>
          <w:rFonts w:ascii="Times New Roman" w:eastAsia="Calibri" w:hAnsi="Times New Roman" w:cs="Times New Roman"/>
          <w:b/>
          <w:sz w:val="24"/>
          <w:szCs w:val="24"/>
        </w:rPr>
      </w:pPr>
      <w:r w:rsidRPr="008A67EC">
        <w:rPr>
          <w:rFonts w:ascii="Times New Roman" w:eastAsia="Calibri" w:hAnsi="Times New Roman" w:cs="Times New Roman"/>
          <w:b/>
          <w:sz w:val="24"/>
          <w:szCs w:val="24"/>
        </w:rPr>
        <w:t>Cel projektu ustawy</w:t>
      </w:r>
    </w:p>
    <w:p w14:paraId="4BEE8AF0" w14:textId="08A9E8B0"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Zmiana ustawy z dnia 9 listopada 2018 r. o kołach gospodyń wiejskich (Dz. U. z 2021 r. poz. 165) ma na celu doprecyzowanie przepisów ustawy, a tym samym gwarancji realizacji ustrojowej zasady wolności organizowania się obywateli w rozmaite struktury, w tym wolności tworzenia i działania kół gospodyń wiejskich (art. 12 i art. 58 Konstytucji</w:t>
      </w:r>
      <w:r w:rsidR="007273D2">
        <w:rPr>
          <w:rFonts w:ascii="Times New Roman" w:eastAsia="Calibri" w:hAnsi="Times New Roman" w:cs="Times New Roman"/>
          <w:sz w:val="24"/>
          <w:szCs w:val="24"/>
        </w:rPr>
        <w:t xml:space="preserve"> Rzeczypospolitej Polskiej</w:t>
      </w:r>
      <w:r w:rsidRPr="008A67EC">
        <w:rPr>
          <w:rFonts w:ascii="Times New Roman" w:eastAsia="Calibri" w:hAnsi="Times New Roman" w:cs="Times New Roman"/>
          <w:sz w:val="24"/>
          <w:szCs w:val="24"/>
        </w:rPr>
        <w:t>). Dogodne formy organizowania się i swoboda ich wyboru będą w efekcie stymulowały większą aktywność społeczną.</w:t>
      </w:r>
    </w:p>
    <w:p w14:paraId="1954E70A" w14:textId="2C69B3F2"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Projektowana zmiana ustawy</w:t>
      </w:r>
      <w:r w:rsidR="007273D2" w:rsidRPr="007273D2">
        <w:rPr>
          <w:rFonts w:ascii="Times New Roman" w:eastAsia="Calibri" w:hAnsi="Times New Roman" w:cs="Times New Roman"/>
          <w:sz w:val="24"/>
          <w:szCs w:val="24"/>
        </w:rPr>
        <w:t xml:space="preserve"> </w:t>
      </w:r>
      <w:r w:rsidR="00A76DAE">
        <w:rPr>
          <w:rFonts w:ascii="Times New Roman" w:eastAsia="Calibri" w:hAnsi="Times New Roman" w:cs="Times New Roman"/>
          <w:sz w:val="24"/>
          <w:szCs w:val="24"/>
        </w:rPr>
        <w:t>z dnia 9 listopada 2018 r.</w:t>
      </w:r>
      <w:r w:rsidRPr="008A67EC">
        <w:rPr>
          <w:rFonts w:ascii="Times New Roman" w:eastAsia="Calibri" w:hAnsi="Times New Roman" w:cs="Times New Roman"/>
          <w:sz w:val="24"/>
          <w:szCs w:val="24"/>
        </w:rPr>
        <w:t xml:space="preserve"> o kołach gospodyń wiejskich ma zapewnić kompleksowe regulacje kwestii związanych z tworzeniem, organizacją, funkcjonowaniem i rozwiązywaniem kół gospodyń wiejskich. Celem projektu ustawy jest również zmiana przepisów określających przekazywanie pomocy finansowej kołom gospodyń wiejskich.</w:t>
      </w:r>
    </w:p>
    <w:p w14:paraId="7A2A59DC" w14:textId="77777777" w:rsidR="00157E7E" w:rsidRPr="008A67EC" w:rsidRDefault="00157E7E" w:rsidP="008A67EC">
      <w:pPr>
        <w:numPr>
          <w:ilvl w:val="0"/>
          <w:numId w:val="1"/>
        </w:numPr>
        <w:spacing w:before="240" w:after="0" w:line="360" w:lineRule="auto"/>
        <w:ind w:left="391" w:hanging="391"/>
        <w:rPr>
          <w:rFonts w:ascii="Times New Roman" w:eastAsia="Calibri" w:hAnsi="Times New Roman" w:cs="Times New Roman"/>
          <w:b/>
          <w:sz w:val="24"/>
          <w:szCs w:val="24"/>
        </w:rPr>
      </w:pPr>
      <w:r w:rsidRPr="008A67EC">
        <w:rPr>
          <w:rFonts w:ascii="Times New Roman" w:eastAsia="Calibri" w:hAnsi="Times New Roman" w:cs="Times New Roman"/>
          <w:b/>
          <w:sz w:val="24"/>
          <w:szCs w:val="24"/>
        </w:rPr>
        <w:t xml:space="preserve">Regulacje zmieniające </w:t>
      </w:r>
    </w:p>
    <w:p w14:paraId="45C6524B" w14:textId="30555D5F"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W projektowanej ustawie jedną z najdalej idących zmian jest przeniesienie kompetencji w zakresie pomocy udzielanej kołom gospodyń wiejskich na realizacj</w:t>
      </w:r>
      <w:r w:rsidR="007273D2">
        <w:rPr>
          <w:rFonts w:ascii="Times New Roman" w:eastAsia="Calibri" w:hAnsi="Times New Roman" w:cs="Times New Roman"/>
          <w:sz w:val="24"/>
          <w:szCs w:val="24"/>
        </w:rPr>
        <w:t>ę</w:t>
      </w:r>
      <w:r w:rsidRPr="008A67EC">
        <w:rPr>
          <w:rFonts w:ascii="Times New Roman" w:eastAsia="Calibri" w:hAnsi="Times New Roman" w:cs="Times New Roman"/>
          <w:sz w:val="24"/>
          <w:szCs w:val="24"/>
        </w:rPr>
        <w:t xml:space="preserve"> zadań, o których mowa w art. 2 ust. 3 ustawy z dnia 9 listopada 2018 r. o kołach gospodyń wiejskich, od ministra właściweg</w:t>
      </w:r>
      <w:r w:rsidR="00AC2E5D">
        <w:rPr>
          <w:rFonts w:ascii="Times New Roman" w:eastAsia="Calibri" w:hAnsi="Times New Roman" w:cs="Times New Roman"/>
          <w:sz w:val="24"/>
          <w:szCs w:val="24"/>
        </w:rPr>
        <w:t>o do spraw rozwoju regionalnego</w:t>
      </w:r>
      <w:r w:rsidRPr="008A67EC">
        <w:rPr>
          <w:rFonts w:ascii="Times New Roman" w:eastAsia="Calibri" w:hAnsi="Times New Roman" w:cs="Times New Roman"/>
          <w:sz w:val="24"/>
          <w:szCs w:val="24"/>
        </w:rPr>
        <w:t xml:space="preserve"> do ministra właściwego do spraw rozwoju wsi.</w:t>
      </w:r>
      <w:r w:rsidRPr="008A67EC" w:rsidDel="008324E7">
        <w:rPr>
          <w:rFonts w:ascii="Times New Roman" w:eastAsia="Calibri" w:hAnsi="Times New Roman" w:cs="Times New Roman"/>
          <w:sz w:val="24"/>
          <w:szCs w:val="24"/>
        </w:rPr>
        <w:t xml:space="preserve"> </w:t>
      </w:r>
    </w:p>
    <w:p w14:paraId="644FED5F" w14:textId="73C0042A"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Zmiany w projektowanej ustawie wiążą się również ze zmianą urzędu obsługującego Pełnomocnika Rządu do spraw lokalnych inicjatyw społecznych. Na mocy rozporządzenia Rady Ministrów z dnia 27 października 2020 r. zmieniającego rozporządzenie w sprawie ustanowienia Pełnomocnika Rządu do spraw lokalnych inicjatyw społecznych (Dz. U. poz. 1889), nastąpiła zmiana urzędu obsługującego Pełnomocnika – z urzędu obsługującego ministra właściweg</w:t>
      </w:r>
      <w:r w:rsidR="00AC2E5D">
        <w:rPr>
          <w:rFonts w:ascii="Times New Roman" w:eastAsia="Calibri" w:hAnsi="Times New Roman" w:cs="Times New Roman"/>
          <w:sz w:val="24"/>
          <w:szCs w:val="24"/>
        </w:rPr>
        <w:t>o do spraw rozwoju regionalnego</w:t>
      </w:r>
      <w:r w:rsidRPr="008A67EC">
        <w:rPr>
          <w:rFonts w:ascii="Times New Roman" w:eastAsia="Calibri" w:hAnsi="Times New Roman" w:cs="Times New Roman"/>
          <w:sz w:val="24"/>
          <w:szCs w:val="24"/>
        </w:rPr>
        <w:t xml:space="preserve"> na urząd obsługujący ministra właściwego do spraw rozwoju wsi.</w:t>
      </w:r>
    </w:p>
    <w:p w14:paraId="69524574" w14:textId="50BCE693"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Zaprojektowano zmiany, zgodnie z którymi kompetencje w zakresie przyznawania pomocy kołom gospodyń wiejskich oraz prowadzonego nadzoru zostaną przeniesione z właściwości ministra właściwego do spraw rozwoju regionalnego na ministra właściwego do spraw rozwoju wsi. Powyższe pozostaje w zgodzie z prowadzoną przez ministra </w:t>
      </w:r>
      <w:r w:rsidRPr="008A67EC">
        <w:rPr>
          <w:rFonts w:ascii="Times New Roman" w:eastAsia="Calibri" w:hAnsi="Times New Roman" w:cs="Times New Roman"/>
          <w:sz w:val="24"/>
          <w:szCs w:val="24"/>
        </w:rPr>
        <w:lastRenderedPageBreak/>
        <w:t>właściwego do spraw rozwoju wsi polityką wspierania terenów wiejskich i promowania kultury wiejskiej oraz folkloru.</w:t>
      </w:r>
    </w:p>
    <w:p w14:paraId="143F5B38" w14:textId="476514A7"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Na podstawie doświadczeń z dotychczasowego stosowania ustawy</w:t>
      </w:r>
      <w:r w:rsidR="00AC2E5D">
        <w:rPr>
          <w:rFonts w:ascii="Times New Roman" w:eastAsia="Calibri" w:hAnsi="Times New Roman" w:cs="Times New Roman"/>
          <w:sz w:val="24"/>
          <w:szCs w:val="24"/>
        </w:rPr>
        <w:t xml:space="preserve"> z dnia 9 listopada 2018 r. </w:t>
      </w:r>
      <w:r w:rsidRPr="008A67EC">
        <w:rPr>
          <w:rFonts w:ascii="Times New Roman" w:eastAsia="Calibri" w:hAnsi="Times New Roman" w:cs="Times New Roman"/>
          <w:sz w:val="24"/>
          <w:szCs w:val="24"/>
        </w:rPr>
        <w:t>o kołach gospodyń wiejskich dokonano analizy funkcjonowania obowiązujących przepisów i analiza ta wykazała konieczność doprecyzowania niektórych z nich.</w:t>
      </w:r>
    </w:p>
    <w:p w14:paraId="5D9B3248" w14:textId="74D5DB21"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O wpis do Krajowego Rejestru Kół Gospodyń Wiejskich ubiegają się nie tylko nowo powstające koła, ale również organizacje, których działalność jest tożsama z działalnością kół gospodyń wiejskich i które uzyskały osobowość prawną na podstawie odrębnych przepisów (np. stowarzyszenia). Dodany w art. 6 </w:t>
      </w:r>
      <w:r w:rsidR="00AC2E5D">
        <w:rPr>
          <w:rFonts w:ascii="Times New Roman" w:eastAsia="Calibri" w:hAnsi="Times New Roman" w:cs="Times New Roman"/>
          <w:sz w:val="24"/>
          <w:szCs w:val="24"/>
        </w:rPr>
        <w:t>zmienianej</w:t>
      </w:r>
      <w:r w:rsidR="00AC2E5D" w:rsidRPr="008A67EC">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ustawy</w:t>
      </w:r>
      <w:r w:rsidR="00AC2E5D">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(art. 1 pkt 2 projektu ustaw</w:t>
      </w:r>
      <w:r w:rsidR="00E21118">
        <w:rPr>
          <w:rFonts w:ascii="Times New Roman" w:eastAsia="Calibri" w:hAnsi="Times New Roman" w:cs="Times New Roman"/>
          <w:sz w:val="24"/>
          <w:szCs w:val="24"/>
        </w:rPr>
        <w:t>y</w:t>
      </w:r>
      <w:r w:rsidRPr="008A67EC">
        <w:rPr>
          <w:rFonts w:ascii="Times New Roman" w:eastAsia="Calibri" w:hAnsi="Times New Roman" w:cs="Times New Roman"/>
          <w:sz w:val="24"/>
          <w:szCs w:val="24"/>
        </w:rPr>
        <w:t>) przepis reguluje tryb wpisu tych podmiotów do rejestru.</w:t>
      </w:r>
    </w:p>
    <w:p w14:paraId="25E4E42D" w14:textId="51808344"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W tym miejscu należy wskazać, że do dnia wejścia w życie ustawy </w:t>
      </w:r>
      <w:r w:rsidR="00E52A46" w:rsidRPr="008A67EC">
        <w:rPr>
          <w:rFonts w:ascii="Times New Roman" w:eastAsia="Calibri" w:hAnsi="Times New Roman" w:cs="Times New Roman"/>
          <w:sz w:val="24"/>
          <w:szCs w:val="24"/>
        </w:rPr>
        <w:t xml:space="preserve">z dnia 9 listopada 2018 r. </w:t>
      </w:r>
      <w:r w:rsidRPr="008A67EC">
        <w:rPr>
          <w:rFonts w:ascii="Times New Roman" w:eastAsia="Calibri" w:hAnsi="Times New Roman" w:cs="Times New Roman"/>
          <w:sz w:val="24"/>
          <w:szCs w:val="24"/>
        </w:rPr>
        <w:t>o kołach gospodyń wiejskich organizacje te działały na podstawie ustawy z dnia 8 października 1982 r. o społeczno-zawodowych organizacjach rolników</w:t>
      </w:r>
      <w:r w:rsidR="00F14193">
        <w:rPr>
          <w:rFonts w:ascii="Times New Roman" w:eastAsia="Calibri" w:hAnsi="Times New Roman" w:cs="Times New Roman"/>
          <w:sz w:val="24"/>
          <w:szCs w:val="24"/>
        </w:rPr>
        <w:t xml:space="preserve"> </w:t>
      </w:r>
      <w:r w:rsidR="00F14193">
        <w:rPr>
          <w:rFonts w:ascii="Times New Roman" w:eastAsia="Calibri" w:hAnsi="Times New Roman" w:cs="Times New Roman"/>
        </w:rPr>
        <w:t xml:space="preserve">(Dz. U. z 2019 </w:t>
      </w:r>
      <w:r w:rsidR="00C1734E">
        <w:rPr>
          <w:rFonts w:ascii="Times New Roman" w:eastAsia="Calibri" w:hAnsi="Times New Roman" w:cs="Times New Roman"/>
        </w:rPr>
        <w:t xml:space="preserve">r. </w:t>
      </w:r>
      <w:r w:rsidR="00F14193">
        <w:rPr>
          <w:rFonts w:ascii="Times New Roman" w:eastAsia="Calibri" w:hAnsi="Times New Roman" w:cs="Times New Roman"/>
        </w:rPr>
        <w:t>poz. 491)</w:t>
      </w:r>
      <w:r w:rsidR="00F14193" w:rsidRPr="001037E6">
        <w:rPr>
          <w:rFonts w:ascii="Times New Roman" w:eastAsia="Calibri" w:hAnsi="Times New Roman" w:cs="Times New Roman"/>
        </w:rPr>
        <w:t>,</w:t>
      </w:r>
      <w:r w:rsidRPr="008A67EC">
        <w:rPr>
          <w:rFonts w:ascii="Times New Roman" w:eastAsia="Calibri" w:hAnsi="Times New Roman" w:cs="Times New Roman"/>
          <w:sz w:val="24"/>
          <w:szCs w:val="24"/>
        </w:rPr>
        <w:t xml:space="preserve"> jako wyodrębnione jednostki kółka rolniczego. Koła nie posiadały osobowości prawnej i prowadziły działalność w zakresie określonym w statucie kółka rolniczego i regulaminie koła.</w:t>
      </w:r>
    </w:p>
    <w:p w14:paraId="59125B07" w14:textId="55EBD17D"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Należy podkreślić, że przed </w:t>
      </w:r>
      <w:r w:rsidR="00E21118">
        <w:rPr>
          <w:rFonts w:ascii="Times New Roman" w:eastAsia="Calibri" w:hAnsi="Times New Roman" w:cs="Times New Roman"/>
          <w:sz w:val="24"/>
          <w:szCs w:val="24"/>
        </w:rPr>
        <w:t xml:space="preserve">dniem </w:t>
      </w:r>
      <w:r w:rsidRPr="008A67EC">
        <w:rPr>
          <w:rFonts w:ascii="Times New Roman" w:eastAsia="Calibri" w:hAnsi="Times New Roman" w:cs="Times New Roman"/>
          <w:sz w:val="24"/>
          <w:szCs w:val="24"/>
        </w:rPr>
        <w:t>wejści</w:t>
      </w:r>
      <w:r w:rsidR="00E21118">
        <w:rPr>
          <w:rFonts w:ascii="Times New Roman" w:eastAsia="Calibri" w:hAnsi="Times New Roman" w:cs="Times New Roman"/>
          <w:sz w:val="24"/>
          <w:szCs w:val="24"/>
        </w:rPr>
        <w:t>a</w:t>
      </w:r>
      <w:r w:rsidRPr="008A67EC">
        <w:rPr>
          <w:rFonts w:ascii="Times New Roman" w:eastAsia="Calibri" w:hAnsi="Times New Roman" w:cs="Times New Roman"/>
          <w:sz w:val="24"/>
          <w:szCs w:val="24"/>
        </w:rPr>
        <w:t xml:space="preserve"> w życie ustawy</w:t>
      </w:r>
      <w:r w:rsidR="00E21118" w:rsidRPr="00E21118">
        <w:rPr>
          <w:rFonts w:ascii="Times New Roman" w:eastAsia="Calibri" w:hAnsi="Times New Roman" w:cs="Times New Roman"/>
          <w:sz w:val="24"/>
          <w:szCs w:val="24"/>
        </w:rPr>
        <w:t xml:space="preserve"> </w:t>
      </w:r>
      <w:r w:rsidR="00E21118" w:rsidRPr="008A67EC">
        <w:rPr>
          <w:rFonts w:ascii="Times New Roman" w:eastAsia="Calibri" w:hAnsi="Times New Roman" w:cs="Times New Roman"/>
          <w:sz w:val="24"/>
          <w:szCs w:val="24"/>
        </w:rPr>
        <w:t>z dnia 9 listopada 2018 r.</w:t>
      </w:r>
      <w:r w:rsidRPr="008A67EC">
        <w:rPr>
          <w:rFonts w:ascii="Times New Roman" w:eastAsia="Calibri" w:hAnsi="Times New Roman" w:cs="Times New Roman"/>
          <w:sz w:val="24"/>
          <w:szCs w:val="24"/>
        </w:rPr>
        <w:t xml:space="preserve"> o kołach gospodyń wiejskich, wiele z tych organizacji rejestrowało się jako stowarzyszenia, ponieważ taka forma działalności dawała im więcej możliwości na finansowanie realizowanych działań. Po wejściu w życie ustawy </w:t>
      </w:r>
      <w:r w:rsidR="00E21118" w:rsidRPr="008A67EC">
        <w:rPr>
          <w:rFonts w:ascii="Times New Roman" w:eastAsia="Calibri" w:hAnsi="Times New Roman" w:cs="Times New Roman"/>
          <w:sz w:val="24"/>
          <w:szCs w:val="24"/>
        </w:rPr>
        <w:t xml:space="preserve">z dnia 9 listopada 2018 r. </w:t>
      </w:r>
      <w:r w:rsidRPr="008A67EC">
        <w:rPr>
          <w:rFonts w:ascii="Times New Roman" w:eastAsia="Calibri" w:hAnsi="Times New Roman" w:cs="Times New Roman"/>
          <w:sz w:val="24"/>
          <w:szCs w:val="24"/>
        </w:rPr>
        <w:t>o kołach gospodyń wiejskich, organizacje te również występowały z wnioskiem o wpis do Krajowego Rejestru Kół Gospodyń Wiejskich, ponieważ taką możliwość dawały im przepisy art. 34 ust. 2 tej ustawy.</w:t>
      </w:r>
    </w:p>
    <w:p w14:paraId="303AFCBA" w14:textId="77777777"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Nowelizowane przepisy doprecyzowują jedynie zasady, jakim podlegają koła, które uzyskały osobowość prawną przed wpisem do Krajowego Rejestru Kół Gospodyń Wiejskich, wyłączając stosowanie wobec nich art. 6 ust. 2 zmienianej ustawy. Zatem wpis do Krajowego Rejestru Kół Gospodyń Wiejskich koła gospodyń wiejskich, które już posiada osobowość prawną, nie będzie skutkował uzyskaniem osobowości prawnej.</w:t>
      </w:r>
    </w:p>
    <w:p w14:paraId="61FE3599" w14:textId="051CC05D"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W projekcie ustawy zostały też doprecyzowane przepisy dotyczące reprezentacji koła przed jego wpisem do Krajowego Rejestru Kół Gospodyń Wiejskich. Obowiązujące przepisy zakładają, że do czasu rejestracji koła i wyboru jego organów, jest ono reprezentowane przez komitet założycielski. W projekcie dodano przepisy, które </w:t>
      </w:r>
      <w:r w:rsidRPr="008A67EC">
        <w:rPr>
          <w:rFonts w:ascii="Times New Roman" w:eastAsia="Calibri" w:hAnsi="Times New Roman" w:cs="Times New Roman"/>
          <w:sz w:val="24"/>
          <w:szCs w:val="24"/>
        </w:rPr>
        <w:lastRenderedPageBreak/>
        <w:t>uwzględniają te koła, które przed złożeniem wniosku o wpis do Krajowego Rejestru Kół Gospodyń Wiejskich miały wybrany zarząd, który je reprezentuje. Jednocześnie kołom gospodyń wiejskich, które w chwili składania wniosku o wpis do Krajowego Rejestru Kół Gospodyń Wiejskich</w:t>
      </w:r>
      <w:r w:rsidR="00D3529C">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nie posiadają wybranych organów, określono termin na dokonanie tego wyboru do 3 miesięcy od dnia rejestracji. Powyższy przepis wprowadzono, aby zmobilizować te organizacje, które działając przez wiele miesięcy, nie dokonały wyboru swojego zarządu.</w:t>
      </w:r>
    </w:p>
    <w:p w14:paraId="705B1A1A" w14:textId="502F9670"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W przepisach przejściowych uwzględniono te koła, które przed dniem wejścia w życie projektowanej</w:t>
      </w:r>
      <w:r w:rsidR="00D3529C">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ustawy nie wybrały zarządu i dla tych organizacji określono termin wyboru zarządu na okres 3 miesięcy od dnia wejścia w życie tej ustawy</w:t>
      </w:r>
      <w:r w:rsidR="001033D3">
        <w:rPr>
          <w:rFonts w:ascii="Times New Roman" w:eastAsia="Calibri" w:hAnsi="Times New Roman" w:cs="Times New Roman"/>
          <w:sz w:val="24"/>
          <w:szCs w:val="24"/>
        </w:rPr>
        <w:t>.</w:t>
      </w:r>
      <w:r w:rsidRPr="008A67EC">
        <w:rPr>
          <w:rFonts w:ascii="Times New Roman" w:eastAsia="Calibri" w:hAnsi="Times New Roman" w:cs="Times New Roman"/>
          <w:sz w:val="24"/>
          <w:szCs w:val="24"/>
        </w:rPr>
        <w:t xml:space="preserve"> </w:t>
      </w:r>
    </w:p>
    <w:p w14:paraId="72054A62" w14:textId="252FD6C4"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Zaproponowane </w:t>
      </w:r>
      <w:r w:rsidR="00946DBF" w:rsidRPr="008A67EC">
        <w:rPr>
          <w:rFonts w:ascii="Times New Roman" w:eastAsia="Calibri" w:hAnsi="Times New Roman" w:cs="Times New Roman"/>
          <w:sz w:val="24"/>
          <w:szCs w:val="24"/>
        </w:rPr>
        <w:t xml:space="preserve">zmiany </w:t>
      </w:r>
      <w:r w:rsidRPr="008A67EC">
        <w:rPr>
          <w:rFonts w:ascii="Times New Roman" w:eastAsia="Calibri" w:hAnsi="Times New Roman" w:cs="Times New Roman"/>
          <w:sz w:val="24"/>
          <w:szCs w:val="24"/>
        </w:rPr>
        <w:t>art. 10 ustawy</w:t>
      </w:r>
      <w:r w:rsidR="00880A9D">
        <w:rPr>
          <w:rFonts w:ascii="Times New Roman" w:eastAsia="Calibri" w:hAnsi="Times New Roman" w:cs="Times New Roman"/>
          <w:sz w:val="24"/>
          <w:szCs w:val="24"/>
        </w:rPr>
        <w:t xml:space="preserve"> </w:t>
      </w:r>
      <w:r w:rsidR="00880A9D" w:rsidRPr="008A67EC">
        <w:rPr>
          <w:rFonts w:ascii="Times New Roman" w:eastAsia="Calibri" w:hAnsi="Times New Roman" w:cs="Times New Roman"/>
          <w:sz w:val="24"/>
          <w:szCs w:val="24"/>
        </w:rPr>
        <w:t xml:space="preserve">z dnia 9 listopada 2018 r. </w:t>
      </w:r>
      <w:r w:rsidRPr="008A67EC">
        <w:rPr>
          <w:rFonts w:ascii="Times New Roman" w:eastAsia="Calibri" w:hAnsi="Times New Roman" w:cs="Times New Roman"/>
          <w:sz w:val="24"/>
          <w:szCs w:val="24"/>
        </w:rPr>
        <w:t xml:space="preserve">o kołach gospodyń wiejskich (art. 1 pkt 6 projektu ustawy) mają na celu doprecyzowanie przepisów dotyczących terminu zgłaszania przez koła </w:t>
      </w:r>
      <w:r w:rsidR="002A0276">
        <w:rPr>
          <w:rFonts w:ascii="Times New Roman" w:eastAsia="Calibri" w:hAnsi="Times New Roman" w:cs="Times New Roman"/>
          <w:sz w:val="24"/>
          <w:szCs w:val="24"/>
        </w:rPr>
        <w:t xml:space="preserve">gospodyń wiejskich </w:t>
      </w:r>
      <w:r w:rsidRPr="008A67EC">
        <w:rPr>
          <w:rFonts w:ascii="Times New Roman" w:eastAsia="Calibri" w:hAnsi="Times New Roman" w:cs="Times New Roman"/>
          <w:sz w:val="24"/>
          <w:szCs w:val="24"/>
        </w:rPr>
        <w:t>zmian danych wskazanych we wniosku o wpis koła do rejestru. Termin ten określono na okres 30 dni od dnia wystąpienia zmian. Mając na uwadze fakt, że koła gospodyń wiejskich składały wnioski o wpis zmian w różnych terminach od dnia ich wystąpienia, przepis ten pozwoli na bieżącą aktualizację danych znajdujących się w Krajowym Rejestrze Kół Gospodyń Wiejskich.</w:t>
      </w:r>
    </w:p>
    <w:p w14:paraId="50038404" w14:textId="6AC739E8"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Przepisy przejściowe wprowadzone do projektu ustawy określają również termin zgłoszenia zmian danych wpisanych do wniosku dla tych kół gospodyń wiejskich, które przed </w:t>
      </w:r>
      <w:r w:rsidR="00880A9D">
        <w:rPr>
          <w:rFonts w:ascii="Times New Roman" w:eastAsia="Calibri" w:hAnsi="Times New Roman" w:cs="Times New Roman"/>
          <w:sz w:val="24"/>
          <w:szCs w:val="24"/>
        </w:rPr>
        <w:t xml:space="preserve">dniem </w:t>
      </w:r>
      <w:r w:rsidRPr="008A67EC">
        <w:rPr>
          <w:rFonts w:ascii="Times New Roman" w:eastAsia="Calibri" w:hAnsi="Times New Roman" w:cs="Times New Roman"/>
          <w:sz w:val="24"/>
          <w:szCs w:val="24"/>
        </w:rPr>
        <w:t>wejści</w:t>
      </w:r>
      <w:r w:rsidR="00880A9D">
        <w:rPr>
          <w:rFonts w:ascii="Times New Roman" w:eastAsia="Calibri" w:hAnsi="Times New Roman" w:cs="Times New Roman"/>
          <w:sz w:val="24"/>
          <w:szCs w:val="24"/>
        </w:rPr>
        <w:t>a</w:t>
      </w:r>
      <w:r w:rsidRPr="008A67EC">
        <w:rPr>
          <w:rFonts w:ascii="Times New Roman" w:eastAsia="Calibri" w:hAnsi="Times New Roman" w:cs="Times New Roman"/>
          <w:sz w:val="24"/>
          <w:szCs w:val="24"/>
        </w:rPr>
        <w:t xml:space="preserve"> w życie projektowanej ustawy nie dokonały tego zgłoszenia.</w:t>
      </w:r>
    </w:p>
    <w:p w14:paraId="31EC7561" w14:textId="08E52EF7"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W art. 1 pkt 9 projektu ustawy </w:t>
      </w:r>
      <w:r w:rsidR="00A9456B">
        <w:rPr>
          <w:rFonts w:ascii="Times New Roman" w:eastAsia="Calibri" w:hAnsi="Times New Roman" w:cs="Times New Roman"/>
          <w:sz w:val="24"/>
          <w:szCs w:val="24"/>
        </w:rPr>
        <w:t>(</w:t>
      </w:r>
      <w:r w:rsidRPr="008A67EC">
        <w:rPr>
          <w:rFonts w:ascii="Times New Roman" w:eastAsia="Calibri" w:hAnsi="Times New Roman" w:cs="Times New Roman"/>
          <w:sz w:val="24"/>
          <w:szCs w:val="24"/>
        </w:rPr>
        <w:t xml:space="preserve">art. 12 ust. 2 </w:t>
      </w:r>
      <w:r w:rsidR="00A9456B" w:rsidRPr="008A67EC">
        <w:rPr>
          <w:rFonts w:ascii="Times New Roman" w:eastAsia="Calibri" w:hAnsi="Times New Roman" w:cs="Times New Roman"/>
          <w:sz w:val="24"/>
          <w:szCs w:val="24"/>
        </w:rPr>
        <w:t xml:space="preserve">ustawy </w:t>
      </w:r>
      <w:r w:rsidRPr="008A67EC">
        <w:rPr>
          <w:rFonts w:ascii="Times New Roman" w:eastAsia="Calibri" w:hAnsi="Times New Roman" w:cs="Times New Roman"/>
          <w:sz w:val="24"/>
          <w:szCs w:val="24"/>
        </w:rPr>
        <w:t>zmienianej</w:t>
      </w:r>
      <w:r w:rsidR="00A9456B">
        <w:rPr>
          <w:rFonts w:ascii="Times New Roman" w:eastAsia="Calibri" w:hAnsi="Times New Roman" w:cs="Times New Roman"/>
          <w:sz w:val="24"/>
          <w:szCs w:val="24"/>
        </w:rPr>
        <w:t>)</w:t>
      </w:r>
      <w:r w:rsidRPr="008A67EC">
        <w:rPr>
          <w:rFonts w:ascii="Times New Roman" w:eastAsia="Calibri" w:hAnsi="Times New Roman" w:cs="Times New Roman"/>
          <w:sz w:val="24"/>
          <w:szCs w:val="24"/>
        </w:rPr>
        <w:t xml:space="preserve"> zostały doprecyzowane przepisy w zakresie udostępnienia informacji z Krajowego Rejestru Kół Gospodyń Wiejskich</w:t>
      </w:r>
      <w:r w:rsidRPr="008A67EC" w:rsidDel="004921B8">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prowadzonego przez Agencję Restrukturyzacji i Modernizacji Rolnictwa, przez wyłączenie jawności niektórych danych dotyczących członków kół gospodyń wiejskich, tj. numeru ewidencyjnego powszechnego elektronicznego systemu ewidencji ludności (PESEL) oraz miejsca stałego zamieszkania, ponieważ dane te uznaje się powszechnie za wrażliwe i tym samym podlegające ochronie.</w:t>
      </w:r>
    </w:p>
    <w:p w14:paraId="575FE19B" w14:textId="5B476530"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Wprowadzony </w:t>
      </w:r>
      <w:r w:rsidR="00731BD2">
        <w:rPr>
          <w:rFonts w:ascii="Times New Roman" w:eastAsia="Calibri" w:hAnsi="Times New Roman" w:cs="Times New Roman"/>
          <w:sz w:val="24"/>
          <w:szCs w:val="24"/>
        </w:rPr>
        <w:t xml:space="preserve">do ustawy zmienianej </w:t>
      </w:r>
      <w:r w:rsidRPr="008A67EC">
        <w:rPr>
          <w:rFonts w:ascii="Times New Roman" w:eastAsia="Calibri" w:hAnsi="Times New Roman" w:cs="Times New Roman"/>
          <w:sz w:val="24"/>
          <w:szCs w:val="24"/>
        </w:rPr>
        <w:t>art. 23a (art. 1 pkt 1</w:t>
      </w:r>
      <w:r w:rsidR="00946DBF">
        <w:rPr>
          <w:rFonts w:ascii="Times New Roman" w:eastAsia="Calibri" w:hAnsi="Times New Roman" w:cs="Times New Roman"/>
          <w:sz w:val="24"/>
          <w:szCs w:val="24"/>
        </w:rPr>
        <w:t>1</w:t>
      </w:r>
      <w:r w:rsidR="00AD3ED5">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projektu ustawy) reguluje ogólne zasady przyznawania pomocy finansowej kołom gospodyń wiejskich. Źródłem tej pomocy będą dotacje celowe udzielane przez ministra właściwego do spraw rozwoju wsi Agencji Restrukturyzacji i Modernizacji Rolnictwa, która środki te będzie przekazywać kołom gospodyń wiejskich. W tym miejscu należy zwrócić uwagę, że przepisy te mają charakter fakultatywny –</w:t>
      </w:r>
      <w:r w:rsidR="00D3529C">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ust. 4 tego artykułu wskazuje, że: „Minister właściwy do spraw rozwoju wsi może udzielić Agencji Restrukturyzacji i Modernizacji Rolnictwa dotacji celowej, na zasadach określonych w przepisach o finansach publicznych (….)”, z przeznaczeniem na realizacj</w:t>
      </w:r>
      <w:r w:rsidR="00985206">
        <w:rPr>
          <w:rFonts w:ascii="Times New Roman" w:eastAsia="Calibri" w:hAnsi="Times New Roman" w:cs="Times New Roman"/>
          <w:sz w:val="24"/>
          <w:szCs w:val="24"/>
        </w:rPr>
        <w:t>ę</w:t>
      </w:r>
      <w:r w:rsidRPr="008A67EC">
        <w:rPr>
          <w:rFonts w:ascii="Times New Roman" w:eastAsia="Calibri" w:hAnsi="Times New Roman" w:cs="Times New Roman"/>
          <w:sz w:val="24"/>
          <w:szCs w:val="24"/>
        </w:rPr>
        <w:t xml:space="preserve"> pomocy finansowej dla kół gospodyń wiejskich. W związku z powyższym w projekcie ustawy nie wskazano limitu wydatków przeznaczonych na ten cel. </w:t>
      </w:r>
    </w:p>
    <w:p w14:paraId="145EC935" w14:textId="5D01C9C3"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W drodze rozporządzenia minister właściwy do spraw rozwoju wsi określi szczegółowe warunki i tryb przyznawania oraz rozliczania pomocy finansowej z budżetu państwa dla kół gospodyń wiejskich oraz jej wysokość (dodawany art. 23a ust. 9 </w:t>
      </w:r>
      <w:r w:rsidR="000B0695">
        <w:rPr>
          <w:rFonts w:ascii="Times New Roman" w:eastAsia="Calibri" w:hAnsi="Times New Roman" w:cs="Times New Roman"/>
          <w:sz w:val="24"/>
          <w:szCs w:val="24"/>
        </w:rPr>
        <w:t>zmienianej</w:t>
      </w:r>
      <w:r w:rsidR="000B0695" w:rsidRPr="008A67EC">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ustawy).</w:t>
      </w:r>
    </w:p>
    <w:p w14:paraId="74E1F94C" w14:textId="567AC57C"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Do ustawy </w:t>
      </w:r>
      <w:r w:rsidR="00985206" w:rsidRPr="008A67EC">
        <w:rPr>
          <w:rFonts w:ascii="Times New Roman" w:eastAsia="Calibri" w:hAnsi="Times New Roman" w:cs="Times New Roman"/>
          <w:sz w:val="24"/>
          <w:szCs w:val="24"/>
        </w:rPr>
        <w:t xml:space="preserve">z dnia 9 listopada 2018 r. </w:t>
      </w:r>
      <w:r w:rsidRPr="008A67EC">
        <w:rPr>
          <w:rFonts w:ascii="Times New Roman" w:eastAsia="Calibri" w:hAnsi="Times New Roman" w:cs="Times New Roman"/>
          <w:sz w:val="24"/>
          <w:szCs w:val="24"/>
        </w:rPr>
        <w:t>o kołach gospodyń wiejskich wprowadzono art. 23b (art. 1 pkt 1</w:t>
      </w:r>
      <w:r w:rsidR="00985206">
        <w:rPr>
          <w:rFonts w:ascii="Times New Roman" w:eastAsia="Calibri" w:hAnsi="Times New Roman" w:cs="Times New Roman"/>
          <w:sz w:val="24"/>
          <w:szCs w:val="24"/>
        </w:rPr>
        <w:t>1</w:t>
      </w:r>
      <w:r w:rsidRPr="008A67EC">
        <w:rPr>
          <w:rFonts w:ascii="Times New Roman" w:eastAsia="Calibri" w:hAnsi="Times New Roman" w:cs="Times New Roman"/>
          <w:sz w:val="24"/>
          <w:szCs w:val="24"/>
        </w:rPr>
        <w:t xml:space="preserve"> projektu ustawy), który będzie umożliwiał kołom gospodyń wiejskich i ich związkom składanie drogą elektroniczną wniosków o wpis do Krajowego Rejestru Kół Gospodyń Wiejskich oraz wniosków o przyznanie pomocy finansowej</w:t>
      </w:r>
      <w:r w:rsidR="00985206">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 xml:space="preserve"> za pomocą formularza udostępnionego na stronie internetowej Agencji Restrukturyzacji i Modernizacji Rolnictwa. </w:t>
      </w:r>
    </w:p>
    <w:p w14:paraId="1C25CBDA" w14:textId="405D2D38"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Powyższy przepis wejdzie w życie z dniem 1 stycznia 2023 r., ponieważ z tą datą koła gospodyń wiejskich będą mogły składać wnioski o wpis do Krajowego Rejestru Kół Gospodyń Wiejskich oraz wnioski o pomoc finansową za pomocą formularza, który zostanie udostępniony na stronie internetowej Agencji Restrukturyzacji i Modernizacji Rolnictwa.</w:t>
      </w:r>
    </w:p>
    <w:p w14:paraId="710A2BC1" w14:textId="63C0C0AA"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Koła gospodyń wiejskich to organizacje społeczne niezależne od administracji rządowej i jednostek samorządu terytorialnego. W związku z powyższym w art. 1 pkt 1</w:t>
      </w:r>
      <w:r w:rsidR="00946DBF">
        <w:rPr>
          <w:rFonts w:ascii="Times New Roman" w:eastAsia="Calibri" w:hAnsi="Times New Roman" w:cs="Times New Roman"/>
          <w:sz w:val="24"/>
          <w:szCs w:val="24"/>
        </w:rPr>
        <w:t>3</w:t>
      </w:r>
      <w:r w:rsidR="00D3529C">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projektu ustawy (art. 25 zmienianej</w:t>
      </w:r>
      <w:r w:rsidR="00CD312E" w:rsidRPr="00CD312E">
        <w:rPr>
          <w:rFonts w:ascii="Times New Roman" w:eastAsia="Calibri" w:hAnsi="Times New Roman" w:cs="Times New Roman"/>
          <w:sz w:val="24"/>
          <w:szCs w:val="24"/>
        </w:rPr>
        <w:t xml:space="preserve"> </w:t>
      </w:r>
      <w:r w:rsidR="00CD312E" w:rsidRPr="008A67EC">
        <w:rPr>
          <w:rFonts w:ascii="Times New Roman" w:eastAsia="Calibri" w:hAnsi="Times New Roman" w:cs="Times New Roman"/>
          <w:sz w:val="24"/>
          <w:szCs w:val="24"/>
        </w:rPr>
        <w:t>ustawy</w:t>
      </w:r>
      <w:r w:rsidR="00CD312E">
        <w:rPr>
          <w:rFonts w:ascii="Times New Roman" w:eastAsia="Calibri" w:hAnsi="Times New Roman" w:cs="Times New Roman"/>
          <w:sz w:val="24"/>
          <w:szCs w:val="24"/>
        </w:rPr>
        <w:t>)</w:t>
      </w:r>
      <w:r w:rsidRPr="008A67EC">
        <w:rPr>
          <w:rFonts w:ascii="Times New Roman" w:eastAsia="Calibri" w:hAnsi="Times New Roman" w:cs="Times New Roman"/>
          <w:sz w:val="24"/>
          <w:szCs w:val="24"/>
        </w:rPr>
        <w:t xml:space="preserve"> położono nacisk na sprawowanie nadzoru nad tymi organizacjami w zakresie ich działalności zgodnej z przepisami ustawy</w:t>
      </w:r>
      <w:r w:rsidR="00946DBF" w:rsidRPr="00946DBF">
        <w:rPr>
          <w:rFonts w:ascii="Times New Roman" w:eastAsia="Calibri" w:hAnsi="Times New Roman" w:cs="Times New Roman"/>
          <w:sz w:val="24"/>
          <w:szCs w:val="24"/>
        </w:rPr>
        <w:t xml:space="preserve"> </w:t>
      </w:r>
      <w:r w:rsidR="00946DBF" w:rsidRPr="008A67EC">
        <w:rPr>
          <w:rFonts w:ascii="Times New Roman" w:eastAsia="Calibri" w:hAnsi="Times New Roman" w:cs="Times New Roman"/>
          <w:sz w:val="24"/>
          <w:szCs w:val="24"/>
        </w:rPr>
        <w:t xml:space="preserve">z dnia 9 listopada 2018 r. </w:t>
      </w:r>
      <w:r w:rsidRPr="008A67EC">
        <w:rPr>
          <w:rFonts w:ascii="Times New Roman" w:eastAsia="Calibri" w:hAnsi="Times New Roman" w:cs="Times New Roman"/>
          <w:sz w:val="24"/>
          <w:szCs w:val="24"/>
        </w:rPr>
        <w:t xml:space="preserve"> o kołach gospodyń wiejskich. </w:t>
      </w:r>
    </w:p>
    <w:p w14:paraId="2E3D88D8" w14:textId="4C85D2BD"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W projektowanych przepisach doprecyzowano również zasady postępowania likwidacyjnego koła gospodyń wiejskich, mające na celu m.in. utrzymanie bytu prawnego koła w sytuacji, gdy</w:t>
      </w:r>
      <w:r w:rsidR="00946DBF">
        <w:rPr>
          <w:rFonts w:ascii="Times New Roman" w:eastAsia="Calibri" w:hAnsi="Times New Roman" w:cs="Times New Roman"/>
          <w:sz w:val="24"/>
          <w:szCs w:val="24"/>
        </w:rPr>
        <w:t>,</w:t>
      </w:r>
      <w:r w:rsidRPr="008A67EC">
        <w:rPr>
          <w:rFonts w:ascii="Times New Roman" w:eastAsia="Calibri" w:hAnsi="Times New Roman" w:cs="Times New Roman"/>
          <w:sz w:val="24"/>
          <w:szCs w:val="24"/>
        </w:rPr>
        <w:t xml:space="preserve"> chociażby z przyczyn losowych (np. śmierć członka), zmniejszy się liczba członków koła poniżej wymaganej, a koło ma dalej wolę działania. Koło będzie miało możliwość rozszerzenia listy członków do minimalnego stanu, wynikającego z przepisów ustawy w zakreślonym terminie.</w:t>
      </w:r>
    </w:p>
    <w:p w14:paraId="09B79885" w14:textId="5D4C6D1C"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Jedną z bardziej znaczących zmian wprowadzonych w projekcie ustawy jest zmiana właściwości organu do podejmowania rozstrzygnięć w przedmiocie wpisu kół gospodyń wiejskich do Krajowego Rejestru Kół Gospodyń Wiejskich, przyznawania kołom pomocy finansowej oraz</w:t>
      </w:r>
      <w:r w:rsidR="00CD312E">
        <w:rPr>
          <w:rFonts w:ascii="Times New Roman" w:eastAsia="Calibri" w:hAnsi="Times New Roman" w:cs="Times New Roman"/>
          <w:sz w:val="24"/>
          <w:szCs w:val="24"/>
        </w:rPr>
        <w:t xml:space="preserve"> – w określonych przypadkach –</w:t>
      </w:r>
      <w:r w:rsidRPr="008A67EC">
        <w:rPr>
          <w:rFonts w:ascii="Times New Roman" w:eastAsia="Calibri" w:hAnsi="Times New Roman" w:cs="Times New Roman"/>
          <w:sz w:val="24"/>
          <w:szCs w:val="24"/>
        </w:rPr>
        <w:t xml:space="preserve"> zwracania się do sądu właściwego ze względu na siedzibę koła o jego likwidację. Dotychczasowe przepisy ustawy statuują Prezesa Agencji Restrukturyzacji i Modernizacji Rolnictwa jako organ właściwy w sprawach związanych z dokonywaniem wpisu do Krajowego Rejestru Kół Gospodyń Wiejskich oraz przyznawania kołom pomocy finansowej</w:t>
      </w:r>
      <w:r w:rsidR="001A2ACE">
        <w:rPr>
          <w:rFonts w:ascii="Times New Roman" w:eastAsia="Calibri" w:hAnsi="Times New Roman" w:cs="Times New Roman"/>
          <w:sz w:val="24"/>
          <w:szCs w:val="24"/>
        </w:rPr>
        <w:t>.</w:t>
      </w:r>
      <w:r w:rsidRPr="008A67EC">
        <w:rPr>
          <w:rFonts w:ascii="Times New Roman" w:eastAsia="Calibri" w:hAnsi="Times New Roman" w:cs="Times New Roman"/>
          <w:sz w:val="24"/>
          <w:szCs w:val="24"/>
        </w:rPr>
        <w:t xml:space="preserve"> Przepisy te jednocześnie umożliwiają Prezesowi Agencji Restrukturyzacji i Modernizacji Rolnictwa udzielenie upoważnienia kierownikom biur powiatowych Agencji Restrukturyzacji i Modernizacji Rolnictwa do czynności w jego imieniu, w tym wydawania decyzji dotyczących wpisu do rejestru kół gospodyń wiejskich, a także wydawania decyzji w kwestii przyznawania pomocy finansowej.</w:t>
      </w:r>
    </w:p>
    <w:p w14:paraId="6362D5D2" w14:textId="1F8AA6C5"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W zaproponowanych przepisach organem wydającym decyzje o wpisie</w:t>
      </w:r>
      <w:r w:rsidR="00D3529C">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danego koła do Krajowego Rejestru Kół Gospodyń Wiejskich oraz decyzje dotyczące przyznania pomocy finansowej jest kierownik biura powiatowego Agencji Restrukturyzacji i Modernizacji Rolnictwa. Jednocześnie nadrzędnym organem w tym zakresie jest dyrektor oddziału regionalnego Agencji Restrukturyzacji i Modernizacji Rolnictwa.</w:t>
      </w:r>
    </w:p>
    <w:p w14:paraId="61B1B945" w14:textId="77777777"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Decentralizacja zadań związanych z obsługą wniosków składanych przez koła gospodyń wiejskich pozwoli na usprawnienie ich rozpatrywania.</w:t>
      </w:r>
    </w:p>
    <w:p w14:paraId="7A1D800D" w14:textId="4BA99592"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Z uwagi na przekazanie obsługi rejestru kół gospodyń wiejskich kierownikom biur powiatowych Agencji Restrukturyzacji i Modernizacji Rolnictwa, uzasadnionym jest, aby czynności w ramach likwidacji koła oraz wykreślenia koła z rejestru wykonywane były przez inny organ niż dokonujący rejestru. Zatem w przepisach art. 27b</w:t>
      </w:r>
      <w:r w:rsidR="006815A0" w:rsidRPr="008A67EC">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 xml:space="preserve">zmienianej </w:t>
      </w:r>
      <w:r w:rsidR="00CD312E">
        <w:rPr>
          <w:rFonts w:ascii="Times New Roman" w:eastAsia="Calibri" w:hAnsi="Times New Roman" w:cs="Times New Roman"/>
          <w:sz w:val="24"/>
          <w:szCs w:val="24"/>
        </w:rPr>
        <w:t xml:space="preserve">ustawy </w:t>
      </w:r>
      <w:r w:rsidRPr="008A67EC">
        <w:rPr>
          <w:rFonts w:ascii="Times New Roman" w:eastAsia="Calibri" w:hAnsi="Times New Roman" w:cs="Times New Roman"/>
          <w:sz w:val="24"/>
          <w:szCs w:val="24"/>
        </w:rPr>
        <w:t>(art. 1 pkt 1</w:t>
      </w:r>
      <w:r w:rsidR="00CD312E">
        <w:rPr>
          <w:rFonts w:ascii="Times New Roman" w:eastAsia="Calibri" w:hAnsi="Times New Roman" w:cs="Times New Roman"/>
          <w:sz w:val="24"/>
          <w:szCs w:val="24"/>
        </w:rPr>
        <w:t>5</w:t>
      </w:r>
      <w:r w:rsidRPr="008A67EC">
        <w:rPr>
          <w:rFonts w:ascii="Times New Roman" w:eastAsia="Calibri" w:hAnsi="Times New Roman" w:cs="Times New Roman"/>
          <w:sz w:val="24"/>
          <w:szCs w:val="24"/>
        </w:rPr>
        <w:t xml:space="preserve"> projektu ustawy) przekazano tę czynność dyrektorom oddziałów regionalnych Agencji Restrukturyzacji i Modernizacji Rolnictwa, co zapewni właściwy nadzór i kontrolę.</w:t>
      </w:r>
    </w:p>
    <w:p w14:paraId="58C679D1" w14:textId="58474C0B"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W przepisach projektu ustawy doprecyzowano kwestie związane ze wskazaniem właściwości sądu do rozstrzygania spraw w przedmiocie likwidacji kół gospodyń wiejskich. W art. 27b ust. 4 zmienianej ustawy określono, że sądem tym jest sąd właściwy ze względu na siedzibę koła. Zaproponowano również, aby wzorem rozwiązań funkcjonujących na gruncie ustawy z dnia 20 sierpnia 1997 r. o Krajowym Rejestrze Sądowym</w:t>
      </w:r>
      <w:r w:rsidR="00866C9A">
        <w:rPr>
          <w:rFonts w:ascii="Times New Roman" w:eastAsia="Calibri" w:hAnsi="Times New Roman" w:cs="Times New Roman"/>
          <w:sz w:val="24"/>
          <w:szCs w:val="24"/>
        </w:rPr>
        <w:t xml:space="preserve"> </w:t>
      </w:r>
      <w:r w:rsidR="00866C9A">
        <w:rPr>
          <w:rFonts w:ascii="Times New Roman" w:eastAsia="Calibri" w:hAnsi="Times New Roman" w:cs="Times New Roman"/>
        </w:rPr>
        <w:t>(Dz. U. z 2021 r. poz. 112, z późn. zm.)</w:t>
      </w:r>
      <w:r w:rsidRPr="008A67EC">
        <w:rPr>
          <w:rFonts w:ascii="Times New Roman" w:eastAsia="Calibri" w:hAnsi="Times New Roman" w:cs="Times New Roman"/>
          <w:sz w:val="24"/>
          <w:szCs w:val="24"/>
        </w:rPr>
        <w:t xml:space="preserve">, do postępowań określonych w art. 27b ust. 4 i </w:t>
      </w:r>
      <w:r w:rsidR="006815A0">
        <w:rPr>
          <w:rFonts w:ascii="Times New Roman" w:eastAsia="Calibri" w:hAnsi="Times New Roman" w:cs="Times New Roman"/>
          <w:sz w:val="24"/>
          <w:szCs w:val="24"/>
        </w:rPr>
        <w:t xml:space="preserve">w </w:t>
      </w:r>
      <w:r w:rsidRPr="008A67EC">
        <w:rPr>
          <w:rFonts w:ascii="Times New Roman" w:eastAsia="Calibri" w:hAnsi="Times New Roman" w:cs="Times New Roman"/>
          <w:sz w:val="24"/>
          <w:szCs w:val="24"/>
        </w:rPr>
        <w:t>art. 27 ust</w:t>
      </w:r>
      <w:r w:rsidR="00D10CC2">
        <w:rPr>
          <w:rFonts w:ascii="Times New Roman" w:eastAsia="Calibri" w:hAnsi="Times New Roman" w:cs="Times New Roman"/>
          <w:sz w:val="24"/>
          <w:szCs w:val="24"/>
        </w:rPr>
        <w:t>.</w:t>
      </w:r>
      <w:r w:rsidRPr="008A67EC">
        <w:rPr>
          <w:rFonts w:ascii="Times New Roman" w:eastAsia="Calibri" w:hAnsi="Times New Roman" w:cs="Times New Roman"/>
          <w:sz w:val="24"/>
          <w:szCs w:val="24"/>
        </w:rPr>
        <w:t xml:space="preserve"> 3 i 5 oraz </w:t>
      </w:r>
      <w:r w:rsidR="006815A0">
        <w:rPr>
          <w:rFonts w:ascii="Times New Roman" w:eastAsia="Calibri" w:hAnsi="Times New Roman" w:cs="Times New Roman"/>
          <w:sz w:val="24"/>
          <w:szCs w:val="24"/>
        </w:rPr>
        <w:t xml:space="preserve">w </w:t>
      </w:r>
      <w:r w:rsidRPr="008A67EC">
        <w:rPr>
          <w:rFonts w:ascii="Times New Roman" w:eastAsia="Calibri" w:hAnsi="Times New Roman" w:cs="Times New Roman"/>
          <w:sz w:val="24"/>
          <w:szCs w:val="24"/>
        </w:rPr>
        <w:t>art. 27a ust. 2 zmienianej ustawy stosowane były przepisy Kodeksu postępowania cywilnego o postępowaniu nieprocesowym, co niewątpliwie usprawni rozstrzygnięcia spraw w tym zakresie.</w:t>
      </w:r>
    </w:p>
    <w:p w14:paraId="513C33F2" w14:textId="568A47AE"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Do projektu ustawy wprowadzono również przepisy przejściowe związane z przeniesieniem kompetencji w zakresie pomocy udzielanej kołom gospodyń wiejskich na realizację zadań, o których mowa w art. 2 ust. 3 ustawy z dnia 9 listopada 2018 r. o kołach gospodyń wiejskich</w:t>
      </w:r>
      <w:r w:rsidR="005669CE">
        <w:rPr>
          <w:rFonts w:ascii="Times New Roman" w:eastAsia="Calibri" w:hAnsi="Times New Roman" w:cs="Times New Roman"/>
          <w:sz w:val="24"/>
          <w:szCs w:val="24"/>
        </w:rPr>
        <w:t xml:space="preserve"> –</w:t>
      </w:r>
      <w:r w:rsidRPr="008A67EC">
        <w:rPr>
          <w:rFonts w:ascii="Times New Roman" w:eastAsia="Calibri" w:hAnsi="Times New Roman" w:cs="Times New Roman"/>
          <w:sz w:val="24"/>
          <w:szCs w:val="24"/>
        </w:rPr>
        <w:t xml:space="preserve"> od ministra właściweg</w:t>
      </w:r>
      <w:r w:rsidR="00866C9A">
        <w:rPr>
          <w:rFonts w:ascii="Times New Roman" w:eastAsia="Calibri" w:hAnsi="Times New Roman" w:cs="Times New Roman"/>
          <w:sz w:val="24"/>
          <w:szCs w:val="24"/>
        </w:rPr>
        <w:t>o do spraw rozwoju regionalnego</w:t>
      </w:r>
      <w:r w:rsidRPr="008A67EC">
        <w:rPr>
          <w:rFonts w:ascii="Times New Roman" w:eastAsia="Calibri" w:hAnsi="Times New Roman" w:cs="Times New Roman"/>
          <w:sz w:val="24"/>
          <w:szCs w:val="24"/>
        </w:rPr>
        <w:t xml:space="preserve"> do ministra właściwego do spraw rozwoju wsi. Przepisy te mają również na celu zapewnienie ciągłości biegu wszczętych i niezakończonych postępowań administracyjnych</w:t>
      </w:r>
      <w:r w:rsidR="005669CE">
        <w:rPr>
          <w:rFonts w:ascii="Times New Roman" w:eastAsia="Calibri" w:hAnsi="Times New Roman" w:cs="Times New Roman"/>
          <w:sz w:val="24"/>
          <w:szCs w:val="24"/>
        </w:rPr>
        <w:t>.</w:t>
      </w:r>
    </w:p>
    <w:p w14:paraId="0EE0DEC7" w14:textId="77777777" w:rsidR="00157E7E" w:rsidRPr="008A67EC" w:rsidRDefault="00157E7E" w:rsidP="008A67EC">
      <w:pPr>
        <w:numPr>
          <w:ilvl w:val="0"/>
          <w:numId w:val="1"/>
        </w:numPr>
        <w:spacing w:before="240" w:after="0" w:line="360" w:lineRule="auto"/>
        <w:ind w:left="391" w:hanging="391"/>
        <w:rPr>
          <w:rFonts w:ascii="Times New Roman" w:eastAsia="Calibri" w:hAnsi="Times New Roman" w:cs="Times New Roman"/>
          <w:b/>
          <w:sz w:val="24"/>
          <w:szCs w:val="24"/>
        </w:rPr>
      </w:pPr>
      <w:r w:rsidRPr="008A67EC">
        <w:rPr>
          <w:rFonts w:ascii="Times New Roman" w:eastAsia="Calibri" w:hAnsi="Times New Roman" w:cs="Times New Roman"/>
          <w:b/>
          <w:sz w:val="24"/>
          <w:szCs w:val="24"/>
        </w:rPr>
        <w:t xml:space="preserve">Finansowanie </w:t>
      </w:r>
    </w:p>
    <w:p w14:paraId="63CF3356" w14:textId="3B8BA40B"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 xml:space="preserve">W projekcie ustawy zawarte zostały przepisy finansowe, na podstawie których możliwym będzie dalsze przyznawanie pomocy w ramach instrumentu pomocy dla kół gospodyń wiejskich przez dotację, której minister właściwy do spraw rozwoju wsi może udzielić Agencji Restrukturyzacji i Modernizacji Rolnictwa, na zasadach określonych w przepisach o finansach publicznych, z przeznaczeniem na realizację pomocy finansowej. Jednocześnie wskazano, że w celu realizacji tej ustawy Prezes Rady Ministrów może, w drodze rozporządzenia, dokonywać przeniesienia planowanych dochodów i wydatków, w tym wynagrodzeń, między częściami, działami i rozdziałami budżetu państwa, z zachowaniem przeznaczenia środków publicznych wynikającego z ustawy budżetowej. </w:t>
      </w:r>
    </w:p>
    <w:p w14:paraId="29912282" w14:textId="43DBE6BE" w:rsidR="00157E7E" w:rsidRPr="008A67EC" w:rsidRDefault="00157E7E" w:rsidP="008A67EC">
      <w:pPr>
        <w:numPr>
          <w:ilvl w:val="0"/>
          <w:numId w:val="1"/>
        </w:numPr>
        <w:spacing w:before="240" w:after="0" w:line="360" w:lineRule="auto"/>
        <w:ind w:left="391" w:hanging="391"/>
        <w:rPr>
          <w:rFonts w:ascii="Times New Roman" w:eastAsia="Calibri" w:hAnsi="Times New Roman" w:cs="Times New Roman"/>
          <w:b/>
          <w:sz w:val="24"/>
          <w:szCs w:val="24"/>
        </w:rPr>
      </w:pPr>
      <w:r w:rsidRPr="008A67EC">
        <w:rPr>
          <w:rFonts w:ascii="Times New Roman" w:eastAsia="Calibri" w:hAnsi="Times New Roman" w:cs="Times New Roman"/>
          <w:b/>
          <w:sz w:val="24"/>
          <w:szCs w:val="24"/>
        </w:rPr>
        <w:t>Opinia o zgodności projektu ustawy z prawem Unii Europejskiej</w:t>
      </w:r>
    </w:p>
    <w:p w14:paraId="3FE5A2ED" w14:textId="77777777" w:rsidR="00157E7E" w:rsidRPr="008A67EC" w:rsidRDefault="00157E7E" w:rsidP="008A67EC">
      <w:pPr>
        <w:spacing w:before="120" w:after="0" w:line="360" w:lineRule="auto"/>
        <w:jc w:val="both"/>
        <w:rPr>
          <w:rFonts w:ascii="Times New Roman" w:eastAsia="Calibri" w:hAnsi="Times New Roman" w:cs="Times New Roman"/>
          <w:sz w:val="24"/>
          <w:szCs w:val="24"/>
        </w:rPr>
      </w:pPr>
      <w:r w:rsidRPr="008A67EC">
        <w:rPr>
          <w:rFonts w:ascii="Times New Roman" w:eastAsia="Calibri" w:hAnsi="Times New Roman" w:cs="Times New Roman"/>
          <w:sz w:val="24"/>
          <w:szCs w:val="24"/>
        </w:rPr>
        <w:t>Projekt ustawy nie jest objęty zakresem prawa Unii Europejskiej.</w:t>
      </w:r>
    </w:p>
    <w:p w14:paraId="67A845CC" w14:textId="763C5981" w:rsidR="00157E7E" w:rsidRPr="008A67EC" w:rsidRDefault="00157E7E" w:rsidP="008A67EC">
      <w:pPr>
        <w:spacing w:before="120" w:after="0" w:line="360" w:lineRule="auto"/>
        <w:jc w:val="both"/>
        <w:rPr>
          <w:rFonts w:ascii="Times New Roman" w:eastAsia="Calibri" w:hAnsi="Times New Roman" w:cs="Times New Roman"/>
          <w:color w:val="000000"/>
          <w:sz w:val="24"/>
          <w:szCs w:val="24"/>
        </w:rPr>
      </w:pPr>
      <w:r w:rsidRPr="008A67EC">
        <w:rPr>
          <w:rFonts w:ascii="Times New Roman" w:eastAsia="Calibri" w:hAnsi="Times New Roman" w:cs="Times New Roman"/>
          <w:color w:val="000000"/>
          <w:sz w:val="24"/>
          <w:szCs w:val="24"/>
        </w:rPr>
        <w:t xml:space="preserve">Projektowana ustawa nie zawiera przepisów technicznych i w związku z tym nie podlega notyfikacji w rozumieniu przepisów rozporządzenia Rady Ministrów z dnia 23 grudnia 2002 r. w sprawie sposobu funkcjonowania krajowego systemu notyfikacji norm i aktów prawnych (Dz. U. poz. 2039, z późn. zm.). </w:t>
      </w:r>
    </w:p>
    <w:p w14:paraId="3D8A8BEF" w14:textId="7F7E887F" w:rsidR="00157E7E" w:rsidRDefault="00157E7E" w:rsidP="008A67EC">
      <w:pPr>
        <w:spacing w:before="120" w:after="0" w:line="360" w:lineRule="auto"/>
        <w:jc w:val="both"/>
        <w:rPr>
          <w:rFonts w:ascii="Times New Roman" w:eastAsia="Calibri" w:hAnsi="Times New Roman" w:cs="Times New Roman"/>
          <w:color w:val="000000"/>
          <w:sz w:val="24"/>
          <w:szCs w:val="24"/>
        </w:rPr>
      </w:pPr>
      <w:r w:rsidRPr="008A67EC">
        <w:rPr>
          <w:rFonts w:ascii="Times New Roman" w:eastAsia="Calibri" w:hAnsi="Times New Roman" w:cs="Times New Roman"/>
          <w:color w:val="000000"/>
          <w:sz w:val="24"/>
          <w:szCs w:val="24"/>
        </w:rPr>
        <w:t xml:space="preserve">Projekt ustawy nie wymaga przedstawienia właściwym organom i instytucjom Unii Europejskiej, w tym Europejskiemu Bankowi Centralnemu, w celu uzyskania opinii, dokonania powiadomienia, konsultacji albo uzgodnienia, o którym mowa w § 27 ust. 4 uchwały nr 190 Rady Ministrów z dnia 29 października 2013 r. </w:t>
      </w:r>
      <w:r w:rsidR="00D10CC2">
        <w:rPr>
          <w:rFonts w:ascii="Times New Roman" w:eastAsia="Calibri" w:hAnsi="Times New Roman" w:cs="Times New Roman"/>
          <w:color w:val="000000"/>
          <w:sz w:val="24"/>
          <w:szCs w:val="24"/>
        </w:rPr>
        <w:t>–</w:t>
      </w:r>
      <w:r w:rsidRPr="008A67EC">
        <w:rPr>
          <w:rFonts w:ascii="Times New Roman" w:eastAsia="Calibri" w:hAnsi="Times New Roman" w:cs="Times New Roman"/>
          <w:color w:val="000000"/>
          <w:sz w:val="24"/>
          <w:szCs w:val="24"/>
        </w:rPr>
        <w:t xml:space="preserve"> Regulamin pracy Rady Ministrów (M.P. z 2016 r. poz. 1006, z późn. zm.).</w:t>
      </w:r>
    </w:p>
    <w:p w14:paraId="2F672CE7" w14:textId="74A449CD" w:rsidR="00157E7E" w:rsidRDefault="00157E7E" w:rsidP="008A67EC">
      <w:pPr>
        <w:keepNext/>
        <w:spacing w:before="120" w:after="0" w:line="360" w:lineRule="auto"/>
        <w:jc w:val="both"/>
        <w:rPr>
          <w:rFonts w:ascii="Times New Roman" w:eastAsia="Calibri" w:hAnsi="Times New Roman" w:cs="Times New Roman"/>
          <w:color w:val="000000"/>
          <w:sz w:val="24"/>
          <w:szCs w:val="24"/>
        </w:rPr>
      </w:pPr>
      <w:r w:rsidRPr="008A67EC">
        <w:rPr>
          <w:rFonts w:ascii="Times New Roman" w:eastAsia="Calibri" w:hAnsi="Times New Roman" w:cs="Times New Roman"/>
          <w:color w:val="000000"/>
          <w:sz w:val="24"/>
          <w:szCs w:val="24"/>
        </w:rPr>
        <w:t xml:space="preserve">Zgodnie z art. 5 ustawy z dnia 7 lipca 2005 r. o działalności lobbingowej w procesie stanowienia prawa (Dz. U. z 2017 r. poz. 248) projekt ustawy </w:t>
      </w:r>
      <w:r w:rsidRPr="008A67EC">
        <w:rPr>
          <w:rFonts w:ascii="Times New Roman" w:eastAsia="Calibri" w:hAnsi="Times New Roman" w:cs="Times New Roman"/>
          <w:sz w:val="24"/>
          <w:szCs w:val="24"/>
        </w:rPr>
        <w:t xml:space="preserve">został </w:t>
      </w:r>
      <w:r w:rsidRPr="008A67EC">
        <w:rPr>
          <w:rFonts w:ascii="Times New Roman" w:eastAsia="Calibri" w:hAnsi="Times New Roman" w:cs="Times New Roman"/>
          <w:color w:val="000000"/>
          <w:sz w:val="24"/>
          <w:szCs w:val="24"/>
        </w:rPr>
        <w:t xml:space="preserve">udostępniony w Biuletynie Informacji Publicznej na stronie podmiotowej </w:t>
      </w:r>
      <w:r w:rsidRPr="008A67EC">
        <w:rPr>
          <w:rFonts w:ascii="Times New Roman" w:eastAsia="Calibri" w:hAnsi="Times New Roman" w:cs="Times New Roman"/>
          <w:bCs/>
          <w:color w:val="000000"/>
          <w:sz w:val="24"/>
          <w:szCs w:val="24"/>
          <w:bdr w:val="none" w:sz="0" w:space="0" w:color="auto" w:frame="1"/>
        </w:rPr>
        <w:t xml:space="preserve">Ministerstwa Rolnictwa i Rozwoju Wsi </w:t>
      </w:r>
      <w:r w:rsidRPr="008A67EC">
        <w:rPr>
          <w:rFonts w:ascii="Times New Roman" w:eastAsia="Calibri" w:hAnsi="Times New Roman" w:cs="Times New Roman"/>
          <w:color w:val="000000"/>
          <w:sz w:val="24"/>
          <w:szCs w:val="24"/>
        </w:rPr>
        <w:t>oraz w Biuletynie Informacji Publicznej Rządowego Centrum Legislacji w serwisie Rządowy Proces Legislac</w:t>
      </w:r>
      <w:r w:rsidRPr="00031A71">
        <w:rPr>
          <w:rFonts w:ascii="Times New Roman" w:eastAsia="Calibri" w:hAnsi="Times New Roman" w:cs="Times New Roman"/>
          <w:color w:val="000000"/>
          <w:sz w:val="24"/>
          <w:szCs w:val="24"/>
        </w:rPr>
        <w:t xml:space="preserve">yjny. </w:t>
      </w:r>
      <w:r w:rsidR="000C0D81" w:rsidRPr="00031A71">
        <w:rPr>
          <w:rFonts w:ascii="Times New Roman" w:eastAsia="Calibri" w:hAnsi="Times New Roman" w:cs="Times New Roman"/>
          <w:color w:val="000000"/>
          <w:sz w:val="24"/>
          <w:szCs w:val="24"/>
        </w:rPr>
        <w:t>Żaden z podmiotów nie zgłosił zainteresowania pracami nad projektem.</w:t>
      </w:r>
    </w:p>
    <w:p w14:paraId="2B9A82F6" w14:textId="5392DF44" w:rsidR="00A6317B" w:rsidRPr="008A67EC" w:rsidRDefault="00157E7E" w:rsidP="008A67EC">
      <w:pPr>
        <w:spacing w:before="120" w:after="0" w:line="360" w:lineRule="auto"/>
        <w:jc w:val="both"/>
        <w:rPr>
          <w:sz w:val="24"/>
          <w:szCs w:val="24"/>
        </w:rPr>
      </w:pPr>
      <w:r w:rsidRPr="008A67EC">
        <w:rPr>
          <w:rFonts w:ascii="Times New Roman" w:eastAsia="Calibri" w:hAnsi="Times New Roman" w:cs="Times New Roman"/>
          <w:color w:val="000000"/>
          <w:sz w:val="24"/>
          <w:szCs w:val="24"/>
        </w:rPr>
        <w:t xml:space="preserve">Projekt ustawy </w:t>
      </w:r>
      <w:r w:rsidRPr="008A67EC">
        <w:rPr>
          <w:rFonts w:ascii="Times New Roman" w:eastAsia="Calibri" w:hAnsi="Times New Roman" w:cs="Times New Roman"/>
          <w:sz w:val="24"/>
          <w:szCs w:val="24"/>
        </w:rPr>
        <w:t xml:space="preserve">został wpisany </w:t>
      </w:r>
      <w:r w:rsidRPr="008A67EC">
        <w:rPr>
          <w:rFonts w:ascii="Times New Roman" w:eastAsia="Calibri" w:hAnsi="Times New Roman" w:cs="Times New Roman"/>
          <w:color w:val="000000"/>
          <w:sz w:val="24"/>
          <w:szCs w:val="24"/>
        </w:rPr>
        <w:t xml:space="preserve">do Wykazu prac legislacyjnych i programowych Rady Ministrów </w:t>
      </w:r>
      <w:r w:rsidRPr="008A67EC">
        <w:rPr>
          <w:rFonts w:ascii="Times New Roman" w:eastAsia="Calibri" w:hAnsi="Times New Roman" w:cs="Times New Roman"/>
          <w:sz w:val="24"/>
          <w:szCs w:val="24"/>
        </w:rPr>
        <w:t>pod nr UD204.</w:t>
      </w:r>
    </w:p>
    <w:sectPr w:rsidR="00A6317B" w:rsidRPr="008A67EC" w:rsidSect="008A67EC">
      <w:footerReference w:type="default" r:id="rId7"/>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CC2965" w14:textId="77777777" w:rsidR="003419AC" w:rsidRDefault="003419AC" w:rsidP="00D3529C">
      <w:pPr>
        <w:spacing w:after="0" w:line="240" w:lineRule="auto"/>
      </w:pPr>
      <w:r>
        <w:separator/>
      </w:r>
    </w:p>
  </w:endnote>
  <w:endnote w:type="continuationSeparator" w:id="0">
    <w:p w14:paraId="139DE090" w14:textId="77777777" w:rsidR="003419AC" w:rsidRDefault="003419AC" w:rsidP="00D35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48046249"/>
      <w:docPartObj>
        <w:docPartGallery w:val="Page Numbers (Bottom of Page)"/>
        <w:docPartUnique/>
      </w:docPartObj>
    </w:sdtPr>
    <w:sdtEndPr/>
    <w:sdtContent>
      <w:p w14:paraId="4F350852" w14:textId="39441C2F" w:rsidR="00D3529C" w:rsidRPr="008A67EC" w:rsidRDefault="00D3529C">
        <w:pPr>
          <w:pStyle w:val="Stopka"/>
          <w:jc w:val="center"/>
          <w:rPr>
            <w:rFonts w:ascii="Times New Roman" w:hAnsi="Times New Roman" w:cs="Times New Roman"/>
            <w:sz w:val="24"/>
            <w:szCs w:val="24"/>
          </w:rPr>
        </w:pPr>
        <w:r w:rsidRPr="008A67EC">
          <w:rPr>
            <w:rFonts w:ascii="Times New Roman" w:hAnsi="Times New Roman" w:cs="Times New Roman"/>
            <w:sz w:val="24"/>
            <w:szCs w:val="24"/>
          </w:rPr>
          <w:fldChar w:fldCharType="begin"/>
        </w:r>
        <w:r w:rsidRPr="008A67EC">
          <w:rPr>
            <w:rFonts w:ascii="Times New Roman" w:hAnsi="Times New Roman" w:cs="Times New Roman"/>
            <w:sz w:val="24"/>
            <w:szCs w:val="24"/>
          </w:rPr>
          <w:instrText>PAGE   \* MERGEFORMAT</w:instrText>
        </w:r>
        <w:r w:rsidRPr="008A67EC">
          <w:rPr>
            <w:rFonts w:ascii="Times New Roman" w:hAnsi="Times New Roman" w:cs="Times New Roman"/>
            <w:sz w:val="24"/>
            <w:szCs w:val="24"/>
          </w:rPr>
          <w:fldChar w:fldCharType="separate"/>
        </w:r>
        <w:r w:rsidR="00AD1B56">
          <w:rPr>
            <w:rFonts w:ascii="Times New Roman" w:hAnsi="Times New Roman" w:cs="Times New Roman"/>
            <w:noProof/>
            <w:sz w:val="24"/>
            <w:szCs w:val="24"/>
          </w:rPr>
          <w:t>7</w:t>
        </w:r>
        <w:r w:rsidRPr="008A67EC">
          <w:rPr>
            <w:rFonts w:ascii="Times New Roman" w:hAnsi="Times New Roman" w:cs="Times New Roman"/>
            <w:sz w:val="24"/>
            <w:szCs w:val="24"/>
          </w:rPr>
          <w:fldChar w:fldCharType="end"/>
        </w:r>
      </w:p>
    </w:sdtContent>
  </w:sdt>
  <w:p w14:paraId="408CFEF7" w14:textId="77777777" w:rsidR="00D3529C" w:rsidRDefault="00D3529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01A7A" w14:textId="77777777" w:rsidR="003419AC" w:rsidRDefault="003419AC" w:rsidP="00D3529C">
      <w:pPr>
        <w:spacing w:after="0" w:line="240" w:lineRule="auto"/>
      </w:pPr>
      <w:r>
        <w:separator/>
      </w:r>
    </w:p>
  </w:footnote>
  <w:footnote w:type="continuationSeparator" w:id="0">
    <w:p w14:paraId="03C68CE1" w14:textId="77777777" w:rsidR="003419AC" w:rsidRDefault="003419AC" w:rsidP="00D352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B326AF"/>
    <w:multiLevelType w:val="hybridMultilevel"/>
    <w:tmpl w:val="3F24D0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E7E"/>
    <w:rsid w:val="00031A71"/>
    <w:rsid w:val="000A3D8D"/>
    <w:rsid w:val="000B0695"/>
    <w:rsid w:val="000C0D81"/>
    <w:rsid w:val="001033D3"/>
    <w:rsid w:val="00157E7E"/>
    <w:rsid w:val="001A2ACE"/>
    <w:rsid w:val="001F0507"/>
    <w:rsid w:val="001F5B27"/>
    <w:rsid w:val="00232445"/>
    <w:rsid w:val="00295DE3"/>
    <w:rsid w:val="002A0276"/>
    <w:rsid w:val="002B3387"/>
    <w:rsid w:val="002E6A72"/>
    <w:rsid w:val="003419AC"/>
    <w:rsid w:val="003C29E0"/>
    <w:rsid w:val="004936D4"/>
    <w:rsid w:val="004D537B"/>
    <w:rsid w:val="005669CE"/>
    <w:rsid w:val="0061560D"/>
    <w:rsid w:val="006815A0"/>
    <w:rsid w:val="006A3B18"/>
    <w:rsid w:val="007273D2"/>
    <w:rsid w:val="00731BD2"/>
    <w:rsid w:val="00757DE4"/>
    <w:rsid w:val="00866C9A"/>
    <w:rsid w:val="00880A9D"/>
    <w:rsid w:val="008A67EC"/>
    <w:rsid w:val="00946DBF"/>
    <w:rsid w:val="00983735"/>
    <w:rsid w:val="00985206"/>
    <w:rsid w:val="009D35E8"/>
    <w:rsid w:val="009F080F"/>
    <w:rsid w:val="00A6317B"/>
    <w:rsid w:val="00A76DAE"/>
    <w:rsid w:val="00A9456B"/>
    <w:rsid w:val="00AC2E5D"/>
    <w:rsid w:val="00AD1B56"/>
    <w:rsid w:val="00AD3ED5"/>
    <w:rsid w:val="00AF52E2"/>
    <w:rsid w:val="00B40EAB"/>
    <w:rsid w:val="00C1734E"/>
    <w:rsid w:val="00C5786E"/>
    <w:rsid w:val="00CA4222"/>
    <w:rsid w:val="00CD312E"/>
    <w:rsid w:val="00D10CC2"/>
    <w:rsid w:val="00D21E7D"/>
    <w:rsid w:val="00D3529C"/>
    <w:rsid w:val="00D715E6"/>
    <w:rsid w:val="00E12AE9"/>
    <w:rsid w:val="00E21118"/>
    <w:rsid w:val="00E50322"/>
    <w:rsid w:val="00E52A46"/>
    <w:rsid w:val="00F14193"/>
    <w:rsid w:val="00F53F48"/>
    <w:rsid w:val="00FB063E"/>
    <w:rsid w:val="00FC2CB7"/>
    <w:rsid w:val="00FD42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4FB1D"/>
  <w15:docId w15:val="{41F23176-7B76-40D5-B840-C69668797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57E7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D3529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3529C"/>
    <w:rPr>
      <w:rFonts w:ascii="Segoe UI" w:hAnsi="Segoe UI" w:cs="Segoe UI"/>
      <w:sz w:val="18"/>
      <w:szCs w:val="18"/>
    </w:rPr>
  </w:style>
  <w:style w:type="paragraph" w:styleId="Nagwek">
    <w:name w:val="header"/>
    <w:basedOn w:val="Normalny"/>
    <w:link w:val="NagwekZnak"/>
    <w:uiPriority w:val="99"/>
    <w:unhideWhenUsed/>
    <w:rsid w:val="00D3529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529C"/>
  </w:style>
  <w:style w:type="paragraph" w:styleId="Stopka">
    <w:name w:val="footer"/>
    <w:basedOn w:val="Normalny"/>
    <w:link w:val="StopkaZnak"/>
    <w:uiPriority w:val="99"/>
    <w:unhideWhenUsed/>
    <w:rsid w:val="00D3529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529C"/>
  </w:style>
  <w:style w:type="character" w:styleId="Odwoaniedokomentarza">
    <w:name w:val="annotation reference"/>
    <w:basedOn w:val="Domylnaczcionkaakapitu"/>
    <w:uiPriority w:val="99"/>
    <w:semiHidden/>
    <w:unhideWhenUsed/>
    <w:rsid w:val="006A3B18"/>
    <w:rPr>
      <w:sz w:val="16"/>
      <w:szCs w:val="16"/>
    </w:rPr>
  </w:style>
  <w:style w:type="paragraph" w:styleId="Tekstkomentarza">
    <w:name w:val="annotation text"/>
    <w:basedOn w:val="Normalny"/>
    <w:link w:val="TekstkomentarzaZnak"/>
    <w:uiPriority w:val="99"/>
    <w:semiHidden/>
    <w:unhideWhenUsed/>
    <w:rsid w:val="006A3B1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A3B18"/>
    <w:rPr>
      <w:sz w:val="20"/>
      <w:szCs w:val="20"/>
    </w:rPr>
  </w:style>
  <w:style w:type="paragraph" w:styleId="Tematkomentarza">
    <w:name w:val="annotation subject"/>
    <w:basedOn w:val="Tekstkomentarza"/>
    <w:next w:val="Tekstkomentarza"/>
    <w:link w:val="TematkomentarzaZnak"/>
    <w:uiPriority w:val="99"/>
    <w:semiHidden/>
    <w:unhideWhenUsed/>
    <w:rsid w:val="006A3B18"/>
    <w:rPr>
      <w:b/>
      <w:bCs/>
    </w:rPr>
  </w:style>
  <w:style w:type="character" w:customStyle="1" w:styleId="TematkomentarzaZnak">
    <w:name w:val="Temat komentarza Znak"/>
    <w:basedOn w:val="TekstkomentarzaZnak"/>
    <w:link w:val="Tematkomentarza"/>
    <w:uiPriority w:val="99"/>
    <w:semiHidden/>
    <w:rsid w:val="006A3B18"/>
    <w:rPr>
      <w:b/>
      <w:bCs/>
      <w:sz w:val="20"/>
      <w:szCs w:val="20"/>
    </w:rPr>
  </w:style>
  <w:style w:type="paragraph" w:styleId="Poprawka">
    <w:name w:val="Revision"/>
    <w:hidden/>
    <w:uiPriority w:val="99"/>
    <w:semiHidden/>
    <w:rsid w:val="006A3B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2097</Words>
  <Characters>12586</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Ćwiek Katarzyna</dc:creator>
  <cp:lastModifiedBy>Kołakowska Iwona</cp:lastModifiedBy>
  <cp:revision>3</cp:revision>
  <dcterms:created xsi:type="dcterms:W3CDTF">2021-05-19T15:07:00Z</dcterms:created>
  <dcterms:modified xsi:type="dcterms:W3CDTF">2021-05-19T15:12:00Z</dcterms:modified>
</cp:coreProperties>
</file>