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FA1D9" w14:textId="77777777" w:rsidR="00747F2F" w:rsidRPr="00AE33E8" w:rsidRDefault="00747F2F" w:rsidP="00747F2F">
      <w:pPr>
        <w:jc w:val="center"/>
        <w:rPr>
          <w:rStyle w:val="Ppogrubienie"/>
          <w:rFonts w:cs="Times New Roman"/>
          <w:b w:val="0"/>
          <w:szCs w:val="24"/>
        </w:rPr>
      </w:pPr>
      <w:r w:rsidRPr="00AE33E8">
        <w:rPr>
          <w:rStyle w:val="Ppogrubienie"/>
          <w:rFonts w:cs="Times New Roman"/>
          <w:b w:val="0"/>
          <w:szCs w:val="24"/>
        </w:rPr>
        <w:t>UZASADNIENIE</w:t>
      </w:r>
    </w:p>
    <w:p w14:paraId="49E6674D" w14:textId="77777777" w:rsidR="00747F2F" w:rsidRDefault="00747F2F" w:rsidP="00AE33E8">
      <w:pPr>
        <w:pStyle w:val="NIEARTTEKSTtekstnieartykuowanynppodstprawnarozplubpreambua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szCs w:val="24"/>
        </w:rPr>
      </w:pPr>
      <w:r w:rsidRPr="007E7CCC">
        <w:rPr>
          <w:rFonts w:ascii="Times New Roman" w:hAnsi="Times New Roman" w:cs="Times New Roman"/>
          <w:b/>
          <w:szCs w:val="24"/>
        </w:rPr>
        <w:t>C</w:t>
      </w:r>
      <w:r>
        <w:rPr>
          <w:rFonts w:ascii="Times New Roman" w:hAnsi="Times New Roman" w:cs="Times New Roman"/>
          <w:b/>
          <w:szCs w:val="24"/>
        </w:rPr>
        <w:t xml:space="preserve">el regulacji </w:t>
      </w:r>
    </w:p>
    <w:p w14:paraId="0C388164" w14:textId="0E9D6375" w:rsidR="00792E13" w:rsidRDefault="00747F2F" w:rsidP="00AE33E8">
      <w:pPr>
        <w:spacing w:before="120"/>
        <w:ind w:firstLine="680"/>
        <w:jc w:val="both"/>
      </w:pPr>
      <w:r>
        <w:rPr>
          <w:color w:val="000000"/>
          <w:spacing w:val="-2"/>
        </w:rPr>
        <w:t xml:space="preserve">Celem niniejszego projektu jest </w:t>
      </w:r>
      <w:r w:rsidR="00792E13">
        <w:rPr>
          <w:color w:val="000000"/>
          <w:spacing w:val="-2"/>
        </w:rPr>
        <w:t>implementacja wyroków Trybunału Sprawiedliwości Unii Europejskiej</w:t>
      </w:r>
      <w:r w:rsidR="00427C83">
        <w:rPr>
          <w:color w:val="000000"/>
          <w:spacing w:val="-2"/>
        </w:rPr>
        <w:t xml:space="preserve"> (dalej jako: „TSUE”</w:t>
      </w:r>
      <w:r w:rsidR="00683CB6">
        <w:rPr>
          <w:color w:val="000000"/>
          <w:spacing w:val="-2"/>
        </w:rPr>
        <w:t xml:space="preserve"> lub „Trybunał”</w:t>
      </w:r>
      <w:r w:rsidR="00427C83">
        <w:rPr>
          <w:color w:val="000000"/>
          <w:spacing w:val="-2"/>
        </w:rPr>
        <w:t>)</w:t>
      </w:r>
      <w:r w:rsidR="00792E13">
        <w:rPr>
          <w:color w:val="000000"/>
          <w:spacing w:val="-2"/>
        </w:rPr>
        <w:t xml:space="preserve"> w sprawach polskich, tj. </w:t>
      </w:r>
      <w:r w:rsidR="00792E13">
        <w:t xml:space="preserve">C-176/17 </w:t>
      </w:r>
      <w:r w:rsidR="00792E13" w:rsidRPr="003544B7">
        <w:rPr>
          <w:i/>
        </w:rPr>
        <w:t>Profi Credit Polska</w:t>
      </w:r>
      <w:r w:rsidR="00792E13">
        <w:t xml:space="preserve"> </w:t>
      </w:r>
      <w:r w:rsidR="00E14CBE" w:rsidRPr="00D51B71">
        <w:t>(Dz.U.</w:t>
      </w:r>
      <w:r w:rsidR="00A926E1">
        <w:t>UE.</w:t>
      </w:r>
      <w:r w:rsidR="00E14CBE" w:rsidRPr="00D51B71">
        <w:t>C</w:t>
      </w:r>
      <w:r w:rsidR="00A926E1">
        <w:t>.</w:t>
      </w:r>
      <w:r w:rsidR="00E14CBE" w:rsidRPr="00D51B71">
        <w:t>408 od 12.11.2018, str.20)</w:t>
      </w:r>
      <w:r w:rsidR="000B7C36">
        <w:t>,</w:t>
      </w:r>
      <w:r w:rsidR="00E14CBE">
        <w:t xml:space="preserve"> </w:t>
      </w:r>
      <w:r w:rsidR="00792E13">
        <w:t xml:space="preserve">C-545/17 </w:t>
      </w:r>
      <w:r w:rsidR="00792E13" w:rsidRPr="003544B7">
        <w:rPr>
          <w:i/>
        </w:rPr>
        <w:t>Pawlak</w:t>
      </w:r>
      <w:r w:rsidR="00E14CBE">
        <w:t xml:space="preserve"> (</w:t>
      </w:r>
      <w:r w:rsidR="00E14CBE" w:rsidRPr="00D51B71">
        <w:t>Dz.</w:t>
      </w:r>
      <w:r w:rsidR="00E70FA5">
        <w:t xml:space="preserve"> </w:t>
      </w:r>
      <w:r w:rsidR="00E14CBE" w:rsidRPr="00D51B71">
        <w:t>U</w:t>
      </w:r>
      <w:r w:rsidR="00E70FA5">
        <w:t>rz</w:t>
      </w:r>
      <w:r w:rsidR="00E14CBE" w:rsidRPr="00D51B71">
        <w:t>.</w:t>
      </w:r>
      <w:r w:rsidR="00E70FA5">
        <w:t xml:space="preserve"> </w:t>
      </w:r>
      <w:r w:rsidR="00A926E1">
        <w:t>UE</w:t>
      </w:r>
      <w:r w:rsidR="00E70FA5">
        <w:t xml:space="preserve"> </w:t>
      </w:r>
      <w:r w:rsidR="00E14CBE" w:rsidRPr="00D51B71">
        <w:t>C</w:t>
      </w:r>
      <w:r w:rsidR="00E70FA5">
        <w:t xml:space="preserve"> </w:t>
      </w:r>
      <w:r w:rsidR="00E14CBE" w:rsidRPr="00D51B71">
        <w:t xml:space="preserve">187 </w:t>
      </w:r>
      <w:r w:rsidR="00DA75E9">
        <w:t>z</w:t>
      </w:r>
      <w:r w:rsidR="00E14CBE" w:rsidRPr="00D51B71">
        <w:t xml:space="preserve"> </w:t>
      </w:r>
      <w:r w:rsidR="00E14CBE" w:rsidRPr="00F67E05">
        <w:rPr>
          <w:rFonts w:cs="Times New Roman"/>
          <w:szCs w:val="24"/>
        </w:rPr>
        <w:t>03.06.2019, str.</w:t>
      </w:r>
      <w:r w:rsidR="00E70FA5">
        <w:rPr>
          <w:rFonts w:cs="Times New Roman"/>
          <w:szCs w:val="24"/>
        </w:rPr>
        <w:t xml:space="preserve"> </w:t>
      </w:r>
      <w:r w:rsidR="00E14CBE" w:rsidRPr="00F67E05">
        <w:rPr>
          <w:rFonts w:cs="Times New Roman"/>
          <w:szCs w:val="24"/>
        </w:rPr>
        <w:t>19)</w:t>
      </w:r>
      <w:r w:rsidR="00F67E05" w:rsidRPr="00F67E05">
        <w:rPr>
          <w:rFonts w:cs="Times New Roman"/>
          <w:szCs w:val="24"/>
        </w:rPr>
        <w:t xml:space="preserve"> </w:t>
      </w:r>
      <w:r w:rsidR="000B7C36">
        <w:rPr>
          <w:rFonts w:cs="Times New Roman"/>
          <w:szCs w:val="24"/>
        </w:rPr>
        <w:t xml:space="preserve">w połączonych sprawach C-419/18 i C-483/18 </w:t>
      </w:r>
      <w:r w:rsidR="000B7C36" w:rsidRPr="003544B7">
        <w:rPr>
          <w:i/>
        </w:rPr>
        <w:t>Profi Credit Polska</w:t>
      </w:r>
      <w:r w:rsidR="000B7C36">
        <w:rPr>
          <w:rFonts w:cs="Times New Roman"/>
          <w:szCs w:val="24"/>
        </w:rPr>
        <w:t xml:space="preserve"> </w:t>
      </w:r>
      <w:r w:rsidR="000B7C36" w:rsidRPr="00F67E05">
        <w:rPr>
          <w:rFonts w:cs="Times New Roman"/>
          <w:szCs w:val="24"/>
        </w:rPr>
        <w:t>(</w:t>
      </w:r>
      <w:r w:rsidR="00B17DEB" w:rsidRPr="00013593">
        <w:t>Dz.</w:t>
      </w:r>
      <w:r w:rsidR="006048F9">
        <w:t> </w:t>
      </w:r>
      <w:bookmarkStart w:id="0" w:name="_GoBack"/>
      <w:bookmarkEnd w:id="0"/>
      <w:r w:rsidR="00B17DEB" w:rsidRPr="00013593">
        <w:t>U</w:t>
      </w:r>
      <w:r w:rsidR="00E70FA5">
        <w:t>rz</w:t>
      </w:r>
      <w:r w:rsidR="00B17DEB" w:rsidRPr="00013593">
        <w:t>.</w:t>
      </w:r>
      <w:r w:rsidR="00E70FA5">
        <w:t xml:space="preserve"> </w:t>
      </w:r>
      <w:r w:rsidR="00B17DEB" w:rsidRPr="00013593">
        <w:t>UE</w:t>
      </w:r>
      <w:r w:rsidR="00E70FA5">
        <w:t xml:space="preserve"> </w:t>
      </w:r>
      <w:r w:rsidR="00B17DEB" w:rsidRPr="00013593">
        <w:t>C</w:t>
      </w:r>
      <w:r w:rsidR="00B17DEB">
        <w:t xml:space="preserve"> 10 </w:t>
      </w:r>
      <w:r w:rsidR="00DA75E9">
        <w:t>z</w:t>
      </w:r>
      <w:r w:rsidR="00B17DEB">
        <w:t xml:space="preserve"> 13.01.2020, str. 14</w:t>
      </w:r>
      <w:r w:rsidR="000B7C36" w:rsidRPr="00F67E05">
        <w:rPr>
          <w:rFonts w:cs="Times New Roman"/>
          <w:color w:val="000000"/>
          <w:szCs w:val="24"/>
        </w:rPr>
        <w:t>)</w:t>
      </w:r>
      <w:r w:rsidR="000B7C36">
        <w:rPr>
          <w:rFonts w:cs="Times New Roman"/>
          <w:color w:val="000000"/>
          <w:szCs w:val="24"/>
        </w:rPr>
        <w:t xml:space="preserve"> </w:t>
      </w:r>
      <w:r w:rsidR="00F67E05" w:rsidRPr="00F67E05">
        <w:rPr>
          <w:rFonts w:cs="Times New Roman"/>
          <w:szCs w:val="24"/>
        </w:rPr>
        <w:t>oraz w</w:t>
      </w:r>
      <w:r w:rsidR="00A926E1">
        <w:rPr>
          <w:rFonts w:cs="Times New Roman"/>
          <w:szCs w:val="24"/>
        </w:rPr>
        <w:t xml:space="preserve"> sprawie</w:t>
      </w:r>
      <w:r w:rsidR="00F67E05" w:rsidRPr="00F67E05">
        <w:rPr>
          <w:rFonts w:cs="Times New Roman"/>
          <w:szCs w:val="24"/>
        </w:rPr>
        <w:t xml:space="preserve"> niemieckiej</w:t>
      </w:r>
      <w:r w:rsidR="00AB40ED">
        <w:rPr>
          <w:rFonts w:cs="Times New Roman"/>
          <w:szCs w:val="24"/>
        </w:rPr>
        <w:t>, tj.</w:t>
      </w:r>
      <w:r w:rsidR="00F67E05" w:rsidRPr="00F67E05">
        <w:rPr>
          <w:rFonts w:cs="Times New Roman"/>
          <w:szCs w:val="24"/>
        </w:rPr>
        <w:t xml:space="preserve"> C-670/15 </w:t>
      </w:r>
      <w:r w:rsidR="00F67E05" w:rsidRPr="003544B7">
        <w:rPr>
          <w:rFonts w:cs="Times New Roman"/>
          <w:i/>
          <w:color w:val="000000"/>
          <w:szCs w:val="24"/>
        </w:rPr>
        <w:t>Š</w:t>
      </w:r>
      <w:r w:rsidR="00F67E05" w:rsidRPr="003544B7">
        <w:rPr>
          <w:rFonts w:cs="Times New Roman"/>
          <w:i/>
          <w:szCs w:val="24"/>
        </w:rPr>
        <w:t>alplachta</w:t>
      </w:r>
      <w:r w:rsidR="00F67E05" w:rsidRPr="00F67E05">
        <w:rPr>
          <w:rFonts w:cs="Times New Roman"/>
          <w:szCs w:val="24"/>
        </w:rPr>
        <w:t xml:space="preserve"> (</w:t>
      </w:r>
      <w:r w:rsidR="00F67E05" w:rsidRPr="00F67E05">
        <w:rPr>
          <w:rFonts w:cs="Times New Roman"/>
          <w:color w:val="000000"/>
          <w:szCs w:val="24"/>
        </w:rPr>
        <w:t>Dz.U.</w:t>
      </w:r>
      <w:r w:rsidR="00A926E1">
        <w:rPr>
          <w:rFonts w:cs="Times New Roman"/>
          <w:color w:val="000000"/>
          <w:szCs w:val="24"/>
        </w:rPr>
        <w:t>UE.</w:t>
      </w:r>
      <w:r w:rsidR="00F67E05" w:rsidRPr="00F67E05">
        <w:rPr>
          <w:rFonts w:cs="Times New Roman"/>
          <w:color w:val="000000"/>
          <w:szCs w:val="24"/>
        </w:rPr>
        <w:t>C</w:t>
      </w:r>
      <w:r w:rsidR="00A926E1">
        <w:rPr>
          <w:rFonts w:cs="Times New Roman"/>
          <w:color w:val="000000"/>
          <w:szCs w:val="24"/>
        </w:rPr>
        <w:t>.</w:t>
      </w:r>
      <w:r w:rsidR="00F67E05" w:rsidRPr="00F67E05">
        <w:rPr>
          <w:rFonts w:cs="Times New Roman"/>
          <w:color w:val="000000"/>
          <w:szCs w:val="24"/>
        </w:rPr>
        <w:t>309 od 18.09.2017, str.6)</w:t>
      </w:r>
      <w:r w:rsidR="00792E13" w:rsidRPr="00F67E05">
        <w:rPr>
          <w:rFonts w:cs="Times New Roman"/>
          <w:szCs w:val="24"/>
        </w:rPr>
        <w:t>.</w:t>
      </w:r>
    </w:p>
    <w:p w14:paraId="6EC89318" w14:textId="327818A2" w:rsidR="00792E13" w:rsidRDefault="00792E13" w:rsidP="00792E13">
      <w:pPr>
        <w:ind w:firstLine="680"/>
        <w:jc w:val="both"/>
      </w:pPr>
      <w:r>
        <w:t>Wobec rozstrzygnię</w:t>
      </w:r>
      <w:r w:rsidR="004054D1">
        <w:t>ć TSUE w sprawach</w:t>
      </w:r>
      <w:r>
        <w:t xml:space="preserve"> C-176/17 </w:t>
      </w:r>
      <w:r w:rsidRPr="003544B7">
        <w:rPr>
          <w:i/>
        </w:rPr>
        <w:t>Profi Credit Polska</w:t>
      </w:r>
      <w:r>
        <w:t xml:space="preserve"> </w:t>
      </w:r>
      <w:r w:rsidR="004054D1">
        <w:t xml:space="preserve">oraz w połączonych sprawach </w:t>
      </w:r>
      <w:r w:rsidR="004054D1">
        <w:rPr>
          <w:rFonts w:cs="Times New Roman"/>
          <w:szCs w:val="24"/>
        </w:rPr>
        <w:t xml:space="preserve">C-419/18 i C-483/18 </w:t>
      </w:r>
      <w:r w:rsidR="004054D1" w:rsidRPr="003544B7">
        <w:rPr>
          <w:i/>
        </w:rPr>
        <w:t>Profi Credit Polska</w:t>
      </w:r>
      <w:r w:rsidR="004054D1">
        <w:rPr>
          <w:rFonts w:cs="Times New Roman"/>
          <w:szCs w:val="24"/>
        </w:rPr>
        <w:t xml:space="preserve"> </w:t>
      </w:r>
      <w:r>
        <w:t>zaszła konieczność znowelizowania</w:t>
      </w:r>
      <w:r w:rsidR="003544B7">
        <w:t xml:space="preserve"> przepisów </w:t>
      </w:r>
      <w:r w:rsidR="005935F2">
        <w:t xml:space="preserve">ustawy z dnia 17 listopada 1964 r. </w:t>
      </w:r>
      <w:r w:rsidR="00F46271">
        <w:t>–</w:t>
      </w:r>
      <w:r w:rsidR="005935F2">
        <w:t xml:space="preserve"> K</w:t>
      </w:r>
      <w:r w:rsidR="003544B7">
        <w:t xml:space="preserve">odeks postępowania cywilnego </w:t>
      </w:r>
      <w:r w:rsidR="005935F2">
        <w:t>(Dz.</w:t>
      </w:r>
      <w:r w:rsidR="00F46271">
        <w:t xml:space="preserve"> </w:t>
      </w:r>
      <w:r w:rsidR="005935F2">
        <w:t>U. z 2020 r. poz. 1575, 1578</w:t>
      </w:r>
      <w:r w:rsidR="00F46271">
        <w:t xml:space="preserve"> i</w:t>
      </w:r>
      <w:r w:rsidR="005935F2">
        <w:t xml:space="preserve"> 2320 oraz z 2021 r. po</w:t>
      </w:r>
      <w:r w:rsidR="00F46271">
        <w:t>z</w:t>
      </w:r>
      <w:r w:rsidR="005935F2">
        <w:t xml:space="preserve">. 11), dalej „k.p.c.”, </w:t>
      </w:r>
      <w:r w:rsidR="003544B7">
        <w:t>dotyczących</w:t>
      </w:r>
      <w:r>
        <w:t xml:space="preserve"> postępowania nakazowego z weksla w sporach przeciwko konsumentom. Najistotniejszą konsekwencją </w:t>
      </w:r>
      <w:r w:rsidR="004054D1">
        <w:t>ww. orzeczeń</w:t>
      </w:r>
      <w:r>
        <w:t xml:space="preserve"> Trybunału jest konieczność stworzenia </w:t>
      </w:r>
      <w:r w:rsidR="00D67493">
        <w:t xml:space="preserve">dla sądu </w:t>
      </w:r>
      <w:r w:rsidR="003544B7">
        <w:t>(przy czym pod pojęciem sąd</w:t>
      </w:r>
      <w:r w:rsidR="004054D1">
        <w:t>u</w:t>
      </w:r>
      <w:r w:rsidR="003544B7">
        <w:t xml:space="preserve"> należy </w:t>
      </w:r>
      <w:r w:rsidR="00FB035B">
        <w:t xml:space="preserve">w tym przypadku </w:t>
      </w:r>
      <w:r w:rsidR="003544B7">
        <w:t>rozumieć również referendarza sądowego)</w:t>
      </w:r>
      <w:r w:rsidR="00D67493">
        <w:t xml:space="preserve"> możliwoś</w:t>
      </w:r>
      <w:r w:rsidR="007D74AF">
        <w:t>ci</w:t>
      </w:r>
      <w:r w:rsidR="00D67493">
        <w:t xml:space="preserve"> </w:t>
      </w:r>
      <w:r>
        <w:t>dokonania kontroli treści umowy</w:t>
      </w:r>
      <w:r w:rsidR="00C67835">
        <w:t>,</w:t>
      </w:r>
      <w:r>
        <w:t xml:space="preserve"> </w:t>
      </w:r>
      <w:r w:rsidR="00C67835">
        <w:t xml:space="preserve">wraz z deklaracją wekslową, </w:t>
      </w:r>
      <w:r>
        <w:t>oraz jej załączników</w:t>
      </w:r>
      <w:r w:rsidR="00FF75D8">
        <w:t xml:space="preserve">, dla zabezpieczenia </w:t>
      </w:r>
      <w:r w:rsidR="00C67835">
        <w:t xml:space="preserve">wynikających z niej </w:t>
      </w:r>
      <w:r w:rsidR="002F5F79">
        <w:t>roszczeń konsument</w:t>
      </w:r>
      <w:r w:rsidR="00FF75D8">
        <w:t xml:space="preserve"> wystawił weksel,</w:t>
      </w:r>
      <w:r w:rsidR="008E3406">
        <w:t xml:space="preserve"> </w:t>
      </w:r>
      <w:r w:rsidR="000416F6">
        <w:t>na etapie wydawania nakazu zapłaty,</w:t>
      </w:r>
      <w:r>
        <w:t xml:space="preserve"> w kierunku wykluczenia, że zawiera</w:t>
      </w:r>
      <w:r w:rsidR="003544B7">
        <w:t xml:space="preserve"> ona</w:t>
      </w:r>
      <w:r>
        <w:t xml:space="preserve"> </w:t>
      </w:r>
      <w:r w:rsidR="00554EC1">
        <w:t>nieuczciwe warunki umowne</w:t>
      </w:r>
      <w:r w:rsidR="005356F1">
        <w:t xml:space="preserve"> (niedozwolone postanowienia umowne)</w:t>
      </w:r>
      <w:r>
        <w:t>.</w:t>
      </w:r>
      <w:r w:rsidR="00D67493">
        <w:t xml:space="preserve"> </w:t>
      </w:r>
      <w:r w:rsidR="007D74AF">
        <w:t>Wyrok</w:t>
      </w:r>
      <w:r w:rsidR="005356F1">
        <w:t xml:space="preserve"> TSUE w sprawie</w:t>
      </w:r>
      <w:r w:rsidR="007D74AF">
        <w:t xml:space="preserve"> </w:t>
      </w:r>
      <w:r w:rsidR="004054D1">
        <w:t xml:space="preserve">C-176/17 </w:t>
      </w:r>
      <w:r w:rsidR="004054D1" w:rsidRPr="003544B7">
        <w:rPr>
          <w:i/>
        </w:rPr>
        <w:t>Profi Credit Polska</w:t>
      </w:r>
      <w:r w:rsidR="004054D1">
        <w:t xml:space="preserve"> </w:t>
      </w:r>
      <w:r w:rsidR="007D74AF">
        <w:t xml:space="preserve">skutkuje również </w:t>
      </w:r>
      <w:r w:rsidR="00554EC1">
        <w:t>potrzebą</w:t>
      </w:r>
      <w:r w:rsidR="007D74AF">
        <w:t xml:space="preserve"> złagodzenia wymogów formalno-fiskalnych dla wnoszonych przez konsumentów w takich sporach zarzutów od nakazów zapłaty wydanych w postępowaniu nakazowym na podstawie załączonego weksla. </w:t>
      </w:r>
    </w:p>
    <w:p w14:paraId="04CAEA85" w14:textId="4455D4A5" w:rsidR="005407CA" w:rsidRDefault="005407CA" w:rsidP="00DE383E">
      <w:pPr>
        <w:ind w:firstLine="680"/>
        <w:jc w:val="both"/>
      </w:pPr>
      <w:r>
        <w:t>Konsekwencją w</w:t>
      </w:r>
      <w:r w:rsidR="0039649D">
        <w:t>prowadz</w:t>
      </w:r>
      <w:r>
        <w:t xml:space="preserve">onych </w:t>
      </w:r>
      <w:r w:rsidR="0039649D">
        <w:t xml:space="preserve">zmian do prawa procesowego </w:t>
      </w:r>
      <w:r>
        <w:t xml:space="preserve">jest </w:t>
      </w:r>
      <w:r w:rsidR="0039649D">
        <w:t xml:space="preserve">rozszerzenie </w:t>
      </w:r>
      <w:r>
        <w:t xml:space="preserve">w dalszych przepisach projektu </w:t>
      </w:r>
      <w:r w:rsidR="0039649D">
        <w:t xml:space="preserve">ochrony konsumenta na gruncie prawa materialnego. </w:t>
      </w:r>
    </w:p>
    <w:p w14:paraId="36FCDCB7" w14:textId="3C6B06C0" w:rsidR="00FF75D8" w:rsidRDefault="005407CA" w:rsidP="0026567D">
      <w:pPr>
        <w:ind w:firstLine="680"/>
        <w:jc w:val="both"/>
      </w:pPr>
      <w:r>
        <w:t xml:space="preserve">Realizując ten cel, wynikający z konieczności pełnej implementacji wyroku TSUE w sprawie C-176/17 </w:t>
      </w:r>
      <w:r w:rsidRPr="003544B7">
        <w:rPr>
          <w:i/>
        </w:rPr>
        <w:t>Profi Credit Polska</w:t>
      </w:r>
      <w:r>
        <w:t xml:space="preserve">, </w:t>
      </w:r>
      <w:r w:rsidR="0064548B">
        <w:t xml:space="preserve">projekt wyłączył przenoszalność </w:t>
      </w:r>
      <w:r w:rsidR="00E01F24">
        <w:t xml:space="preserve">ze skutkiem </w:t>
      </w:r>
      <w:r w:rsidR="0026567D">
        <w:t>indos</w:t>
      </w:r>
      <w:r w:rsidR="00E01F24">
        <w:t>u</w:t>
      </w:r>
      <w:r w:rsidR="0026567D">
        <w:t xml:space="preserve"> </w:t>
      </w:r>
      <w:r w:rsidR="0064548B">
        <w:t xml:space="preserve">praw z weksla wystawionego przez konsumenta na osobę trzecią. </w:t>
      </w:r>
      <w:r w:rsidR="004B5157">
        <w:t>Dotychczasowe ograniczenie indosu</w:t>
      </w:r>
      <w:r w:rsidR="00615876">
        <w:t>,</w:t>
      </w:r>
      <w:r w:rsidR="004B5157">
        <w:t xml:space="preserve"> istniejące wprawdzie w art. 41 ustawy </w:t>
      </w:r>
      <w:r w:rsidR="000854EC">
        <w:t xml:space="preserve">z dnia 12 maja 2011 r. </w:t>
      </w:r>
      <w:r w:rsidR="000854EC" w:rsidRPr="00DA75E9">
        <w:t>o kredycie konsumenckim</w:t>
      </w:r>
      <w:r w:rsidR="000854EC">
        <w:t xml:space="preserve"> (Dz.</w:t>
      </w:r>
      <w:r w:rsidR="00F46271">
        <w:t xml:space="preserve"> </w:t>
      </w:r>
      <w:r w:rsidR="000854EC">
        <w:t>U. z 2019 r. poz. 1083</w:t>
      </w:r>
      <w:r w:rsidR="005935F2">
        <w:t xml:space="preserve"> oraz z 2020 r. poz. 2320</w:t>
      </w:r>
      <w:r w:rsidR="00F46271">
        <w:t>;</w:t>
      </w:r>
      <w:r w:rsidR="000854EC">
        <w:t xml:space="preserve"> dalej: „ustawa </w:t>
      </w:r>
      <w:r w:rsidR="000854EC" w:rsidRPr="00DA75E9">
        <w:t>o kredycie konsumenckim</w:t>
      </w:r>
      <w:r w:rsidR="000854EC">
        <w:t>”)</w:t>
      </w:r>
      <w:r w:rsidR="004B5157">
        <w:t xml:space="preserve">, nie zapewniało bowiem pełnej ochrony, która </w:t>
      </w:r>
      <w:r w:rsidR="00634B6C">
        <w:t xml:space="preserve">w świetle wykładni TSUE </w:t>
      </w:r>
      <w:r w:rsidR="004B5157">
        <w:t>powinna dotyczyć każdej umowy zawieranej przez konsumenta</w:t>
      </w:r>
      <w:r w:rsidR="00E01F24">
        <w:t xml:space="preserve"> (a nie tylko umowy kredytu konsumenckiego)</w:t>
      </w:r>
      <w:r w:rsidR="004B5157">
        <w:t xml:space="preserve">. </w:t>
      </w:r>
    </w:p>
    <w:p w14:paraId="1FC001A6" w14:textId="70EED41B" w:rsidR="00747F2F" w:rsidRDefault="00D67493" w:rsidP="00D67493">
      <w:pPr>
        <w:ind w:firstLine="680"/>
        <w:jc w:val="both"/>
        <w:rPr>
          <w:color w:val="000000"/>
          <w:spacing w:val="-2"/>
        </w:rPr>
      </w:pPr>
      <w:r>
        <w:t>W wyroku w sprawie C-545/17</w:t>
      </w:r>
      <w:r w:rsidR="005356F1">
        <w:t xml:space="preserve"> </w:t>
      </w:r>
      <w:r w:rsidR="005356F1" w:rsidRPr="003544B7">
        <w:rPr>
          <w:i/>
        </w:rPr>
        <w:t>Pawlak</w:t>
      </w:r>
      <w:r>
        <w:t xml:space="preserve"> TSUE zakwestionował</w:t>
      </w:r>
      <w:r w:rsidR="000416F6">
        <w:t>,</w:t>
      </w:r>
      <w:r>
        <w:t xml:space="preserve"> jako sprzeczny z </w:t>
      </w:r>
      <w:r>
        <w:lastRenderedPageBreak/>
        <w:t>prawem unijnym</w:t>
      </w:r>
      <w:r w:rsidR="000416F6">
        <w:t>,</w:t>
      </w:r>
      <w:r>
        <w:t xml:space="preserve"> przepis krajowy (ściśle </w:t>
      </w:r>
      <w:r w:rsidRPr="00630637">
        <w:rPr>
          <w:rFonts w:cs="Times New Roman"/>
          <w:szCs w:val="24"/>
        </w:rPr>
        <w:t>art. 165 § 2</w:t>
      </w:r>
      <w:r w:rsidR="00630637" w:rsidRPr="00630637">
        <w:rPr>
          <w:rFonts w:cs="Times New Roman"/>
          <w:szCs w:val="24"/>
        </w:rPr>
        <w:t xml:space="preserve"> </w:t>
      </w:r>
      <w:r w:rsidRPr="00630637">
        <w:rPr>
          <w:rFonts w:cs="Times New Roman"/>
          <w:szCs w:val="24"/>
        </w:rPr>
        <w:t>k.p.c.), który uznaje</w:t>
      </w:r>
      <w:r>
        <w:t xml:space="preserve"> za równoznaczne z wniesieniem pisma procesowego do danego sądu jedynie złożenie takiego pisma w placówce pocztowej jednego operatora wyznaczonego do</w:t>
      </w:r>
      <w:r w:rsidR="005356F1">
        <w:t xml:space="preserve"> świadczenia usługi powszechnej</w:t>
      </w:r>
      <w:r>
        <w:t xml:space="preserve"> i to bez obiektywnego uzasadnienia opartego na względach porządku publicznego lub bezpieczeństwa publicznego. Wobec powyższego zachodzi konieczność dostosowania art. 165 § 2 k.p.c. do ww. rozstrzygnięcia TSUE</w:t>
      </w:r>
      <w:r w:rsidR="00747F2F">
        <w:rPr>
          <w:color w:val="000000"/>
          <w:spacing w:val="-2"/>
        </w:rPr>
        <w:t>.</w:t>
      </w:r>
    </w:p>
    <w:p w14:paraId="240BEF95" w14:textId="1FB36FFF" w:rsidR="00F67E05" w:rsidRDefault="00F67E05" w:rsidP="00D67493">
      <w:pPr>
        <w:ind w:firstLine="68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Wyrok</w:t>
      </w:r>
      <w:r w:rsidRPr="00463B3D">
        <w:rPr>
          <w:rFonts w:cs="Times New Roman"/>
          <w:szCs w:val="24"/>
        </w:rPr>
        <w:t xml:space="preserve"> Trybunału Sprawiedliwości Unii Europejskiej z dnia 26 lipca 2017 r. w sprawie C-670/15 </w:t>
      </w:r>
      <w:r w:rsidRPr="005356F1">
        <w:rPr>
          <w:rFonts w:cs="Times New Roman"/>
          <w:i/>
          <w:color w:val="000000"/>
          <w:szCs w:val="24"/>
        </w:rPr>
        <w:t>Š</w:t>
      </w:r>
      <w:r w:rsidRPr="005356F1">
        <w:rPr>
          <w:rFonts w:cs="Times New Roman"/>
          <w:i/>
          <w:szCs w:val="24"/>
        </w:rPr>
        <w:t>alplachta</w:t>
      </w:r>
      <w:r>
        <w:rPr>
          <w:rFonts w:cs="Times New Roman"/>
          <w:szCs w:val="24"/>
        </w:rPr>
        <w:t xml:space="preserve"> spowodował potrzebę </w:t>
      </w:r>
      <w:r w:rsidRPr="00463B3D">
        <w:rPr>
          <w:rFonts w:cs="Times New Roman"/>
          <w:szCs w:val="24"/>
        </w:rPr>
        <w:t>doprecyzowani</w:t>
      </w:r>
      <w:r>
        <w:rPr>
          <w:rFonts w:cs="Times New Roman"/>
          <w:szCs w:val="24"/>
        </w:rPr>
        <w:t>a</w:t>
      </w:r>
      <w:r w:rsidRPr="00463B3D">
        <w:rPr>
          <w:rFonts w:cs="Times New Roman"/>
          <w:szCs w:val="24"/>
        </w:rPr>
        <w:t xml:space="preserve"> istnienia po stronie wnioskodawcy uprawnienia do ubiegania się o zwrot kosztów tłumaczenia koniecznych dokumentów uzasadniających wniosek o przyznanie prawa pomocy w postępowaniu prowadzonym w Rzeczypospolitej Polskiej</w:t>
      </w:r>
      <w:r>
        <w:rPr>
          <w:rFonts w:cs="Times New Roman"/>
          <w:szCs w:val="24"/>
        </w:rPr>
        <w:t xml:space="preserve"> na podstawie </w:t>
      </w:r>
      <w:r w:rsidRPr="00463B3D">
        <w:rPr>
          <w:rFonts w:cs="Times New Roman"/>
          <w:szCs w:val="24"/>
        </w:rPr>
        <w:t>ustawy z dnia 17 grudnia 2004 r.</w:t>
      </w:r>
      <w:r w:rsidRPr="003E5B6F">
        <w:rPr>
          <w:rFonts w:cs="Times New Roman"/>
          <w:szCs w:val="24"/>
        </w:rPr>
        <w:t xml:space="preserve"> </w:t>
      </w:r>
      <w:r w:rsidRPr="00DA75E9">
        <w:rPr>
          <w:rFonts w:cs="Times New Roman"/>
          <w:szCs w:val="24"/>
        </w:rPr>
        <w:t>o prawie pomocy w postępowaniu w sprawach cywilnych prowadzonym w państwach członkowskich Unii Europejskiej oraz o prawie pomocy w celu ugodowego załatwienia sporu przed wszczęciem takiego postępowania</w:t>
      </w:r>
      <w:r w:rsidRPr="00463B3D">
        <w:rPr>
          <w:rFonts w:cs="Times New Roman"/>
          <w:szCs w:val="24"/>
        </w:rPr>
        <w:t xml:space="preserve"> (Dz. U. z 2005 r. poz. 67</w:t>
      </w:r>
      <w:r w:rsidR="003E5B6F">
        <w:rPr>
          <w:rFonts w:cs="Times New Roman"/>
          <w:szCs w:val="24"/>
        </w:rPr>
        <w:t>,</w:t>
      </w:r>
      <w:r w:rsidR="007E0724">
        <w:rPr>
          <w:rFonts w:cs="Times New Roman"/>
          <w:szCs w:val="24"/>
        </w:rPr>
        <w:t xml:space="preserve"> z 2006 r. poz. 824 oraz z 2011 r. poz. 735</w:t>
      </w:r>
      <w:r w:rsidR="003E5B6F">
        <w:rPr>
          <w:rFonts w:cs="Times New Roman"/>
          <w:szCs w:val="24"/>
        </w:rPr>
        <w:t>;</w:t>
      </w:r>
      <w:r w:rsidRPr="00463B3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dalej</w:t>
      </w:r>
      <w:r w:rsidR="007C68FA">
        <w:rPr>
          <w:rFonts w:cs="Times New Roman"/>
          <w:szCs w:val="24"/>
        </w:rPr>
        <w:t>:</w:t>
      </w:r>
      <w:r>
        <w:rPr>
          <w:rFonts w:cs="Times New Roman"/>
          <w:szCs w:val="24"/>
        </w:rPr>
        <w:t xml:space="preserve"> „ustawa</w:t>
      </w:r>
      <w:r w:rsidRPr="00463B3D">
        <w:rPr>
          <w:rFonts w:cs="Times New Roman"/>
          <w:szCs w:val="24"/>
        </w:rPr>
        <w:t xml:space="preserve"> </w:t>
      </w:r>
      <w:r w:rsidRPr="00DA75E9">
        <w:rPr>
          <w:rFonts w:cs="Times New Roman"/>
          <w:szCs w:val="24"/>
        </w:rPr>
        <w:t>o prawie pomocy</w:t>
      </w:r>
      <w:r w:rsidRPr="00463B3D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>)</w:t>
      </w:r>
      <w:r w:rsidRPr="00463B3D">
        <w:rPr>
          <w:rFonts w:cs="Times New Roman"/>
          <w:szCs w:val="24"/>
        </w:rPr>
        <w:t>.</w:t>
      </w:r>
    </w:p>
    <w:p w14:paraId="4090D282" w14:textId="77777777" w:rsidR="00D26227" w:rsidRDefault="00D26227" w:rsidP="00747F2F">
      <w:pPr>
        <w:pStyle w:val="ARTartustawynprozporzdzenia"/>
        <w:spacing w:before="0"/>
        <w:ind w:firstLine="709"/>
        <w:rPr>
          <w:b/>
        </w:rPr>
      </w:pPr>
    </w:p>
    <w:p w14:paraId="1CC9A3A8" w14:textId="4C1F2979" w:rsidR="00B83343" w:rsidRPr="00B83343" w:rsidRDefault="00B83343" w:rsidP="00B83343">
      <w:pPr>
        <w:pStyle w:val="ARTartustawynprozporzdzenia"/>
        <w:numPr>
          <w:ilvl w:val="0"/>
          <w:numId w:val="1"/>
        </w:numPr>
        <w:spacing w:before="0"/>
        <w:rPr>
          <w:b/>
        </w:rPr>
      </w:pPr>
      <w:r w:rsidRPr="007E7CCC">
        <w:rPr>
          <w:b/>
        </w:rPr>
        <w:t>Projektowane zmiany</w:t>
      </w:r>
    </w:p>
    <w:p w14:paraId="7E982C55" w14:textId="77777777" w:rsidR="007C68FA" w:rsidRDefault="007C68FA" w:rsidP="00747F2F">
      <w:pPr>
        <w:pStyle w:val="ARTartustawynprozporzdzenia"/>
        <w:spacing w:before="0"/>
        <w:ind w:firstLine="709"/>
        <w:rPr>
          <w:b/>
        </w:rPr>
      </w:pPr>
    </w:p>
    <w:p w14:paraId="2EE9C3F2" w14:textId="77777777" w:rsidR="00747F2F" w:rsidRDefault="00747F2F" w:rsidP="00747F2F">
      <w:pPr>
        <w:pStyle w:val="ARTartustawynprozporzdzenia"/>
        <w:spacing w:before="0"/>
        <w:ind w:firstLine="709"/>
        <w:rPr>
          <w:b/>
        </w:rPr>
      </w:pPr>
      <w:r w:rsidRPr="009C797D">
        <w:rPr>
          <w:b/>
        </w:rPr>
        <w:t xml:space="preserve">Art. </w:t>
      </w:r>
      <w:r w:rsidR="007D74AF">
        <w:rPr>
          <w:b/>
        </w:rPr>
        <w:t>1</w:t>
      </w:r>
      <w:r w:rsidRPr="009C797D">
        <w:rPr>
          <w:b/>
        </w:rPr>
        <w:t xml:space="preserve"> pkt </w:t>
      </w:r>
      <w:r w:rsidR="007D74AF">
        <w:rPr>
          <w:b/>
        </w:rPr>
        <w:t>1</w:t>
      </w:r>
      <w:r>
        <w:rPr>
          <w:b/>
        </w:rPr>
        <w:t xml:space="preserve"> projektu (proj. art. 165 § 2 k.p.c.) </w:t>
      </w:r>
    </w:p>
    <w:p w14:paraId="590EF98C" w14:textId="77777777" w:rsidR="003267C7" w:rsidRPr="009C797D" w:rsidRDefault="003267C7" w:rsidP="00747F2F">
      <w:pPr>
        <w:pStyle w:val="ARTartustawynprozporzdzenia"/>
        <w:spacing w:before="0"/>
        <w:ind w:firstLine="709"/>
        <w:rPr>
          <w:b/>
        </w:rPr>
      </w:pPr>
    </w:p>
    <w:p w14:paraId="2E885982" w14:textId="70B566E2" w:rsidR="00747F2F" w:rsidRDefault="00747F2F" w:rsidP="007C68FA">
      <w:pPr>
        <w:pStyle w:val="NIEARTTEKSTtekstnieartykuowanynppodstprawnarozplubpreambua"/>
        <w:spacing w:before="0"/>
        <w:ind w:firstLine="709"/>
        <w:rPr>
          <w:rFonts w:ascii="Times New Roman" w:hAnsi="Times New Roman" w:cs="Times New Roman"/>
          <w:szCs w:val="24"/>
        </w:rPr>
      </w:pPr>
      <w:r w:rsidRPr="00463B3D">
        <w:rPr>
          <w:rFonts w:ascii="Times New Roman" w:hAnsi="Times New Roman" w:cs="Times New Roman"/>
          <w:szCs w:val="24"/>
        </w:rPr>
        <w:t>Zmiana brzmienia art. 165 § 2 k.p.c. podyktowana jest przekonaniem</w:t>
      </w:r>
      <w:r>
        <w:rPr>
          <w:rFonts w:ascii="Times New Roman" w:hAnsi="Times New Roman" w:cs="Times New Roman"/>
          <w:szCs w:val="24"/>
        </w:rPr>
        <w:t xml:space="preserve"> o </w:t>
      </w:r>
      <w:r w:rsidRPr="00463B3D">
        <w:rPr>
          <w:rFonts w:ascii="Times New Roman" w:hAnsi="Times New Roman" w:cs="Times New Roman"/>
          <w:szCs w:val="24"/>
        </w:rPr>
        <w:t>brak</w:t>
      </w:r>
      <w:r>
        <w:rPr>
          <w:rFonts w:ascii="Times New Roman" w:hAnsi="Times New Roman" w:cs="Times New Roman"/>
          <w:szCs w:val="24"/>
        </w:rPr>
        <w:t xml:space="preserve">u </w:t>
      </w:r>
      <w:r w:rsidRPr="00463B3D">
        <w:rPr>
          <w:rFonts w:ascii="Times New Roman" w:hAnsi="Times New Roman" w:cs="Times New Roman"/>
          <w:szCs w:val="24"/>
        </w:rPr>
        <w:t xml:space="preserve">uzasadnienia dla utrzymywania wynikającego z tego przepisu monopolu operatora wyznaczonego w rozumieniu ustawy z </w:t>
      </w:r>
      <w:r w:rsidRPr="002A780E">
        <w:rPr>
          <w:rFonts w:ascii="Times New Roman" w:hAnsi="Times New Roman" w:cs="Times New Roman"/>
          <w:szCs w:val="24"/>
        </w:rPr>
        <w:t>dnia 23 lis</w:t>
      </w:r>
      <w:r w:rsidRPr="000340B6">
        <w:rPr>
          <w:rFonts w:ascii="Times New Roman" w:hAnsi="Times New Roman" w:cs="Times New Roman"/>
          <w:szCs w:val="24"/>
        </w:rPr>
        <w:t xml:space="preserve">topada 2012 r. – </w:t>
      </w:r>
      <w:r w:rsidRPr="00DA75E9">
        <w:rPr>
          <w:rFonts w:ascii="Times New Roman" w:hAnsi="Times New Roman" w:cs="Times New Roman"/>
          <w:szCs w:val="24"/>
        </w:rPr>
        <w:t>Prawo pocztowe</w:t>
      </w:r>
      <w:r w:rsidR="007C68FA" w:rsidRPr="000340B6">
        <w:rPr>
          <w:rFonts w:ascii="Times New Roman" w:hAnsi="Times New Roman" w:cs="Times New Roman"/>
          <w:szCs w:val="24"/>
        </w:rPr>
        <w:t xml:space="preserve"> (</w:t>
      </w:r>
      <w:r w:rsidR="0012631B" w:rsidRPr="005B3C50">
        <w:rPr>
          <w:rFonts w:ascii="Times New Roman" w:hAnsi="Times New Roman" w:cs="Times New Roman"/>
          <w:color w:val="333333"/>
          <w:szCs w:val="24"/>
          <w:shd w:val="clear" w:color="auto" w:fill="FFFFFF"/>
        </w:rPr>
        <w:t>Dz. U. z 2020 r. poz. 1041</w:t>
      </w:r>
      <w:r w:rsidR="00652581"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 i 2320</w:t>
      </w:r>
      <w:r w:rsidR="007C68FA" w:rsidRPr="000340B6">
        <w:rPr>
          <w:rFonts w:ascii="Times New Roman" w:hAnsi="Times New Roman" w:cs="Times New Roman"/>
          <w:szCs w:val="24"/>
        </w:rPr>
        <w:t xml:space="preserve">) </w:t>
      </w:r>
      <w:r w:rsidRPr="00E64295">
        <w:rPr>
          <w:rFonts w:ascii="Times New Roman" w:hAnsi="Times New Roman" w:cs="Times New Roman"/>
          <w:szCs w:val="24"/>
        </w:rPr>
        <w:t>na świadczenie usług pocztowych związanych z nadawaniem przez strony czy uczestników postępowania</w:t>
      </w:r>
      <w:r w:rsidRPr="00463B3D">
        <w:rPr>
          <w:rFonts w:ascii="Times New Roman" w:hAnsi="Times New Roman" w:cs="Times New Roman"/>
          <w:szCs w:val="24"/>
        </w:rPr>
        <w:t xml:space="preserve"> pism procesowych do sądu, kiedy to nadanie wiąże się z zachowaniem terminu d</w:t>
      </w:r>
      <w:r>
        <w:rPr>
          <w:rFonts w:ascii="Times New Roman" w:hAnsi="Times New Roman" w:cs="Times New Roman"/>
          <w:szCs w:val="24"/>
        </w:rPr>
        <w:t>o</w:t>
      </w:r>
      <w:r w:rsidRPr="00463B3D">
        <w:rPr>
          <w:rFonts w:ascii="Times New Roman" w:hAnsi="Times New Roman" w:cs="Times New Roman"/>
          <w:szCs w:val="24"/>
        </w:rPr>
        <w:t xml:space="preserve"> dokonania określonej czynności procesowej. </w:t>
      </w:r>
    </w:p>
    <w:p w14:paraId="3FDEAE69" w14:textId="1432AB16" w:rsidR="00747F2F" w:rsidRDefault="00747F2F" w:rsidP="00747F2F">
      <w:pPr>
        <w:pStyle w:val="NIEARTTEKSTtekstnieartykuowanynppodstprawnarozplubpreambua"/>
        <w:spacing w:before="0"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>N</w:t>
      </w:r>
      <w:r w:rsidRPr="00463B3D">
        <w:rPr>
          <w:rFonts w:cs="Times New Roman"/>
          <w:szCs w:val="24"/>
        </w:rPr>
        <w:t xml:space="preserve">iezgodność między obowiązującą treścią art. 165 § 2 k.p.c. a art. 7 ust. 1 </w:t>
      </w:r>
      <w:r>
        <w:rPr>
          <w:rFonts w:cs="Times New Roman"/>
          <w:szCs w:val="24"/>
        </w:rPr>
        <w:t>zd</w:t>
      </w:r>
      <w:r w:rsidR="00FA6219">
        <w:rPr>
          <w:rFonts w:cs="Times New Roman"/>
          <w:szCs w:val="24"/>
        </w:rPr>
        <w:t>anie</w:t>
      </w:r>
      <w:r>
        <w:rPr>
          <w:rFonts w:cs="Times New Roman"/>
          <w:szCs w:val="24"/>
        </w:rPr>
        <w:t xml:space="preserve"> </w:t>
      </w:r>
      <w:r w:rsidR="00A6280D">
        <w:rPr>
          <w:rFonts w:cs="Times New Roman"/>
          <w:szCs w:val="24"/>
        </w:rPr>
        <w:t>pierwsze</w:t>
      </w:r>
      <w:r>
        <w:rPr>
          <w:rFonts w:cs="Times New Roman"/>
          <w:szCs w:val="24"/>
        </w:rPr>
        <w:t xml:space="preserve"> </w:t>
      </w:r>
      <w:r w:rsidRPr="00463B3D">
        <w:rPr>
          <w:rFonts w:cs="Times New Roman"/>
          <w:szCs w:val="24"/>
        </w:rPr>
        <w:t xml:space="preserve">w związku z art. 8 </w:t>
      </w:r>
      <w:r w:rsidRPr="00463B3D">
        <w:rPr>
          <w:rFonts w:cs="Times New Roman"/>
          <w:iCs/>
          <w:szCs w:val="24"/>
        </w:rPr>
        <w:t xml:space="preserve">dyrektywy 97/67/WE Parlamentu Europejskiego i Rady z dnia 15 grudnia 1997 r. </w:t>
      </w:r>
      <w:r w:rsidRPr="00DA75E9">
        <w:rPr>
          <w:rFonts w:cs="Times New Roman"/>
          <w:iCs/>
          <w:szCs w:val="24"/>
        </w:rPr>
        <w:t>w sprawie wspólnych zasad rozwoju rynku wewnętrznego usług pocztowych Wspólnoty oraz poprawy jakości usług, zmienionej dyrektywą Parlamentu Europejskiego i Rady 2008/6/WE z dnia 20 lutego 2008 r.</w:t>
      </w:r>
      <w:r w:rsidR="007C68FA">
        <w:rPr>
          <w:rFonts w:cs="Times New Roman"/>
          <w:szCs w:val="24"/>
        </w:rPr>
        <w:t xml:space="preserve"> (Dz.</w:t>
      </w:r>
      <w:r w:rsidR="00A6280D">
        <w:rPr>
          <w:rFonts w:cs="Times New Roman"/>
          <w:szCs w:val="24"/>
        </w:rPr>
        <w:t xml:space="preserve"> </w:t>
      </w:r>
      <w:r w:rsidR="007C68FA">
        <w:rPr>
          <w:rFonts w:cs="Times New Roman"/>
          <w:szCs w:val="24"/>
        </w:rPr>
        <w:t>U</w:t>
      </w:r>
      <w:r w:rsidR="00A6280D">
        <w:rPr>
          <w:rFonts w:cs="Times New Roman"/>
          <w:szCs w:val="24"/>
        </w:rPr>
        <w:t>rz</w:t>
      </w:r>
      <w:r w:rsidR="007C68FA">
        <w:rPr>
          <w:rFonts w:cs="Times New Roman"/>
          <w:szCs w:val="24"/>
        </w:rPr>
        <w:t>.</w:t>
      </w:r>
      <w:r w:rsidR="00A6280D">
        <w:rPr>
          <w:rFonts w:cs="Times New Roman"/>
          <w:szCs w:val="24"/>
        </w:rPr>
        <w:t xml:space="preserve"> </w:t>
      </w:r>
      <w:r w:rsidRPr="00463B3D">
        <w:rPr>
          <w:rFonts w:cs="Times New Roman"/>
          <w:szCs w:val="24"/>
        </w:rPr>
        <w:t>UE</w:t>
      </w:r>
      <w:r w:rsidR="00A6280D">
        <w:rPr>
          <w:rFonts w:cs="Times New Roman"/>
          <w:szCs w:val="24"/>
        </w:rPr>
        <w:t xml:space="preserve"> </w:t>
      </w:r>
      <w:r w:rsidRPr="00463B3D">
        <w:rPr>
          <w:rFonts w:cs="Times New Roman"/>
          <w:szCs w:val="24"/>
        </w:rPr>
        <w:t>L</w:t>
      </w:r>
      <w:r w:rsidR="00A6280D">
        <w:rPr>
          <w:rFonts w:cs="Times New Roman"/>
          <w:szCs w:val="24"/>
        </w:rPr>
        <w:t xml:space="preserve"> </w:t>
      </w:r>
      <w:r w:rsidRPr="00463B3D">
        <w:rPr>
          <w:rFonts w:cs="Times New Roman"/>
          <w:szCs w:val="24"/>
        </w:rPr>
        <w:t>52 z 27.02.2008, str. 3) zos</w:t>
      </w:r>
      <w:r>
        <w:rPr>
          <w:rFonts w:cs="Times New Roman"/>
          <w:szCs w:val="24"/>
        </w:rPr>
        <w:t xml:space="preserve">tała dostrzeżona przez </w:t>
      </w:r>
      <w:r w:rsidR="007C68FA">
        <w:rPr>
          <w:rFonts w:cs="Times New Roman"/>
          <w:szCs w:val="24"/>
        </w:rPr>
        <w:t>TSUE</w:t>
      </w:r>
      <w:r w:rsidRPr="00463B3D">
        <w:rPr>
          <w:rFonts w:cs="Times New Roman"/>
          <w:szCs w:val="24"/>
        </w:rPr>
        <w:t xml:space="preserve">. Wyrokiem z </w:t>
      </w:r>
      <w:r w:rsidR="00A6280D">
        <w:rPr>
          <w:rFonts w:cs="Times New Roman"/>
          <w:szCs w:val="24"/>
        </w:rPr>
        <w:t xml:space="preserve">dnia </w:t>
      </w:r>
      <w:r w:rsidRPr="00463B3D">
        <w:rPr>
          <w:rFonts w:cs="Times New Roman"/>
          <w:szCs w:val="24"/>
        </w:rPr>
        <w:t>27 marca 2019 r</w:t>
      </w:r>
      <w:r w:rsidR="00A6280D">
        <w:rPr>
          <w:rFonts w:cs="Times New Roman"/>
          <w:szCs w:val="24"/>
        </w:rPr>
        <w:t>.</w:t>
      </w:r>
      <w:r w:rsidRPr="00463B3D">
        <w:rPr>
          <w:rFonts w:cs="Times New Roman"/>
          <w:szCs w:val="24"/>
        </w:rPr>
        <w:t xml:space="preserve"> w</w:t>
      </w:r>
      <w:r>
        <w:rPr>
          <w:rFonts w:cs="Times New Roman"/>
          <w:szCs w:val="24"/>
        </w:rPr>
        <w:t xml:space="preserve"> </w:t>
      </w:r>
      <w:r w:rsidRPr="00463B3D">
        <w:rPr>
          <w:rFonts w:cs="Times New Roman"/>
          <w:szCs w:val="24"/>
        </w:rPr>
        <w:t xml:space="preserve">sprawie prejudycjalnej Mariusz Pawlak przeciwko Prezesowi Kasy Rolniczego Ubezpieczenia Społecznego (C-545/17) stwierdzono, że wskazane przepisy prawa europejskiego należy interpretować w ten sposób, że </w:t>
      </w:r>
      <w:r w:rsidRPr="00463B3D">
        <w:rPr>
          <w:rFonts w:cs="Times New Roman"/>
          <w:i/>
          <w:szCs w:val="24"/>
        </w:rPr>
        <w:lastRenderedPageBreak/>
        <w:t>„sprzeciwiają się one przepisowi prawa krajowego, który uznaje za równoznaczne z wniesieniem pisma procesowego do danego sądu jedynie złożenie takiego pisma w placówce pocztowej jednego operatora wyznaczonego do świadczenia usług</w:t>
      </w:r>
      <w:r>
        <w:rPr>
          <w:rFonts w:cs="Times New Roman"/>
          <w:i/>
          <w:szCs w:val="24"/>
        </w:rPr>
        <w:t>i</w:t>
      </w:r>
      <w:r w:rsidRPr="00463B3D">
        <w:rPr>
          <w:rFonts w:cs="Times New Roman"/>
          <w:i/>
          <w:szCs w:val="24"/>
        </w:rPr>
        <w:t xml:space="preserve"> powszechnej, i to bez obiektywnego uzasadnienia opartego na względach porządku publicznego lub bezpieczeństwa publicznego”</w:t>
      </w:r>
      <w:r w:rsidRPr="00463B3D">
        <w:rPr>
          <w:rFonts w:cs="Times New Roman"/>
          <w:szCs w:val="24"/>
        </w:rPr>
        <w:t xml:space="preserve">. </w:t>
      </w:r>
    </w:p>
    <w:p w14:paraId="5CD5D858" w14:textId="76DA30D3" w:rsidR="00747F2F" w:rsidRDefault="00747F2F" w:rsidP="00747F2F">
      <w:pPr>
        <w:pStyle w:val="NIEARTTEKSTtekstnieartykuowanynppodstprawnarozplubpreambua"/>
        <w:spacing w:before="0"/>
        <w:ind w:firstLine="709"/>
      </w:pPr>
      <w:r w:rsidRPr="00463B3D">
        <w:rPr>
          <w:rFonts w:cs="Times New Roman"/>
          <w:szCs w:val="24"/>
        </w:rPr>
        <w:t xml:space="preserve">Dostosowanie treści art. 165 § 2 k.p.c. do wykładni przyjętej przez Trybunał Sprawiedliwości polega na dopuszczeniu faktycznej możliwości dokonywania przez strony oraz uczestników postępowania skutecznego (gwarantującego zachowanie terminu </w:t>
      </w:r>
      <w:r>
        <w:rPr>
          <w:rFonts w:cs="Times New Roman"/>
          <w:szCs w:val="24"/>
        </w:rPr>
        <w:t>do dokonania</w:t>
      </w:r>
      <w:r w:rsidRPr="00463B3D">
        <w:rPr>
          <w:rFonts w:cs="Times New Roman"/>
          <w:szCs w:val="24"/>
        </w:rPr>
        <w:t xml:space="preserve"> czynności procesowej) nadawania pism procesowych do sądu w </w:t>
      </w:r>
      <w:r w:rsidR="00576C21">
        <w:rPr>
          <w:rFonts w:cs="Times New Roman"/>
          <w:szCs w:val="24"/>
        </w:rPr>
        <w:t xml:space="preserve">polskich </w:t>
      </w:r>
      <w:r w:rsidRPr="00463B3D">
        <w:rPr>
          <w:rFonts w:cs="Times New Roman"/>
          <w:szCs w:val="24"/>
        </w:rPr>
        <w:t xml:space="preserve">placówkach pocztowych wszystkich operatorów </w:t>
      </w:r>
      <w:r w:rsidR="00576C21">
        <w:rPr>
          <w:rFonts w:cs="Times New Roman"/>
          <w:szCs w:val="24"/>
        </w:rPr>
        <w:t xml:space="preserve">pocztowych </w:t>
      </w:r>
      <w:r w:rsidR="00576C21" w:rsidRPr="00462150">
        <w:t xml:space="preserve">w rozumieniu ustawy z dnia 23 listopada 2012 r. </w:t>
      </w:r>
      <w:r w:rsidR="00A6280D">
        <w:t>–</w:t>
      </w:r>
      <w:r w:rsidR="00576C21" w:rsidRPr="00462150">
        <w:t xml:space="preserve"> Prawo pocztowe</w:t>
      </w:r>
      <w:r w:rsidR="002A24D1">
        <w:t xml:space="preserve">. </w:t>
      </w:r>
      <w:r w:rsidR="00C566F5">
        <w:t xml:space="preserve"> </w:t>
      </w:r>
    </w:p>
    <w:p w14:paraId="61F014B5" w14:textId="4C806861" w:rsidR="005C1B23" w:rsidRPr="00701F76" w:rsidRDefault="005C1B23" w:rsidP="003A1EC2">
      <w:pPr>
        <w:pStyle w:val="ARTartustawynprozporzdzenia"/>
        <w:rPr>
          <w:rFonts w:ascii="Times New Roman" w:hAnsi="Times New Roman" w:cs="Times New Roman"/>
          <w:szCs w:val="24"/>
        </w:rPr>
      </w:pPr>
      <w:r w:rsidRPr="00701F76">
        <w:rPr>
          <w:rFonts w:ascii="Times New Roman" w:hAnsi="Times New Roman" w:cs="Times New Roman"/>
          <w:szCs w:val="24"/>
        </w:rPr>
        <w:t>W konsekwencji wymogi co do sposobu wnoszenia pism przez strony</w:t>
      </w:r>
      <w:r w:rsidR="00C05830">
        <w:rPr>
          <w:rFonts w:ascii="Times New Roman" w:hAnsi="Times New Roman" w:cs="Times New Roman"/>
          <w:szCs w:val="24"/>
        </w:rPr>
        <w:t xml:space="preserve"> na terenie Polski</w:t>
      </w:r>
      <w:r w:rsidRPr="00701F76">
        <w:rPr>
          <w:rFonts w:ascii="Times New Roman" w:hAnsi="Times New Roman" w:cs="Times New Roman"/>
          <w:szCs w:val="24"/>
        </w:rPr>
        <w:t xml:space="preserve"> są analogiczne </w:t>
      </w:r>
      <w:r w:rsidR="00A6280D">
        <w:rPr>
          <w:rFonts w:ascii="Times New Roman" w:hAnsi="Times New Roman" w:cs="Times New Roman"/>
          <w:szCs w:val="24"/>
        </w:rPr>
        <w:t>do</w:t>
      </w:r>
      <w:r w:rsidR="002A0CF2" w:rsidRPr="00701F76">
        <w:rPr>
          <w:rFonts w:ascii="Times New Roman" w:hAnsi="Times New Roman" w:cs="Times New Roman"/>
          <w:szCs w:val="24"/>
        </w:rPr>
        <w:t xml:space="preserve"> t</w:t>
      </w:r>
      <w:r w:rsidR="00A6280D">
        <w:rPr>
          <w:rFonts w:ascii="Times New Roman" w:hAnsi="Times New Roman" w:cs="Times New Roman"/>
          <w:szCs w:val="24"/>
        </w:rPr>
        <w:t>ych</w:t>
      </w:r>
      <w:r w:rsidRPr="00701F76">
        <w:rPr>
          <w:rFonts w:ascii="Times New Roman" w:hAnsi="Times New Roman" w:cs="Times New Roman"/>
          <w:szCs w:val="24"/>
        </w:rPr>
        <w:t xml:space="preserve">, które dotyczą </w:t>
      </w:r>
      <w:r w:rsidR="002A0CF2" w:rsidRPr="00701F76">
        <w:rPr>
          <w:rFonts w:ascii="Times New Roman" w:hAnsi="Times New Roman" w:cs="Times New Roman"/>
          <w:szCs w:val="24"/>
        </w:rPr>
        <w:t>wysyłania</w:t>
      </w:r>
      <w:r w:rsidRPr="00701F76">
        <w:rPr>
          <w:rFonts w:ascii="Times New Roman" w:hAnsi="Times New Roman" w:cs="Times New Roman"/>
          <w:szCs w:val="24"/>
        </w:rPr>
        <w:t xml:space="preserve"> pism przez sąd (por. art. 131 § 1 k.p.c.).</w:t>
      </w:r>
    </w:p>
    <w:p w14:paraId="28F2A51B" w14:textId="7BDDFDF5" w:rsidR="002A4902" w:rsidRDefault="00C05830">
      <w:pPr>
        <w:ind w:firstLine="51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 celu pełnego dostosowania przepisu do prawa europejskiego n</w:t>
      </w:r>
      <w:r w:rsidR="00F50781">
        <w:rPr>
          <w:rFonts w:cs="Times New Roman"/>
          <w:szCs w:val="24"/>
        </w:rPr>
        <w:t xml:space="preserve">ieuzasadnione stało się również utrzymanie zastrzeżenia możliwości nadawania pism w placówkach pocztowych </w:t>
      </w:r>
      <w:r w:rsidR="002A4902">
        <w:rPr>
          <w:rFonts w:cs="Times New Roman"/>
          <w:szCs w:val="24"/>
        </w:rPr>
        <w:t xml:space="preserve">operatora pocztowego świadczącego pocztowe usługi powszechne w innym państwie członkowskim Unii Europejskiej. </w:t>
      </w:r>
      <w:r w:rsidR="00742009">
        <w:rPr>
          <w:rFonts w:cs="Times New Roman"/>
          <w:szCs w:val="24"/>
        </w:rPr>
        <w:t xml:space="preserve">I w tym </w:t>
      </w:r>
      <w:r w:rsidR="00A6280D">
        <w:rPr>
          <w:rFonts w:cs="Times New Roman"/>
          <w:szCs w:val="24"/>
        </w:rPr>
        <w:t>prz</w:t>
      </w:r>
      <w:r w:rsidR="00742009">
        <w:rPr>
          <w:rFonts w:cs="Times New Roman"/>
          <w:szCs w:val="24"/>
        </w:rPr>
        <w:t>ypadku należy otworzyć stronom możliwość skorzystania z usług innych operatorów.</w:t>
      </w:r>
    </w:p>
    <w:p w14:paraId="1358728F" w14:textId="0E64A275" w:rsidR="00F77D4E" w:rsidRPr="00E23F1A" w:rsidRDefault="002A4902" w:rsidP="00701F76">
      <w:pPr>
        <w:ind w:firstLine="510"/>
        <w:jc w:val="both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 xml:space="preserve">W związku z powyższym projekt wprowadza rozwiązanie analogiczne </w:t>
      </w:r>
      <w:r w:rsidR="00F77D4E" w:rsidRPr="00E23F1A">
        <w:rPr>
          <w:rFonts w:eastAsia="Times New Roman" w:cs="Times New Roman"/>
          <w:szCs w:val="24"/>
        </w:rPr>
        <w:t xml:space="preserve">do rozwiązania zastosowanego w ustawie z dnia 6 czerwca 1997 r. – Kodeks </w:t>
      </w:r>
      <w:r w:rsidR="005935F2">
        <w:rPr>
          <w:rFonts w:eastAsia="Times New Roman" w:cs="Times New Roman"/>
          <w:szCs w:val="24"/>
        </w:rPr>
        <w:t>p</w:t>
      </w:r>
      <w:r w:rsidR="00F77D4E" w:rsidRPr="00E23F1A">
        <w:rPr>
          <w:rFonts w:eastAsia="Times New Roman" w:cs="Times New Roman"/>
          <w:szCs w:val="24"/>
        </w:rPr>
        <w:t xml:space="preserve">ostępowania </w:t>
      </w:r>
      <w:r w:rsidR="005935F2">
        <w:rPr>
          <w:rFonts w:eastAsia="Times New Roman" w:cs="Times New Roman"/>
          <w:szCs w:val="24"/>
        </w:rPr>
        <w:t>k</w:t>
      </w:r>
      <w:r w:rsidR="00F77D4E" w:rsidRPr="00E23F1A">
        <w:rPr>
          <w:rFonts w:eastAsia="Times New Roman" w:cs="Times New Roman"/>
          <w:szCs w:val="24"/>
        </w:rPr>
        <w:t>arnego</w:t>
      </w:r>
      <w:r w:rsidR="008A6F22">
        <w:rPr>
          <w:rFonts w:eastAsia="Times New Roman" w:cs="Times New Roman"/>
          <w:szCs w:val="24"/>
        </w:rPr>
        <w:t xml:space="preserve"> (Dz.</w:t>
      </w:r>
      <w:r w:rsidR="00A6280D">
        <w:rPr>
          <w:rFonts w:eastAsia="Times New Roman" w:cs="Times New Roman"/>
          <w:szCs w:val="24"/>
        </w:rPr>
        <w:t xml:space="preserve"> </w:t>
      </w:r>
      <w:r w:rsidR="008A6F22">
        <w:rPr>
          <w:rFonts w:eastAsia="Times New Roman" w:cs="Times New Roman"/>
          <w:szCs w:val="24"/>
        </w:rPr>
        <w:t>U. z 2021 r. poz. 534</w:t>
      </w:r>
      <w:r w:rsidR="00A6280D">
        <w:rPr>
          <w:rFonts w:eastAsia="Times New Roman" w:cs="Times New Roman"/>
          <w:szCs w:val="24"/>
        </w:rPr>
        <w:t>;</w:t>
      </w:r>
      <w:r w:rsidR="008A6F22">
        <w:rPr>
          <w:rFonts w:eastAsia="Times New Roman" w:cs="Times New Roman"/>
          <w:szCs w:val="24"/>
        </w:rPr>
        <w:t xml:space="preserve"> dalej „k</w:t>
      </w:r>
      <w:r w:rsidR="00A6280D">
        <w:rPr>
          <w:rFonts w:eastAsia="Times New Roman" w:cs="Times New Roman"/>
          <w:szCs w:val="24"/>
        </w:rPr>
        <w:t>.</w:t>
      </w:r>
      <w:r w:rsidR="008A6F22">
        <w:rPr>
          <w:rFonts w:eastAsia="Times New Roman" w:cs="Times New Roman"/>
          <w:szCs w:val="24"/>
        </w:rPr>
        <w:t>p</w:t>
      </w:r>
      <w:r w:rsidR="00A6280D">
        <w:rPr>
          <w:rFonts w:eastAsia="Times New Roman" w:cs="Times New Roman"/>
          <w:szCs w:val="24"/>
        </w:rPr>
        <w:t>.</w:t>
      </w:r>
      <w:r w:rsidR="008A6F22">
        <w:rPr>
          <w:rFonts w:eastAsia="Times New Roman" w:cs="Times New Roman"/>
          <w:szCs w:val="24"/>
        </w:rPr>
        <w:t>k</w:t>
      </w:r>
      <w:r w:rsidR="00A6280D">
        <w:rPr>
          <w:rFonts w:eastAsia="Times New Roman" w:cs="Times New Roman"/>
          <w:szCs w:val="24"/>
        </w:rPr>
        <w:t>.</w:t>
      </w:r>
      <w:r w:rsidR="008A6F22">
        <w:rPr>
          <w:rFonts w:eastAsia="Times New Roman" w:cs="Times New Roman"/>
          <w:szCs w:val="24"/>
        </w:rPr>
        <w:t>”)</w:t>
      </w:r>
      <w:r w:rsidR="00A6280D">
        <w:rPr>
          <w:rFonts w:eastAsia="Times New Roman" w:cs="Times New Roman"/>
          <w:szCs w:val="24"/>
        </w:rPr>
        <w:t xml:space="preserve"> </w:t>
      </w:r>
      <w:r w:rsidR="00F77D4E" w:rsidRPr="00E23F1A">
        <w:rPr>
          <w:rFonts w:eastAsia="Times New Roman" w:cs="Times New Roman"/>
          <w:szCs w:val="24"/>
        </w:rPr>
        <w:t>umożliwiające nadanie pisma w placówce podmiotu zajmującego się doręczaniem korespondencji na terenie Unii Europejskiej (art. 124 k</w:t>
      </w:r>
      <w:r w:rsidR="00A6280D">
        <w:rPr>
          <w:rFonts w:eastAsia="Times New Roman" w:cs="Times New Roman"/>
          <w:szCs w:val="24"/>
        </w:rPr>
        <w:t>.</w:t>
      </w:r>
      <w:r w:rsidR="00F77D4E" w:rsidRPr="00E23F1A">
        <w:rPr>
          <w:rFonts w:eastAsia="Times New Roman" w:cs="Times New Roman"/>
          <w:szCs w:val="24"/>
        </w:rPr>
        <w:t>p</w:t>
      </w:r>
      <w:r w:rsidR="00A6280D">
        <w:rPr>
          <w:rFonts w:eastAsia="Times New Roman" w:cs="Times New Roman"/>
          <w:szCs w:val="24"/>
        </w:rPr>
        <w:t>.</w:t>
      </w:r>
      <w:r w:rsidR="00F77D4E" w:rsidRPr="00E23F1A">
        <w:rPr>
          <w:rFonts w:eastAsia="Times New Roman" w:cs="Times New Roman"/>
          <w:szCs w:val="24"/>
        </w:rPr>
        <w:t>k</w:t>
      </w:r>
      <w:r w:rsidR="00A6280D">
        <w:rPr>
          <w:rFonts w:eastAsia="Times New Roman" w:cs="Times New Roman"/>
          <w:szCs w:val="24"/>
        </w:rPr>
        <w:t>.</w:t>
      </w:r>
      <w:r w:rsidR="00F77D4E" w:rsidRPr="00E23F1A">
        <w:rPr>
          <w:rFonts w:eastAsia="Times New Roman" w:cs="Times New Roman"/>
          <w:szCs w:val="24"/>
        </w:rPr>
        <w:t>).</w:t>
      </w:r>
    </w:p>
    <w:p w14:paraId="44B7FA0A" w14:textId="60A917CC" w:rsidR="00E23F1A" w:rsidRPr="00701F76" w:rsidRDefault="00F77D4E" w:rsidP="00701F76">
      <w:pPr>
        <w:ind w:firstLine="709"/>
        <w:jc w:val="both"/>
        <w:rPr>
          <w:rFonts w:eastAsia="Times New Roman" w:cs="Times New Roman"/>
          <w:szCs w:val="24"/>
        </w:rPr>
      </w:pPr>
      <w:r w:rsidRPr="00E23F1A">
        <w:rPr>
          <w:rFonts w:eastAsia="Times New Roman" w:cs="Times New Roman"/>
          <w:szCs w:val="24"/>
        </w:rPr>
        <w:t xml:space="preserve">Jednocześnie wprowadzona </w:t>
      </w:r>
      <w:r w:rsidR="00970096" w:rsidRPr="00E23F1A">
        <w:rPr>
          <w:rFonts w:eastAsia="Times New Roman" w:cs="Times New Roman"/>
          <w:szCs w:val="24"/>
        </w:rPr>
        <w:t xml:space="preserve">kolejna </w:t>
      </w:r>
      <w:r w:rsidRPr="00E23F1A">
        <w:rPr>
          <w:rFonts w:eastAsia="Times New Roman" w:cs="Times New Roman"/>
          <w:szCs w:val="24"/>
        </w:rPr>
        <w:t xml:space="preserve">zmiana </w:t>
      </w:r>
      <w:r w:rsidR="00970096" w:rsidRPr="00E23F1A">
        <w:rPr>
          <w:rFonts w:eastAsia="Times New Roman" w:cs="Times New Roman"/>
          <w:szCs w:val="24"/>
        </w:rPr>
        <w:t>w dotychczasowej regulacji polega na tym</w:t>
      </w:r>
      <w:r w:rsidRPr="00E23F1A">
        <w:rPr>
          <w:rFonts w:eastAsia="Times New Roman" w:cs="Times New Roman"/>
          <w:szCs w:val="24"/>
        </w:rPr>
        <w:t>, aby domniemanie, o którym mowa w art. 165 § 2 k</w:t>
      </w:r>
      <w:r w:rsidR="00A6280D">
        <w:rPr>
          <w:rFonts w:eastAsia="Times New Roman" w:cs="Times New Roman"/>
          <w:szCs w:val="24"/>
        </w:rPr>
        <w:t>.</w:t>
      </w:r>
      <w:r w:rsidRPr="00E23F1A">
        <w:rPr>
          <w:rFonts w:eastAsia="Times New Roman" w:cs="Times New Roman"/>
          <w:szCs w:val="24"/>
        </w:rPr>
        <w:t>p</w:t>
      </w:r>
      <w:r w:rsidR="00A6280D">
        <w:rPr>
          <w:rFonts w:eastAsia="Times New Roman" w:cs="Times New Roman"/>
          <w:szCs w:val="24"/>
        </w:rPr>
        <w:t>.</w:t>
      </w:r>
      <w:r w:rsidRPr="00E23F1A">
        <w:rPr>
          <w:rFonts w:eastAsia="Times New Roman" w:cs="Times New Roman"/>
          <w:szCs w:val="24"/>
        </w:rPr>
        <w:t>c</w:t>
      </w:r>
      <w:r w:rsidR="00A6280D">
        <w:rPr>
          <w:rFonts w:eastAsia="Times New Roman" w:cs="Times New Roman"/>
          <w:szCs w:val="24"/>
        </w:rPr>
        <w:t>.</w:t>
      </w:r>
      <w:r w:rsidRPr="00E23F1A">
        <w:rPr>
          <w:rFonts w:eastAsia="Times New Roman" w:cs="Times New Roman"/>
          <w:szCs w:val="24"/>
        </w:rPr>
        <w:t xml:space="preserve"> </w:t>
      </w:r>
      <w:r w:rsidRPr="00E23F1A">
        <w:rPr>
          <w:rFonts w:cs="Times New Roman"/>
          <w:szCs w:val="24"/>
        </w:rPr>
        <w:t>(tj. domniemanie wniesienia pisma do sądu w dniu nadania przesyłki u operatora)</w:t>
      </w:r>
      <w:r w:rsidRPr="00E23F1A">
        <w:rPr>
          <w:rFonts w:eastAsia="Times New Roman" w:cs="Times New Roman"/>
          <w:szCs w:val="24"/>
        </w:rPr>
        <w:t xml:space="preserve">, dotyczyło tylko przesyłek poleconych. </w:t>
      </w:r>
      <w:r w:rsidR="00970096" w:rsidRPr="00E23F1A">
        <w:rPr>
          <w:rFonts w:eastAsia="Times New Roman" w:cs="Times New Roman"/>
          <w:szCs w:val="24"/>
        </w:rPr>
        <w:t>W</w:t>
      </w:r>
      <w:r w:rsidRPr="00E23F1A">
        <w:rPr>
          <w:rFonts w:eastAsia="Times New Roman" w:cs="Times New Roman"/>
          <w:szCs w:val="24"/>
        </w:rPr>
        <w:t>prowadzenie takiego wymogu nie zaburzy obecnie funkcjonującej praktyki, która odzwierciedla stosowanie przez strony i pełnomocników formy listu poleconego. Warunek nadania pisma w takiej formie umacnia pewność obrotu</w:t>
      </w:r>
      <w:r w:rsidRPr="00E23F1A">
        <w:rPr>
          <w:rFonts w:cs="Times New Roman"/>
          <w:szCs w:val="24"/>
        </w:rPr>
        <w:t xml:space="preserve"> i sprzyja sprawności postępowania sądowego. </w:t>
      </w:r>
      <w:r w:rsidR="00E23F1A" w:rsidRPr="00701F76">
        <w:rPr>
          <w:rFonts w:cs="Times New Roman"/>
          <w:szCs w:val="24"/>
        </w:rPr>
        <w:t>Należy zaznaczyć, że zgodnie z art. 3 ust. 22 ustawy – Prawo pocztowe przesyłka polecona oznacza przesyłkę listową będącą przesyłką rejestrowaną, przemieszczaną i doręczaną w sposób zabezpieczający ją przed utratą, ubytkiem zawartości lub uszkodzeniem. Przesyłka ta może być nadawana u dowolnego operatora pocztowego. Operator</w:t>
      </w:r>
      <w:r w:rsidR="00631E60">
        <w:rPr>
          <w:rFonts w:cs="Times New Roman"/>
          <w:szCs w:val="24"/>
        </w:rPr>
        <w:t>,</w:t>
      </w:r>
      <w:r w:rsidR="00E23F1A" w:rsidRPr="00701F76">
        <w:rPr>
          <w:rFonts w:cs="Times New Roman"/>
          <w:szCs w:val="24"/>
        </w:rPr>
        <w:t xml:space="preserve"> przyjmując tę przesyłkę do doręczenia</w:t>
      </w:r>
      <w:r w:rsidR="00631E60">
        <w:rPr>
          <w:rFonts w:cs="Times New Roman"/>
          <w:szCs w:val="24"/>
        </w:rPr>
        <w:t>,</w:t>
      </w:r>
      <w:r w:rsidR="00E23F1A" w:rsidRPr="00701F76">
        <w:rPr>
          <w:rFonts w:cs="Times New Roman"/>
          <w:szCs w:val="24"/>
        </w:rPr>
        <w:t xml:space="preserve"> zobowiązuje się do traktowania jej z należytą starannością.</w:t>
      </w:r>
    </w:p>
    <w:p w14:paraId="73B22D91" w14:textId="6A48037C" w:rsidR="00F77D4E" w:rsidRPr="002A4902" w:rsidRDefault="00E23F1A" w:rsidP="00701F76">
      <w:pPr>
        <w:ind w:firstLine="708"/>
        <w:jc w:val="both"/>
        <w:rPr>
          <w:rFonts w:cs="Times New Roman"/>
          <w:szCs w:val="24"/>
        </w:rPr>
      </w:pPr>
      <w:r w:rsidRPr="00701F76">
        <w:rPr>
          <w:rFonts w:cs="Times New Roman"/>
          <w:szCs w:val="24"/>
        </w:rPr>
        <w:lastRenderedPageBreak/>
        <w:t>Ograniczenie przywileju określonego w art. 165 § 2 k</w:t>
      </w:r>
      <w:r w:rsidR="00631E60">
        <w:rPr>
          <w:rFonts w:cs="Times New Roman"/>
          <w:szCs w:val="24"/>
        </w:rPr>
        <w:t>.</w:t>
      </w:r>
      <w:r w:rsidRPr="00701F76">
        <w:rPr>
          <w:rFonts w:cs="Times New Roman"/>
          <w:szCs w:val="24"/>
        </w:rPr>
        <w:t>p</w:t>
      </w:r>
      <w:r w:rsidR="00631E60">
        <w:rPr>
          <w:rFonts w:cs="Times New Roman"/>
          <w:szCs w:val="24"/>
        </w:rPr>
        <w:t>.</w:t>
      </w:r>
      <w:r w:rsidRPr="00701F76">
        <w:rPr>
          <w:rFonts w:cs="Times New Roman"/>
          <w:szCs w:val="24"/>
        </w:rPr>
        <w:t>c</w:t>
      </w:r>
      <w:r w:rsidR="00631E60">
        <w:rPr>
          <w:rFonts w:cs="Times New Roman"/>
          <w:szCs w:val="24"/>
        </w:rPr>
        <w:t>.</w:t>
      </w:r>
      <w:r w:rsidRPr="00701F76">
        <w:rPr>
          <w:rFonts w:cs="Times New Roman"/>
          <w:szCs w:val="24"/>
        </w:rPr>
        <w:t xml:space="preserve"> do przesyłek poleconych nie </w:t>
      </w:r>
      <w:r w:rsidR="00742009">
        <w:rPr>
          <w:rFonts w:cs="Times New Roman"/>
          <w:szCs w:val="24"/>
        </w:rPr>
        <w:t>było</w:t>
      </w:r>
      <w:r w:rsidRPr="00701F76">
        <w:rPr>
          <w:rFonts w:cs="Times New Roman"/>
          <w:szCs w:val="24"/>
        </w:rPr>
        <w:t xml:space="preserve"> przedmiotem pkt 73 </w:t>
      </w:r>
      <w:r w:rsidR="00742009">
        <w:rPr>
          <w:rFonts w:cs="Times New Roman"/>
          <w:szCs w:val="24"/>
        </w:rPr>
        <w:t xml:space="preserve">implementowanego </w:t>
      </w:r>
      <w:r w:rsidRPr="00701F76">
        <w:rPr>
          <w:rFonts w:cs="Times New Roman"/>
          <w:szCs w:val="24"/>
        </w:rPr>
        <w:t xml:space="preserve">wyroku, zgodnie </w:t>
      </w:r>
      <w:r w:rsidR="00742009">
        <w:rPr>
          <w:rFonts w:cs="Times New Roman"/>
          <w:szCs w:val="24"/>
        </w:rPr>
        <w:t xml:space="preserve">z którym </w:t>
      </w:r>
      <w:r w:rsidRPr="00701F76">
        <w:rPr>
          <w:rFonts w:cs="Times New Roman"/>
          <w:szCs w:val="24"/>
        </w:rPr>
        <w:t xml:space="preserve">skorzystanie przez państwo członkowskie z odstępstwa wskazanego w art. 8 dyrektywy wymaga uzasadnienia występowania interesu publicznego. W pkt 72 TSUE jednoznacznie wskazuje, że: </w:t>
      </w:r>
      <w:r w:rsidRPr="00701F76">
        <w:rPr>
          <w:rFonts w:cs="Times New Roman"/>
          <w:i/>
          <w:szCs w:val="24"/>
        </w:rPr>
        <w:t>Cel art. 8 zmienionej dyrektywy został wskazany w motywie 20 dyrektywy 97/67, zgodnie z którym '[z] powodów związanych z bezpieczeństwem i porządkiem publicznym, w uzasadnionym interesie państw członkowskich może leżeć przyznanie wyznaczonemu przez nie podmiotowi lub wyznaczonym podmiotom prawa do umieszczania [...] nadawczych skrzynek pocztowych; z tych samych powodów, mają one prawo do wyznaczenia podmiotu lub podmiotów odpowiedzialnych za emitowanie znaczków pocztowych [...] oraz odpowiedzialnych za świadczenie usługi przesyłki poleconej stosowanej w procedurach sądowych lub administracyjnych zgodnie ze swoim ustawodawstwem krajowym'.</w:t>
      </w:r>
      <w:r w:rsidRPr="00701F76">
        <w:rPr>
          <w:rFonts w:cs="Times New Roman"/>
          <w:szCs w:val="24"/>
        </w:rPr>
        <w:t xml:space="preserve"> Projektowane rozwiązanie n</w:t>
      </w:r>
      <w:r w:rsidRPr="00E23F1A">
        <w:rPr>
          <w:rFonts w:cs="Times New Roman"/>
          <w:szCs w:val="24"/>
        </w:rPr>
        <w:t>ie jest zatem sprzeczne z prawem europejskim</w:t>
      </w:r>
      <w:r w:rsidR="00D82C00">
        <w:rPr>
          <w:rFonts w:cs="Times New Roman"/>
          <w:szCs w:val="24"/>
        </w:rPr>
        <w:t xml:space="preserve">. </w:t>
      </w:r>
      <w:r w:rsidR="00FA728B">
        <w:rPr>
          <w:rFonts w:cs="Times New Roman"/>
          <w:szCs w:val="24"/>
        </w:rPr>
        <w:t>Zapewnienie</w:t>
      </w:r>
      <w:r w:rsidR="00742009">
        <w:rPr>
          <w:rFonts w:cs="Times New Roman"/>
          <w:szCs w:val="24"/>
        </w:rPr>
        <w:t xml:space="preserve"> wyższ</w:t>
      </w:r>
      <w:r w:rsidR="00FA728B">
        <w:rPr>
          <w:rFonts w:cs="Times New Roman"/>
          <w:szCs w:val="24"/>
        </w:rPr>
        <w:t>ego</w:t>
      </w:r>
      <w:r w:rsidR="00742009">
        <w:rPr>
          <w:rFonts w:cs="Times New Roman"/>
          <w:szCs w:val="24"/>
        </w:rPr>
        <w:t xml:space="preserve"> standard</w:t>
      </w:r>
      <w:r w:rsidR="00FA728B">
        <w:rPr>
          <w:rFonts w:cs="Times New Roman"/>
          <w:szCs w:val="24"/>
        </w:rPr>
        <w:t>u</w:t>
      </w:r>
      <w:r w:rsidR="00742009">
        <w:rPr>
          <w:rFonts w:cs="Times New Roman"/>
          <w:szCs w:val="24"/>
        </w:rPr>
        <w:t xml:space="preserve"> pewności i bezpieczeństwa obrotu </w:t>
      </w:r>
      <w:r w:rsidR="00D82C00">
        <w:rPr>
          <w:rFonts w:cs="Times New Roman"/>
          <w:szCs w:val="24"/>
        </w:rPr>
        <w:t>korespondencji wysyłanej do sądu</w:t>
      </w:r>
      <w:r w:rsidR="00742009">
        <w:rPr>
          <w:rFonts w:cs="Times New Roman"/>
          <w:szCs w:val="24"/>
        </w:rPr>
        <w:t>, co przekłada się na sprawność postępowania sądowego, wydaje się wskazane</w:t>
      </w:r>
      <w:r w:rsidRPr="00E23F1A">
        <w:rPr>
          <w:rFonts w:cs="Times New Roman"/>
          <w:szCs w:val="24"/>
        </w:rPr>
        <w:t>.</w:t>
      </w:r>
    </w:p>
    <w:p w14:paraId="41B101B1" w14:textId="77777777" w:rsidR="007D74AF" w:rsidRPr="007D74AF" w:rsidRDefault="007D74AF" w:rsidP="007D74AF">
      <w:pPr>
        <w:pStyle w:val="ARTartustawynprozporzdzenia"/>
      </w:pPr>
    </w:p>
    <w:p w14:paraId="3E9AC8FB" w14:textId="10A1A081" w:rsidR="00CC57A6" w:rsidRDefault="007D74AF" w:rsidP="0011262B">
      <w:pPr>
        <w:ind w:firstLine="708"/>
        <w:jc w:val="both"/>
        <w:rPr>
          <w:b/>
        </w:rPr>
      </w:pPr>
      <w:r w:rsidRPr="009C797D">
        <w:rPr>
          <w:b/>
        </w:rPr>
        <w:t xml:space="preserve">Art. </w:t>
      </w:r>
      <w:r>
        <w:rPr>
          <w:b/>
        </w:rPr>
        <w:t>1</w:t>
      </w:r>
      <w:r w:rsidRPr="009C797D">
        <w:rPr>
          <w:b/>
        </w:rPr>
        <w:t xml:space="preserve"> pkt </w:t>
      </w:r>
      <w:r w:rsidR="00AC292B">
        <w:rPr>
          <w:b/>
        </w:rPr>
        <w:t>2,</w:t>
      </w:r>
      <w:r>
        <w:rPr>
          <w:b/>
        </w:rPr>
        <w:t xml:space="preserve"> 3</w:t>
      </w:r>
      <w:r w:rsidR="00DD4DB7">
        <w:rPr>
          <w:b/>
        </w:rPr>
        <w:t xml:space="preserve"> i</w:t>
      </w:r>
      <w:r w:rsidR="0062706D">
        <w:rPr>
          <w:b/>
        </w:rPr>
        <w:t xml:space="preserve"> </w:t>
      </w:r>
      <w:r w:rsidR="00FB2C95">
        <w:rPr>
          <w:b/>
        </w:rPr>
        <w:t>4 projektu</w:t>
      </w:r>
      <w:r>
        <w:rPr>
          <w:b/>
        </w:rPr>
        <w:t xml:space="preserve"> (proj. </w:t>
      </w:r>
      <w:r w:rsidRPr="007D74AF">
        <w:rPr>
          <w:b/>
        </w:rPr>
        <w:t xml:space="preserve">art. </w:t>
      </w:r>
      <w:r w:rsidR="0016395E" w:rsidRPr="00EC28EE">
        <w:rPr>
          <w:b/>
          <w:bCs/>
        </w:rPr>
        <w:t>394</w:t>
      </w:r>
      <w:r w:rsidR="0016395E" w:rsidRPr="00EC28EE">
        <w:rPr>
          <w:rStyle w:val="IGindeksgrny"/>
          <w:b/>
          <w:bCs/>
        </w:rPr>
        <w:t>1a</w:t>
      </w:r>
      <w:r w:rsidR="0016395E" w:rsidRPr="00EC28EE">
        <w:rPr>
          <w:b/>
          <w:bCs/>
        </w:rPr>
        <w:t xml:space="preserve"> § 1 pkt 8</w:t>
      </w:r>
      <w:r w:rsidR="0016395E" w:rsidRPr="00EC28EE">
        <w:rPr>
          <w:rStyle w:val="IGindeksgrny"/>
          <w:b/>
          <w:bCs/>
        </w:rPr>
        <w:t>1</w:t>
      </w:r>
      <w:r w:rsidR="0016395E">
        <w:rPr>
          <w:rStyle w:val="IGindeksgrny"/>
          <w:vertAlign w:val="baseline"/>
        </w:rPr>
        <w:t xml:space="preserve">, </w:t>
      </w:r>
      <w:r w:rsidR="00FA6219" w:rsidRPr="00885941">
        <w:rPr>
          <w:rStyle w:val="IGindeksgrny"/>
          <w:b/>
          <w:vertAlign w:val="baseline"/>
        </w:rPr>
        <w:t>art.</w:t>
      </w:r>
      <w:r w:rsidR="00FA6219">
        <w:rPr>
          <w:rStyle w:val="IGindeksgrny"/>
          <w:vertAlign w:val="baseline"/>
        </w:rPr>
        <w:t xml:space="preserve"> </w:t>
      </w:r>
      <w:r w:rsidRPr="0016395E">
        <w:rPr>
          <w:b/>
        </w:rPr>
        <w:t>480</w:t>
      </w:r>
      <w:r w:rsidRPr="0016395E">
        <w:rPr>
          <w:rStyle w:val="IGindeksgrny"/>
          <w:b/>
        </w:rPr>
        <w:t>2</w:t>
      </w:r>
      <w:r w:rsidRPr="007D74AF">
        <w:rPr>
          <w:b/>
        </w:rPr>
        <w:t xml:space="preserve"> </w:t>
      </w:r>
      <w:r w:rsidRPr="007D74AF">
        <w:rPr>
          <w:rFonts w:cs="Times New Roman"/>
          <w:b/>
        </w:rPr>
        <w:t>§</w:t>
      </w:r>
      <w:r w:rsidRPr="007D74AF">
        <w:rPr>
          <w:b/>
        </w:rPr>
        <w:t xml:space="preserve"> </w:t>
      </w:r>
      <w:r w:rsidR="0062706D">
        <w:rPr>
          <w:b/>
        </w:rPr>
        <w:t xml:space="preserve">1, </w:t>
      </w:r>
      <w:r w:rsidRPr="007D74AF">
        <w:rPr>
          <w:b/>
        </w:rPr>
        <w:t>2</w:t>
      </w:r>
      <w:r w:rsidR="0062706D">
        <w:rPr>
          <w:b/>
        </w:rPr>
        <w:t>, 2</w:t>
      </w:r>
      <w:r w:rsidR="0062706D">
        <w:rPr>
          <w:b/>
          <w:vertAlign w:val="superscript"/>
        </w:rPr>
        <w:t>1</w:t>
      </w:r>
      <w:r w:rsidR="0062706D">
        <w:rPr>
          <w:b/>
        </w:rPr>
        <w:t xml:space="preserve"> i 2</w:t>
      </w:r>
      <w:r w:rsidR="0062706D">
        <w:rPr>
          <w:b/>
          <w:vertAlign w:val="superscript"/>
        </w:rPr>
        <w:t>2</w:t>
      </w:r>
      <w:r>
        <w:rPr>
          <w:b/>
        </w:rPr>
        <w:t xml:space="preserve"> oraz </w:t>
      </w:r>
      <w:r w:rsidR="00FA6219">
        <w:rPr>
          <w:b/>
        </w:rPr>
        <w:t xml:space="preserve">art. </w:t>
      </w:r>
      <w:r w:rsidRPr="007D74AF">
        <w:rPr>
          <w:b/>
        </w:rPr>
        <w:t>485 § 2</w:t>
      </w:r>
      <w:r w:rsidR="00AC292B">
        <w:rPr>
          <w:b/>
        </w:rPr>
        <w:t>, 4 i 5</w:t>
      </w:r>
      <w:r>
        <w:rPr>
          <w:b/>
        </w:rPr>
        <w:t xml:space="preserve"> k.p.c.)</w:t>
      </w:r>
      <w:r w:rsidR="00105345">
        <w:rPr>
          <w:b/>
        </w:rPr>
        <w:t xml:space="preserve"> oraz a</w:t>
      </w:r>
      <w:r w:rsidR="00CC57A6" w:rsidRPr="009C797D">
        <w:rPr>
          <w:b/>
        </w:rPr>
        <w:t xml:space="preserve">rt. </w:t>
      </w:r>
      <w:r w:rsidR="0007161F">
        <w:rPr>
          <w:b/>
        </w:rPr>
        <w:t>5</w:t>
      </w:r>
      <w:r w:rsidR="00E53766" w:rsidRPr="009C797D">
        <w:rPr>
          <w:b/>
        </w:rPr>
        <w:t xml:space="preserve"> </w:t>
      </w:r>
      <w:r w:rsidR="00CC57A6">
        <w:rPr>
          <w:b/>
        </w:rPr>
        <w:t xml:space="preserve">projektu (proj. </w:t>
      </w:r>
      <w:r w:rsidR="00CC57A6" w:rsidRPr="007D74AF">
        <w:rPr>
          <w:b/>
        </w:rPr>
        <w:t xml:space="preserve">art. </w:t>
      </w:r>
      <w:r w:rsidR="00CC57A6">
        <w:rPr>
          <w:b/>
        </w:rPr>
        <w:t>19 ust</w:t>
      </w:r>
      <w:r w:rsidR="00CC57A6" w:rsidRPr="00CC57A6">
        <w:rPr>
          <w:b/>
        </w:rPr>
        <w:t>. 4 ustawy z dnia 28 lipca 2005 r. o kosztach sądowych w sprawach cywilnych</w:t>
      </w:r>
      <w:r w:rsidR="005C5589">
        <w:rPr>
          <w:b/>
        </w:rPr>
        <w:t>)</w:t>
      </w:r>
      <w:r w:rsidR="00CC57A6" w:rsidRPr="00CC57A6">
        <w:rPr>
          <w:b/>
        </w:rPr>
        <w:t xml:space="preserve"> </w:t>
      </w:r>
      <w:r w:rsidR="00CC57A6" w:rsidRPr="00885941">
        <w:t xml:space="preserve">(Dz. U. z </w:t>
      </w:r>
      <w:r w:rsidR="00DD4DB7" w:rsidRPr="00885941">
        <w:t xml:space="preserve">2020 </w:t>
      </w:r>
      <w:r w:rsidR="00CC57A6" w:rsidRPr="00885941">
        <w:t xml:space="preserve">r. poz. </w:t>
      </w:r>
      <w:r w:rsidR="00DD4DB7" w:rsidRPr="00885941">
        <w:t>755</w:t>
      </w:r>
      <w:r w:rsidR="00CC57A6" w:rsidRPr="00885941">
        <w:t xml:space="preserve">, </w:t>
      </w:r>
      <w:r w:rsidR="00DD4DB7" w:rsidRPr="00885941">
        <w:t>807</w:t>
      </w:r>
      <w:r w:rsidR="00FA6219" w:rsidRPr="00885941">
        <w:t>,</w:t>
      </w:r>
      <w:r w:rsidR="007139A6" w:rsidRPr="00885941">
        <w:t xml:space="preserve"> 956</w:t>
      </w:r>
      <w:r w:rsidR="00DD4DB7" w:rsidRPr="00885941">
        <w:t xml:space="preserve"> </w:t>
      </w:r>
      <w:r w:rsidR="00FA6219" w:rsidRPr="00C230CD">
        <w:t>i</w:t>
      </w:r>
      <w:r w:rsidR="00C230CD">
        <w:t> </w:t>
      </w:r>
      <w:r w:rsidR="00FA6219" w:rsidRPr="00C230CD">
        <w:t>2</w:t>
      </w:r>
      <w:r w:rsidR="00FA6219" w:rsidRPr="00885941">
        <w:t>186</w:t>
      </w:r>
      <w:r w:rsidR="005C5589" w:rsidRPr="00885941">
        <w:t>;</w:t>
      </w:r>
      <w:r w:rsidR="00FA6219" w:rsidRPr="00885941">
        <w:t xml:space="preserve"> </w:t>
      </w:r>
      <w:r w:rsidR="00DD4DB7" w:rsidRPr="00885941">
        <w:t>dalej: „u.k.s.c.”</w:t>
      </w:r>
      <w:r w:rsidR="00CC57A6" w:rsidRPr="00885941">
        <w:t>)</w:t>
      </w:r>
    </w:p>
    <w:p w14:paraId="531D0B51" w14:textId="77777777" w:rsidR="00E14CBE" w:rsidRDefault="00E14CBE" w:rsidP="00E14CBE">
      <w:pPr>
        <w:ind w:firstLine="708"/>
        <w:jc w:val="both"/>
        <w:rPr>
          <w:b/>
        </w:rPr>
      </w:pPr>
    </w:p>
    <w:p w14:paraId="1C47FCDE" w14:textId="7C69A7B5" w:rsidR="00E14CBE" w:rsidRDefault="00774F52" w:rsidP="002116BE">
      <w:pPr>
        <w:ind w:firstLine="708"/>
        <w:jc w:val="both"/>
      </w:pPr>
      <w:r>
        <w:t>Zmian</w:t>
      </w:r>
      <w:r w:rsidR="00427C83">
        <w:t>ami przewidzianymi</w:t>
      </w:r>
      <w:r>
        <w:t xml:space="preserve"> </w:t>
      </w:r>
      <w:r w:rsidRPr="00774F52">
        <w:t xml:space="preserve">w art. </w:t>
      </w:r>
      <w:r w:rsidR="0016395E">
        <w:t>394</w:t>
      </w:r>
      <w:r w:rsidR="0016395E">
        <w:rPr>
          <w:rStyle w:val="IGindeksgrny"/>
        </w:rPr>
        <w:t>1a</w:t>
      </w:r>
      <w:r w:rsidR="0016395E">
        <w:t xml:space="preserve"> </w:t>
      </w:r>
      <w:r w:rsidR="0016395E" w:rsidRPr="00AF0879">
        <w:t>§</w:t>
      </w:r>
      <w:r w:rsidR="0016395E">
        <w:t xml:space="preserve"> 1 pkt </w:t>
      </w:r>
      <w:r w:rsidR="0016395E" w:rsidRPr="0016395E">
        <w:t>8</w:t>
      </w:r>
      <w:r w:rsidR="0016395E" w:rsidRPr="0016395E">
        <w:rPr>
          <w:rStyle w:val="IGindeksgrny"/>
        </w:rPr>
        <w:t>1</w:t>
      </w:r>
      <w:r w:rsidR="0016395E">
        <w:rPr>
          <w:rStyle w:val="IGindeksgrny"/>
          <w:vertAlign w:val="baseline"/>
        </w:rPr>
        <w:t xml:space="preserve">, </w:t>
      </w:r>
      <w:r w:rsidR="00FA6219">
        <w:rPr>
          <w:rStyle w:val="IGindeksgrny"/>
          <w:vertAlign w:val="baseline"/>
        </w:rPr>
        <w:t xml:space="preserve">art. </w:t>
      </w:r>
      <w:r w:rsidR="00A43FB7" w:rsidRPr="00A43FB7">
        <w:t>480</w:t>
      </w:r>
      <w:r w:rsidR="00A43FB7" w:rsidRPr="00A43FB7">
        <w:rPr>
          <w:rStyle w:val="IGindeksgrny"/>
        </w:rPr>
        <w:t>2</w:t>
      </w:r>
      <w:r w:rsidR="00A43FB7" w:rsidRPr="00A43FB7">
        <w:t xml:space="preserve"> </w:t>
      </w:r>
      <w:r w:rsidR="00A43FB7" w:rsidRPr="00A43FB7">
        <w:rPr>
          <w:rFonts w:cs="Times New Roman"/>
        </w:rPr>
        <w:t>§</w:t>
      </w:r>
      <w:r w:rsidR="00A43FB7" w:rsidRPr="00A43FB7">
        <w:t xml:space="preserve"> 1, 2, 2</w:t>
      </w:r>
      <w:r w:rsidR="00A43FB7" w:rsidRPr="00A43FB7">
        <w:rPr>
          <w:vertAlign w:val="superscript"/>
        </w:rPr>
        <w:t>1</w:t>
      </w:r>
      <w:r w:rsidR="00A43FB7" w:rsidRPr="00A43FB7">
        <w:t xml:space="preserve"> i 2</w:t>
      </w:r>
      <w:r w:rsidR="00A43FB7" w:rsidRPr="00A43FB7">
        <w:rPr>
          <w:vertAlign w:val="superscript"/>
        </w:rPr>
        <w:t>2</w:t>
      </w:r>
      <w:r w:rsidR="00A43FB7" w:rsidRPr="00A43FB7">
        <w:t xml:space="preserve"> i </w:t>
      </w:r>
      <w:r w:rsidR="00FA6219">
        <w:t xml:space="preserve">art. </w:t>
      </w:r>
      <w:r w:rsidR="00A43FB7" w:rsidRPr="00A43FB7">
        <w:t>485 § 2, 4 i 5 k.p.c.</w:t>
      </w:r>
      <w:r w:rsidRPr="00774F52">
        <w:t xml:space="preserve"> oraz art. 19 ust. 4 ustawy z dnia 28 lipca 2005 r. </w:t>
      </w:r>
      <w:r w:rsidR="00924E8E">
        <w:t>u.k.s.c</w:t>
      </w:r>
      <w:r w:rsidR="005C5589">
        <w:t>.</w:t>
      </w:r>
      <w:r>
        <w:t xml:space="preserve"> </w:t>
      </w:r>
      <w:r w:rsidR="00427C83">
        <w:t>dokonywana jest implementacja wyrok</w:t>
      </w:r>
      <w:r w:rsidR="00A43FB7">
        <w:t>ów</w:t>
      </w:r>
      <w:r w:rsidR="00427C83">
        <w:t xml:space="preserve"> TSUE </w:t>
      </w:r>
      <w:r w:rsidR="00A43FB7">
        <w:rPr>
          <w:color w:val="000000"/>
          <w:spacing w:val="-2"/>
        </w:rPr>
        <w:t>w sprawach</w:t>
      </w:r>
      <w:r w:rsidR="00427C83">
        <w:rPr>
          <w:color w:val="000000"/>
          <w:spacing w:val="-2"/>
        </w:rPr>
        <w:t xml:space="preserve"> </w:t>
      </w:r>
      <w:r w:rsidR="00427C83">
        <w:t xml:space="preserve">C-176/17 </w:t>
      </w:r>
      <w:r w:rsidR="00427C83" w:rsidRPr="00C65D68">
        <w:rPr>
          <w:i/>
        </w:rPr>
        <w:t>Profi Credit Polska</w:t>
      </w:r>
      <w:r w:rsidR="00A43FB7" w:rsidRPr="00A43FB7">
        <w:t xml:space="preserve"> </w:t>
      </w:r>
      <w:r w:rsidR="00A43FB7">
        <w:t xml:space="preserve">oraz w połączonych sprawach </w:t>
      </w:r>
      <w:r w:rsidR="00A43FB7">
        <w:rPr>
          <w:rFonts w:cs="Times New Roman"/>
          <w:szCs w:val="24"/>
        </w:rPr>
        <w:t xml:space="preserve">C-419/18 i C-483/18 </w:t>
      </w:r>
      <w:r w:rsidR="00A43FB7" w:rsidRPr="003544B7">
        <w:rPr>
          <w:i/>
        </w:rPr>
        <w:t>Profi Credit Polska</w:t>
      </w:r>
      <w:r w:rsidR="00427C83">
        <w:t xml:space="preserve">. </w:t>
      </w:r>
      <w:r w:rsidR="00C65D68">
        <w:t xml:space="preserve">W </w:t>
      </w:r>
      <w:r w:rsidR="00427C83">
        <w:t>orzeczeni</w:t>
      </w:r>
      <w:r w:rsidR="00B34F83">
        <w:t>u</w:t>
      </w:r>
      <w:r w:rsidR="00427C83">
        <w:t xml:space="preserve"> </w:t>
      </w:r>
      <w:r w:rsidR="008E4323">
        <w:rPr>
          <w:color w:val="000000"/>
          <w:spacing w:val="-2"/>
        </w:rPr>
        <w:t xml:space="preserve">w sprawie </w:t>
      </w:r>
      <w:r w:rsidR="008E4323">
        <w:t xml:space="preserve">C-176/17 </w:t>
      </w:r>
      <w:r w:rsidR="008E4323" w:rsidRPr="00C65D68">
        <w:rPr>
          <w:i/>
        </w:rPr>
        <w:t>Profi Credit Polska</w:t>
      </w:r>
      <w:r w:rsidR="008E4323">
        <w:t xml:space="preserve"> </w:t>
      </w:r>
      <w:r w:rsidR="00427C83">
        <w:t xml:space="preserve">TSUE </w:t>
      </w:r>
      <w:r w:rsidR="00B34F83">
        <w:t>zakwestionował</w:t>
      </w:r>
      <w:r w:rsidR="005B1AE6">
        <w:t xml:space="preserve">, w </w:t>
      </w:r>
      <w:r w:rsidR="005B1AE6" w:rsidRPr="005B1AE6">
        <w:rPr>
          <w:rFonts w:cs="Times New Roman"/>
          <w:szCs w:val="24"/>
        </w:rPr>
        <w:t>związku z treścią</w:t>
      </w:r>
      <w:r w:rsidR="005B1AE6" w:rsidRPr="005B1AE6">
        <w:rPr>
          <w:rFonts w:cs="Times New Roman"/>
          <w:bCs/>
          <w:color w:val="000000"/>
          <w:szCs w:val="24"/>
        </w:rPr>
        <w:t xml:space="preserve"> art.</w:t>
      </w:r>
      <w:r w:rsidR="005C5589">
        <w:rPr>
          <w:rFonts w:cs="Times New Roman"/>
          <w:bCs/>
          <w:color w:val="000000"/>
          <w:szCs w:val="24"/>
        </w:rPr>
        <w:t xml:space="preserve"> </w:t>
      </w:r>
      <w:r w:rsidR="005B1AE6" w:rsidRPr="005B1AE6">
        <w:rPr>
          <w:rFonts w:cs="Times New Roman"/>
          <w:bCs/>
          <w:color w:val="000000"/>
          <w:szCs w:val="24"/>
        </w:rPr>
        <w:t>7 ust.</w:t>
      </w:r>
      <w:r w:rsidR="005C5589">
        <w:rPr>
          <w:rFonts w:cs="Times New Roman"/>
          <w:bCs/>
          <w:color w:val="000000"/>
          <w:szCs w:val="24"/>
        </w:rPr>
        <w:t xml:space="preserve"> </w:t>
      </w:r>
      <w:r w:rsidR="005B1AE6" w:rsidRPr="005B1AE6">
        <w:rPr>
          <w:rFonts w:cs="Times New Roman"/>
          <w:bCs/>
          <w:color w:val="000000"/>
          <w:szCs w:val="24"/>
        </w:rPr>
        <w:t>1 dyrektywy Rady 93/13/EWG z</w:t>
      </w:r>
      <w:r w:rsidR="005C5589">
        <w:rPr>
          <w:rFonts w:cs="Times New Roman"/>
          <w:bCs/>
          <w:color w:val="000000"/>
          <w:szCs w:val="24"/>
        </w:rPr>
        <w:t xml:space="preserve"> </w:t>
      </w:r>
      <w:r w:rsidR="005B1AE6" w:rsidRPr="005B1AE6">
        <w:rPr>
          <w:rFonts w:cs="Times New Roman"/>
          <w:bCs/>
          <w:color w:val="000000"/>
          <w:szCs w:val="24"/>
        </w:rPr>
        <w:t>dnia 5</w:t>
      </w:r>
      <w:r w:rsidR="005C5589">
        <w:rPr>
          <w:rFonts w:cs="Times New Roman"/>
          <w:bCs/>
          <w:color w:val="000000"/>
          <w:szCs w:val="24"/>
        </w:rPr>
        <w:t xml:space="preserve"> </w:t>
      </w:r>
      <w:r w:rsidR="005B1AE6" w:rsidRPr="005B1AE6">
        <w:rPr>
          <w:rFonts w:cs="Times New Roman"/>
          <w:bCs/>
          <w:color w:val="000000"/>
          <w:szCs w:val="24"/>
        </w:rPr>
        <w:t>kwietnia 1993</w:t>
      </w:r>
      <w:r w:rsidR="005C5589">
        <w:rPr>
          <w:rFonts w:cs="Times New Roman"/>
          <w:bCs/>
          <w:color w:val="000000"/>
          <w:szCs w:val="24"/>
        </w:rPr>
        <w:t xml:space="preserve"> </w:t>
      </w:r>
      <w:r w:rsidR="005B1AE6" w:rsidRPr="005B1AE6">
        <w:rPr>
          <w:rFonts w:cs="Times New Roman"/>
          <w:bCs/>
          <w:color w:val="000000"/>
          <w:szCs w:val="24"/>
        </w:rPr>
        <w:t xml:space="preserve">r. </w:t>
      </w:r>
      <w:r w:rsidR="005B1AE6" w:rsidRPr="005C5589">
        <w:rPr>
          <w:rFonts w:cs="Times New Roman"/>
          <w:bCs/>
          <w:color w:val="000000"/>
          <w:szCs w:val="24"/>
        </w:rPr>
        <w:t>w</w:t>
      </w:r>
      <w:r w:rsidR="005C5589">
        <w:rPr>
          <w:rFonts w:cs="Times New Roman"/>
          <w:bCs/>
          <w:color w:val="000000"/>
          <w:szCs w:val="24"/>
        </w:rPr>
        <w:t xml:space="preserve"> </w:t>
      </w:r>
      <w:r w:rsidR="005B1AE6" w:rsidRPr="005C5589">
        <w:rPr>
          <w:rFonts w:cs="Times New Roman"/>
          <w:bCs/>
          <w:color w:val="000000"/>
          <w:szCs w:val="24"/>
        </w:rPr>
        <w:t xml:space="preserve">sprawie </w:t>
      </w:r>
      <w:r w:rsidR="005B1AE6" w:rsidRPr="00885941">
        <w:rPr>
          <w:rFonts w:cs="Times New Roman"/>
          <w:bCs/>
          <w:color w:val="000000"/>
          <w:szCs w:val="24"/>
        </w:rPr>
        <w:t xml:space="preserve">nieuczciwych </w:t>
      </w:r>
      <w:r w:rsidR="005B1AE6" w:rsidRPr="005C5589">
        <w:rPr>
          <w:rFonts w:cs="Times New Roman"/>
          <w:bCs/>
          <w:color w:val="000000"/>
          <w:szCs w:val="24"/>
        </w:rPr>
        <w:t>warunków w</w:t>
      </w:r>
      <w:r w:rsidR="005C5589">
        <w:rPr>
          <w:rFonts w:cs="Times New Roman"/>
          <w:bCs/>
          <w:color w:val="000000"/>
          <w:szCs w:val="24"/>
        </w:rPr>
        <w:t xml:space="preserve"> </w:t>
      </w:r>
      <w:r w:rsidR="005B1AE6" w:rsidRPr="005C5589">
        <w:rPr>
          <w:rFonts w:cs="Times New Roman"/>
          <w:bCs/>
          <w:color w:val="000000"/>
          <w:szCs w:val="24"/>
        </w:rPr>
        <w:t xml:space="preserve">umowach </w:t>
      </w:r>
      <w:r w:rsidR="005B1AE6" w:rsidRPr="00885941">
        <w:rPr>
          <w:rFonts w:cs="Times New Roman"/>
          <w:bCs/>
          <w:color w:val="000000"/>
          <w:szCs w:val="24"/>
        </w:rPr>
        <w:t>konsumenckich</w:t>
      </w:r>
      <w:r w:rsidR="005B1AE6" w:rsidRPr="005C5589">
        <w:rPr>
          <w:rFonts w:cs="Times New Roman"/>
          <w:bCs/>
          <w:color w:val="000000"/>
          <w:szCs w:val="24"/>
        </w:rPr>
        <w:t>,</w:t>
      </w:r>
      <w:r w:rsidR="00427C83">
        <w:t xml:space="preserve"> </w:t>
      </w:r>
      <w:r w:rsidR="00597518">
        <w:t>przepisy</w:t>
      </w:r>
      <w:r w:rsidR="00427C83">
        <w:t xml:space="preserve"> krajowe</w:t>
      </w:r>
      <w:r w:rsidR="005C5589">
        <w:t>,</w:t>
      </w:r>
      <w:r w:rsidR="00597518">
        <w:t xml:space="preserve"> </w:t>
      </w:r>
      <w:r w:rsidR="00427C83">
        <w:t>takie jak polskie</w:t>
      </w:r>
      <w:r w:rsidR="00597518">
        <w:t xml:space="preserve"> przepisy regulujące</w:t>
      </w:r>
      <w:r w:rsidR="00427C83">
        <w:t xml:space="preserve"> postępowanie nakazowe </w:t>
      </w:r>
      <w:r w:rsidR="00597518">
        <w:t>na podstawie</w:t>
      </w:r>
      <w:r w:rsidR="00427C83">
        <w:t xml:space="preserve"> weksla </w:t>
      </w:r>
      <w:r w:rsidR="004413C4">
        <w:t xml:space="preserve">własnego </w:t>
      </w:r>
      <w:r w:rsidR="00427C83">
        <w:t xml:space="preserve">w sprawach przeciwko </w:t>
      </w:r>
      <w:r w:rsidR="00427C83" w:rsidRPr="0004460F">
        <w:t>konsument</w:t>
      </w:r>
      <w:r w:rsidR="00427C83">
        <w:t xml:space="preserve">om. </w:t>
      </w:r>
      <w:r w:rsidR="00734F14">
        <w:t>Z</w:t>
      </w:r>
      <w:r w:rsidR="00427C83">
        <w:t xml:space="preserve"> </w:t>
      </w:r>
      <w:r w:rsidR="00C00A45">
        <w:t xml:space="preserve">obu </w:t>
      </w:r>
      <w:r w:rsidR="00427C83">
        <w:t>ww. wyrok</w:t>
      </w:r>
      <w:r w:rsidR="008E4323">
        <w:t>ów</w:t>
      </w:r>
      <w:r w:rsidR="00427C83">
        <w:t xml:space="preserve"> TSUE wynika, że sąd rozpoznający sprawę powinien </w:t>
      </w:r>
      <w:r w:rsidR="002116BE">
        <w:t xml:space="preserve">każdorazowo </w:t>
      </w:r>
      <w:r w:rsidR="00427C83">
        <w:t>dokonać oceny umowy</w:t>
      </w:r>
      <w:r w:rsidR="002116BE">
        <w:t>,</w:t>
      </w:r>
      <w:r w:rsidR="00427C83">
        <w:t xml:space="preserve"> n</w:t>
      </w:r>
      <w:r w:rsidR="002116BE">
        <w:t xml:space="preserve">a podstawie której roszczenie kierowane przeciwko konsumentowi </w:t>
      </w:r>
      <w:r w:rsidR="00C65D68">
        <w:t>zabezpieczon</w:t>
      </w:r>
      <w:r w:rsidR="00FB2C95">
        <w:t>e zostało</w:t>
      </w:r>
      <w:r w:rsidR="00FA728B">
        <w:t xml:space="preserve"> </w:t>
      </w:r>
      <w:r w:rsidR="002116BE">
        <w:t xml:space="preserve">wekslem, pod względem </w:t>
      </w:r>
      <w:r w:rsidR="00C65D68">
        <w:t>występowania</w:t>
      </w:r>
      <w:r w:rsidR="002116BE">
        <w:t xml:space="preserve"> w takiej umowie klauzul </w:t>
      </w:r>
      <w:r w:rsidR="00C65D68">
        <w:t>niedozwolonych</w:t>
      </w:r>
      <w:r w:rsidR="00105345">
        <w:t>,</w:t>
      </w:r>
      <w:r w:rsidR="00597518">
        <w:t xml:space="preserve"> a</w:t>
      </w:r>
      <w:r w:rsidR="00B72465">
        <w:t xml:space="preserve"> kontrola taka </w:t>
      </w:r>
      <w:r w:rsidR="002116BE">
        <w:t>nie je</w:t>
      </w:r>
      <w:r w:rsidR="00C65D68">
        <w:t>st przewidywana na żadnym innym</w:t>
      </w:r>
      <w:r w:rsidR="002116BE">
        <w:t xml:space="preserve"> etapie postępowania zmierzającym do </w:t>
      </w:r>
      <w:r w:rsidR="002116BE">
        <w:lastRenderedPageBreak/>
        <w:t>wykonania orzeczenia</w:t>
      </w:r>
      <w:r w:rsidR="00C00A45">
        <w:t>. Tym bardziej, gdy jak w stwierdzono w sprawie C-176/17,</w:t>
      </w:r>
      <w:r w:rsidR="00B72465">
        <w:t xml:space="preserve"> wniesienie zarzutów od nakazu zapłaty obwarowane</w:t>
      </w:r>
      <w:r w:rsidR="00C65D68">
        <w:t xml:space="preserve"> jest</w:t>
      </w:r>
      <w:r w:rsidR="00B72465">
        <w:t xml:space="preserve"> restrykcyjnymi wymogami formalnymi i fiskalnymi.</w:t>
      </w:r>
    </w:p>
    <w:p w14:paraId="1ED3D5FF" w14:textId="34F4524F" w:rsidR="00C855EF" w:rsidRDefault="00B72465" w:rsidP="00C855EF">
      <w:pPr>
        <w:ind w:firstLine="708"/>
        <w:jc w:val="both"/>
      </w:pPr>
      <w:r>
        <w:t xml:space="preserve">Głównym punktem nowelizacji </w:t>
      </w:r>
      <w:r w:rsidR="005935F2">
        <w:t xml:space="preserve">k.p.c. </w:t>
      </w:r>
      <w:r>
        <w:t xml:space="preserve"> w związku z </w:t>
      </w:r>
      <w:r w:rsidR="008E4323">
        <w:t xml:space="preserve">ww. </w:t>
      </w:r>
      <w:r>
        <w:t>wyrok</w:t>
      </w:r>
      <w:r w:rsidR="008E4323">
        <w:t>ami</w:t>
      </w:r>
      <w:r>
        <w:t xml:space="preserve"> TSUE jest nałożenie w art. 485 </w:t>
      </w:r>
      <w:r>
        <w:rPr>
          <w:rFonts w:cs="Times New Roman"/>
        </w:rPr>
        <w:t>§</w:t>
      </w:r>
      <w:r>
        <w:t xml:space="preserve"> 2</w:t>
      </w:r>
      <w:r w:rsidR="00FA1235">
        <w:t xml:space="preserve"> zd</w:t>
      </w:r>
      <w:r w:rsidR="00FA6219">
        <w:t>anie</w:t>
      </w:r>
      <w:r w:rsidR="00FA1235">
        <w:t xml:space="preserve"> </w:t>
      </w:r>
      <w:r w:rsidR="005C5589">
        <w:t>trzecie</w:t>
      </w:r>
      <w:r>
        <w:t xml:space="preserve"> k.p.c. na stronę </w:t>
      </w:r>
      <w:r w:rsidR="00734F14">
        <w:t xml:space="preserve">powodową </w:t>
      </w:r>
      <w:r>
        <w:t xml:space="preserve">obowiązku dołączenia do pozwu </w:t>
      </w:r>
      <w:r w:rsidRPr="0004460F">
        <w:t>umowy</w:t>
      </w:r>
      <w:r w:rsidR="00F345FF">
        <w:t>, z której wynika roszczenie</w:t>
      </w:r>
      <w:r w:rsidRPr="0004460F">
        <w:t xml:space="preserve"> zabezpieczone wekslem</w:t>
      </w:r>
      <w:r w:rsidR="005C5589">
        <w:t>,</w:t>
      </w:r>
      <w:r w:rsidRPr="0004460F">
        <w:t xml:space="preserve"> wraz z </w:t>
      </w:r>
      <w:r w:rsidR="00F345FF">
        <w:t>deklaracją wekslow</w:t>
      </w:r>
      <w:r w:rsidR="005C5589">
        <w:t>ą</w:t>
      </w:r>
      <w:r w:rsidR="00F345FF">
        <w:t xml:space="preserve"> i</w:t>
      </w:r>
      <w:r w:rsidR="00E3685B">
        <w:t> </w:t>
      </w:r>
      <w:r w:rsidRPr="0004460F">
        <w:t>załącznikami</w:t>
      </w:r>
      <w:r>
        <w:t xml:space="preserve">, jeżeli dłużnikiem jest </w:t>
      </w:r>
      <w:r w:rsidR="00E0647F">
        <w:t>konsument</w:t>
      </w:r>
      <w:r>
        <w:t xml:space="preserve">. </w:t>
      </w:r>
      <w:r w:rsidR="00E0647F">
        <w:t>Z uwagi na okoliczność</w:t>
      </w:r>
      <w:r>
        <w:t xml:space="preserve">, że </w:t>
      </w:r>
      <w:r w:rsidR="00B34F83">
        <w:t>niedozwolone klauzule mogą znajdować się nie tylko w samej umowie</w:t>
      </w:r>
      <w:r w:rsidR="00105345">
        <w:t>,</w:t>
      </w:r>
      <w:r w:rsidR="00B34F83">
        <w:t xml:space="preserve"> ale również </w:t>
      </w:r>
      <w:r w:rsidR="00141840">
        <w:t>w deklaracji</w:t>
      </w:r>
      <w:r w:rsidR="002662BD">
        <w:t xml:space="preserve"> wekslowej</w:t>
      </w:r>
      <w:r w:rsidR="00DE70DF">
        <w:t xml:space="preserve"> i</w:t>
      </w:r>
      <w:r w:rsidR="00E3685B">
        <w:t> </w:t>
      </w:r>
      <w:r w:rsidR="00F345FF">
        <w:t xml:space="preserve">załącznikach, </w:t>
      </w:r>
      <w:r w:rsidR="00B34F83">
        <w:t xml:space="preserve">projekt przewiduje obowiązek dołączenia również </w:t>
      </w:r>
      <w:r w:rsidR="00F345FF">
        <w:t>tych dokumentów</w:t>
      </w:r>
      <w:r w:rsidR="00B34F83">
        <w:t xml:space="preserve">. </w:t>
      </w:r>
    </w:p>
    <w:p w14:paraId="695BFFB5" w14:textId="1C0660C4" w:rsidR="00C855EF" w:rsidRPr="009D1103" w:rsidRDefault="00C855EF" w:rsidP="00C855EF">
      <w:pPr>
        <w:ind w:firstLine="708"/>
        <w:jc w:val="both"/>
        <w:rPr>
          <w:iCs/>
          <w:szCs w:val="24"/>
        </w:rPr>
      </w:pPr>
      <w:r>
        <w:rPr>
          <w:szCs w:val="24"/>
        </w:rPr>
        <w:t xml:space="preserve">Wyjaśnienia wymaga, że intencją </w:t>
      </w:r>
      <w:r w:rsidRPr="009D1103">
        <w:rPr>
          <w:szCs w:val="24"/>
        </w:rPr>
        <w:t>projektodawcy było udzielenie ochrony konsumentowi, pod którym to pojęciem rozumiany jest w orzecznictwie TSUE (por. postanowienie Trybunału z dnia 14 września 2016 r., C-534/15, Dumitraș, EU:C:2016:700) zarówno główny dłużnik, tj. strona umowy</w:t>
      </w:r>
      <w:r w:rsidR="00A0521B">
        <w:rPr>
          <w:szCs w:val="24"/>
        </w:rPr>
        <w:t xml:space="preserve"> zawartej z przedsiębiorcą</w:t>
      </w:r>
      <w:r w:rsidR="005C5589">
        <w:rPr>
          <w:szCs w:val="24"/>
        </w:rPr>
        <w:t>,</w:t>
      </w:r>
      <w:r w:rsidRPr="009D1103">
        <w:rPr>
          <w:i/>
          <w:szCs w:val="24"/>
        </w:rPr>
        <w:t xml:space="preserve"> </w:t>
      </w:r>
      <w:r w:rsidRPr="009D1103">
        <w:rPr>
          <w:iCs/>
          <w:szCs w:val="24"/>
        </w:rPr>
        <w:t xml:space="preserve">jak i poręczyciel, o ile oczywiście ten drugi spełnia również funkcjonalne przesłanki uprawniające go do takiej kwalifikacji i ochrony (nie działał w związku z prowadzoną działalnością gospodarczą). </w:t>
      </w:r>
    </w:p>
    <w:p w14:paraId="10BC8D58" w14:textId="368B7805" w:rsidR="00734F14" w:rsidRDefault="00C855EF" w:rsidP="00B17DEB">
      <w:pPr>
        <w:ind w:firstLine="708"/>
        <w:jc w:val="both"/>
      </w:pPr>
      <w:r>
        <w:rPr>
          <w:iCs/>
        </w:rPr>
        <w:t>Projektowany przepis art. 485</w:t>
      </w:r>
      <w:r w:rsidR="00871E9C">
        <w:rPr>
          <w:iCs/>
        </w:rPr>
        <w:t xml:space="preserve"> </w:t>
      </w:r>
      <w:r w:rsidRPr="00D75DD9">
        <w:t>§ 2</w:t>
      </w:r>
      <w:r>
        <w:t xml:space="preserve"> k.p.c. </w:t>
      </w:r>
      <w:r>
        <w:rPr>
          <w:szCs w:val="24"/>
        </w:rPr>
        <w:t xml:space="preserve">posługując się </w:t>
      </w:r>
      <w:r>
        <w:t xml:space="preserve">pojęciem „dłużnik”, a nie „pozwany”, ma zatem zastosowanie w sprawie, gdy pozwanym jest strona umowy, jak i poręczyciel wekslowy. Słowo „dłużnik” nie jest w tym przypadku tożsame z „pozwanym”, a dotyczy przedmiotu sprawy, tj. określonej umowy i sytuacji, w której „dłużnikiem” (niekoniecznie pozwanym) jest konsument. </w:t>
      </w:r>
    </w:p>
    <w:p w14:paraId="6D1F592A" w14:textId="0FBA5AD7" w:rsidR="003279F7" w:rsidRPr="00734F14" w:rsidRDefault="00905031" w:rsidP="002116BE">
      <w:pPr>
        <w:ind w:firstLine="708"/>
        <w:jc w:val="both"/>
      </w:pPr>
      <w:r w:rsidRPr="001C6C8F">
        <w:rPr>
          <w:rFonts w:cs="Times New Roman"/>
        </w:rPr>
        <w:t xml:space="preserve">Obowiązek nałożony w </w:t>
      </w:r>
      <w:r w:rsidRPr="001C6C8F">
        <w:rPr>
          <w:rFonts w:eastAsia="Times New Roman" w:cs="Times New Roman"/>
          <w:szCs w:val="24"/>
        </w:rPr>
        <w:t xml:space="preserve">art. 485 § 2 </w:t>
      </w:r>
      <w:r w:rsidR="00FA1235" w:rsidRPr="001C6C8F">
        <w:rPr>
          <w:rFonts w:eastAsia="Times New Roman" w:cs="Times New Roman"/>
          <w:szCs w:val="24"/>
        </w:rPr>
        <w:t>zd</w:t>
      </w:r>
      <w:r w:rsidR="00FA6219">
        <w:rPr>
          <w:rFonts w:eastAsia="Times New Roman" w:cs="Times New Roman"/>
          <w:szCs w:val="24"/>
        </w:rPr>
        <w:t>anie</w:t>
      </w:r>
      <w:r w:rsidR="00FA1235" w:rsidRPr="001C6C8F">
        <w:rPr>
          <w:rFonts w:eastAsia="Times New Roman" w:cs="Times New Roman"/>
          <w:szCs w:val="24"/>
        </w:rPr>
        <w:t xml:space="preserve"> </w:t>
      </w:r>
      <w:r w:rsidR="005C5589">
        <w:rPr>
          <w:rFonts w:eastAsia="Times New Roman" w:cs="Times New Roman"/>
          <w:szCs w:val="24"/>
        </w:rPr>
        <w:t>trzecie</w:t>
      </w:r>
      <w:r w:rsidR="00FA1235" w:rsidRPr="001C6C8F">
        <w:rPr>
          <w:rFonts w:eastAsia="Times New Roman" w:cs="Times New Roman"/>
          <w:szCs w:val="24"/>
        </w:rPr>
        <w:t xml:space="preserve"> </w:t>
      </w:r>
      <w:r w:rsidRPr="001C6C8F">
        <w:rPr>
          <w:rFonts w:eastAsia="Times New Roman" w:cs="Times New Roman"/>
          <w:szCs w:val="24"/>
        </w:rPr>
        <w:t>k.p.c. na stronę powodową umożliwi sądowi badanie</w:t>
      </w:r>
      <w:r w:rsidR="003279F7" w:rsidRPr="001C6C8F">
        <w:rPr>
          <w:rFonts w:eastAsia="Times New Roman" w:cs="Times New Roman"/>
          <w:szCs w:val="24"/>
        </w:rPr>
        <w:t xml:space="preserve"> </w:t>
      </w:r>
      <w:r w:rsidR="005B1EAD" w:rsidRPr="001C6C8F">
        <w:rPr>
          <w:rFonts w:eastAsia="Times New Roman" w:cs="Times New Roman"/>
          <w:szCs w:val="24"/>
        </w:rPr>
        <w:t xml:space="preserve">zawartej z konsumentem </w:t>
      </w:r>
      <w:r w:rsidR="003279F7" w:rsidRPr="001C6C8F">
        <w:rPr>
          <w:rFonts w:eastAsia="Times New Roman" w:cs="Times New Roman"/>
          <w:szCs w:val="24"/>
        </w:rPr>
        <w:t>umowy</w:t>
      </w:r>
      <w:r w:rsidR="00D1411A">
        <w:rPr>
          <w:rFonts w:eastAsia="Times New Roman" w:cs="Times New Roman"/>
          <w:szCs w:val="24"/>
        </w:rPr>
        <w:t>, z której wynika roszczenie</w:t>
      </w:r>
      <w:r w:rsidR="003279F7" w:rsidRPr="001C6C8F">
        <w:rPr>
          <w:rFonts w:eastAsia="Times New Roman" w:cs="Times New Roman"/>
          <w:szCs w:val="24"/>
        </w:rPr>
        <w:t xml:space="preserve"> zabezpieczone wekslem pod kątem</w:t>
      </w:r>
      <w:r w:rsidR="00942D18" w:rsidRPr="001C6C8F">
        <w:rPr>
          <w:rFonts w:eastAsia="Times New Roman" w:cs="Times New Roman"/>
          <w:szCs w:val="24"/>
        </w:rPr>
        <w:t xml:space="preserve"> </w:t>
      </w:r>
      <w:r w:rsidR="001E2D57" w:rsidRPr="001C6C8F">
        <w:rPr>
          <w:rFonts w:eastAsia="Times New Roman" w:cs="Times New Roman"/>
          <w:szCs w:val="24"/>
        </w:rPr>
        <w:t>występowania</w:t>
      </w:r>
      <w:r w:rsidR="00942D18" w:rsidRPr="001C6C8F">
        <w:rPr>
          <w:rFonts w:eastAsia="Times New Roman" w:cs="Times New Roman"/>
          <w:szCs w:val="24"/>
        </w:rPr>
        <w:t xml:space="preserve"> w niej</w:t>
      </w:r>
      <w:r w:rsidR="003279F7" w:rsidRPr="001C6C8F">
        <w:rPr>
          <w:rFonts w:eastAsia="Times New Roman" w:cs="Times New Roman"/>
          <w:szCs w:val="24"/>
        </w:rPr>
        <w:t xml:space="preserve"> klauzul </w:t>
      </w:r>
      <w:r w:rsidR="001E2D57" w:rsidRPr="001C6C8F">
        <w:rPr>
          <w:rFonts w:eastAsia="Times New Roman" w:cs="Times New Roman"/>
          <w:szCs w:val="24"/>
        </w:rPr>
        <w:t>niedozwolonych</w:t>
      </w:r>
      <w:r w:rsidR="003279F7" w:rsidRPr="001C6C8F">
        <w:rPr>
          <w:rFonts w:eastAsia="Times New Roman" w:cs="Times New Roman"/>
          <w:szCs w:val="24"/>
        </w:rPr>
        <w:t xml:space="preserve">. Jednocześnie niedołączenie przez powoda umowy, do której znajduje zastosowanie </w:t>
      </w:r>
      <w:r w:rsidR="005B1EAD" w:rsidRPr="001C6C8F">
        <w:rPr>
          <w:rFonts w:cs="Times New Roman"/>
        </w:rPr>
        <w:t>ww. przepis</w:t>
      </w:r>
      <w:r w:rsidR="003279F7" w:rsidRPr="001C6C8F">
        <w:rPr>
          <w:rFonts w:cs="Times New Roman"/>
        </w:rPr>
        <w:t>, skutkować będzie brakiem możliwości wydania nakazu zapłaty w postępowaniu nakazowym</w:t>
      </w:r>
      <w:r w:rsidR="003279F7" w:rsidRPr="00734F14">
        <w:t xml:space="preserve"> oraz skierowanie</w:t>
      </w:r>
      <w:r w:rsidR="00765344">
        <w:t>m</w:t>
      </w:r>
      <w:r w:rsidR="003279F7" w:rsidRPr="00734F14">
        <w:t xml:space="preserve"> sprawy do rozpoznania w procesie z udziałem pozwanego.</w:t>
      </w:r>
    </w:p>
    <w:p w14:paraId="66AC8735" w14:textId="3B0A786E" w:rsidR="00215B0D" w:rsidRPr="001C6C8F" w:rsidRDefault="00FA1235" w:rsidP="002116BE">
      <w:pPr>
        <w:ind w:firstLine="708"/>
        <w:jc w:val="both"/>
        <w:rPr>
          <w:rFonts w:eastAsia="Times New Roman" w:cs="Times New Roman"/>
          <w:szCs w:val="24"/>
        </w:rPr>
      </w:pPr>
      <w:r w:rsidRPr="001C6C8F">
        <w:rPr>
          <w:rFonts w:cs="Times New Roman"/>
        </w:rPr>
        <w:t xml:space="preserve">W celu </w:t>
      </w:r>
      <w:r w:rsidR="00C91A6A" w:rsidRPr="001C6C8F">
        <w:rPr>
          <w:rFonts w:cs="Times New Roman"/>
        </w:rPr>
        <w:t xml:space="preserve">zapewnienia </w:t>
      </w:r>
      <w:r w:rsidRPr="001C6C8F">
        <w:rPr>
          <w:rFonts w:cs="Times New Roman"/>
        </w:rPr>
        <w:t>sprawniejszego</w:t>
      </w:r>
      <w:r w:rsidR="00AC292B" w:rsidRPr="001C6C8F">
        <w:rPr>
          <w:rFonts w:cs="Times New Roman"/>
        </w:rPr>
        <w:t xml:space="preserve"> i prawidłowego</w:t>
      </w:r>
      <w:r w:rsidRPr="001C6C8F">
        <w:rPr>
          <w:rFonts w:cs="Times New Roman"/>
        </w:rPr>
        <w:t xml:space="preserve"> procedowania w związku z wprowadzanym </w:t>
      </w:r>
      <w:r w:rsidR="00215B0D" w:rsidRPr="001C6C8F">
        <w:rPr>
          <w:rFonts w:cs="Times New Roman"/>
        </w:rPr>
        <w:t>obowiązkiem</w:t>
      </w:r>
      <w:r w:rsidRPr="001C6C8F">
        <w:rPr>
          <w:rFonts w:cs="Times New Roman"/>
        </w:rPr>
        <w:t xml:space="preserve"> </w:t>
      </w:r>
      <w:r w:rsidR="001E2D57" w:rsidRPr="001C6C8F">
        <w:rPr>
          <w:rFonts w:cs="Times New Roman"/>
        </w:rPr>
        <w:t>dołączenia umowy</w:t>
      </w:r>
      <w:r w:rsidR="00C91A6A" w:rsidRPr="001C6C8F">
        <w:rPr>
          <w:rFonts w:cs="Times New Roman"/>
        </w:rPr>
        <w:t>,</w:t>
      </w:r>
      <w:r w:rsidRPr="001C6C8F">
        <w:rPr>
          <w:rFonts w:eastAsia="Times New Roman" w:cs="Times New Roman"/>
          <w:szCs w:val="24"/>
        </w:rPr>
        <w:t xml:space="preserve"> </w:t>
      </w:r>
      <w:r w:rsidR="001E2D57" w:rsidRPr="001C6C8F">
        <w:rPr>
          <w:rFonts w:cs="Times New Roman"/>
        </w:rPr>
        <w:t>w projektowanym</w:t>
      </w:r>
      <w:r w:rsidRPr="001C6C8F">
        <w:rPr>
          <w:rFonts w:cs="Times New Roman"/>
        </w:rPr>
        <w:t xml:space="preserve"> </w:t>
      </w:r>
      <w:r w:rsidRPr="001C6C8F">
        <w:rPr>
          <w:rFonts w:eastAsia="Times New Roman" w:cs="Times New Roman"/>
          <w:szCs w:val="24"/>
        </w:rPr>
        <w:t>art. 485 § 2 zd</w:t>
      </w:r>
      <w:r w:rsidR="00FA6219">
        <w:rPr>
          <w:rFonts w:eastAsia="Times New Roman" w:cs="Times New Roman"/>
          <w:szCs w:val="24"/>
        </w:rPr>
        <w:t>anie</w:t>
      </w:r>
      <w:r w:rsidRPr="001C6C8F">
        <w:rPr>
          <w:rFonts w:eastAsia="Times New Roman" w:cs="Times New Roman"/>
          <w:szCs w:val="24"/>
        </w:rPr>
        <w:t xml:space="preserve"> </w:t>
      </w:r>
      <w:r w:rsidR="005C5589">
        <w:rPr>
          <w:rFonts w:eastAsia="Times New Roman" w:cs="Times New Roman"/>
          <w:szCs w:val="24"/>
        </w:rPr>
        <w:t>czwarte</w:t>
      </w:r>
      <w:r w:rsidRPr="001C6C8F">
        <w:rPr>
          <w:rFonts w:eastAsia="Times New Roman" w:cs="Times New Roman"/>
          <w:szCs w:val="24"/>
        </w:rPr>
        <w:t xml:space="preserve"> k.p.c.</w:t>
      </w:r>
      <w:r w:rsidR="00C91A6A" w:rsidRPr="001C6C8F">
        <w:rPr>
          <w:rFonts w:eastAsia="Times New Roman" w:cs="Times New Roman"/>
          <w:szCs w:val="24"/>
        </w:rPr>
        <w:t xml:space="preserve"> zakłada się</w:t>
      </w:r>
      <w:r w:rsidR="005B1EAD" w:rsidRPr="001C6C8F">
        <w:rPr>
          <w:rFonts w:eastAsia="Times New Roman" w:cs="Times New Roman"/>
          <w:szCs w:val="24"/>
        </w:rPr>
        <w:t>, w przypadku nieprzedstawienia wraz z pozwem umowy</w:t>
      </w:r>
      <w:r w:rsidR="00DE70DF">
        <w:rPr>
          <w:rFonts w:eastAsia="Times New Roman" w:cs="Times New Roman"/>
          <w:szCs w:val="24"/>
        </w:rPr>
        <w:t xml:space="preserve">, z której wynika roszczenie </w:t>
      </w:r>
      <w:r w:rsidR="005B1EAD" w:rsidRPr="001C6C8F">
        <w:rPr>
          <w:rFonts w:eastAsia="Times New Roman" w:cs="Times New Roman"/>
          <w:szCs w:val="24"/>
        </w:rPr>
        <w:t xml:space="preserve"> zabezpieczone wekslem</w:t>
      </w:r>
      <w:r w:rsidR="005935F2">
        <w:rPr>
          <w:rFonts w:eastAsia="Times New Roman" w:cs="Times New Roman"/>
          <w:szCs w:val="24"/>
        </w:rPr>
        <w:t>,</w:t>
      </w:r>
      <w:r w:rsidR="005B1EAD" w:rsidRPr="001C6C8F">
        <w:rPr>
          <w:rFonts w:eastAsia="Times New Roman" w:cs="Times New Roman"/>
          <w:szCs w:val="24"/>
        </w:rPr>
        <w:t xml:space="preserve"> wraz z </w:t>
      </w:r>
      <w:r w:rsidR="00DE70DF">
        <w:rPr>
          <w:rFonts w:eastAsia="Times New Roman" w:cs="Times New Roman"/>
          <w:szCs w:val="24"/>
        </w:rPr>
        <w:t xml:space="preserve">deklaracją wekslową i </w:t>
      </w:r>
      <w:r w:rsidR="005B1EAD" w:rsidRPr="001C6C8F">
        <w:rPr>
          <w:rFonts w:eastAsia="Times New Roman" w:cs="Times New Roman"/>
          <w:szCs w:val="24"/>
        </w:rPr>
        <w:t>załącznikami,</w:t>
      </w:r>
      <w:r w:rsidR="003279F7" w:rsidRPr="001C6C8F">
        <w:rPr>
          <w:rFonts w:cs="Times New Roman"/>
        </w:rPr>
        <w:t xml:space="preserve"> konieczność </w:t>
      </w:r>
      <w:r w:rsidRPr="001C6C8F">
        <w:rPr>
          <w:rFonts w:cs="Times New Roman"/>
        </w:rPr>
        <w:t xml:space="preserve">złożenia przez </w:t>
      </w:r>
      <w:r w:rsidR="005E0135" w:rsidRPr="001C6C8F">
        <w:rPr>
          <w:rFonts w:cs="Times New Roman"/>
        </w:rPr>
        <w:t>stronę powodową</w:t>
      </w:r>
      <w:r w:rsidRPr="001C6C8F">
        <w:rPr>
          <w:rFonts w:cs="Times New Roman"/>
        </w:rPr>
        <w:t xml:space="preserve"> oświadczenia o tym</w:t>
      </w:r>
      <w:r w:rsidR="005C5589">
        <w:rPr>
          <w:rFonts w:cs="Times New Roman"/>
        </w:rPr>
        <w:t>,</w:t>
      </w:r>
      <w:r w:rsidRPr="001C6C8F">
        <w:rPr>
          <w:rFonts w:cs="Times New Roman"/>
        </w:rPr>
        <w:t xml:space="preserve"> czy roszczenie dochodzone pozwem przeciwko dłużnikowi, będącemu osobą fizyczną, powstało związku z umową</w:t>
      </w:r>
      <w:r w:rsidR="005B1EAD" w:rsidRPr="001C6C8F">
        <w:rPr>
          <w:rFonts w:cs="Times New Roman"/>
        </w:rPr>
        <w:t xml:space="preserve"> zawartą z konsumentem</w:t>
      </w:r>
      <w:r w:rsidRPr="001C6C8F">
        <w:rPr>
          <w:rFonts w:cs="Times New Roman"/>
        </w:rPr>
        <w:t>.</w:t>
      </w:r>
      <w:r w:rsidR="00215B0D" w:rsidRPr="001C6C8F">
        <w:rPr>
          <w:rFonts w:cs="Times New Roman"/>
        </w:rPr>
        <w:t xml:space="preserve"> Zgodnie z brzmieniem projektowanego art. </w:t>
      </w:r>
      <w:r w:rsidR="00215B0D" w:rsidRPr="001C6C8F">
        <w:rPr>
          <w:rFonts w:eastAsia="Times New Roman" w:cs="Times New Roman"/>
          <w:szCs w:val="24"/>
        </w:rPr>
        <w:t xml:space="preserve">485 § </w:t>
      </w:r>
      <w:r w:rsidR="00E00CA9" w:rsidRPr="001C6C8F">
        <w:rPr>
          <w:rFonts w:eastAsia="Times New Roman" w:cs="Times New Roman"/>
          <w:szCs w:val="24"/>
        </w:rPr>
        <w:t>4</w:t>
      </w:r>
      <w:r w:rsidR="00215B0D" w:rsidRPr="001C6C8F">
        <w:rPr>
          <w:rFonts w:eastAsia="Times New Roman" w:cs="Times New Roman"/>
          <w:szCs w:val="24"/>
        </w:rPr>
        <w:t xml:space="preserve"> k.p.c., </w:t>
      </w:r>
      <w:r w:rsidR="004D5004" w:rsidRPr="001C6C8F">
        <w:rPr>
          <w:rFonts w:eastAsia="Times New Roman" w:cs="Times New Roman"/>
          <w:szCs w:val="24"/>
        </w:rPr>
        <w:t xml:space="preserve">niezamieszczenie w pozwie </w:t>
      </w:r>
      <w:r w:rsidR="00C67835" w:rsidRPr="001C6C8F">
        <w:rPr>
          <w:rFonts w:eastAsia="Times New Roman" w:cs="Times New Roman"/>
          <w:szCs w:val="24"/>
        </w:rPr>
        <w:t>oświadczenia,</w:t>
      </w:r>
      <w:r w:rsidR="00215B0D" w:rsidRPr="001C6C8F">
        <w:rPr>
          <w:rFonts w:eastAsia="Times New Roman" w:cs="Times New Roman"/>
          <w:szCs w:val="24"/>
        </w:rPr>
        <w:t xml:space="preserve"> o którym mowa w art. 485 § 2 zd</w:t>
      </w:r>
      <w:r w:rsidR="00FA6219">
        <w:rPr>
          <w:rFonts w:eastAsia="Times New Roman" w:cs="Times New Roman"/>
          <w:szCs w:val="24"/>
        </w:rPr>
        <w:t>anie</w:t>
      </w:r>
      <w:r w:rsidR="00215B0D" w:rsidRPr="001C6C8F">
        <w:rPr>
          <w:rFonts w:eastAsia="Times New Roman" w:cs="Times New Roman"/>
          <w:szCs w:val="24"/>
        </w:rPr>
        <w:t xml:space="preserve"> </w:t>
      </w:r>
      <w:r w:rsidR="005C5589">
        <w:rPr>
          <w:rFonts w:eastAsia="Times New Roman" w:cs="Times New Roman"/>
          <w:szCs w:val="24"/>
        </w:rPr>
        <w:t>czwarte</w:t>
      </w:r>
      <w:r w:rsidR="00215B0D" w:rsidRPr="001C6C8F">
        <w:rPr>
          <w:rFonts w:eastAsia="Times New Roman" w:cs="Times New Roman"/>
          <w:szCs w:val="24"/>
        </w:rPr>
        <w:t xml:space="preserve"> k.p.c.</w:t>
      </w:r>
      <w:r w:rsidR="005C5589">
        <w:rPr>
          <w:rFonts w:eastAsia="Times New Roman" w:cs="Times New Roman"/>
          <w:szCs w:val="24"/>
        </w:rPr>
        <w:t>,</w:t>
      </w:r>
      <w:r w:rsidR="00215B0D" w:rsidRPr="001C6C8F">
        <w:rPr>
          <w:rFonts w:eastAsia="Times New Roman" w:cs="Times New Roman"/>
          <w:szCs w:val="24"/>
        </w:rPr>
        <w:t xml:space="preserve"> stanowić będzie </w:t>
      </w:r>
      <w:r w:rsidR="00215B0D" w:rsidRPr="001C6C8F">
        <w:rPr>
          <w:rFonts w:eastAsia="Times New Roman" w:cs="Times New Roman"/>
          <w:szCs w:val="24"/>
        </w:rPr>
        <w:lastRenderedPageBreak/>
        <w:t xml:space="preserve">brak formalny pozwu, do którego uzupełnienia zastosowanie znajdzie art. 130 k.p.c. Wobec czego, w przypadku nieuzupełnienia na wezwanie przewodniczącego przez powoda braku </w:t>
      </w:r>
      <w:r w:rsidR="0041092C" w:rsidRPr="001C6C8F">
        <w:rPr>
          <w:rFonts w:eastAsia="Times New Roman" w:cs="Times New Roman"/>
          <w:szCs w:val="24"/>
        </w:rPr>
        <w:t xml:space="preserve">ww. </w:t>
      </w:r>
      <w:r w:rsidR="00215B0D" w:rsidRPr="001C6C8F">
        <w:rPr>
          <w:rFonts w:eastAsia="Times New Roman" w:cs="Times New Roman"/>
          <w:szCs w:val="24"/>
        </w:rPr>
        <w:t>oświadczenia</w:t>
      </w:r>
      <w:r w:rsidR="005C5589">
        <w:rPr>
          <w:rFonts w:eastAsia="Times New Roman" w:cs="Times New Roman"/>
          <w:szCs w:val="24"/>
        </w:rPr>
        <w:t>,</w:t>
      </w:r>
      <w:r w:rsidR="00215B0D" w:rsidRPr="001C6C8F">
        <w:rPr>
          <w:rFonts w:eastAsia="Times New Roman" w:cs="Times New Roman"/>
          <w:szCs w:val="24"/>
        </w:rPr>
        <w:t xml:space="preserve"> pozew podlegać będzie zwrotowi.</w:t>
      </w:r>
    </w:p>
    <w:p w14:paraId="03CBEC47" w14:textId="1BBAD706" w:rsidR="00E51250" w:rsidRPr="001C6C8F" w:rsidRDefault="00E51250" w:rsidP="00E51250">
      <w:pPr>
        <w:ind w:firstLine="708"/>
        <w:jc w:val="both"/>
        <w:rPr>
          <w:rFonts w:cs="Times New Roman"/>
        </w:rPr>
      </w:pPr>
      <w:r w:rsidRPr="001C6C8F">
        <w:rPr>
          <w:rFonts w:cs="Times New Roman"/>
        </w:rPr>
        <w:t xml:space="preserve">Złożenie oświadczenia, o którym mowa w projektowanym art. </w:t>
      </w:r>
      <w:r w:rsidRPr="001C6C8F">
        <w:rPr>
          <w:rFonts w:eastAsia="Times New Roman" w:cs="Times New Roman"/>
          <w:szCs w:val="24"/>
        </w:rPr>
        <w:t>485 § 2 zd</w:t>
      </w:r>
      <w:r w:rsidR="00FA6219">
        <w:rPr>
          <w:rFonts w:eastAsia="Times New Roman" w:cs="Times New Roman"/>
          <w:szCs w:val="24"/>
        </w:rPr>
        <w:t>anie</w:t>
      </w:r>
      <w:r w:rsidRPr="001C6C8F">
        <w:rPr>
          <w:rFonts w:eastAsia="Times New Roman" w:cs="Times New Roman"/>
          <w:szCs w:val="24"/>
        </w:rPr>
        <w:t xml:space="preserve"> </w:t>
      </w:r>
      <w:r w:rsidR="005C5589">
        <w:rPr>
          <w:rFonts w:eastAsia="Times New Roman" w:cs="Times New Roman"/>
          <w:szCs w:val="24"/>
        </w:rPr>
        <w:t>czwarte</w:t>
      </w:r>
      <w:r w:rsidRPr="001C6C8F">
        <w:rPr>
          <w:rFonts w:eastAsia="Times New Roman" w:cs="Times New Roman"/>
          <w:szCs w:val="24"/>
        </w:rPr>
        <w:t xml:space="preserve"> k.p.c.</w:t>
      </w:r>
      <w:r w:rsidR="005C5589">
        <w:rPr>
          <w:rFonts w:eastAsia="Times New Roman" w:cs="Times New Roman"/>
          <w:szCs w:val="24"/>
        </w:rPr>
        <w:t>,</w:t>
      </w:r>
      <w:r w:rsidRPr="001C6C8F">
        <w:rPr>
          <w:rFonts w:eastAsia="Times New Roman" w:cs="Times New Roman"/>
          <w:szCs w:val="24"/>
        </w:rPr>
        <w:t xml:space="preserve"> nie zwalnia jednak sądu od </w:t>
      </w:r>
      <w:r w:rsidRPr="001C6C8F">
        <w:rPr>
          <w:rFonts w:cs="Times New Roman"/>
        </w:rPr>
        <w:t>czynienia każdorazowo ustaleń</w:t>
      </w:r>
      <w:r w:rsidR="005C5589">
        <w:rPr>
          <w:rFonts w:cs="Times New Roman"/>
        </w:rPr>
        <w:t>,</w:t>
      </w:r>
      <w:r w:rsidRPr="001C6C8F">
        <w:rPr>
          <w:rFonts w:cs="Times New Roman"/>
        </w:rPr>
        <w:t xml:space="preserve"> czy roszczenie dochodzone pozwem skierowane zostało przeciwko konsumentowi. </w:t>
      </w:r>
    </w:p>
    <w:p w14:paraId="4134021C" w14:textId="69D7CA75" w:rsidR="00E51250" w:rsidRPr="001C6C8F" w:rsidRDefault="00E51250" w:rsidP="00E51250">
      <w:pPr>
        <w:ind w:firstLine="708"/>
        <w:jc w:val="both"/>
        <w:rPr>
          <w:rFonts w:cs="Times New Roman"/>
        </w:rPr>
      </w:pPr>
      <w:r>
        <w:t>J</w:t>
      </w:r>
      <w:r w:rsidRPr="00734F14">
        <w:t xml:space="preserve">uż w obecnym stanie prawnym, w związku z treścią art. 117 </w:t>
      </w:r>
      <w:r w:rsidRPr="00734F14">
        <w:rPr>
          <w:rFonts w:cs="Times New Roman"/>
        </w:rPr>
        <w:t>§</w:t>
      </w:r>
      <w:r w:rsidRPr="00734F14">
        <w:t xml:space="preserve"> 2</w:t>
      </w:r>
      <w:r w:rsidRPr="00734F14">
        <w:rPr>
          <w:vertAlign w:val="superscript"/>
        </w:rPr>
        <w:t>1</w:t>
      </w:r>
      <w:r w:rsidRPr="00734F14">
        <w:t xml:space="preserve"> </w:t>
      </w:r>
      <w:r w:rsidR="008A6F22">
        <w:t xml:space="preserve">ustawy z dnia 23 kwietnia 1964 r. </w:t>
      </w:r>
      <w:r w:rsidR="005C5589">
        <w:t>–</w:t>
      </w:r>
      <w:r w:rsidR="008A6F22">
        <w:t xml:space="preserve"> K</w:t>
      </w:r>
      <w:r w:rsidR="0000216B">
        <w:t>odeks cywiln</w:t>
      </w:r>
      <w:r w:rsidR="008A6F22">
        <w:t>y</w:t>
      </w:r>
      <w:r w:rsidR="00995DA0">
        <w:t xml:space="preserve"> (Dz.</w:t>
      </w:r>
      <w:r w:rsidR="005C5589">
        <w:t xml:space="preserve"> </w:t>
      </w:r>
      <w:r w:rsidR="00995DA0">
        <w:t>U. z 2020 r. poz. 1740 i 2320)</w:t>
      </w:r>
      <w:r w:rsidRPr="00734F14">
        <w:t xml:space="preserve">, </w:t>
      </w:r>
      <w:r>
        <w:t xml:space="preserve">sąd </w:t>
      </w:r>
      <w:r w:rsidRPr="00734F14">
        <w:t>zobowiązany jest niejednok</w:t>
      </w:r>
      <w:r>
        <w:t>rotnie do ustalenia</w:t>
      </w:r>
      <w:r w:rsidR="005C5589">
        <w:t>,</w:t>
      </w:r>
      <w:r>
        <w:t xml:space="preserve"> czy pozwana</w:t>
      </w:r>
      <w:r w:rsidRPr="00734F14">
        <w:t xml:space="preserve"> w sprawie</w:t>
      </w:r>
      <w:r>
        <w:t xml:space="preserve"> osoba fizyczna</w:t>
      </w:r>
      <w:r w:rsidRPr="00734F14">
        <w:t xml:space="preserve"> jest konsument</w:t>
      </w:r>
      <w:r>
        <w:t>em</w:t>
      </w:r>
      <w:r w:rsidRPr="00734F14">
        <w:t xml:space="preserve">. </w:t>
      </w:r>
      <w:r>
        <w:t xml:space="preserve">Z </w:t>
      </w:r>
      <w:r w:rsidRPr="001C6C8F">
        <w:rPr>
          <w:rFonts w:cs="Times New Roman"/>
        </w:rPr>
        <w:t xml:space="preserve">drugiej strony </w:t>
      </w:r>
      <w:r w:rsidR="004D5004" w:rsidRPr="001C6C8F">
        <w:rPr>
          <w:rFonts w:cs="Times New Roman"/>
        </w:rPr>
        <w:t xml:space="preserve">zawarte w pozwie w postępowaniu nakazowym z weksla </w:t>
      </w:r>
      <w:r w:rsidRPr="001C6C8F">
        <w:rPr>
          <w:rFonts w:cs="Times New Roman"/>
        </w:rPr>
        <w:t>oświadczenie powoda w tym zakresie w wielu przypadkach może przyczynić się do przyspieszenia procedowania i usunięciu wątpliwości co</w:t>
      </w:r>
      <w:r w:rsidR="00E00CA9" w:rsidRPr="001C6C8F">
        <w:rPr>
          <w:rFonts w:cs="Times New Roman"/>
        </w:rPr>
        <w:t xml:space="preserve"> do</w:t>
      </w:r>
      <w:r w:rsidRPr="001C6C8F">
        <w:rPr>
          <w:rFonts w:cs="Times New Roman"/>
        </w:rPr>
        <w:t xml:space="preserve"> zakwalifikowania danego pozwanego jako konsumenta.</w:t>
      </w:r>
    </w:p>
    <w:p w14:paraId="0341CD5C" w14:textId="68905957" w:rsidR="00FA1235" w:rsidRPr="001C6C8F" w:rsidRDefault="009A4088" w:rsidP="002116BE">
      <w:pPr>
        <w:ind w:firstLine="708"/>
        <w:jc w:val="both"/>
        <w:rPr>
          <w:rFonts w:cs="Times New Roman"/>
        </w:rPr>
      </w:pPr>
      <w:r w:rsidRPr="001C6C8F">
        <w:rPr>
          <w:rFonts w:eastAsia="Times New Roman" w:cs="Times New Roman"/>
          <w:szCs w:val="24"/>
        </w:rPr>
        <w:t xml:space="preserve">W celu zapewnienia prawdziwości i rzetelności składanych przez </w:t>
      </w:r>
      <w:r w:rsidR="00E51250" w:rsidRPr="001C6C8F">
        <w:rPr>
          <w:rFonts w:eastAsia="Times New Roman" w:cs="Times New Roman"/>
          <w:szCs w:val="24"/>
        </w:rPr>
        <w:t>stronę</w:t>
      </w:r>
      <w:r w:rsidRPr="001C6C8F">
        <w:rPr>
          <w:rFonts w:eastAsia="Times New Roman" w:cs="Times New Roman"/>
          <w:szCs w:val="24"/>
        </w:rPr>
        <w:t xml:space="preserve"> oświadczeń, o</w:t>
      </w:r>
      <w:r w:rsidR="00E3685B">
        <w:rPr>
          <w:rFonts w:eastAsia="Times New Roman" w:cs="Times New Roman"/>
          <w:szCs w:val="24"/>
        </w:rPr>
        <w:t> </w:t>
      </w:r>
      <w:r w:rsidRPr="001C6C8F">
        <w:rPr>
          <w:rFonts w:eastAsia="Times New Roman" w:cs="Times New Roman"/>
          <w:szCs w:val="24"/>
        </w:rPr>
        <w:t xml:space="preserve">których mowa w projektowanym </w:t>
      </w:r>
      <w:r w:rsidRPr="001C6C8F">
        <w:rPr>
          <w:rFonts w:cs="Times New Roman"/>
        </w:rPr>
        <w:t xml:space="preserve">art. </w:t>
      </w:r>
      <w:r w:rsidRPr="001C6C8F">
        <w:rPr>
          <w:rFonts w:eastAsia="Times New Roman" w:cs="Times New Roman"/>
          <w:szCs w:val="24"/>
        </w:rPr>
        <w:t>485 § 2 zd</w:t>
      </w:r>
      <w:r w:rsidR="00FA6219">
        <w:rPr>
          <w:rFonts w:eastAsia="Times New Roman" w:cs="Times New Roman"/>
          <w:szCs w:val="24"/>
        </w:rPr>
        <w:t>anie</w:t>
      </w:r>
      <w:r w:rsidRPr="001C6C8F">
        <w:rPr>
          <w:rFonts w:eastAsia="Times New Roman" w:cs="Times New Roman"/>
          <w:szCs w:val="24"/>
        </w:rPr>
        <w:t xml:space="preserve"> </w:t>
      </w:r>
      <w:r w:rsidR="00A77A97">
        <w:rPr>
          <w:rFonts w:eastAsia="Times New Roman" w:cs="Times New Roman"/>
          <w:szCs w:val="24"/>
        </w:rPr>
        <w:t>czwarte</w:t>
      </w:r>
      <w:r w:rsidRPr="001C6C8F">
        <w:rPr>
          <w:rFonts w:eastAsia="Times New Roman" w:cs="Times New Roman"/>
          <w:szCs w:val="24"/>
        </w:rPr>
        <w:t xml:space="preserve"> k.p.c.</w:t>
      </w:r>
      <w:r w:rsidR="005E0135" w:rsidRPr="001C6C8F">
        <w:rPr>
          <w:rFonts w:eastAsia="Times New Roman" w:cs="Times New Roman"/>
          <w:szCs w:val="24"/>
        </w:rPr>
        <w:t>,</w:t>
      </w:r>
      <w:r w:rsidRPr="001C6C8F">
        <w:rPr>
          <w:rFonts w:eastAsia="Times New Roman" w:cs="Times New Roman"/>
          <w:szCs w:val="24"/>
        </w:rPr>
        <w:t xml:space="preserve"> w art. 1 pkt </w:t>
      </w:r>
      <w:r w:rsidR="00DD4DB7">
        <w:rPr>
          <w:rFonts w:eastAsia="Times New Roman" w:cs="Times New Roman"/>
          <w:szCs w:val="24"/>
        </w:rPr>
        <w:t>4 lit. c</w:t>
      </w:r>
      <w:r w:rsidR="00DD4DB7" w:rsidRPr="001C6C8F">
        <w:rPr>
          <w:rFonts w:eastAsia="Times New Roman" w:cs="Times New Roman"/>
          <w:szCs w:val="24"/>
        </w:rPr>
        <w:t xml:space="preserve"> </w:t>
      </w:r>
      <w:r w:rsidRPr="001C6C8F">
        <w:rPr>
          <w:rFonts w:eastAsia="Times New Roman" w:cs="Times New Roman"/>
          <w:szCs w:val="24"/>
        </w:rPr>
        <w:t xml:space="preserve">ustawy nowelizującej (projektowany art. 485 § </w:t>
      </w:r>
      <w:r w:rsidR="00E00CA9" w:rsidRPr="001C6C8F">
        <w:rPr>
          <w:rFonts w:eastAsia="Times New Roman" w:cs="Times New Roman"/>
          <w:szCs w:val="24"/>
        </w:rPr>
        <w:t>5</w:t>
      </w:r>
      <w:r w:rsidRPr="001C6C8F">
        <w:rPr>
          <w:rFonts w:eastAsia="Times New Roman" w:cs="Times New Roman"/>
          <w:szCs w:val="24"/>
        </w:rPr>
        <w:t xml:space="preserve"> k.p.c.) przewidziano</w:t>
      </w:r>
      <w:r w:rsidR="004E7AEB" w:rsidRPr="001C6C8F">
        <w:rPr>
          <w:rFonts w:eastAsia="Times New Roman" w:cs="Times New Roman"/>
          <w:szCs w:val="24"/>
        </w:rPr>
        <w:t>,</w:t>
      </w:r>
      <w:r w:rsidRPr="001C6C8F">
        <w:rPr>
          <w:rFonts w:eastAsia="Times New Roman" w:cs="Times New Roman"/>
          <w:szCs w:val="24"/>
        </w:rPr>
        <w:t xml:space="preserve"> że złożenie </w:t>
      </w:r>
      <w:r w:rsidRPr="001C6C8F">
        <w:rPr>
          <w:rFonts w:cs="Times New Roman"/>
        </w:rPr>
        <w:t>niezgodne</w:t>
      </w:r>
      <w:r w:rsidR="00B12D3E" w:rsidRPr="001C6C8F">
        <w:rPr>
          <w:rFonts w:cs="Times New Roman"/>
        </w:rPr>
        <w:t>go z prawdą oświadczenia</w:t>
      </w:r>
      <w:r w:rsidRPr="001C6C8F">
        <w:rPr>
          <w:rFonts w:cs="Times New Roman"/>
        </w:rPr>
        <w:t xml:space="preserve">, o którym mowa w projektowanym art. 485 § 2 zdaniu </w:t>
      </w:r>
      <w:r w:rsidR="00271FA7" w:rsidRPr="001C6C8F">
        <w:rPr>
          <w:rFonts w:cs="Times New Roman"/>
        </w:rPr>
        <w:t>czwartym</w:t>
      </w:r>
      <w:r w:rsidRPr="001C6C8F">
        <w:rPr>
          <w:rFonts w:cs="Times New Roman"/>
        </w:rPr>
        <w:t>, ż</w:t>
      </w:r>
      <w:r w:rsidR="00A77A97">
        <w:rPr>
          <w:rFonts w:cs="Times New Roman"/>
        </w:rPr>
        <w:t>e</w:t>
      </w:r>
      <w:r w:rsidRPr="001C6C8F">
        <w:rPr>
          <w:rFonts w:cs="Times New Roman"/>
        </w:rPr>
        <w:t xml:space="preserve"> roszczenie dochodzone pozwem nie powstało związku z umową</w:t>
      </w:r>
      <w:r w:rsidR="00271FA7" w:rsidRPr="001C6C8F">
        <w:rPr>
          <w:rFonts w:cs="Times New Roman"/>
        </w:rPr>
        <w:t xml:space="preserve"> zawartą z konsumentem</w:t>
      </w:r>
      <w:r w:rsidRPr="001C6C8F">
        <w:rPr>
          <w:rFonts w:cs="Times New Roman"/>
        </w:rPr>
        <w:t>, będzie dawało możliwość sądowi skazania powoda, jego przedstawiciela ustawowego lub pełnomocnika, który w złej wierze lub wskutek niezachowania należytej staranności złożył takie oświadczenie, na grzywnę do kwoty</w:t>
      </w:r>
      <w:r w:rsidR="007B61C9" w:rsidRPr="001C6C8F">
        <w:rPr>
          <w:rFonts w:cs="Times New Roman"/>
        </w:rPr>
        <w:t xml:space="preserve"> </w:t>
      </w:r>
      <w:r w:rsidR="00377E4C" w:rsidRPr="001C6C8F">
        <w:rPr>
          <w:rFonts w:cs="Times New Roman"/>
        </w:rPr>
        <w:t>3</w:t>
      </w:r>
      <w:r w:rsidR="007B61C9" w:rsidRPr="001C6C8F">
        <w:rPr>
          <w:rFonts w:cs="Times New Roman"/>
        </w:rPr>
        <w:t>000 zł</w:t>
      </w:r>
      <w:r w:rsidR="00377E4C" w:rsidRPr="001C6C8F">
        <w:rPr>
          <w:rFonts w:cs="Times New Roman"/>
        </w:rPr>
        <w:t>, zgodnie z art. 163 § 1 zd</w:t>
      </w:r>
      <w:r w:rsidR="00FA6219">
        <w:rPr>
          <w:rFonts w:cs="Times New Roman"/>
        </w:rPr>
        <w:t>anie</w:t>
      </w:r>
      <w:r w:rsidR="00377E4C" w:rsidRPr="001C6C8F">
        <w:rPr>
          <w:rFonts w:cs="Times New Roman"/>
        </w:rPr>
        <w:t xml:space="preserve"> </w:t>
      </w:r>
      <w:r w:rsidR="00A77A97">
        <w:rPr>
          <w:rFonts w:cs="Times New Roman"/>
        </w:rPr>
        <w:t>pierwsze</w:t>
      </w:r>
      <w:r w:rsidR="00377E4C" w:rsidRPr="001C6C8F">
        <w:rPr>
          <w:rFonts w:cs="Times New Roman"/>
        </w:rPr>
        <w:t xml:space="preserve"> k.p.c</w:t>
      </w:r>
      <w:r w:rsidR="007B61C9" w:rsidRPr="001C6C8F">
        <w:rPr>
          <w:rFonts w:cs="Times New Roman"/>
        </w:rPr>
        <w:t>.</w:t>
      </w:r>
    </w:p>
    <w:p w14:paraId="0E6FE617" w14:textId="77777777" w:rsidR="00F267BF" w:rsidRDefault="00F267BF" w:rsidP="002116BE">
      <w:pPr>
        <w:ind w:firstLine="708"/>
        <w:jc w:val="both"/>
      </w:pPr>
      <w:r>
        <w:t xml:space="preserve">Umożliwienie sądowi </w:t>
      </w:r>
      <w:r w:rsidR="00E51250">
        <w:t>skazania na grzywnę</w:t>
      </w:r>
      <w:r>
        <w:t xml:space="preserve"> nielojalnie postępującą stronę powodową nie tylko powinno doprowadzić do zapewnienia prawdziwości składanych oświadczeń</w:t>
      </w:r>
      <w:r w:rsidR="00E51250">
        <w:t>,</w:t>
      </w:r>
      <w:r>
        <w:t xml:space="preserve"> ale w konsekwencji </w:t>
      </w:r>
      <w:r w:rsidR="00961DA9">
        <w:t>również</w:t>
      </w:r>
      <w:r>
        <w:t xml:space="preserve"> przyczynić się do prawidłowego rozpoznania sprawy</w:t>
      </w:r>
      <w:r w:rsidR="00961DA9">
        <w:t xml:space="preserve"> i zapewnienia należytej ochrony praw pozwanych konsumentów.</w:t>
      </w:r>
      <w:r>
        <w:t xml:space="preserve"> </w:t>
      </w:r>
    </w:p>
    <w:p w14:paraId="3E62AA3B" w14:textId="04C03B99" w:rsidR="00AE265F" w:rsidRDefault="00377E4C" w:rsidP="002116BE">
      <w:pPr>
        <w:ind w:firstLine="708"/>
        <w:jc w:val="both"/>
      </w:pPr>
      <w:r>
        <w:t>Powyższa projektowana zmiana umożliwi również skazywani</w:t>
      </w:r>
      <w:r w:rsidR="00C32377">
        <w:t>e</w:t>
      </w:r>
      <w:r>
        <w:t xml:space="preserve"> na grzywny przez referendarzy sądowych, co będzie stanowiło kolejne rozszerzenie ich kompetencji na etapie postępowania nakazowego, po dopuszczeniu ich do orzekania w tych sprawach </w:t>
      </w:r>
      <w:r w:rsidR="00CA7584">
        <w:t>u</w:t>
      </w:r>
      <w:r w:rsidR="00CA7584" w:rsidRPr="00CA7584">
        <w:t>staw</w:t>
      </w:r>
      <w:r w:rsidR="008E7248">
        <w:t>ą</w:t>
      </w:r>
      <w:r w:rsidR="00CA7584" w:rsidRPr="00CA7584">
        <w:t xml:space="preserve"> z dnia 4 lipca 2019 r. </w:t>
      </w:r>
      <w:r w:rsidR="00CA7584" w:rsidRPr="00885941">
        <w:t xml:space="preserve">o zmianie ustawy </w:t>
      </w:r>
      <w:r w:rsidR="00A77A97" w:rsidRPr="00885941">
        <w:t>–</w:t>
      </w:r>
      <w:r w:rsidR="00CA7584" w:rsidRPr="00885941">
        <w:t xml:space="preserve"> Kodeks postępowania cywilnego oraz niektórych innych ustaw</w:t>
      </w:r>
      <w:r w:rsidR="00CA7584" w:rsidRPr="00A77A97">
        <w:t xml:space="preserve"> </w:t>
      </w:r>
      <w:r w:rsidR="00CA7584" w:rsidRPr="00CA7584">
        <w:t>(Dz. U. poz. 1469</w:t>
      </w:r>
      <w:r w:rsidR="00FA6219">
        <w:t>,</w:t>
      </w:r>
      <w:r w:rsidR="00CA7584" w:rsidRPr="00CA7584">
        <w:t xml:space="preserve"> z późn. zm.).</w:t>
      </w:r>
    </w:p>
    <w:p w14:paraId="6A295CF1" w14:textId="5DBB051E" w:rsidR="00AE265F" w:rsidRDefault="00AE265F" w:rsidP="00AE265F">
      <w:pPr>
        <w:ind w:firstLine="708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W tym miejscu należy zauważyć, że uprawnienie do skazywania na grzywny tego samego kręgu podmiotów przez referendarzy sądowych przewiduje art. 505</w:t>
      </w:r>
      <w:r>
        <w:rPr>
          <w:rFonts w:cs="Times New Roman"/>
          <w:color w:val="000000" w:themeColor="text1"/>
          <w:szCs w:val="24"/>
          <w:vertAlign w:val="superscript"/>
        </w:rPr>
        <w:t xml:space="preserve">32 </w:t>
      </w:r>
      <w:r>
        <w:rPr>
          <w:rFonts w:cs="Times New Roman"/>
          <w:color w:val="000000" w:themeColor="text1"/>
          <w:szCs w:val="24"/>
        </w:rPr>
        <w:t>§ 3 k.p.c. Z</w:t>
      </w:r>
      <w:r w:rsidR="00E3685B">
        <w:rPr>
          <w:rFonts w:cs="Times New Roman"/>
          <w:color w:val="000000" w:themeColor="text1"/>
          <w:szCs w:val="24"/>
        </w:rPr>
        <w:t> </w:t>
      </w:r>
      <w:r>
        <w:rPr>
          <w:rFonts w:cs="Times New Roman"/>
          <w:color w:val="000000" w:themeColor="text1"/>
          <w:szCs w:val="24"/>
        </w:rPr>
        <w:t>brzmienia powyższego przepisu w zw. z art. 505</w:t>
      </w:r>
      <w:r>
        <w:rPr>
          <w:rFonts w:cs="Times New Roman"/>
          <w:color w:val="000000" w:themeColor="text1"/>
          <w:szCs w:val="24"/>
          <w:vertAlign w:val="superscript"/>
        </w:rPr>
        <w:t>28</w:t>
      </w:r>
      <w:r>
        <w:rPr>
          <w:rFonts w:cs="Times New Roman"/>
          <w:color w:val="000000" w:themeColor="text1"/>
          <w:szCs w:val="24"/>
        </w:rPr>
        <w:t xml:space="preserve"> § 1 k.p.c. w zw. z art. 480</w:t>
      </w:r>
      <w:r>
        <w:rPr>
          <w:rFonts w:cs="Times New Roman"/>
          <w:color w:val="000000" w:themeColor="text1"/>
          <w:szCs w:val="24"/>
          <w:vertAlign w:val="superscript"/>
        </w:rPr>
        <w:t>4</w:t>
      </w:r>
      <w:r>
        <w:rPr>
          <w:rFonts w:cs="Times New Roman"/>
          <w:color w:val="000000" w:themeColor="text1"/>
          <w:szCs w:val="24"/>
        </w:rPr>
        <w:t xml:space="preserve"> § 2 k.p.c. wynika, że w elektronicznym postępowaniu upominawczym referendarz sądowy może dokonywać wszystkich czynności w sprawie, z wyłączeniem prowadzenia rozprawy i wydania </w:t>
      </w:r>
      <w:r>
        <w:rPr>
          <w:rFonts w:cs="Times New Roman"/>
          <w:color w:val="000000" w:themeColor="text1"/>
          <w:szCs w:val="24"/>
        </w:rPr>
        <w:lastRenderedPageBreak/>
        <w:t>wyroku. Wobec tego już obecnie ustawodawca na podstawie art. 505</w:t>
      </w:r>
      <w:r>
        <w:rPr>
          <w:rFonts w:cs="Times New Roman"/>
          <w:color w:val="000000" w:themeColor="text1"/>
          <w:szCs w:val="24"/>
          <w:vertAlign w:val="superscript"/>
        </w:rPr>
        <w:t xml:space="preserve">32 </w:t>
      </w:r>
      <w:r>
        <w:rPr>
          <w:rFonts w:cs="Times New Roman"/>
          <w:color w:val="000000" w:themeColor="text1"/>
          <w:szCs w:val="24"/>
        </w:rPr>
        <w:t>§ 3 k.p.c</w:t>
      </w:r>
      <w:r w:rsidR="00265304">
        <w:rPr>
          <w:rFonts w:cs="Times New Roman"/>
          <w:color w:val="000000" w:themeColor="text1"/>
          <w:szCs w:val="24"/>
        </w:rPr>
        <w:t>.</w:t>
      </w:r>
      <w:r>
        <w:rPr>
          <w:rFonts w:cs="Times New Roman"/>
          <w:color w:val="000000" w:themeColor="text1"/>
          <w:szCs w:val="24"/>
        </w:rPr>
        <w:t xml:space="preserve"> przewidział możliwość skazywania na grzywnę przez referendarza sądowego powoda, jego przedstawiciela ustawowego lub pełnomocnika, który w złej wierze lub wskutek niezachowania należytej staranności oznaczył nieprawidłowe dane w pozwie. </w:t>
      </w:r>
      <w:r w:rsidRPr="0086529F">
        <w:rPr>
          <w:rFonts w:cs="Times New Roman"/>
          <w:color w:val="000000" w:themeColor="text1"/>
          <w:szCs w:val="24"/>
        </w:rPr>
        <w:t>Również w doktrynie w sposób wyraźny i wprost wskazuje się, że „(…)</w:t>
      </w:r>
      <w:r w:rsidR="004E7AEB">
        <w:rPr>
          <w:rFonts w:cs="Times New Roman"/>
          <w:color w:val="000000" w:themeColor="text1"/>
          <w:szCs w:val="24"/>
        </w:rPr>
        <w:t xml:space="preserve"> </w:t>
      </w:r>
      <w:r w:rsidRPr="0086529F">
        <w:rPr>
          <w:rFonts w:cs="Times New Roman"/>
          <w:i/>
          <w:iCs/>
          <w:color w:val="333333"/>
          <w:szCs w:val="24"/>
          <w:shd w:val="clear" w:color="auto" w:fill="FFFFFF"/>
        </w:rPr>
        <w:t>grzywnę przewidzianą w analizowanym przepisie (</w:t>
      </w:r>
      <w:r w:rsidRPr="0086529F">
        <w:rPr>
          <w:rFonts w:cs="Times New Roman"/>
          <w:i/>
          <w:iCs/>
          <w:color w:val="000000" w:themeColor="text1"/>
          <w:szCs w:val="24"/>
        </w:rPr>
        <w:t>art. 505</w:t>
      </w:r>
      <w:r w:rsidRPr="0086529F">
        <w:rPr>
          <w:rFonts w:cs="Times New Roman"/>
          <w:i/>
          <w:iCs/>
          <w:color w:val="000000" w:themeColor="text1"/>
          <w:szCs w:val="24"/>
          <w:vertAlign w:val="superscript"/>
        </w:rPr>
        <w:t xml:space="preserve">32 </w:t>
      </w:r>
      <w:r w:rsidRPr="0086529F">
        <w:rPr>
          <w:rFonts w:cs="Times New Roman"/>
          <w:i/>
          <w:iCs/>
          <w:color w:val="000000" w:themeColor="text1"/>
          <w:szCs w:val="24"/>
        </w:rPr>
        <w:t>§</w:t>
      </w:r>
      <w:r w:rsidR="00A77A97">
        <w:rPr>
          <w:rFonts w:cs="Times New Roman"/>
          <w:i/>
          <w:iCs/>
          <w:color w:val="000000" w:themeColor="text1"/>
          <w:szCs w:val="24"/>
        </w:rPr>
        <w:t> </w:t>
      </w:r>
      <w:r w:rsidRPr="0086529F">
        <w:rPr>
          <w:rFonts w:cs="Times New Roman"/>
          <w:i/>
          <w:iCs/>
          <w:color w:val="000000" w:themeColor="text1"/>
          <w:szCs w:val="24"/>
        </w:rPr>
        <w:t xml:space="preserve">3 k.p.c. – dopisek </w:t>
      </w:r>
      <w:r w:rsidR="00653681">
        <w:rPr>
          <w:rFonts w:cs="Times New Roman"/>
          <w:i/>
          <w:iCs/>
          <w:color w:val="000000" w:themeColor="text1"/>
          <w:szCs w:val="24"/>
        </w:rPr>
        <w:t>projektodawcy</w:t>
      </w:r>
      <w:r w:rsidRPr="0086529F">
        <w:rPr>
          <w:rFonts w:cs="Times New Roman"/>
          <w:i/>
          <w:iCs/>
          <w:color w:val="000000" w:themeColor="text1"/>
          <w:szCs w:val="24"/>
        </w:rPr>
        <w:t>)</w:t>
      </w:r>
      <w:r w:rsidRPr="0086529F">
        <w:rPr>
          <w:rFonts w:cs="Times New Roman"/>
          <w:i/>
          <w:iCs/>
          <w:color w:val="333333"/>
          <w:szCs w:val="24"/>
          <w:shd w:val="clear" w:color="auto" w:fill="FFFFFF"/>
        </w:rPr>
        <w:t xml:space="preserve"> może wymierzyć także referendarz sądowy</w:t>
      </w:r>
      <w:r w:rsidRPr="0086529F">
        <w:rPr>
          <w:rFonts w:cs="Times New Roman"/>
          <w:color w:val="333333"/>
          <w:szCs w:val="24"/>
          <w:shd w:val="clear" w:color="auto" w:fill="FFFFFF"/>
        </w:rPr>
        <w:t>” (</w:t>
      </w:r>
      <w:r>
        <w:rPr>
          <w:rFonts w:cs="Times New Roman"/>
          <w:color w:val="333333"/>
          <w:szCs w:val="24"/>
          <w:shd w:val="clear" w:color="auto" w:fill="FFFFFF"/>
        </w:rPr>
        <w:t xml:space="preserve">Robert Kulski, </w:t>
      </w:r>
      <w:r w:rsidRPr="0086529F">
        <w:rPr>
          <w:rFonts w:cs="Times New Roman"/>
          <w:color w:val="333333"/>
          <w:szCs w:val="24"/>
          <w:shd w:val="clear" w:color="auto" w:fill="FFFFFF"/>
        </w:rPr>
        <w:t>komentarz do art. 505</w:t>
      </w:r>
      <w:r w:rsidRPr="0086529F">
        <w:rPr>
          <w:rFonts w:cs="Times New Roman"/>
          <w:color w:val="333333"/>
          <w:szCs w:val="24"/>
          <w:shd w:val="clear" w:color="auto" w:fill="FFFFFF"/>
          <w:vertAlign w:val="superscript"/>
        </w:rPr>
        <w:t>32</w:t>
      </w:r>
      <w:r w:rsidRPr="0086529F">
        <w:rPr>
          <w:rFonts w:cs="Times New Roman"/>
          <w:color w:val="333333"/>
          <w:szCs w:val="24"/>
          <w:shd w:val="clear" w:color="auto" w:fill="FFFFFF"/>
        </w:rPr>
        <w:t>,</w:t>
      </w:r>
      <w:r>
        <w:rPr>
          <w:rFonts w:cs="Times New Roman"/>
          <w:color w:val="333333"/>
          <w:szCs w:val="24"/>
          <w:shd w:val="clear" w:color="auto" w:fill="FFFFFF"/>
        </w:rPr>
        <w:t xml:space="preserve"> </w:t>
      </w:r>
      <w:r w:rsidRPr="00885941">
        <w:rPr>
          <w:rFonts w:cs="Times New Roman"/>
          <w:iCs/>
          <w:szCs w:val="24"/>
        </w:rPr>
        <w:t xml:space="preserve">Kodeks postępowania cywilnego. Tom III. Komentarz. Red. prof. </w:t>
      </w:r>
      <w:r w:rsidRPr="00A77A97">
        <w:rPr>
          <w:rFonts w:cs="Times New Roman"/>
          <w:iCs/>
          <w:szCs w:val="24"/>
        </w:rPr>
        <w:t>dr</w:t>
      </w:r>
      <w:r w:rsidR="00A77A97">
        <w:rPr>
          <w:rFonts w:cs="Times New Roman"/>
          <w:iCs/>
          <w:szCs w:val="24"/>
        </w:rPr>
        <w:t> </w:t>
      </w:r>
      <w:r w:rsidRPr="00A77A97">
        <w:rPr>
          <w:rFonts w:cs="Times New Roman"/>
          <w:iCs/>
          <w:szCs w:val="24"/>
        </w:rPr>
        <w:t>h</w:t>
      </w:r>
      <w:r w:rsidRPr="00885941">
        <w:rPr>
          <w:rFonts w:cs="Times New Roman"/>
          <w:iCs/>
          <w:szCs w:val="24"/>
        </w:rPr>
        <w:t xml:space="preserve">ab. Andrzej </w:t>
      </w:r>
      <w:r w:rsidR="00C67835" w:rsidRPr="00885941">
        <w:rPr>
          <w:rFonts w:cs="Times New Roman"/>
          <w:iCs/>
          <w:szCs w:val="24"/>
        </w:rPr>
        <w:t>Marciniak, Art.</w:t>
      </w:r>
      <w:r w:rsidRPr="00885941">
        <w:rPr>
          <w:rFonts w:cs="Times New Roman"/>
          <w:iCs/>
          <w:szCs w:val="24"/>
        </w:rPr>
        <w:t xml:space="preserve"> 425–729, 2020, wyd. 1, System Informacji Prawnej Legalis</w:t>
      </w:r>
      <w:r w:rsidRPr="0086529F">
        <w:rPr>
          <w:rFonts w:cs="Times New Roman"/>
          <w:szCs w:val="24"/>
        </w:rPr>
        <w:t>).</w:t>
      </w:r>
      <w:r>
        <w:rPr>
          <w:rFonts w:cs="Times New Roman"/>
          <w:color w:val="000000" w:themeColor="text1"/>
          <w:szCs w:val="24"/>
        </w:rPr>
        <w:t xml:space="preserve"> Przy tym ocenne przesłanki do zastosowania sankcji grzywny wskazane w art. 505</w:t>
      </w:r>
      <w:r>
        <w:rPr>
          <w:rFonts w:cs="Times New Roman"/>
          <w:color w:val="000000" w:themeColor="text1"/>
          <w:szCs w:val="24"/>
          <w:vertAlign w:val="superscript"/>
        </w:rPr>
        <w:t xml:space="preserve">32 </w:t>
      </w:r>
      <w:r>
        <w:rPr>
          <w:rFonts w:cs="Times New Roman"/>
          <w:color w:val="000000" w:themeColor="text1"/>
          <w:szCs w:val="24"/>
        </w:rPr>
        <w:t>§ 3 k.p.c. są tożsame z tymi wskazanymi w projektowanym art. 485 § 5 k.p.c.</w:t>
      </w:r>
    </w:p>
    <w:p w14:paraId="4FDF7CA4" w14:textId="6A97D79D" w:rsidR="00AE265F" w:rsidRDefault="00AE265F" w:rsidP="00AE265F">
      <w:pPr>
        <w:ind w:firstLine="708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Dodatkowo należy wskazać, że referendarze sądowi są uprawnieni do skazywania stron na grzywny na podstawie art. 111 w zw. z art. 118 </w:t>
      </w:r>
      <w:r w:rsidR="008A6F22">
        <w:rPr>
          <w:rFonts w:cs="Times New Roman"/>
          <w:color w:val="000000" w:themeColor="text1"/>
          <w:szCs w:val="24"/>
        </w:rPr>
        <w:t>u.k.s.c.</w:t>
      </w:r>
      <w:r>
        <w:rPr>
          <w:rFonts w:cs="Times New Roman"/>
          <w:color w:val="000000" w:themeColor="text1"/>
          <w:szCs w:val="24"/>
        </w:rPr>
        <w:t xml:space="preserve"> Przy tym, wydając takie postanowienie</w:t>
      </w:r>
      <w:r w:rsidR="00A77A97">
        <w:rPr>
          <w:rFonts w:cs="Times New Roman"/>
          <w:color w:val="000000" w:themeColor="text1"/>
          <w:szCs w:val="24"/>
        </w:rPr>
        <w:t>,</w:t>
      </w:r>
      <w:r>
        <w:rPr>
          <w:rFonts w:cs="Times New Roman"/>
          <w:color w:val="000000" w:themeColor="text1"/>
          <w:szCs w:val="24"/>
        </w:rPr>
        <w:t xml:space="preserve"> referendarz sądowy musi ocenić</w:t>
      </w:r>
      <w:r w:rsidR="00A77A97">
        <w:rPr>
          <w:rFonts w:cs="Times New Roman"/>
          <w:color w:val="000000" w:themeColor="text1"/>
          <w:szCs w:val="24"/>
        </w:rPr>
        <w:t>,</w:t>
      </w:r>
      <w:r>
        <w:rPr>
          <w:rFonts w:cs="Times New Roman"/>
          <w:color w:val="000000" w:themeColor="text1"/>
          <w:szCs w:val="24"/>
        </w:rPr>
        <w:t xml:space="preserve"> czy strona we wniosku świadomie podała nieprawdziwe okoliczności. </w:t>
      </w:r>
    </w:p>
    <w:p w14:paraId="4BBD796B" w14:textId="77777777" w:rsidR="00AE265F" w:rsidRDefault="00AE265F" w:rsidP="00AE265F">
      <w:pPr>
        <w:ind w:firstLine="708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Powyższe stanowisko podzielane jest również w doktrynie (por. </w:t>
      </w:r>
      <w:r w:rsidRPr="00141BF3">
        <w:rPr>
          <w:rFonts w:cs="Times New Roman"/>
          <w:color w:val="000000" w:themeColor="text1"/>
          <w:szCs w:val="24"/>
        </w:rPr>
        <w:t xml:space="preserve">Feliga Przemysław. </w:t>
      </w:r>
      <w:r w:rsidRPr="00885941">
        <w:rPr>
          <w:rFonts w:cs="Times New Roman"/>
          <w:iCs/>
          <w:color w:val="000000" w:themeColor="text1"/>
          <w:szCs w:val="24"/>
        </w:rPr>
        <w:t>Art. 118 w: Ustawa o kosztach sądowych w sprawach cywilnych. Komentarz, wyd. II. Wolters Kluwer Polska, 2019</w:t>
      </w:r>
      <w:r w:rsidRPr="00A77A97">
        <w:rPr>
          <w:rFonts w:cs="Times New Roman"/>
          <w:color w:val="000000" w:themeColor="text1"/>
          <w:szCs w:val="24"/>
        </w:rPr>
        <w:t>;</w:t>
      </w:r>
      <w:r>
        <w:rPr>
          <w:rFonts w:cs="Times New Roman"/>
          <w:color w:val="000000" w:themeColor="text1"/>
          <w:szCs w:val="24"/>
        </w:rPr>
        <w:t xml:space="preserve"> </w:t>
      </w:r>
      <w:r w:rsidRPr="00491011">
        <w:rPr>
          <w:rFonts w:cs="Times New Roman"/>
          <w:color w:val="000000" w:themeColor="text1"/>
          <w:szCs w:val="24"/>
        </w:rPr>
        <w:t xml:space="preserve">Gonera Katarzyna. </w:t>
      </w:r>
      <w:r w:rsidRPr="00885941">
        <w:rPr>
          <w:rFonts w:cs="Times New Roman"/>
          <w:iCs/>
          <w:color w:val="000000" w:themeColor="text1"/>
          <w:szCs w:val="24"/>
        </w:rPr>
        <w:t>Art. 118 w: Ustawa o kosztach sądowych w sprawach cywilnych. Komentarz, wyd. IV. Wydawnictwo Prawnicze LexisNexis, 2011</w:t>
      </w:r>
      <w:r>
        <w:rPr>
          <w:rFonts w:cs="Times New Roman"/>
          <w:color w:val="000000" w:themeColor="text1"/>
          <w:szCs w:val="24"/>
        </w:rPr>
        <w:t>).</w:t>
      </w:r>
    </w:p>
    <w:p w14:paraId="3EE7CF8B" w14:textId="7234AE8C" w:rsidR="00AE265F" w:rsidRDefault="00AE265F" w:rsidP="00AE265F">
      <w:pPr>
        <w:ind w:firstLine="708"/>
        <w:jc w:val="both"/>
        <w:rPr>
          <w:rFonts w:cs="Times New Roman"/>
          <w:color w:val="000000" w:themeColor="text1"/>
          <w:szCs w:val="24"/>
          <w:shd w:val="clear" w:color="auto" w:fill="FFFFFF"/>
        </w:rPr>
      </w:pPr>
      <w:r w:rsidRPr="00735732">
        <w:rPr>
          <w:rFonts w:cs="Times New Roman"/>
          <w:color w:val="000000" w:themeColor="text1"/>
          <w:szCs w:val="24"/>
        </w:rPr>
        <w:t xml:space="preserve">Należy również zauważyć, że art. 118 </w:t>
      </w:r>
      <w:r w:rsidRPr="00735732">
        <w:rPr>
          <w:rFonts w:cs="Times New Roman"/>
          <w:color w:val="000000" w:themeColor="text1"/>
          <w:szCs w:val="24"/>
          <w:shd w:val="clear" w:color="auto" w:fill="FFFFFF"/>
        </w:rPr>
        <w:t xml:space="preserve">u.k.s.c. został uznany przez Trybunał Konstytucyjny w wyroku z </w:t>
      </w:r>
      <w:r w:rsidR="00DF1BEC">
        <w:rPr>
          <w:rFonts w:cs="Times New Roman"/>
          <w:color w:val="000000" w:themeColor="text1"/>
          <w:szCs w:val="24"/>
          <w:shd w:val="clear" w:color="auto" w:fill="FFFFFF"/>
        </w:rPr>
        <w:t xml:space="preserve">dnia </w:t>
      </w:r>
      <w:r w:rsidRPr="00735732">
        <w:rPr>
          <w:rFonts w:cs="Times New Roman"/>
          <w:color w:val="000000" w:themeColor="text1"/>
          <w:szCs w:val="24"/>
          <w:shd w:val="clear" w:color="auto" w:fill="FFFFFF"/>
        </w:rPr>
        <w:t>12</w:t>
      </w:r>
      <w:r w:rsidR="00DF1BEC">
        <w:rPr>
          <w:rFonts w:cs="Times New Roman"/>
          <w:color w:val="000000" w:themeColor="text1"/>
          <w:szCs w:val="24"/>
          <w:shd w:val="clear" w:color="auto" w:fill="FFFFFF"/>
        </w:rPr>
        <w:t xml:space="preserve"> maja </w:t>
      </w:r>
      <w:r w:rsidRPr="00735732">
        <w:rPr>
          <w:rFonts w:cs="Times New Roman"/>
          <w:color w:val="000000" w:themeColor="text1"/>
          <w:szCs w:val="24"/>
          <w:shd w:val="clear" w:color="auto" w:fill="FFFFFF"/>
        </w:rPr>
        <w:t>2011 r.,</w:t>
      </w:r>
      <w:r w:rsidR="005C5589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hyperlink r:id="rId8" w:anchor="/document/520888645?cm=DOCUMENT" w:history="1">
        <w:r w:rsidRPr="00735732">
          <w:rPr>
            <w:rStyle w:val="Hipercze"/>
            <w:rFonts w:cs="Times New Roman"/>
            <w:color w:val="000000" w:themeColor="text1"/>
            <w:szCs w:val="24"/>
            <w:u w:val="none"/>
            <w:shd w:val="clear" w:color="auto" w:fill="FFFFFF"/>
          </w:rPr>
          <w:t>P 38/08</w:t>
        </w:r>
      </w:hyperlink>
      <w:r w:rsidRPr="00735732">
        <w:rPr>
          <w:rFonts w:cs="Times New Roman"/>
          <w:color w:val="000000" w:themeColor="text1"/>
          <w:szCs w:val="24"/>
          <w:shd w:val="clear" w:color="auto" w:fill="FFFFFF"/>
        </w:rPr>
        <w:t>, OTK-A 2011/4, poz. 33, za zgodny z</w:t>
      </w:r>
      <w:r w:rsidR="005C5589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hyperlink r:id="rId9" w:anchor="/document/16798613?unitId=art(45)ust(1)&amp;cm=DOCUMENT" w:history="1">
        <w:r w:rsidRPr="00735732">
          <w:rPr>
            <w:rStyle w:val="Hipercze"/>
            <w:rFonts w:cs="Times New Roman"/>
            <w:color w:val="000000" w:themeColor="text1"/>
            <w:szCs w:val="24"/>
            <w:u w:val="none"/>
            <w:shd w:val="clear" w:color="auto" w:fill="FFFFFF"/>
          </w:rPr>
          <w:t>art. 45 ust. 1</w:t>
        </w:r>
      </w:hyperlink>
      <w:r w:rsidR="005C5589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735732">
        <w:rPr>
          <w:rFonts w:cs="Times New Roman"/>
          <w:color w:val="000000" w:themeColor="text1"/>
          <w:szCs w:val="24"/>
          <w:shd w:val="clear" w:color="auto" w:fill="FFFFFF"/>
        </w:rPr>
        <w:t>Konstytucji</w:t>
      </w:r>
      <w:r w:rsidR="005C5589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735732">
        <w:rPr>
          <w:rFonts w:cs="Times New Roman"/>
          <w:color w:val="000000" w:themeColor="text1"/>
          <w:szCs w:val="24"/>
          <w:shd w:val="clear" w:color="auto" w:fill="FFFFFF"/>
        </w:rPr>
        <w:t>RP.</w:t>
      </w:r>
      <w:r>
        <w:rPr>
          <w:rFonts w:cs="Times New Roman"/>
          <w:color w:val="000000" w:themeColor="text1"/>
          <w:szCs w:val="24"/>
          <w:shd w:val="clear" w:color="auto" w:fill="FFFFFF"/>
        </w:rPr>
        <w:t xml:space="preserve"> W ww. wyroku TK co prawda nie odniósł się wprost do przyznania referendarzom sądowym kompetencji do skazywania stron na grzywny na podstawie art. 111 w zw. z art. 118 u.k.s.c., to jednak jednocześnie nie zakwestionował w żaden sposób tego uprawnienia ani też nie „zasygnalizował”</w:t>
      </w:r>
      <w:r w:rsidR="00DF1BEC">
        <w:rPr>
          <w:rFonts w:cs="Times New Roman"/>
          <w:color w:val="000000" w:themeColor="text1"/>
          <w:szCs w:val="24"/>
          <w:shd w:val="clear" w:color="auto" w:fill="FFFFFF"/>
        </w:rPr>
        <w:t>,</w:t>
      </w:r>
      <w:r>
        <w:rPr>
          <w:rFonts w:cs="Times New Roman"/>
          <w:color w:val="000000" w:themeColor="text1"/>
          <w:szCs w:val="24"/>
          <w:shd w:val="clear" w:color="auto" w:fill="FFFFFF"/>
        </w:rPr>
        <w:t xml:space="preserve"> aby w ww. zakresie można było mówić o niezgodności ww. przepisów z Konstytucją RP. Na uwagę w powyższym kontekście zasługuj</w:t>
      </w:r>
      <w:r w:rsidR="00DF1BEC">
        <w:rPr>
          <w:rFonts w:cs="Times New Roman"/>
          <w:color w:val="000000" w:themeColor="text1"/>
          <w:szCs w:val="24"/>
          <w:shd w:val="clear" w:color="auto" w:fill="FFFFFF"/>
        </w:rPr>
        <w:t>e</w:t>
      </w:r>
      <w:r>
        <w:rPr>
          <w:rFonts w:cs="Times New Roman"/>
          <w:color w:val="000000" w:themeColor="text1"/>
          <w:szCs w:val="24"/>
          <w:shd w:val="clear" w:color="auto" w:fill="FFFFFF"/>
        </w:rPr>
        <w:t xml:space="preserve"> analiza pojęcia „sprawy” przeprowadzona przez TK w ww. wyroku.</w:t>
      </w:r>
    </w:p>
    <w:p w14:paraId="5E11E0E2" w14:textId="71473791" w:rsidR="00AE265F" w:rsidRDefault="000D66A1" w:rsidP="000D66A1">
      <w:pPr>
        <w:ind w:firstLine="708"/>
        <w:jc w:val="both"/>
        <w:rPr>
          <w:rFonts w:cs="Times New Roman"/>
          <w:color w:val="000000" w:themeColor="text1"/>
          <w:szCs w:val="24"/>
        </w:rPr>
      </w:pPr>
      <w:r>
        <w:t>W tym miejscu należy zauważyć, że referendarze sądowi są również uprawnieni do nakładania grzywien w postępowaniu rejestrowym na podstawie art. 24 ust. 1b u</w:t>
      </w:r>
      <w:r w:rsidRPr="00C32377">
        <w:t>staw</w:t>
      </w:r>
      <w:r>
        <w:t>y</w:t>
      </w:r>
      <w:r w:rsidRPr="00C32377">
        <w:t xml:space="preserve"> z dnia 20 sierpnia 1997 r. </w:t>
      </w:r>
      <w:r w:rsidRPr="00885941">
        <w:t>o Krajowym Rejestrze Sądowym</w:t>
      </w:r>
      <w:r w:rsidRPr="00C32377">
        <w:t xml:space="preserve"> (Dz. U. z 20</w:t>
      </w:r>
      <w:r w:rsidR="00FA6219">
        <w:t>21 poz. 112 oraz z 2020 r. poz. 2320</w:t>
      </w:r>
      <w:r w:rsidRPr="00C32377">
        <w:t>)</w:t>
      </w:r>
      <w:r>
        <w:t xml:space="preserve"> oraz wymierzania grzywien w postępowaniu wieczystoksięgowym na podstawie art.</w:t>
      </w:r>
      <w:r w:rsidR="00F20CE2">
        <w:t> </w:t>
      </w:r>
      <w:r>
        <w:t>36 ust. 4 u</w:t>
      </w:r>
      <w:r w:rsidRPr="00C32377">
        <w:t>staw</w:t>
      </w:r>
      <w:r>
        <w:t>y</w:t>
      </w:r>
      <w:r w:rsidRPr="00C32377">
        <w:t xml:space="preserve"> z dnia 6 lipca 1982 r. </w:t>
      </w:r>
      <w:r w:rsidRPr="00885941">
        <w:t>o księgach wieczystych i hipotece</w:t>
      </w:r>
      <w:r w:rsidRPr="00C32377">
        <w:t xml:space="preserve"> (</w:t>
      </w:r>
      <w:r>
        <w:t>Dz. U. z 2019 r. poz. 2204)</w:t>
      </w:r>
      <w:r w:rsidRPr="00C32377">
        <w:t>.</w:t>
      </w:r>
      <w:r w:rsidR="00AE265F">
        <w:rPr>
          <w:rFonts w:cs="Times New Roman"/>
          <w:color w:val="000000" w:themeColor="text1"/>
          <w:szCs w:val="24"/>
        </w:rPr>
        <w:t xml:space="preserve">Umożliwienie wykonywania uprawnienia wynikającego z projektowanego art. 485 § 5 k.p.c. referendarzom sądowym niewątpliwie przyczyni się do przyspieszenia rozpoznawania spraw (uniknięcie przekazywania akt do referatu sędziego i z powrotem do </w:t>
      </w:r>
      <w:r w:rsidR="00AE265F">
        <w:rPr>
          <w:rFonts w:cs="Times New Roman"/>
          <w:color w:val="000000" w:themeColor="text1"/>
          <w:szCs w:val="24"/>
        </w:rPr>
        <w:lastRenderedPageBreak/>
        <w:t>referendarza</w:t>
      </w:r>
      <w:r>
        <w:rPr>
          <w:rFonts w:cs="Times New Roman"/>
          <w:color w:val="000000" w:themeColor="text1"/>
          <w:szCs w:val="24"/>
        </w:rPr>
        <w:t xml:space="preserve"> sądowego</w:t>
      </w:r>
      <w:r w:rsidR="00AE265F">
        <w:rPr>
          <w:rFonts w:cs="Times New Roman"/>
          <w:color w:val="000000" w:themeColor="text1"/>
          <w:szCs w:val="24"/>
        </w:rPr>
        <w:t>) oraz nie spowoduje jednocześnie zwiększenia, znacznego już, obciążenia sędziów czynnościami wpadkowymi w sprawach, w których nie są oni referentami.</w:t>
      </w:r>
    </w:p>
    <w:p w14:paraId="41BFE863" w14:textId="77777777" w:rsidR="00265304" w:rsidRPr="009C786E" w:rsidRDefault="00265304" w:rsidP="000D66A1">
      <w:pPr>
        <w:ind w:firstLine="708"/>
        <w:jc w:val="both"/>
        <w:rPr>
          <w:rFonts w:cs="Times New Roman"/>
          <w:color w:val="000000" w:themeColor="text1"/>
          <w:szCs w:val="24"/>
        </w:rPr>
      </w:pPr>
    </w:p>
    <w:p w14:paraId="64D83C88" w14:textId="63CC80F0" w:rsidR="00594C73" w:rsidRPr="00734F14" w:rsidRDefault="00594C73" w:rsidP="002116BE">
      <w:pPr>
        <w:ind w:firstLine="708"/>
        <w:jc w:val="both"/>
      </w:pPr>
      <w:r w:rsidRPr="00734F14">
        <w:t xml:space="preserve">Pozostałe zmiany przewidziane w projekcie ustawy (tj. art. 1 pkt </w:t>
      </w:r>
      <w:r w:rsidR="00F627A3">
        <w:t>3</w:t>
      </w:r>
      <w:r w:rsidRPr="00734F14">
        <w:t xml:space="preserve"> </w:t>
      </w:r>
      <w:r w:rsidR="00265304">
        <w:t xml:space="preserve">lit. a </w:t>
      </w:r>
      <w:r w:rsidRPr="00734F14">
        <w:t xml:space="preserve">oraz art. </w:t>
      </w:r>
      <w:r w:rsidR="00FB2C95">
        <w:t>5</w:t>
      </w:r>
      <w:r w:rsidRPr="00734F14">
        <w:t>)</w:t>
      </w:r>
      <w:r w:rsidR="004C753A">
        <w:t xml:space="preserve"> w zw. z wyrokiem TSUE w sprawie C-176/17 </w:t>
      </w:r>
      <w:r w:rsidR="004C753A">
        <w:rPr>
          <w:i/>
        </w:rPr>
        <w:t>Profi Credit Polska</w:t>
      </w:r>
      <w:r w:rsidRPr="00734F14">
        <w:t xml:space="preserve"> łagodzą </w:t>
      </w:r>
      <w:r w:rsidR="004C3E44">
        <w:t>wymogi</w:t>
      </w:r>
      <w:r w:rsidRPr="00734F14">
        <w:t xml:space="preserve"> formalno</w:t>
      </w:r>
      <w:r w:rsidR="00F20CE2">
        <w:noBreakHyphen/>
      </w:r>
      <w:r w:rsidRPr="00734F14">
        <w:t>fiskalne w stosunku do konsumentów wnoszących zarzuty od nakazu za</w:t>
      </w:r>
      <w:r w:rsidR="004C753A">
        <w:t>płaty w postępowaniu nakazowym.</w:t>
      </w:r>
    </w:p>
    <w:p w14:paraId="569716AE" w14:textId="71664990" w:rsidR="00523F2B" w:rsidRPr="00523F2B" w:rsidRDefault="00ED2FC9" w:rsidP="00036EC3">
      <w:pPr>
        <w:ind w:firstLine="708"/>
        <w:jc w:val="both"/>
      </w:pPr>
      <w:r w:rsidRPr="00734F14">
        <w:t xml:space="preserve">Art. 1 pkt </w:t>
      </w:r>
      <w:r w:rsidR="00F627A3">
        <w:t>3</w:t>
      </w:r>
      <w:r w:rsidR="00D76D4E">
        <w:t xml:space="preserve"> lit. a</w:t>
      </w:r>
      <w:r w:rsidRPr="00734F14">
        <w:t xml:space="preserve"> projektowanej ustawy zakłada</w:t>
      </w:r>
      <w:r w:rsidR="00854FE7">
        <w:t xml:space="preserve">, poza bardziej czytelnym sformułowaniem </w:t>
      </w:r>
      <w:r w:rsidR="00854FE7">
        <w:rPr>
          <w:rFonts w:cs="Times New Roman"/>
        </w:rPr>
        <w:t>§</w:t>
      </w:r>
      <w:r w:rsidR="00854FE7">
        <w:t xml:space="preserve"> 1 oraz 2</w:t>
      </w:r>
      <w:r w:rsidRPr="00734F14">
        <w:t xml:space="preserve"> </w:t>
      </w:r>
      <w:r w:rsidR="00F20CE2">
        <w:t xml:space="preserve">w </w:t>
      </w:r>
      <w:r w:rsidR="00854FE7">
        <w:t>art. 480</w:t>
      </w:r>
      <w:r w:rsidR="00854FE7">
        <w:rPr>
          <w:vertAlign w:val="superscript"/>
        </w:rPr>
        <w:t>2</w:t>
      </w:r>
      <w:r w:rsidR="00854FE7">
        <w:t xml:space="preserve"> k.p.c., </w:t>
      </w:r>
      <w:r w:rsidRPr="00734F14">
        <w:t>wydłużenie terminu</w:t>
      </w:r>
      <w:r w:rsidR="009335DC" w:rsidRPr="00734F14">
        <w:t xml:space="preserve"> (</w:t>
      </w:r>
      <w:r w:rsidR="004C3E44">
        <w:t>w sytuacji</w:t>
      </w:r>
      <w:r w:rsidR="009335DC" w:rsidRPr="00734F14">
        <w:t xml:space="preserve"> gdy doręczenie </w:t>
      </w:r>
      <w:r w:rsidR="00184ACB" w:rsidRPr="00734F14">
        <w:t xml:space="preserve">pozwanemu </w:t>
      </w:r>
      <w:r w:rsidR="009335DC" w:rsidRPr="00734F14">
        <w:t xml:space="preserve">nakazu zapłaty </w:t>
      </w:r>
      <w:r w:rsidR="00184ACB">
        <w:t xml:space="preserve">wydanego w postępowaniu nakazowym </w:t>
      </w:r>
      <w:r w:rsidR="009335DC" w:rsidRPr="00734F14">
        <w:t xml:space="preserve">ma nastąpić na terenie </w:t>
      </w:r>
      <w:r w:rsidR="00854FE7">
        <w:t>Rzeczypospolitej Polskiej</w:t>
      </w:r>
      <w:r w:rsidR="00481A4B">
        <w:t>)</w:t>
      </w:r>
      <w:r w:rsidRPr="00734F14">
        <w:t xml:space="preserve"> do wniesienia zarzutów od nakazu zapłaty</w:t>
      </w:r>
      <w:r w:rsidR="002D7E40" w:rsidRPr="00734F14">
        <w:t xml:space="preserve"> do miesiąca</w:t>
      </w:r>
      <w:r w:rsidR="00854FE7">
        <w:t>, w tym</w:t>
      </w:r>
      <w:r w:rsidRPr="00734F14">
        <w:t xml:space="preserve"> dl</w:t>
      </w:r>
      <w:r w:rsidR="00854FE7">
        <w:t>a</w:t>
      </w:r>
      <w:r w:rsidRPr="00734F14">
        <w:t xml:space="preserve"> </w:t>
      </w:r>
      <w:r w:rsidR="00250AC0" w:rsidRPr="00734F14">
        <w:t xml:space="preserve">pozwanego </w:t>
      </w:r>
      <w:r w:rsidRPr="00734F14">
        <w:t>zobowiązanego z weksla, którym jest konsument</w:t>
      </w:r>
      <w:r w:rsidR="00250AC0" w:rsidRPr="00734F14">
        <w:t xml:space="preserve">. </w:t>
      </w:r>
      <w:r w:rsidR="00B64449">
        <w:t>Ustawa zakłada również wprowadzenie sztywnego terminu trzech miesięcy</w:t>
      </w:r>
      <w:r w:rsidR="00523F2B">
        <w:t xml:space="preserve"> w art. 480</w:t>
      </w:r>
      <w:r w:rsidR="00523F2B">
        <w:rPr>
          <w:vertAlign w:val="superscript"/>
        </w:rPr>
        <w:t>2</w:t>
      </w:r>
      <w:r w:rsidR="00523F2B">
        <w:t xml:space="preserve"> </w:t>
      </w:r>
      <w:r w:rsidR="00523F2B">
        <w:rPr>
          <w:rFonts w:cs="Times New Roman"/>
        </w:rPr>
        <w:t>§</w:t>
      </w:r>
      <w:r w:rsidR="00523F2B">
        <w:t xml:space="preserve"> 2 pkt 4 k.p.c., w miejsce otwartego terminu określonego jako „</w:t>
      </w:r>
      <w:r w:rsidR="00523F2B" w:rsidRPr="003A1EC2">
        <w:rPr>
          <w:i/>
          <w:iCs/>
        </w:rPr>
        <w:t>nie krótszy niż trzy miesiące</w:t>
      </w:r>
      <w:r w:rsidR="00523F2B">
        <w:t>”,</w:t>
      </w:r>
      <w:r w:rsidR="00B64449">
        <w:t xml:space="preserve"> na wniesienie środka zaskarżenia od dnia doręczeni</w:t>
      </w:r>
      <w:r w:rsidR="00184ACB">
        <w:t>a</w:t>
      </w:r>
      <w:r w:rsidR="00B64449">
        <w:t xml:space="preserve"> nakazu zapłaty, gdy doręczenie ma nastąpić poza terenem Unii Europejskiej</w:t>
      </w:r>
      <w:r w:rsidR="00523F2B">
        <w:t>. Powyższa zmiana ma uprościć stosowanie art. 480</w:t>
      </w:r>
      <w:r w:rsidR="00523F2B">
        <w:rPr>
          <w:vertAlign w:val="superscript"/>
        </w:rPr>
        <w:t>2</w:t>
      </w:r>
      <w:r w:rsidR="00523F2B">
        <w:t xml:space="preserve"> </w:t>
      </w:r>
      <w:r w:rsidR="00523F2B">
        <w:rPr>
          <w:rFonts w:cs="Times New Roman"/>
        </w:rPr>
        <w:t>§</w:t>
      </w:r>
      <w:r w:rsidR="00523F2B">
        <w:t xml:space="preserve"> 2 k.p.c. i ujednolicić stosowanie prawa w skali kraju.</w:t>
      </w:r>
      <w:r w:rsidR="008E7248">
        <w:t xml:space="preserve"> Jednocześnie termin trzech miesięcy na wniesienie zarzutów od nakazu zapłaty w pełni gwarantuje zabezpieczenie praw pozwanych, mających adres do doręczeń poza terytorium Unii Europejskiej. Pozwany, który zamierza wnieść środek zaskarżenia</w:t>
      </w:r>
      <w:r w:rsidR="00F20CE2">
        <w:t>,</w:t>
      </w:r>
      <w:r w:rsidR="008E7248">
        <w:t xml:space="preserve"> powinien bez większych trudności dochować ww. terminu.</w:t>
      </w:r>
    </w:p>
    <w:p w14:paraId="7D4DF2EA" w14:textId="152A5B43" w:rsidR="00902677" w:rsidRDefault="00184ACB" w:rsidP="00036EC3">
      <w:pPr>
        <w:ind w:firstLine="708"/>
        <w:jc w:val="both"/>
      </w:pPr>
      <w:r>
        <w:t>Projekt</w:t>
      </w:r>
      <w:r w:rsidR="00854FE7">
        <w:t xml:space="preserve"> </w:t>
      </w:r>
      <w:r>
        <w:t xml:space="preserve">nie </w:t>
      </w:r>
      <w:r w:rsidR="00445ED9">
        <w:t xml:space="preserve">ogranicza </w:t>
      </w:r>
      <w:r w:rsidR="00854FE7">
        <w:t>wydłużenia terminu do wniesienia z</w:t>
      </w:r>
      <w:r w:rsidR="00ED25FB">
        <w:t>arzutów</w:t>
      </w:r>
      <w:r w:rsidR="004A0512">
        <w:t xml:space="preserve"> dla pozwanych, </w:t>
      </w:r>
      <w:r w:rsidR="00105345">
        <w:t xml:space="preserve">wobec których </w:t>
      </w:r>
      <w:r w:rsidR="004A0512">
        <w:t>doręczenie nakazu zapłaty będzie miało miejsce na terytorium Unii Europejskiej,</w:t>
      </w:r>
      <w:r w:rsidR="00ED25FB">
        <w:t xml:space="preserve"> jedynie d</w:t>
      </w:r>
      <w:r w:rsidR="00EB5CE6">
        <w:t>o</w:t>
      </w:r>
      <w:r w:rsidR="00ED25FB">
        <w:t xml:space="preserve"> zobowiązanych konsumentów, o których mowa powyżej, </w:t>
      </w:r>
      <w:r w:rsidR="00D51E3B">
        <w:t xml:space="preserve">m.in. </w:t>
      </w:r>
      <w:r w:rsidR="00ED25FB">
        <w:t>z uwagi na mogące się pojawić w związku z tak ograniczonym kręgiem podmiotowym praktyczne problemy przy stosowaniu przepisu. Należy zauważyć, że mimo wprowadzeni</w:t>
      </w:r>
      <w:r w:rsidR="004A0512">
        <w:t>a</w:t>
      </w:r>
      <w:r w:rsidR="00ED25FB">
        <w:t xml:space="preserve"> przepisów mających zagwarantować prawidłową identyfikację pozwanego </w:t>
      </w:r>
      <w:r w:rsidR="00F627A3">
        <w:t xml:space="preserve">w postępowaniu nakazowym z weksla </w:t>
      </w:r>
      <w:r w:rsidR="00ED25FB">
        <w:t xml:space="preserve">jako konsumenta </w:t>
      </w:r>
      <w:r w:rsidR="002C5E99">
        <w:t xml:space="preserve">już na etapie wydawania nakazu </w:t>
      </w:r>
      <w:r w:rsidR="00ED25FB">
        <w:t>nie da się całkowicie wykluczyć sytuacji, w której sąd dopiero na etapie</w:t>
      </w:r>
      <w:r>
        <w:t xml:space="preserve"> postępowania następującym</w:t>
      </w:r>
      <w:r w:rsidR="00ED25FB">
        <w:t xml:space="preserve"> po wydaniu nakazu zapłaty w postępowaniu nakazowym poweźmie informacj</w:t>
      </w:r>
      <w:r w:rsidR="004A0512">
        <w:t>ę</w:t>
      </w:r>
      <w:r w:rsidR="00ED25FB">
        <w:t xml:space="preserve"> o tym, że pozwany jest konsumentem bądź tym konsumentem nie jest.</w:t>
      </w:r>
      <w:r w:rsidR="00902677">
        <w:t xml:space="preserve"> </w:t>
      </w:r>
    </w:p>
    <w:p w14:paraId="326CF5D1" w14:textId="6E76D98B" w:rsidR="00854FE7" w:rsidRDefault="00ED25FB" w:rsidP="00036EC3">
      <w:pPr>
        <w:ind w:firstLine="708"/>
        <w:jc w:val="both"/>
      </w:pPr>
      <w:r>
        <w:t>Powyższe natomiast wpływałoby na termin do wniesienia zarzutów albo spełnienia świadczenia</w:t>
      </w:r>
      <w:r w:rsidR="006F03BB">
        <w:t xml:space="preserve"> (dwa tygodnie bądź miesiąc) i wymagałoby podejmowania przez sąd</w:t>
      </w:r>
      <w:r w:rsidR="00C262AA">
        <w:t xml:space="preserve"> ewentualnych</w:t>
      </w:r>
      <w:r w:rsidR="006F03BB">
        <w:t xml:space="preserve"> działań korygujących</w:t>
      </w:r>
      <w:r w:rsidR="00D51E3B">
        <w:t xml:space="preserve"> treść nakazu zapłaty</w:t>
      </w:r>
      <w:r w:rsidR="006F03BB">
        <w:t>. Wobec tego zasadn</w:t>
      </w:r>
      <w:r w:rsidR="002F5A93">
        <w:t>e</w:t>
      </w:r>
      <w:r w:rsidR="006F03BB">
        <w:t xml:space="preserve"> jest wydłużenie terminu do wniesienia zarzutów od nakazu zapłaty wydanego w postępowaniu nakazowym dla </w:t>
      </w:r>
      <w:r w:rsidR="006F03BB">
        <w:lastRenderedPageBreak/>
        <w:t xml:space="preserve">wszystkich pozwanych. Rozwiązanie takie może przyczynić się również do szybszego rozpoznawania spraw, bowiem w takim </w:t>
      </w:r>
      <w:r w:rsidR="002F5A93">
        <w:t>prz</w:t>
      </w:r>
      <w:r w:rsidR="006F03BB">
        <w:t xml:space="preserve">ypadku na sądzie nie będzie ciążył ww. obowiązek zmiany nakazu zapłaty oraz </w:t>
      </w:r>
      <w:r w:rsidR="006F03BB" w:rsidRPr="0069009E">
        <w:t>korygowania dotychczas podejmowanych czynności w sprawie w sytuacji</w:t>
      </w:r>
      <w:r w:rsidR="002F5A93">
        <w:t>, w</w:t>
      </w:r>
      <w:r w:rsidR="006F03BB" w:rsidRPr="0069009E">
        <w:t xml:space="preserve"> której w toku postępowania okazało</w:t>
      </w:r>
      <w:r w:rsidR="00304178">
        <w:t>by</w:t>
      </w:r>
      <w:r w:rsidR="006F03BB" w:rsidRPr="0069009E">
        <w:t xml:space="preserve"> się, że z uwagi na status pozwanego</w:t>
      </w:r>
      <w:r w:rsidR="002C5E99">
        <w:t>,</w:t>
      </w:r>
      <w:r w:rsidR="006F03BB" w:rsidRPr="0069009E">
        <w:t xml:space="preserve"> należało zastosować inny</w:t>
      </w:r>
      <w:r w:rsidR="00D51E3B">
        <w:t xml:space="preserve"> z</w:t>
      </w:r>
      <w:r w:rsidR="006F03BB" w:rsidRPr="0069009E">
        <w:t xml:space="preserve"> termin</w:t>
      </w:r>
      <w:r w:rsidR="00D51E3B">
        <w:t>ów, o których</w:t>
      </w:r>
      <w:r w:rsidR="006F03BB" w:rsidRPr="0069009E">
        <w:t xml:space="preserve"> mowa w projektowanym art. 480</w:t>
      </w:r>
      <w:r w:rsidR="006F03BB" w:rsidRPr="0069009E">
        <w:rPr>
          <w:vertAlign w:val="superscript"/>
        </w:rPr>
        <w:t>2</w:t>
      </w:r>
      <w:r w:rsidR="006F03BB" w:rsidRPr="0069009E">
        <w:t xml:space="preserve"> </w:t>
      </w:r>
      <w:r w:rsidR="006F03BB" w:rsidRPr="0069009E">
        <w:rPr>
          <w:rFonts w:cs="Times New Roman"/>
        </w:rPr>
        <w:t>§</w:t>
      </w:r>
      <w:r w:rsidR="006F03BB" w:rsidRPr="0069009E">
        <w:t xml:space="preserve"> 2 k.p.c.</w:t>
      </w:r>
    </w:p>
    <w:p w14:paraId="5A5BC004" w14:textId="395E30CE" w:rsidR="000A2998" w:rsidRPr="0069009E" w:rsidRDefault="000A2998" w:rsidP="00036EC3">
      <w:pPr>
        <w:ind w:firstLine="708"/>
        <w:jc w:val="both"/>
        <w:rPr>
          <w:rFonts w:cs="Times New Roman"/>
        </w:rPr>
      </w:pPr>
      <w:r w:rsidRPr="0069009E">
        <w:rPr>
          <w:rFonts w:cs="Times New Roman"/>
        </w:rPr>
        <w:t xml:space="preserve">Wydłużenie terminu do wniesienia zarzutów od nakazu zapłaty wydanego w postępowaniu nakazowym dla wszystkich pozwanych, w tym np. przedsiębiorców w sporach z innymi przedsiębiorcami, nie zagrozi </w:t>
      </w:r>
      <w:r w:rsidR="00304178">
        <w:rPr>
          <w:rFonts w:cs="Times New Roman"/>
        </w:rPr>
        <w:t xml:space="preserve">przy tym </w:t>
      </w:r>
      <w:r w:rsidRPr="0069009E">
        <w:rPr>
          <w:rFonts w:cs="Times New Roman"/>
        </w:rPr>
        <w:t xml:space="preserve">w żaden sposób interesom powodów. Zauważyć bowiem należy, że zgodnie z art. </w:t>
      </w:r>
      <w:r w:rsidR="0069009E" w:rsidRPr="0069009E">
        <w:rPr>
          <w:rFonts w:cs="Times New Roman"/>
        </w:rPr>
        <w:t xml:space="preserve">492 § 1 k.p.c. </w:t>
      </w:r>
      <w:r w:rsidR="0069009E" w:rsidRPr="0069009E">
        <w:rPr>
          <w:rFonts w:cs="Times New Roman"/>
          <w:shd w:val="clear" w:color="auto" w:fill="FFFFFF"/>
        </w:rPr>
        <w:t>nakaz zapłaty wydany w postępowaniu nakazowym z chwilą wydania stanowi tytuł zabezpieczenia, wykonalny bez nadawania mu klauzuli wykonalności.</w:t>
      </w:r>
      <w:r w:rsidR="0069009E">
        <w:rPr>
          <w:rFonts w:cs="Times New Roman"/>
          <w:shd w:val="clear" w:color="auto" w:fill="FFFFFF"/>
        </w:rPr>
        <w:t xml:space="preserve"> Wobec tego w </w:t>
      </w:r>
      <w:r w:rsidR="00C67835">
        <w:rPr>
          <w:rFonts w:cs="Times New Roman"/>
          <w:shd w:val="clear" w:color="auto" w:fill="FFFFFF"/>
        </w:rPr>
        <w:t>przypadku,</w:t>
      </w:r>
      <w:r w:rsidR="0069009E">
        <w:rPr>
          <w:rFonts w:cs="Times New Roman"/>
          <w:shd w:val="clear" w:color="auto" w:fill="FFFFFF"/>
        </w:rPr>
        <w:t xml:space="preserve"> gdyby powód miał obawy, ż</w:t>
      </w:r>
      <w:r w:rsidR="002F5A93">
        <w:rPr>
          <w:rFonts w:cs="Times New Roman"/>
          <w:shd w:val="clear" w:color="auto" w:fill="FFFFFF"/>
        </w:rPr>
        <w:t>e</w:t>
      </w:r>
      <w:r w:rsidR="0069009E">
        <w:rPr>
          <w:rFonts w:cs="Times New Roman"/>
          <w:shd w:val="clear" w:color="auto" w:fill="FFFFFF"/>
        </w:rPr>
        <w:t xml:space="preserve"> pozwany w tym wydłużonym miesięcznym terminie mógłby </w:t>
      </w:r>
      <w:r w:rsidR="00304178">
        <w:rPr>
          <w:rFonts w:cs="Times New Roman"/>
          <w:shd w:val="clear" w:color="auto" w:fill="FFFFFF"/>
        </w:rPr>
        <w:t xml:space="preserve">np. </w:t>
      </w:r>
      <w:r w:rsidR="0069009E">
        <w:rPr>
          <w:rFonts w:cs="Times New Roman"/>
          <w:shd w:val="clear" w:color="auto" w:fill="FFFFFF"/>
        </w:rPr>
        <w:t>próbować podejmować czynności mające w konsekwencji utrudnić egzekucję należnych powodowi kwot, będzie on mógł zabezpieczyć swoje roszczenia na podstawie samego nakazu zapłaty do momentu jeg</w:t>
      </w:r>
      <w:r w:rsidR="00383296">
        <w:rPr>
          <w:rFonts w:cs="Times New Roman"/>
          <w:shd w:val="clear" w:color="auto" w:fill="FFFFFF"/>
        </w:rPr>
        <w:t>o ewentualnego uprawomocnienia.</w:t>
      </w:r>
    </w:p>
    <w:p w14:paraId="0CE22EF3" w14:textId="4665B9E8" w:rsidR="00036EC3" w:rsidRDefault="00250AC0" w:rsidP="00036EC3">
      <w:pPr>
        <w:ind w:firstLine="708"/>
        <w:jc w:val="both"/>
      </w:pPr>
      <w:r w:rsidRPr="00734F14">
        <w:t xml:space="preserve">Rozwiązanie to ma </w:t>
      </w:r>
      <w:r w:rsidR="006F03BB">
        <w:t>również</w:t>
      </w:r>
      <w:r w:rsidRPr="00734F14">
        <w:t xml:space="preserve"> dać </w:t>
      </w:r>
      <w:r w:rsidR="00942D18" w:rsidRPr="00734F14">
        <w:t>pozwanemu</w:t>
      </w:r>
      <w:r w:rsidR="000A2998">
        <w:t>, w tym konsumentowi,</w:t>
      </w:r>
      <w:r w:rsidR="00942D18" w:rsidRPr="00734F14">
        <w:t xml:space="preserve"> </w:t>
      </w:r>
      <w:r w:rsidRPr="00734F14">
        <w:t xml:space="preserve">czas </w:t>
      </w:r>
      <w:r w:rsidR="003E1FB0">
        <w:t>na</w:t>
      </w:r>
      <w:r w:rsidR="003E1FB0" w:rsidRPr="00734F14">
        <w:t xml:space="preserve"> dokładn</w:t>
      </w:r>
      <w:r w:rsidR="003E1FB0">
        <w:t>ą</w:t>
      </w:r>
      <w:r w:rsidR="003E1FB0" w:rsidRPr="00734F14">
        <w:t xml:space="preserve"> </w:t>
      </w:r>
      <w:r w:rsidR="003E1FB0">
        <w:t xml:space="preserve">analizę pozwu i załączników, </w:t>
      </w:r>
      <w:r w:rsidR="00EB5CE6">
        <w:t xml:space="preserve">wśród </w:t>
      </w:r>
      <w:r w:rsidR="003E1FB0">
        <w:t>który</w:t>
      </w:r>
      <w:r w:rsidR="00EB5CE6">
        <w:t>ch,</w:t>
      </w:r>
      <w:r w:rsidR="003E1FB0" w:rsidRPr="00734F14">
        <w:t xml:space="preserve"> zgodnie z projektowaną zmianą art. 485 </w:t>
      </w:r>
      <w:r w:rsidR="003E1FB0" w:rsidRPr="00734F14">
        <w:rPr>
          <w:rFonts w:cs="Times New Roman"/>
        </w:rPr>
        <w:t>§</w:t>
      </w:r>
      <w:r w:rsidR="003E1FB0" w:rsidRPr="00734F14">
        <w:t xml:space="preserve"> 2 k.p.c., będzie również umowa</w:t>
      </w:r>
      <w:r w:rsidR="00C67835">
        <w:t>, z której wynika roszczenie</w:t>
      </w:r>
      <w:r w:rsidR="001D26AF">
        <w:t xml:space="preserve"> zabezpieczon</w:t>
      </w:r>
      <w:r w:rsidR="00C67835">
        <w:t>e</w:t>
      </w:r>
      <w:r w:rsidR="001D26AF">
        <w:t xml:space="preserve"> wekslem</w:t>
      </w:r>
      <w:r w:rsidR="00C855EF">
        <w:t>.</w:t>
      </w:r>
      <w:r w:rsidR="003E1FB0">
        <w:t xml:space="preserve"> Pozwany będzie miał również możliwość zapoznania się z pouczeniami</w:t>
      </w:r>
      <w:r w:rsidR="00204324">
        <w:t xml:space="preserve"> doręczanymi przez sąd wraz z odpisem nakazu zapłaty</w:t>
      </w:r>
      <w:r w:rsidR="003E1FB0">
        <w:t xml:space="preserve"> </w:t>
      </w:r>
      <w:r w:rsidR="00036EC3">
        <w:t>i w konsekwencji</w:t>
      </w:r>
      <w:r w:rsidRPr="00734F14">
        <w:t xml:space="preserve"> prawidłowe</w:t>
      </w:r>
      <w:r w:rsidR="003E1FB0">
        <w:t>go</w:t>
      </w:r>
      <w:r w:rsidRPr="00734F14">
        <w:t xml:space="preserve"> sporządz</w:t>
      </w:r>
      <w:r w:rsidR="003E1FB0">
        <w:t>enia zarzutów od nakazu zapłaty</w:t>
      </w:r>
      <w:r w:rsidRPr="00734F14">
        <w:t xml:space="preserve">. </w:t>
      </w:r>
    </w:p>
    <w:p w14:paraId="5C2FDD6B" w14:textId="6D831D49" w:rsidR="00ED2FC9" w:rsidRDefault="00250AC0" w:rsidP="00036EC3">
      <w:pPr>
        <w:ind w:firstLine="708"/>
        <w:jc w:val="both"/>
      </w:pPr>
      <w:r w:rsidRPr="00734F14">
        <w:t xml:space="preserve">Niewątpliwie </w:t>
      </w:r>
      <w:r w:rsidR="009335DC" w:rsidRPr="00734F14">
        <w:t xml:space="preserve">podstawowy </w:t>
      </w:r>
      <w:r w:rsidRPr="00734F14">
        <w:t>okres miesiąca</w:t>
      </w:r>
      <w:r w:rsidR="00481A4B">
        <w:t xml:space="preserve"> na zaskarżenie nakazu zapłaty wydanego w postępowaniu nakazowym</w:t>
      </w:r>
      <w:r w:rsidRPr="00734F14">
        <w:t xml:space="preserve">, zamiast dwóch tygodni, umożliwi </w:t>
      </w:r>
      <w:r w:rsidR="000A2998">
        <w:t>wszystkim pozwanym lepsze</w:t>
      </w:r>
      <w:r w:rsidRPr="00734F14">
        <w:t xml:space="preserve"> przygotowanie zarzutów od nakazu zapłaty pod względem formalnym i merytorycznym. </w:t>
      </w:r>
      <w:r w:rsidR="009335DC" w:rsidRPr="00734F14">
        <w:t xml:space="preserve">Wydłużenie terminu </w:t>
      </w:r>
      <w:r w:rsidR="005B1AE6">
        <w:t>na</w:t>
      </w:r>
      <w:r w:rsidR="009335DC" w:rsidRPr="00734F14">
        <w:t xml:space="preserve"> wniesieni</w:t>
      </w:r>
      <w:r w:rsidR="005B1AE6">
        <w:t>e</w:t>
      </w:r>
      <w:r w:rsidR="009335DC" w:rsidRPr="00734F14">
        <w:t xml:space="preserve"> zarzutów od nakazu zapłaty sprawi, że pozwany będzie miał</w:t>
      </w:r>
      <w:r w:rsidR="002D7E40" w:rsidRPr="00734F14">
        <w:t xml:space="preserve"> również</w:t>
      </w:r>
      <w:r w:rsidR="009335DC" w:rsidRPr="00734F14">
        <w:t xml:space="preserve"> czas na zgromadzenie środków na opłatę sądową od zarzutów do nakazu zapłaty, </w:t>
      </w:r>
      <w:r w:rsidR="00036EC3">
        <w:t xml:space="preserve">która zgodnie z art. </w:t>
      </w:r>
      <w:r w:rsidR="00CA4479">
        <w:t>6</w:t>
      </w:r>
      <w:r w:rsidR="0008323B">
        <w:t xml:space="preserve"> </w:t>
      </w:r>
      <w:r w:rsidR="00036EC3">
        <w:t>projektu</w:t>
      </w:r>
      <w:r w:rsidR="009335DC" w:rsidRPr="00734F14">
        <w:t xml:space="preserve"> nie przekroczy </w:t>
      </w:r>
      <w:r w:rsidR="002D7E40" w:rsidRPr="00734F14">
        <w:t>kwoty 750 zł</w:t>
      </w:r>
      <w:r w:rsidR="00363D8E">
        <w:t>,</w:t>
      </w:r>
      <w:r w:rsidR="00383296">
        <w:t xml:space="preserve"> w sytuacji gdy pozwanym będzie konsument</w:t>
      </w:r>
      <w:r w:rsidR="002D7E40" w:rsidRPr="00734F14">
        <w:t>. W przypadku braku takich środków, pozwany</w:t>
      </w:r>
      <w:r w:rsidR="000A2998">
        <w:t>-konsument</w:t>
      </w:r>
      <w:r w:rsidR="002D7E40" w:rsidRPr="00734F14">
        <w:t xml:space="preserve"> będzie mógł zgromadzić dokumenty uzasadniające ewentualny wniosek o zwolnienie go od ponoszenia kosztów sądowych.</w:t>
      </w:r>
    </w:p>
    <w:p w14:paraId="334E341A" w14:textId="671B5679" w:rsidR="00321659" w:rsidRDefault="004171D8" w:rsidP="002116BE">
      <w:pPr>
        <w:ind w:firstLine="708"/>
        <w:jc w:val="both"/>
      </w:pPr>
      <w:r>
        <w:t>W</w:t>
      </w:r>
      <w:r w:rsidR="00AB13A7">
        <w:t>ydłużenie terminu do wniesienia zarzutów od nakazu zapłaty w zakładanym zakresie spraw nie spowoduje nadmiernego wydłużenia ich rozpoznawania</w:t>
      </w:r>
      <w:r w:rsidR="00B52433">
        <w:t xml:space="preserve"> i nie wpłynie </w:t>
      </w:r>
      <w:r>
        <w:t>istotnie</w:t>
      </w:r>
      <w:r w:rsidR="00B52433">
        <w:t xml:space="preserve"> na średnią długość rozpoznawania spraw przez sądy w postępowaniu cywilnym</w:t>
      </w:r>
      <w:r w:rsidR="00AB13A7">
        <w:t xml:space="preserve">. </w:t>
      </w:r>
      <w:r w:rsidR="00036EC3">
        <w:t>Wręcz przeciwnie</w:t>
      </w:r>
      <w:r w:rsidR="00AB13A7">
        <w:t>, może przyczynić się do ich szybszego rozpoznania</w:t>
      </w:r>
      <w:r w:rsidR="00363D8E">
        <w:t>,</w:t>
      </w:r>
      <w:r w:rsidR="00AB13A7">
        <w:t xml:space="preserve"> w przypadku gdy pozwany skorzysta z przysługującego mu prawa do wniesienia zarzutów od nakazu zapłaty w terminie </w:t>
      </w:r>
      <w:r w:rsidR="00AB13A7">
        <w:lastRenderedPageBreak/>
        <w:t>miesiąca, z uwagi na oczekiwaną poprawę ich spor</w:t>
      </w:r>
      <w:r w:rsidR="00383296">
        <w:t xml:space="preserve">ządzania pod względem formalnym, a </w:t>
      </w:r>
      <w:r w:rsidR="000A2998">
        <w:t>w przypadku konsument</w:t>
      </w:r>
      <w:r w:rsidR="00383296">
        <w:t>ów zobowiązanych</w:t>
      </w:r>
      <w:r w:rsidR="000A2998">
        <w:t xml:space="preserve"> z </w:t>
      </w:r>
      <w:r w:rsidR="00C67835">
        <w:t xml:space="preserve">weksla </w:t>
      </w:r>
      <w:r w:rsidR="00363D8E">
        <w:t>–</w:t>
      </w:r>
      <w:r w:rsidR="00EB5CE6">
        <w:t xml:space="preserve"> także z uwagi na </w:t>
      </w:r>
      <w:r w:rsidR="00AB13A7">
        <w:t>możliwoś</w:t>
      </w:r>
      <w:r w:rsidR="00EB5CE6">
        <w:t>ć</w:t>
      </w:r>
      <w:r w:rsidR="00AB13A7">
        <w:t xml:space="preserve"> zajęcia </w:t>
      </w:r>
      <w:r w:rsidR="00351E4F">
        <w:t>stanowiska</w:t>
      </w:r>
      <w:r w:rsidR="00AB13A7">
        <w:t xml:space="preserve"> co do umowy podstawowej</w:t>
      </w:r>
      <w:r w:rsidR="0007161F">
        <w:t>, z której wynika roszczenie</w:t>
      </w:r>
      <w:r w:rsidR="00AB13A7">
        <w:t xml:space="preserve"> zabezpieczone wekslem</w:t>
      </w:r>
      <w:r w:rsidR="00351E4F">
        <w:t xml:space="preserve"> już na </w:t>
      </w:r>
      <w:r w:rsidR="00036EC3">
        <w:t>początkowym</w:t>
      </w:r>
      <w:r w:rsidR="00351E4F">
        <w:t xml:space="preserve"> etapie postępowania</w:t>
      </w:r>
      <w:r w:rsidR="00AB13A7">
        <w:t>.</w:t>
      </w:r>
      <w:r w:rsidR="00351E4F">
        <w:t xml:space="preserve"> Można </w:t>
      </w:r>
      <w:r w:rsidR="00F75E43">
        <w:t>założyć</w:t>
      </w:r>
      <w:r w:rsidR="00351E4F">
        <w:t xml:space="preserve">, że sąd </w:t>
      </w:r>
      <w:r w:rsidR="00383296">
        <w:t>za</w:t>
      </w:r>
      <w:r w:rsidR="00351E4F">
        <w:t>pozna</w:t>
      </w:r>
      <w:r w:rsidR="00383296">
        <w:t xml:space="preserve"> się z</w:t>
      </w:r>
      <w:r w:rsidR="00351E4F">
        <w:t xml:space="preserve"> </w:t>
      </w:r>
      <w:r w:rsidR="00383296">
        <w:t>większością</w:t>
      </w:r>
      <w:r w:rsidR="00036EC3">
        <w:t xml:space="preserve"> argumentów</w:t>
      </w:r>
      <w:r w:rsidR="00351E4F">
        <w:t xml:space="preserve"> stron już po analizie dwóch pierwszych pism procesowych w sprawie, tj. pozwu oraz zarzutów od nakazu zapłaty</w:t>
      </w:r>
      <w:r w:rsidR="00B52433">
        <w:t>, co zdecydowani</w:t>
      </w:r>
      <w:r w:rsidR="005B1AE6">
        <w:t>e</w:t>
      </w:r>
      <w:r w:rsidR="00B52433">
        <w:t xml:space="preserve"> ułatwi i przyspieszy procedowanie w dalszym toku sprawy</w:t>
      </w:r>
      <w:r w:rsidR="00351E4F">
        <w:t>.</w:t>
      </w:r>
      <w:r w:rsidR="00AB13A7">
        <w:t xml:space="preserve"> </w:t>
      </w:r>
    </w:p>
    <w:p w14:paraId="5A31A84E" w14:textId="2E1E8FCB" w:rsidR="00345CCA" w:rsidRDefault="00363D8E" w:rsidP="002116BE">
      <w:pPr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Pon</w:t>
      </w:r>
      <w:r w:rsidR="00D26227">
        <w:rPr>
          <w:rFonts w:cs="Times New Roman"/>
          <w:szCs w:val="24"/>
        </w:rPr>
        <w:t>adto f</w:t>
      </w:r>
      <w:r w:rsidR="00D26227" w:rsidRPr="0009240A">
        <w:rPr>
          <w:rFonts w:cs="Times New Roman"/>
          <w:szCs w:val="24"/>
        </w:rPr>
        <w:t>aktycznie już teraz sądy stosują prounijną wykładnię przepisów k</w:t>
      </w:r>
      <w:r w:rsidR="00D26227">
        <w:rPr>
          <w:rFonts w:cs="Times New Roman"/>
          <w:szCs w:val="24"/>
        </w:rPr>
        <w:t>.</w:t>
      </w:r>
      <w:r w:rsidR="00D26227" w:rsidRPr="0009240A">
        <w:rPr>
          <w:rFonts w:cs="Times New Roman"/>
          <w:szCs w:val="24"/>
        </w:rPr>
        <w:t>p</w:t>
      </w:r>
      <w:r w:rsidR="00D26227">
        <w:rPr>
          <w:rFonts w:cs="Times New Roman"/>
          <w:szCs w:val="24"/>
        </w:rPr>
        <w:t>.</w:t>
      </w:r>
      <w:r w:rsidR="00D26227" w:rsidRPr="0009240A">
        <w:rPr>
          <w:rFonts w:cs="Times New Roman"/>
          <w:szCs w:val="24"/>
        </w:rPr>
        <w:t>c</w:t>
      </w:r>
      <w:r w:rsidR="00D26227">
        <w:rPr>
          <w:rFonts w:cs="Times New Roman"/>
          <w:szCs w:val="24"/>
        </w:rPr>
        <w:t>.,</w:t>
      </w:r>
      <w:r w:rsidR="00D26227" w:rsidRPr="0009240A">
        <w:rPr>
          <w:rFonts w:cs="Times New Roman"/>
          <w:szCs w:val="24"/>
        </w:rPr>
        <w:t xml:space="preserve"> tj. </w:t>
      </w:r>
      <w:r w:rsidR="00D26227">
        <w:rPr>
          <w:rFonts w:cs="Times New Roman"/>
          <w:szCs w:val="24"/>
        </w:rPr>
        <w:t>interpretację</w:t>
      </w:r>
      <w:r w:rsidR="00D26227" w:rsidRPr="0009240A">
        <w:rPr>
          <w:rFonts w:cs="Times New Roman"/>
          <w:szCs w:val="24"/>
        </w:rPr>
        <w:t xml:space="preserve"> zmienianych przepisów w zgodzie z wykładnią wskazaną przez TSUE, </w:t>
      </w:r>
      <w:r w:rsidR="0007161F" w:rsidRPr="0009240A">
        <w:rPr>
          <w:rFonts w:cs="Times New Roman"/>
          <w:szCs w:val="24"/>
        </w:rPr>
        <w:t>i albo</w:t>
      </w:r>
      <w:r w:rsidR="00205B24">
        <w:rPr>
          <w:rFonts w:cs="Times New Roman"/>
          <w:szCs w:val="24"/>
        </w:rPr>
        <w:t xml:space="preserve"> kierują na rozprawę </w:t>
      </w:r>
      <w:r w:rsidR="00D26227" w:rsidRPr="0009240A">
        <w:rPr>
          <w:rFonts w:cs="Times New Roman"/>
          <w:szCs w:val="24"/>
        </w:rPr>
        <w:t>sprawy o zapłatę na podstawie weksla, gdy pozwanym jest konsument</w:t>
      </w:r>
      <w:r>
        <w:rPr>
          <w:rFonts w:cs="Times New Roman"/>
          <w:szCs w:val="24"/>
        </w:rPr>
        <w:t>,</w:t>
      </w:r>
      <w:r w:rsidR="00D26227" w:rsidRPr="0009240A">
        <w:rPr>
          <w:rFonts w:cs="Times New Roman"/>
          <w:szCs w:val="24"/>
        </w:rPr>
        <w:t xml:space="preserve"> albo wzywają powoda do przedłożenia umowy podstawowej. W konsekwencji projekt</w:t>
      </w:r>
      <w:r>
        <w:rPr>
          <w:rFonts w:cs="Times New Roman"/>
          <w:szCs w:val="24"/>
        </w:rPr>
        <w:t>,</w:t>
      </w:r>
      <w:r w:rsidR="00D26227" w:rsidRPr="0009240A">
        <w:rPr>
          <w:rFonts w:cs="Times New Roman"/>
          <w:szCs w:val="24"/>
        </w:rPr>
        <w:t xml:space="preserve"> ujednolic</w:t>
      </w:r>
      <w:r w:rsidR="00D26227">
        <w:rPr>
          <w:rFonts w:cs="Times New Roman"/>
          <w:szCs w:val="24"/>
        </w:rPr>
        <w:t>ając</w:t>
      </w:r>
      <w:r w:rsidR="00D26227" w:rsidRPr="0009240A">
        <w:rPr>
          <w:rFonts w:cs="Times New Roman"/>
          <w:szCs w:val="24"/>
        </w:rPr>
        <w:t xml:space="preserve"> przyjęte już teraz sposoby procedowania przez sądy w tego typu sprawach</w:t>
      </w:r>
      <w:r>
        <w:rPr>
          <w:rFonts w:cs="Times New Roman"/>
          <w:szCs w:val="24"/>
        </w:rPr>
        <w:t>,</w:t>
      </w:r>
      <w:r w:rsidR="00D26227" w:rsidRPr="0009240A">
        <w:rPr>
          <w:rFonts w:cs="Times New Roman"/>
          <w:szCs w:val="24"/>
        </w:rPr>
        <w:t xml:space="preserve"> tylko przyspieszy bieg postępowań w tej kategorii spraw.</w:t>
      </w:r>
    </w:p>
    <w:p w14:paraId="3E129087" w14:textId="03002376" w:rsidR="00345CCA" w:rsidRPr="002419CE" w:rsidRDefault="00B64449" w:rsidP="002C56FC">
      <w:pPr>
        <w:spacing w:before="120"/>
        <w:ind w:firstLine="709"/>
        <w:jc w:val="both"/>
      </w:pPr>
      <w:r>
        <w:t>U</w:t>
      </w:r>
      <w:r w:rsidRPr="00CA7584">
        <w:t>staw</w:t>
      </w:r>
      <w:r>
        <w:t>ą</w:t>
      </w:r>
      <w:r w:rsidRPr="00CA7584">
        <w:t xml:space="preserve"> z dnia 4 lipca 2019 r. </w:t>
      </w:r>
      <w:r w:rsidRPr="009961AA">
        <w:t xml:space="preserve">o zmianie ustawy </w:t>
      </w:r>
      <w:r w:rsidR="00363D8E" w:rsidRPr="009961AA">
        <w:t>–</w:t>
      </w:r>
      <w:r w:rsidRPr="009961AA">
        <w:t xml:space="preserve"> Kodeks postępowania cywilnego oraz niektórych innych ustaw</w:t>
      </w:r>
      <w:r w:rsidRPr="00CA7584">
        <w:t xml:space="preserve"> (Dz. U. poz. 1469 </w:t>
      </w:r>
      <w:r w:rsidR="00D76D4E">
        <w:t>i 2089 oraz z 2020 r. poz. 1086</w:t>
      </w:r>
      <w:r w:rsidRPr="00CA7584">
        <w:t>)</w:t>
      </w:r>
      <w:r w:rsidR="00D76D4E" w:rsidRPr="00D76D4E">
        <w:rPr>
          <w:rFonts w:ascii="Arial" w:hAnsi="Arial"/>
          <w:color w:val="333333"/>
          <w:sz w:val="18"/>
          <w:szCs w:val="18"/>
          <w:shd w:val="clear" w:color="auto" w:fill="FFFFFF"/>
        </w:rPr>
        <w:t xml:space="preserve"> </w:t>
      </w:r>
      <w:r>
        <w:t xml:space="preserve"> wprowadzono art.</w:t>
      </w:r>
      <w:r w:rsidR="00363D8E">
        <w:t> </w:t>
      </w:r>
      <w:r>
        <w:t>480</w:t>
      </w:r>
      <w:r>
        <w:rPr>
          <w:vertAlign w:val="superscript"/>
        </w:rPr>
        <w:t>2</w:t>
      </w:r>
      <w:r>
        <w:t xml:space="preserve"> k.p.c.</w:t>
      </w:r>
      <w:r w:rsidR="00FC18D9">
        <w:t>, w którym przewidziane zostały</w:t>
      </w:r>
      <w:r>
        <w:t xml:space="preserve"> trzy różne terminy </w:t>
      </w:r>
      <w:r w:rsidRPr="002419CE">
        <w:t>do wnoszenia środków zaskarżenia w postępowaniach nakazowym i upominawczym, tj. dwutygodniowy, miesięczny i nie krótszy niż trzy miesiące</w:t>
      </w:r>
      <w:r w:rsidR="002419CE" w:rsidRPr="002419CE">
        <w:t>, przy czym ostatni z tych terminów w niniejszym projekcie ulegnie zmianie przez jego sztywne określenie na trzy miesiące</w:t>
      </w:r>
      <w:r w:rsidRPr="002419CE">
        <w:t xml:space="preserve">. </w:t>
      </w:r>
      <w:r w:rsidR="005A11D0">
        <w:t>W pierwotnym brzmieniu art.</w:t>
      </w:r>
      <w:r w:rsidR="00363D8E">
        <w:t> </w:t>
      </w:r>
      <w:r w:rsidR="005A11D0">
        <w:t>480</w:t>
      </w:r>
      <w:r w:rsidR="005A11D0">
        <w:rPr>
          <w:vertAlign w:val="superscript"/>
        </w:rPr>
        <w:t>2</w:t>
      </w:r>
      <w:r w:rsidR="005A11D0">
        <w:t xml:space="preserve"> k.p.c. t</w:t>
      </w:r>
      <w:r w:rsidRPr="002419CE">
        <w:t>ermin do wniesienia środka zaskarżenia</w:t>
      </w:r>
      <w:r w:rsidR="005A11D0">
        <w:t xml:space="preserve"> uzależniony został od miejsca</w:t>
      </w:r>
      <w:r w:rsidR="00EB5CE6">
        <w:t>,</w:t>
      </w:r>
      <w:r w:rsidR="005A11D0">
        <w:t xml:space="preserve"> gdzie pozwany ma siedzibę lub miejsce zamieszkania, a </w:t>
      </w:r>
      <w:r w:rsidRPr="002419CE">
        <w:t xml:space="preserve">w </w:t>
      </w:r>
      <w:r w:rsidR="0007161F">
        <w:t>przypadku</w:t>
      </w:r>
      <w:r w:rsidR="005A11D0">
        <w:t xml:space="preserve"> gdy doręczenie ma nastąpić poza terytorium Unii Europejskiej, od </w:t>
      </w:r>
      <w:r w:rsidR="00FB2C95">
        <w:t>miejsca,</w:t>
      </w:r>
      <w:r w:rsidR="005A11D0">
        <w:t xml:space="preserve"> w </w:t>
      </w:r>
      <w:r w:rsidRPr="002419CE">
        <w:t xml:space="preserve">którym </w:t>
      </w:r>
      <w:r w:rsidR="002419CE" w:rsidRPr="002419CE">
        <w:t>ma</w:t>
      </w:r>
      <w:r w:rsidRPr="002419CE">
        <w:t xml:space="preserve"> zostać doręczony </w:t>
      </w:r>
      <w:r w:rsidR="002419CE" w:rsidRPr="002419CE">
        <w:t>nakaz</w:t>
      </w:r>
      <w:r w:rsidRPr="002419CE">
        <w:t xml:space="preserve"> zapłaty pozwanemu.</w:t>
      </w:r>
      <w:r w:rsidR="005A11D0">
        <w:t xml:space="preserve"> Powyższa niespójność polegająca na tym, że w pewnych przypadkach ustawodawca posłużył się pojęciem siedziby i zamieszkania, a w ostatnim miejscem doręczenia, została wyeliminowana przez</w:t>
      </w:r>
      <w:r w:rsidR="00C54FF6">
        <w:t xml:space="preserve"> nowe</w:t>
      </w:r>
      <w:r w:rsidR="005A11D0">
        <w:t xml:space="preserve"> brzmienie projektowanego art. 480</w:t>
      </w:r>
      <w:r w:rsidR="005A11D0">
        <w:rPr>
          <w:vertAlign w:val="superscript"/>
        </w:rPr>
        <w:t>2</w:t>
      </w:r>
      <w:r w:rsidR="005A11D0">
        <w:t xml:space="preserve"> </w:t>
      </w:r>
      <w:r w:rsidR="005A11D0">
        <w:rPr>
          <w:rFonts w:cs="Times New Roman"/>
        </w:rPr>
        <w:t>§</w:t>
      </w:r>
      <w:r w:rsidR="005A11D0">
        <w:t xml:space="preserve"> 2 k.p.c.</w:t>
      </w:r>
      <w:r w:rsidR="00C54FF6">
        <w:t>, gdzie jednolicie posłużono się pojęciem miejsca</w:t>
      </w:r>
      <w:r w:rsidR="00EB5CE6">
        <w:t>,</w:t>
      </w:r>
      <w:r w:rsidR="00C54FF6">
        <w:t xml:space="preserve"> gdzie pozwanemu ma zostać doręczony nakaz zapłaty.</w:t>
      </w:r>
    </w:p>
    <w:p w14:paraId="693F5CDD" w14:textId="6B9C4B52" w:rsidR="002419CE" w:rsidRPr="00701F76" w:rsidRDefault="00FC18D9" w:rsidP="002C56FC">
      <w:pPr>
        <w:ind w:firstLine="709"/>
        <w:jc w:val="both"/>
      </w:pPr>
      <w:r>
        <w:t>N</w:t>
      </w:r>
      <w:r w:rsidR="002419CE" w:rsidRPr="002419CE">
        <w:t>a etapie doręczania nakazu zapłaty sąd może powziąć informacj</w:t>
      </w:r>
      <w:r>
        <w:t>ę</w:t>
      </w:r>
      <w:r w:rsidR="002419CE" w:rsidRPr="002419CE">
        <w:t>, że pozwany ma inny adres do d</w:t>
      </w:r>
      <w:r>
        <w:t>oręczeń niż wskazany w pozwie,</w:t>
      </w:r>
      <w:r w:rsidR="002419CE" w:rsidRPr="002419CE">
        <w:t xml:space="preserve"> który będzie skutkował koniecznością zmiany nakazu zapłaty w zakresie term</w:t>
      </w:r>
      <w:r w:rsidR="002419CE" w:rsidRPr="002419CE">
        <w:rPr>
          <w:rFonts w:cs="Times New Roman"/>
          <w:szCs w:val="24"/>
        </w:rPr>
        <w:t xml:space="preserve">inu do </w:t>
      </w:r>
      <w:r w:rsidR="002419CE" w:rsidRPr="002419CE">
        <w:rPr>
          <w:rFonts w:cs="Times New Roman"/>
          <w:szCs w:val="24"/>
          <w:shd w:val="clear" w:color="auto" w:fill="FFFFFF"/>
        </w:rPr>
        <w:t>zaspokojenia roszczenia albo wniesienia środka zaskarżenia.</w:t>
      </w:r>
      <w:r w:rsidR="002419CE">
        <w:rPr>
          <w:rFonts w:cs="Times New Roman"/>
          <w:szCs w:val="24"/>
          <w:shd w:val="clear" w:color="auto" w:fill="FFFFFF"/>
        </w:rPr>
        <w:t xml:space="preserve"> W obecnym brzmieni</w:t>
      </w:r>
      <w:r w:rsidR="00FD2500">
        <w:rPr>
          <w:rFonts w:cs="Times New Roman"/>
          <w:szCs w:val="24"/>
          <w:shd w:val="clear" w:color="auto" w:fill="FFFFFF"/>
        </w:rPr>
        <w:t>u k.p.c. brak jest</w:t>
      </w:r>
      <w:r w:rsidR="002419CE">
        <w:rPr>
          <w:rFonts w:cs="Times New Roman"/>
          <w:szCs w:val="24"/>
          <w:shd w:val="clear" w:color="auto" w:fill="FFFFFF"/>
        </w:rPr>
        <w:t xml:space="preserve"> podstawy do zmiany nakazu zapłaty w takiej w sytuacji, taka możliwość nie została również przewidziana ww. ustawą z 4 lipca 2019</w:t>
      </w:r>
      <w:r w:rsidR="001377DA">
        <w:rPr>
          <w:rFonts w:cs="Times New Roman"/>
          <w:szCs w:val="24"/>
          <w:shd w:val="clear" w:color="auto" w:fill="FFFFFF"/>
        </w:rPr>
        <w:t> </w:t>
      </w:r>
      <w:r w:rsidR="002419CE">
        <w:rPr>
          <w:rFonts w:cs="Times New Roman"/>
          <w:szCs w:val="24"/>
          <w:shd w:val="clear" w:color="auto" w:fill="FFFFFF"/>
        </w:rPr>
        <w:t xml:space="preserve">r. </w:t>
      </w:r>
      <w:r w:rsidR="002419CE" w:rsidRPr="009961AA">
        <w:t xml:space="preserve">o zmianie ustawy </w:t>
      </w:r>
      <w:r w:rsidR="001377DA" w:rsidRPr="009961AA">
        <w:t>–</w:t>
      </w:r>
      <w:r w:rsidR="002419CE" w:rsidRPr="009961AA">
        <w:t xml:space="preserve"> Kodeks postępowania cywilnego oraz niektórych innych ustaw</w:t>
      </w:r>
      <w:r w:rsidR="00063ED4">
        <w:t>.</w:t>
      </w:r>
      <w:r w:rsidR="002419CE">
        <w:t xml:space="preserve"> </w:t>
      </w:r>
      <w:r w:rsidR="00063ED4">
        <w:t>W</w:t>
      </w:r>
      <w:r w:rsidR="002419CE">
        <w:t xml:space="preserve">obec </w:t>
      </w:r>
      <w:r w:rsidR="002419CE">
        <w:lastRenderedPageBreak/>
        <w:t xml:space="preserve">tego zaszła konieczność </w:t>
      </w:r>
      <w:r w:rsidR="00FD2500">
        <w:t xml:space="preserve">wprowadzenia stosownego przepisu, tj. art. </w:t>
      </w:r>
      <w:r w:rsidR="00FD2500" w:rsidRPr="00734F14">
        <w:t>4</w:t>
      </w:r>
      <w:r w:rsidR="00FD2500">
        <w:t>80</w:t>
      </w:r>
      <w:r w:rsidR="00FD2500">
        <w:rPr>
          <w:vertAlign w:val="superscript"/>
        </w:rPr>
        <w:t>2</w:t>
      </w:r>
      <w:r w:rsidR="00FD2500" w:rsidRPr="00734F14">
        <w:t xml:space="preserve"> </w:t>
      </w:r>
      <w:r w:rsidR="00FD2500" w:rsidRPr="00734F14">
        <w:rPr>
          <w:rFonts w:cs="Times New Roman"/>
        </w:rPr>
        <w:t>§</w:t>
      </w:r>
      <w:r w:rsidR="00FD2500" w:rsidRPr="00734F14">
        <w:t xml:space="preserve"> 2</w:t>
      </w:r>
      <w:r w:rsidR="00FD2500">
        <w:rPr>
          <w:vertAlign w:val="superscript"/>
        </w:rPr>
        <w:t>1</w:t>
      </w:r>
      <w:r w:rsidR="00FD2500" w:rsidRPr="00734F14">
        <w:t xml:space="preserve"> k.p.c.</w:t>
      </w:r>
      <w:r w:rsidR="00FD2500">
        <w:t xml:space="preserve"> Projektowany art. </w:t>
      </w:r>
      <w:r w:rsidR="00FD2500" w:rsidRPr="00734F14">
        <w:t>4</w:t>
      </w:r>
      <w:r w:rsidR="00FD2500">
        <w:t>80</w:t>
      </w:r>
      <w:r w:rsidR="00FD2500">
        <w:rPr>
          <w:vertAlign w:val="superscript"/>
        </w:rPr>
        <w:t>2</w:t>
      </w:r>
      <w:r w:rsidR="00FD2500" w:rsidRPr="00734F14">
        <w:t xml:space="preserve"> </w:t>
      </w:r>
      <w:r w:rsidR="00FD2500" w:rsidRPr="00734F14">
        <w:rPr>
          <w:rFonts w:cs="Times New Roman"/>
        </w:rPr>
        <w:t>§</w:t>
      </w:r>
      <w:r w:rsidR="00FD2500" w:rsidRPr="00734F14">
        <w:t xml:space="preserve"> 2</w:t>
      </w:r>
      <w:r w:rsidR="00FD2500">
        <w:rPr>
          <w:vertAlign w:val="superscript"/>
        </w:rPr>
        <w:t>1</w:t>
      </w:r>
      <w:r w:rsidR="00FD2500" w:rsidRPr="00734F14">
        <w:t xml:space="preserve"> k.p.c.</w:t>
      </w:r>
      <w:r w:rsidR="00FD2500">
        <w:t xml:space="preserve"> stanowi podstawę dokonania takiej zmiany i wskazuje jej formę (postanowienie).</w:t>
      </w:r>
      <w:r w:rsidR="00F27BDA">
        <w:t xml:space="preserve"> </w:t>
      </w:r>
      <w:r w:rsidR="00F27BDA" w:rsidRPr="00701F76">
        <w:t xml:space="preserve">Wydanie postanowienia pozwoli, na wcześniejszym etapie niż etap zaskarżania, poinformować pozwanego, że termin na spełnienie świadczenia lub wniesienie zarzutów jest inny niż ten wynikający z treści nakazu zapłaty, który został mu wcześniej doręczony. </w:t>
      </w:r>
    </w:p>
    <w:p w14:paraId="3EDA719D" w14:textId="74CEB705" w:rsidR="00FD2500" w:rsidRDefault="00FD2500" w:rsidP="002C56FC">
      <w:pPr>
        <w:ind w:firstLine="709"/>
        <w:jc w:val="both"/>
      </w:pPr>
      <w:r>
        <w:t xml:space="preserve">Wobec powyższej zmiany należało również wprost wskazać, że w </w:t>
      </w:r>
      <w:r w:rsidR="001377DA">
        <w:t>prz</w:t>
      </w:r>
      <w:r w:rsidR="0007161F">
        <w:t>ypadku</w:t>
      </w:r>
      <w:r>
        <w:t xml:space="preserve"> gdy sąd wyda postanowienie o zmianie nakazu zapłaty</w:t>
      </w:r>
      <w:r w:rsidR="001377DA">
        <w:t>,</w:t>
      </w:r>
      <w:r>
        <w:t xml:space="preserve"> dokonuje się wzmianki o powyższym na oryginale nakazu, a kolejne wypisy i odpisy wydaje się w brzmieniu uwzględniającym zmianę (projektowany art. </w:t>
      </w:r>
      <w:r w:rsidRPr="00734F14">
        <w:t>4</w:t>
      </w:r>
      <w:r>
        <w:t>80</w:t>
      </w:r>
      <w:r>
        <w:rPr>
          <w:vertAlign w:val="superscript"/>
        </w:rPr>
        <w:t>2</w:t>
      </w:r>
      <w:r w:rsidRPr="00734F14">
        <w:t xml:space="preserve"> </w:t>
      </w:r>
      <w:r w:rsidRPr="00734F14">
        <w:rPr>
          <w:rFonts w:cs="Times New Roman"/>
        </w:rPr>
        <w:t>§</w:t>
      </w:r>
      <w:r w:rsidRPr="00734F14">
        <w:t xml:space="preserve"> </w:t>
      </w:r>
      <w:r w:rsidR="002A780E" w:rsidRPr="00734F14">
        <w:t>2</w:t>
      </w:r>
      <w:r w:rsidR="002A780E">
        <w:rPr>
          <w:vertAlign w:val="superscript"/>
        </w:rPr>
        <w:t>2</w:t>
      </w:r>
      <w:r w:rsidR="002A780E" w:rsidRPr="00734F14">
        <w:t xml:space="preserve"> </w:t>
      </w:r>
      <w:r w:rsidRPr="00734F14">
        <w:t>k.p.c.</w:t>
      </w:r>
      <w:r>
        <w:t>).</w:t>
      </w:r>
    </w:p>
    <w:p w14:paraId="404B37B3" w14:textId="3A017D24" w:rsidR="005C6CC4" w:rsidRPr="005C6CC4" w:rsidRDefault="005C6CC4" w:rsidP="002116BE">
      <w:pPr>
        <w:ind w:firstLine="708"/>
        <w:jc w:val="both"/>
      </w:pPr>
      <w:r>
        <w:t xml:space="preserve">Kolejną kwestią </w:t>
      </w:r>
      <w:r w:rsidR="00653681">
        <w:t>wymagającą rozstrzygnięcia</w:t>
      </w:r>
      <w:r>
        <w:t xml:space="preserve"> w związku z wprowadzeniem art. 480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§</w:t>
      </w:r>
      <w:r w:rsidR="001377DA">
        <w:rPr>
          <w:rFonts w:cs="Times New Roman"/>
        </w:rPr>
        <w:t> </w:t>
      </w:r>
      <w:r>
        <w:t>2</w:t>
      </w:r>
      <w:r>
        <w:rPr>
          <w:vertAlign w:val="superscript"/>
        </w:rPr>
        <w:t>1</w:t>
      </w:r>
      <w:r>
        <w:t xml:space="preserve"> k.p.c. była potrzeba </w:t>
      </w:r>
      <w:r w:rsidR="00653681">
        <w:t>przesądzenia</w:t>
      </w:r>
      <w:r>
        <w:t xml:space="preserve"> możliwości zaskarżenia postanowienia wydanego na podstawie ww. przepisu. Wobec tego, mając na uwadze, że ww. instytucja zmiany nakazu zapłaty jest najbardziej zbliżona do instytucji sprostowania, w przedmiocie którego orzeczenia sądu są zaskarżalne na podstawie art. 394</w:t>
      </w:r>
      <w:r>
        <w:rPr>
          <w:vertAlign w:val="superscript"/>
        </w:rPr>
        <w:t>1a</w:t>
      </w:r>
      <w:r>
        <w:t xml:space="preserve"> </w:t>
      </w:r>
      <w:r>
        <w:rPr>
          <w:rFonts w:cs="Times New Roman"/>
        </w:rPr>
        <w:t>§</w:t>
      </w:r>
      <w:r>
        <w:t xml:space="preserve"> 1 pkt 8 k.p.c., projektodawca przewidział dodanie pkt 8</w:t>
      </w:r>
      <w:r>
        <w:rPr>
          <w:vertAlign w:val="superscript"/>
        </w:rPr>
        <w:t>1</w:t>
      </w:r>
      <w:r>
        <w:t xml:space="preserve"> po pkt 8 w art. 394</w:t>
      </w:r>
      <w:r>
        <w:rPr>
          <w:vertAlign w:val="superscript"/>
        </w:rPr>
        <w:t>1a</w:t>
      </w:r>
      <w:r>
        <w:t xml:space="preserve"> </w:t>
      </w:r>
      <w:r>
        <w:rPr>
          <w:rFonts w:cs="Times New Roman"/>
        </w:rPr>
        <w:t>§</w:t>
      </w:r>
      <w:r>
        <w:t xml:space="preserve"> 1 k.p.c.</w:t>
      </w:r>
      <w:r w:rsidR="00AF31F5">
        <w:t>, który w przypadku postanowienia dotyczącego z</w:t>
      </w:r>
      <w:r w:rsidR="00AF31F5" w:rsidRPr="00653681">
        <w:rPr>
          <w:rFonts w:cs="Times New Roman"/>
          <w:szCs w:val="24"/>
        </w:rPr>
        <w:t xml:space="preserve">miany nakazu zapłaty dopuszcza wniesienie zażalenia </w:t>
      </w:r>
      <w:r w:rsidR="00653681" w:rsidRPr="001377DA">
        <w:rPr>
          <w:rFonts w:cs="Times New Roman"/>
          <w:szCs w:val="24"/>
          <w:shd w:val="clear" w:color="auto" w:fill="FFFFFF"/>
        </w:rPr>
        <w:t>do innego składu sądu pierwszej instancji</w:t>
      </w:r>
      <w:r w:rsidR="00653681" w:rsidRPr="00653681">
        <w:rPr>
          <w:rFonts w:cs="Times New Roman"/>
          <w:color w:val="333333"/>
          <w:szCs w:val="24"/>
          <w:shd w:val="clear" w:color="auto" w:fill="FFFFFF"/>
        </w:rPr>
        <w:t>.</w:t>
      </w:r>
    </w:p>
    <w:p w14:paraId="489B3E51" w14:textId="2E907315" w:rsidR="00036EC3" w:rsidRDefault="002D7E40" w:rsidP="002C56FC">
      <w:pPr>
        <w:spacing w:before="120"/>
        <w:ind w:firstLine="709"/>
        <w:jc w:val="both"/>
        <w:rPr>
          <w:rFonts w:cs="Times New Roman"/>
        </w:rPr>
      </w:pPr>
      <w:r w:rsidRPr="00734F14">
        <w:t>Jak wskazano powyżej</w:t>
      </w:r>
      <w:r w:rsidR="001377DA">
        <w:t>,</w:t>
      </w:r>
      <w:r w:rsidRPr="00734F14">
        <w:t xml:space="preserve"> art. </w:t>
      </w:r>
      <w:r w:rsidR="0007161F">
        <w:t>5</w:t>
      </w:r>
      <w:r w:rsidR="00E53766" w:rsidRPr="00734F14">
        <w:t xml:space="preserve"> </w:t>
      </w:r>
      <w:r w:rsidRPr="00734F14">
        <w:t xml:space="preserve">projektowanej ustawy zakłada wprowadzenie górnej wysokości opłaty sądowej od zarzutów od nakazu zapłaty w sprawach, w których pozwanym jest </w:t>
      </w:r>
      <w:r w:rsidR="005B60E5" w:rsidRPr="00734F14">
        <w:t>konsument.</w:t>
      </w:r>
      <w:r w:rsidR="00FE1BA8" w:rsidRPr="00734F14">
        <w:t xml:space="preserve"> Ustalając górną gran</w:t>
      </w:r>
      <w:r w:rsidR="00036EC3">
        <w:t xml:space="preserve">icę opłaty sądowej od zarzutów </w:t>
      </w:r>
      <w:r w:rsidR="00FE1BA8" w:rsidRPr="00734F14">
        <w:t>o</w:t>
      </w:r>
      <w:r w:rsidR="00036EC3">
        <w:t>d</w:t>
      </w:r>
      <w:r w:rsidR="00FE1BA8" w:rsidRPr="00734F14">
        <w:t xml:space="preserve"> nakazu zapłaty na kwotę 750 zł</w:t>
      </w:r>
      <w:r w:rsidR="001377DA">
        <w:t>,</w:t>
      </w:r>
      <w:r w:rsidR="00FE1BA8" w:rsidRPr="00734F14">
        <w:t xml:space="preserve"> projektodawca wziął pod uwagę wysokość minimalnego wynagrodzenia w roku 2020</w:t>
      </w:r>
      <w:r w:rsidR="00193175">
        <w:t xml:space="preserve"> </w:t>
      </w:r>
      <w:r w:rsidR="001377DA">
        <w:rPr>
          <w:rFonts w:cs="Times New Roman"/>
        </w:rPr>
        <w:t>[</w:t>
      </w:r>
      <w:r w:rsidR="00193175">
        <w:t>2600 zł</w:t>
      </w:r>
      <w:r w:rsidR="00314F46">
        <w:t xml:space="preserve"> </w:t>
      </w:r>
      <w:r w:rsidR="001377DA">
        <w:t>–</w:t>
      </w:r>
      <w:r w:rsidR="00314F46">
        <w:t xml:space="preserve"> </w:t>
      </w:r>
      <w:r w:rsidR="00314F46">
        <w:rPr>
          <w:rFonts w:cs="Times New Roman"/>
        </w:rPr>
        <w:t>§</w:t>
      </w:r>
      <w:r w:rsidR="00314F46">
        <w:t xml:space="preserve"> 1 r</w:t>
      </w:r>
      <w:r w:rsidR="00193175" w:rsidRPr="00193175">
        <w:t>ozporządzeni</w:t>
      </w:r>
      <w:r w:rsidR="00314F46">
        <w:t>a</w:t>
      </w:r>
      <w:r w:rsidR="00193175" w:rsidRPr="00193175">
        <w:t xml:space="preserve"> Rady Ministrów z dnia 10 września 2019 r.</w:t>
      </w:r>
      <w:r w:rsidR="00193175" w:rsidRPr="001377DA">
        <w:t xml:space="preserve"> </w:t>
      </w:r>
      <w:r w:rsidR="00193175" w:rsidRPr="009961AA">
        <w:t xml:space="preserve">w </w:t>
      </w:r>
      <w:r w:rsidR="00193175" w:rsidRPr="009961AA">
        <w:rPr>
          <w:rFonts w:cs="Times New Roman"/>
        </w:rPr>
        <w:t>sprawie wysokości minimalnego wynagrodzenia za pracę oraz wysokości minimalnej stawki godzinowej w 2020 r. (Dz. U. poz. 1778)</w:t>
      </w:r>
      <w:r w:rsidR="001377DA">
        <w:rPr>
          <w:rFonts w:cs="Times New Roman"/>
        </w:rPr>
        <w:t>]</w:t>
      </w:r>
      <w:r w:rsidR="00431041" w:rsidRPr="001377DA">
        <w:rPr>
          <w:rFonts w:cs="Times New Roman"/>
        </w:rPr>
        <w:t xml:space="preserve">, </w:t>
      </w:r>
      <w:r w:rsidR="00C54FF6">
        <w:rPr>
          <w:rFonts w:cs="Times New Roman"/>
        </w:rPr>
        <w:t>zakładany</w:t>
      </w:r>
      <w:r w:rsidR="00431041">
        <w:rPr>
          <w:rFonts w:cs="Times New Roman"/>
        </w:rPr>
        <w:t xml:space="preserve"> wzrost minimalnego wynagrodzenia</w:t>
      </w:r>
      <w:r w:rsidR="00036EC3">
        <w:rPr>
          <w:rFonts w:cs="Times New Roman"/>
        </w:rPr>
        <w:t xml:space="preserve"> oraz</w:t>
      </w:r>
      <w:r w:rsidR="00FE1BA8" w:rsidRPr="00314F46">
        <w:rPr>
          <w:rFonts w:cs="Times New Roman"/>
        </w:rPr>
        <w:t xml:space="preserve"> fakt, że art. </w:t>
      </w:r>
      <w:r w:rsidR="00314F46" w:rsidRPr="00314F46">
        <w:rPr>
          <w:rFonts w:cs="Times New Roman"/>
        </w:rPr>
        <w:t>13a</w:t>
      </w:r>
      <w:r w:rsidR="00FE1BA8" w:rsidRPr="00314F46">
        <w:rPr>
          <w:rFonts w:cs="Times New Roman"/>
        </w:rPr>
        <w:t xml:space="preserve"> ustawy</w:t>
      </w:r>
      <w:r w:rsidR="00314F46" w:rsidRPr="00314F46">
        <w:rPr>
          <w:rFonts w:cs="Times New Roman"/>
        </w:rPr>
        <w:t xml:space="preserve"> </w:t>
      </w:r>
      <w:r w:rsidR="00314F46" w:rsidRPr="009961AA">
        <w:rPr>
          <w:rFonts w:cs="Times New Roman"/>
        </w:rPr>
        <w:t>o kosztach sądowych w sprawach cywilnych</w:t>
      </w:r>
      <w:r w:rsidR="00314F46" w:rsidRPr="00314F46">
        <w:rPr>
          <w:rFonts w:cs="Times New Roman"/>
        </w:rPr>
        <w:t xml:space="preserve"> </w:t>
      </w:r>
      <w:r w:rsidR="00FE1BA8" w:rsidRPr="00314F46">
        <w:rPr>
          <w:rFonts w:cs="Times New Roman"/>
        </w:rPr>
        <w:t xml:space="preserve">przewiduje dla konsumenta maksymalną opłatę od pozwu na kwotę 1000 zł, natomiast zgodnie z art. 19 ust. 4 </w:t>
      </w:r>
      <w:r w:rsidR="002A780E">
        <w:rPr>
          <w:rFonts w:cs="Times New Roman"/>
        </w:rPr>
        <w:t>u.k.s.c.</w:t>
      </w:r>
      <w:r w:rsidR="00036EC3" w:rsidRPr="00314F46">
        <w:rPr>
          <w:rFonts w:cs="Times New Roman"/>
        </w:rPr>
        <w:t xml:space="preserve"> </w:t>
      </w:r>
      <w:r w:rsidR="00314F46" w:rsidRPr="00314F46">
        <w:rPr>
          <w:rFonts w:cs="Times New Roman"/>
        </w:rPr>
        <w:t>od zarzutów</w:t>
      </w:r>
      <w:r w:rsidR="00FE1BA8" w:rsidRPr="00314F46">
        <w:rPr>
          <w:rFonts w:cs="Times New Roman"/>
        </w:rPr>
        <w:t xml:space="preserve"> od nakazu zapłaty wydane</w:t>
      </w:r>
      <w:r w:rsidR="00314F46" w:rsidRPr="00314F46">
        <w:rPr>
          <w:rFonts w:cs="Times New Roman"/>
        </w:rPr>
        <w:t>go</w:t>
      </w:r>
      <w:r w:rsidR="00FE1BA8" w:rsidRPr="00314F46">
        <w:rPr>
          <w:rFonts w:cs="Times New Roman"/>
        </w:rPr>
        <w:t xml:space="preserve"> w postępowaniu nakazowym </w:t>
      </w:r>
      <w:r w:rsidR="00314F46">
        <w:rPr>
          <w:rFonts w:cs="Times New Roman"/>
          <w:shd w:val="clear" w:color="auto" w:fill="FFFFFF"/>
        </w:rPr>
        <w:t xml:space="preserve">pobiera się od pozwanego </w:t>
      </w:r>
      <w:r w:rsidR="00314F46" w:rsidRPr="00314F46">
        <w:rPr>
          <w:rFonts w:cs="Times New Roman"/>
          <w:shd w:val="clear" w:color="auto" w:fill="FFFFFF"/>
        </w:rPr>
        <w:t>trzy czwarte części opłaty</w:t>
      </w:r>
      <w:r w:rsidR="00314F46">
        <w:rPr>
          <w:rFonts w:cs="Times New Roman"/>
          <w:shd w:val="clear" w:color="auto" w:fill="FFFFFF"/>
        </w:rPr>
        <w:t xml:space="preserve"> (3/4 z 1000 zł = 750 zł)</w:t>
      </w:r>
      <w:r w:rsidR="00FE1BA8" w:rsidRPr="00314F46">
        <w:rPr>
          <w:rFonts w:cs="Times New Roman"/>
        </w:rPr>
        <w:t xml:space="preserve">. </w:t>
      </w:r>
    </w:p>
    <w:p w14:paraId="06B294BA" w14:textId="6E1F7615" w:rsidR="005D39BB" w:rsidRPr="005D39BB" w:rsidRDefault="005D39BB" w:rsidP="005D39BB">
      <w:pPr>
        <w:ind w:firstLine="708"/>
        <w:jc w:val="both"/>
        <w:rPr>
          <w:rFonts w:cs="Times New Roman"/>
          <w:szCs w:val="24"/>
          <w:shd w:val="clear" w:color="auto" w:fill="FFFFFF"/>
        </w:rPr>
      </w:pPr>
      <w:r w:rsidRPr="005D39BB">
        <w:rPr>
          <w:rFonts w:cs="Times New Roman"/>
          <w:szCs w:val="24"/>
          <w:shd w:val="clear" w:color="auto" w:fill="FFFFFF"/>
        </w:rPr>
        <w:t xml:space="preserve">Maksymalna różnica między opłatą sądową od pozwu spełniającego przesłanki do rozpoznania w postępowaniu nakazowym uiszczaną przez powoda-przedsiębiorcę a opłatą sądową od zarzutów od nakazu zapłaty uiszczaną przez pozwanego-konsumenta wyniesie </w:t>
      </w:r>
      <w:r>
        <w:rPr>
          <w:rFonts w:cs="Times New Roman"/>
          <w:szCs w:val="24"/>
          <w:shd w:val="clear" w:color="auto" w:fill="FFFFFF"/>
        </w:rPr>
        <w:t>500</w:t>
      </w:r>
      <w:r w:rsidR="001377DA">
        <w:rPr>
          <w:rFonts w:cs="Times New Roman"/>
          <w:szCs w:val="24"/>
          <w:shd w:val="clear" w:color="auto" w:fill="FFFFFF"/>
        </w:rPr>
        <w:t> </w:t>
      </w:r>
      <w:r>
        <w:rPr>
          <w:rFonts w:cs="Times New Roman"/>
          <w:szCs w:val="24"/>
          <w:shd w:val="clear" w:color="auto" w:fill="FFFFFF"/>
        </w:rPr>
        <w:t xml:space="preserve">zł. </w:t>
      </w:r>
      <w:r w:rsidR="008D77F6">
        <w:rPr>
          <w:rFonts w:cs="Times New Roman"/>
          <w:szCs w:val="24"/>
          <w:shd w:val="clear" w:color="auto" w:fill="FFFFFF"/>
        </w:rPr>
        <w:t xml:space="preserve">Przy czym obowiązek uiszczenia przez konsumenta opłaty sądowej od zarzutów od nakazu zapłaty </w:t>
      </w:r>
      <w:r w:rsidR="00203BD5">
        <w:rPr>
          <w:rFonts w:cs="Times New Roman"/>
          <w:szCs w:val="24"/>
          <w:shd w:val="clear" w:color="auto" w:fill="FFFFFF"/>
        </w:rPr>
        <w:t xml:space="preserve">w postępowaniu nakazowym na podstawie weksla </w:t>
      </w:r>
      <w:r w:rsidR="008D77F6">
        <w:rPr>
          <w:rFonts w:cs="Times New Roman"/>
          <w:szCs w:val="24"/>
          <w:shd w:val="clear" w:color="auto" w:fill="FFFFFF"/>
        </w:rPr>
        <w:t>powstanie jedynie w sytuacji</w:t>
      </w:r>
      <w:r w:rsidR="008D785B">
        <w:rPr>
          <w:rFonts w:cs="Times New Roman"/>
          <w:szCs w:val="24"/>
          <w:shd w:val="clear" w:color="auto" w:fill="FFFFFF"/>
        </w:rPr>
        <w:t>,</w:t>
      </w:r>
      <w:r w:rsidR="008D77F6">
        <w:rPr>
          <w:rFonts w:cs="Times New Roman"/>
          <w:szCs w:val="24"/>
          <w:shd w:val="clear" w:color="auto" w:fill="FFFFFF"/>
        </w:rPr>
        <w:t xml:space="preserve"> </w:t>
      </w:r>
      <w:r w:rsidR="008D77F6">
        <w:rPr>
          <w:rFonts w:cs="Times New Roman"/>
          <w:szCs w:val="24"/>
          <w:shd w:val="clear" w:color="auto" w:fill="FFFFFF"/>
        </w:rPr>
        <w:lastRenderedPageBreak/>
        <w:t xml:space="preserve">gdy sąd wyda nakaz zapłaty, uprzednio dokonując oceny, że załączona umowa </w:t>
      </w:r>
      <w:r w:rsidR="008D77F6" w:rsidRPr="00203BD5">
        <w:rPr>
          <w:rFonts w:cs="Times New Roman"/>
          <w:szCs w:val="24"/>
          <w:shd w:val="clear" w:color="auto" w:fill="FFFFFF"/>
        </w:rPr>
        <w:t>o kredyt konsumencki</w:t>
      </w:r>
      <w:r w:rsidR="008D77F6">
        <w:rPr>
          <w:rFonts w:cs="Times New Roman"/>
          <w:szCs w:val="24"/>
          <w:shd w:val="clear" w:color="auto" w:fill="FFFFFF"/>
        </w:rPr>
        <w:t xml:space="preserve"> wraz z załącznikami </w:t>
      </w:r>
      <w:r w:rsidR="008D785B">
        <w:rPr>
          <w:rFonts w:cs="Times New Roman"/>
          <w:szCs w:val="24"/>
          <w:shd w:val="clear" w:color="auto" w:fill="FFFFFF"/>
        </w:rPr>
        <w:t>nie zawierają klauzul niedozwolonych.</w:t>
      </w:r>
    </w:p>
    <w:p w14:paraId="0C005B3F" w14:textId="769BAA24" w:rsidR="002D7E40" w:rsidRDefault="005D39BB" w:rsidP="00314F46">
      <w:pPr>
        <w:ind w:firstLine="708"/>
        <w:jc w:val="both"/>
        <w:rPr>
          <w:rFonts w:cs="Times New Roman"/>
          <w:shd w:val="clear" w:color="auto" w:fill="FFFFFF"/>
        </w:rPr>
      </w:pPr>
      <w:r>
        <w:rPr>
          <w:rFonts w:cs="Times New Roman"/>
        </w:rPr>
        <w:t>P</w:t>
      </w:r>
      <w:r w:rsidR="00FE1BA8" w:rsidRPr="00314F46">
        <w:rPr>
          <w:rFonts w:cs="Times New Roman"/>
        </w:rPr>
        <w:t>oniesienie nawet maksymalnej opłaty sądowej od zarzutów w kwocie 750 zł nie powinno stanowić dla większości</w:t>
      </w:r>
      <w:r w:rsidR="00384F85" w:rsidRPr="00314F46">
        <w:rPr>
          <w:rFonts w:cs="Times New Roman"/>
        </w:rPr>
        <w:t xml:space="preserve"> konsumentów nadmiernej </w:t>
      </w:r>
      <w:r w:rsidR="00384F85" w:rsidRPr="00734F14">
        <w:rPr>
          <w:rFonts w:cs="Times New Roman"/>
        </w:rPr>
        <w:t xml:space="preserve">bariery uniemożliwiającej uczestnictwo w postępowaniu. W </w:t>
      </w:r>
      <w:r w:rsidR="00CF33CE" w:rsidRPr="00734F14">
        <w:rPr>
          <w:rFonts w:cs="Times New Roman"/>
        </w:rPr>
        <w:t>przypadkach</w:t>
      </w:r>
      <w:r w:rsidR="00384F85" w:rsidRPr="00734F14">
        <w:rPr>
          <w:rFonts w:cs="Times New Roman"/>
        </w:rPr>
        <w:t xml:space="preserve"> gdy </w:t>
      </w:r>
      <w:r w:rsidR="00314F46">
        <w:rPr>
          <w:rFonts w:cs="Times New Roman"/>
        </w:rPr>
        <w:t>uiszczenie</w:t>
      </w:r>
      <w:r w:rsidR="00384F85" w:rsidRPr="00734F14">
        <w:rPr>
          <w:rFonts w:cs="Times New Roman"/>
        </w:rPr>
        <w:t xml:space="preserve"> opłaty</w:t>
      </w:r>
      <w:r w:rsidR="00314F46">
        <w:rPr>
          <w:rFonts w:cs="Times New Roman"/>
        </w:rPr>
        <w:t xml:space="preserve"> </w:t>
      </w:r>
      <w:r w:rsidR="00384F85" w:rsidRPr="00734F14">
        <w:rPr>
          <w:rFonts w:cs="Times New Roman"/>
        </w:rPr>
        <w:t xml:space="preserve">w takiej wysokości mogłoby prowadzić w sytuacji danego pozwanego do </w:t>
      </w:r>
      <w:r w:rsidR="00384F85" w:rsidRPr="00734F14">
        <w:rPr>
          <w:rFonts w:cs="Times New Roman"/>
          <w:shd w:val="clear" w:color="auto" w:fill="FFFFFF"/>
        </w:rPr>
        <w:t xml:space="preserve">uszczerbku utrzymania koniecznego dla niego i jego rodziny lub narazić na taki uszczerbek, </w:t>
      </w:r>
      <w:r w:rsidR="00321659">
        <w:rPr>
          <w:rFonts w:cs="Times New Roman"/>
          <w:shd w:val="clear" w:color="auto" w:fill="FFFFFF"/>
        </w:rPr>
        <w:t>przysługuje</w:t>
      </w:r>
      <w:r w:rsidR="00384F85" w:rsidRPr="00734F14">
        <w:rPr>
          <w:rFonts w:cs="Times New Roman"/>
          <w:shd w:val="clear" w:color="auto" w:fill="FFFFFF"/>
        </w:rPr>
        <w:t xml:space="preserve"> mu uprawnienie do złożenia wniosku o zwolnienie go od ponoszenia kosztów sądowych, który będzie mógł przygotować w terminie miesiąca przewidzianym na wniesienie zarzutów od nakazu zapłat</w:t>
      </w:r>
      <w:r w:rsidR="00B550E8">
        <w:rPr>
          <w:rFonts w:cs="Times New Roman"/>
          <w:shd w:val="clear" w:color="auto" w:fill="FFFFFF"/>
        </w:rPr>
        <w:t>y</w:t>
      </w:r>
      <w:r w:rsidR="00384F85" w:rsidRPr="00734F14">
        <w:rPr>
          <w:rFonts w:cs="Times New Roman"/>
          <w:shd w:val="clear" w:color="auto" w:fill="FFFFFF"/>
        </w:rPr>
        <w:t>.</w:t>
      </w:r>
    </w:p>
    <w:p w14:paraId="4FB7EB2C" w14:textId="4CDB2C26" w:rsidR="005D39BB" w:rsidRDefault="005D39BB" w:rsidP="002C56FC">
      <w:pPr>
        <w:spacing w:before="120"/>
        <w:ind w:firstLine="709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Należy zauważyć, że </w:t>
      </w:r>
      <w:r w:rsidR="008D77F6">
        <w:rPr>
          <w:rFonts w:cs="Times New Roman"/>
          <w:shd w:val="clear" w:color="auto" w:fill="FFFFFF"/>
        </w:rPr>
        <w:t>w wyroku</w:t>
      </w:r>
      <w:r w:rsidR="008D77F6" w:rsidRPr="008D77F6">
        <w:t xml:space="preserve"> </w:t>
      </w:r>
      <w:r w:rsidR="008D77F6">
        <w:t xml:space="preserve">w sprawie C-176/17 </w:t>
      </w:r>
      <w:r w:rsidR="008D77F6">
        <w:rPr>
          <w:i/>
        </w:rPr>
        <w:t>Profi Credit Polska</w:t>
      </w:r>
      <w:r w:rsidR="008D77F6">
        <w:rPr>
          <w:rFonts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TSUE zakwestionował polskie przepisy regulujące postępowanie nakazowe w sporach przeciwko konsumentom</w:t>
      </w:r>
      <w:r w:rsidR="00217177">
        <w:rPr>
          <w:rFonts w:cs="Times New Roman"/>
          <w:shd w:val="clear" w:color="auto" w:fill="FFFFFF"/>
        </w:rPr>
        <w:t>,</w:t>
      </w:r>
      <w:r>
        <w:rPr>
          <w:rFonts w:cs="Times New Roman"/>
          <w:shd w:val="clear" w:color="auto" w:fill="FFFFFF"/>
        </w:rPr>
        <w:t xml:space="preserve"> wskazując na kumulatywne występowanie wymogów formalnych i fiskalnych stawianych pozwanym</w:t>
      </w:r>
      <w:r w:rsidR="008D77F6">
        <w:rPr>
          <w:rFonts w:cs="Times New Roman"/>
          <w:shd w:val="clear" w:color="auto" w:fill="FFFFFF"/>
        </w:rPr>
        <w:t xml:space="preserve"> przy wnoszeniu zarzutów od nakazu zapłaty</w:t>
      </w:r>
      <w:r>
        <w:rPr>
          <w:rFonts w:cs="Times New Roman"/>
          <w:shd w:val="clear" w:color="auto" w:fill="FFFFFF"/>
        </w:rPr>
        <w:t>, przy jednoczesnym braku obowiązku badania przez sąd</w:t>
      </w:r>
      <w:r w:rsidR="00217177">
        <w:rPr>
          <w:rFonts w:cs="Times New Roman"/>
          <w:shd w:val="clear" w:color="auto" w:fill="FFFFFF"/>
        </w:rPr>
        <w:t>,</w:t>
      </w:r>
      <w:r>
        <w:rPr>
          <w:rFonts w:cs="Times New Roman"/>
          <w:shd w:val="clear" w:color="auto" w:fill="FFFFFF"/>
        </w:rPr>
        <w:t xml:space="preserve"> </w:t>
      </w:r>
      <w:r w:rsidR="008D6922">
        <w:rPr>
          <w:rFonts w:cs="Times New Roman"/>
          <w:shd w:val="clear" w:color="auto" w:fill="FFFFFF"/>
        </w:rPr>
        <w:t xml:space="preserve">czy w umowie, </w:t>
      </w:r>
      <w:r w:rsidR="003C35CC">
        <w:rPr>
          <w:rFonts w:cs="Times New Roman"/>
          <w:shd w:val="clear" w:color="auto" w:fill="FFFFFF"/>
        </w:rPr>
        <w:t xml:space="preserve">z </w:t>
      </w:r>
      <w:r w:rsidR="008D6922">
        <w:rPr>
          <w:rFonts w:cs="Times New Roman"/>
          <w:shd w:val="clear" w:color="auto" w:fill="FFFFFF"/>
        </w:rPr>
        <w:t>któr</w:t>
      </w:r>
      <w:r w:rsidR="003C35CC">
        <w:rPr>
          <w:rFonts w:cs="Times New Roman"/>
          <w:shd w:val="clear" w:color="auto" w:fill="FFFFFF"/>
        </w:rPr>
        <w:t>ej roszczenia</w:t>
      </w:r>
      <w:r w:rsidR="008D6922">
        <w:rPr>
          <w:rFonts w:cs="Times New Roman"/>
          <w:shd w:val="clear" w:color="auto" w:fill="FFFFFF"/>
        </w:rPr>
        <w:t xml:space="preserve"> został</w:t>
      </w:r>
      <w:r w:rsidR="003C35CC">
        <w:rPr>
          <w:rFonts w:cs="Times New Roman"/>
          <w:shd w:val="clear" w:color="auto" w:fill="FFFFFF"/>
        </w:rPr>
        <w:t>y</w:t>
      </w:r>
      <w:r w:rsidR="008D6922">
        <w:rPr>
          <w:rFonts w:cs="Times New Roman"/>
          <w:shd w:val="clear" w:color="auto" w:fill="FFFFFF"/>
        </w:rPr>
        <w:t xml:space="preserve"> zabezpieczon</w:t>
      </w:r>
      <w:r w:rsidR="003C35CC">
        <w:rPr>
          <w:rFonts w:cs="Times New Roman"/>
          <w:shd w:val="clear" w:color="auto" w:fill="FFFFFF"/>
        </w:rPr>
        <w:t>e</w:t>
      </w:r>
      <w:r w:rsidR="008D6922">
        <w:rPr>
          <w:rFonts w:cs="Times New Roman"/>
          <w:shd w:val="clear" w:color="auto" w:fill="FFFFFF"/>
        </w:rPr>
        <w:t xml:space="preserve"> wekslem, występują klauzule niedozwolone. W tym kontekście, przy wprowadzeni</w:t>
      </w:r>
      <w:r w:rsidR="00BB0CEC">
        <w:rPr>
          <w:rFonts w:cs="Times New Roman"/>
          <w:shd w:val="clear" w:color="auto" w:fill="FFFFFF"/>
        </w:rPr>
        <w:t>u</w:t>
      </w:r>
      <w:r w:rsidR="008D6922">
        <w:rPr>
          <w:rFonts w:cs="Times New Roman"/>
          <w:shd w:val="clear" w:color="auto" w:fill="FFFFFF"/>
        </w:rPr>
        <w:t xml:space="preserve"> wymogów, o których mowa w art. 1 pkt </w:t>
      </w:r>
      <w:r w:rsidR="00CA4479">
        <w:rPr>
          <w:rFonts w:cs="Times New Roman"/>
          <w:shd w:val="clear" w:color="auto" w:fill="FFFFFF"/>
        </w:rPr>
        <w:t>4</w:t>
      </w:r>
      <w:r w:rsidR="008D6922">
        <w:rPr>
          <w:rFonts w:cs="Times New Roman"/>
          <w:shd w:val="clear" w:color="auto" w:fill="FFFFFF"/>
        </w:rPr>
        <w:t xml:space="preserve"> projektu, </w:t>
      </w:r>
      <w:r w:rsidR="00BB0CEC">
        <w:rPr>
          <w:rFonts w:cs="Times New Roman"/>
          <w:shd w:val="clear" w:color="auto" w:fill="FFFFFF"/>
        </w:rPr>
        <w:t>skutkujących m.in. koniecznością badania przez sąd</w:t>
      </w:r>
      <w:r w:rsidR="00217177">
        <w:rPr>
          <w:rFonts w:cs="Times New Roman"/>
          <w:shd w:val="clear" w:color="auto" w:fill="FFFFFF"/>
        </w:rPr>
        <w:t>,</w:t>
      </w:r>
      <w:r w:rsidR="00BB0CEC">
        <w:rPr>
          <w:rFonts w:cs="Times New Roman"/>
          <w:shd w:val="clear" w:color="auto" w:fill="FFFFFF"/>
        </w:rPr>
        <w:t xml:space="preserve"> czy w załączonej umowie</w:t>
      </w:r>
      <w:r w:rsidR="00406082">
        <w:rPr>
          <w:rFonts w:cs="Times New Roman"/>
          <w:shd w:val="clear" w:color="auto" w:fill="FFFFFF"/>
        </w:rPr>
        <w:t>,</w:t>
      </w:r>
      <w:r w:rsidR="00BB0CEC">
        <w:rPr>
          <w:rFonts w:cs="Times New Roman"/>
          <w:shd w:val="clear" w:color="auto" w:fill="FFFFFF"/>
        </w:rPr>
        <w:t xml:space="preserve"> wraz z </w:t>
      </w:r>
      <w:r w:rsidR="00406082">
        <w:rPr>
          <w:rFonts w:cs="Times New Roman"/>
          <w:shd w:val="clear" w:color="auto" w:fill="FFFFFF"/>
        </w:rPr>
        <w:t xml:space="preserve">deklaracją wekslową i </w:t>
      </w:r>
      <w:r w:rsidR="00BB0CEC">
        <w:rPr>
          <w:rFonts w:cs="Times New Roman"/>
          <w:shd w:val="clear" w:color="auto" w:fill="FFFFFF"/>
        </w:rPr>
        <w:t>załącznikami</w:t>
      </w:r>
      <w:r w:rsidR="00406082">
        <w:rPr>
          <w:rFonts w:cs="Times New Roman"/>
          <w:shd w:val="clear" w:color="auto" w:fill="FFFFFF"/>
        </w:rPr>
        <w:t>,</w:t>
      </w:r>
      <w:r w:rsidR="00BB0CEC">
        <w:rPr>
          <w:rFonts w:cs="Times New Roman"/>
          <w:shd w:val="clear" w:color="auto" w:fill="FFFFFF"/>
        </w:rPr>
        <w:t xml:space="preserve"> nie</w:t>
      </w:r>
      <w:r w:rsidR="00217177">
        <w:rPr>
          <w:rFonts w:cs="Times New Roman"/>
          <w:shd w:val="clear" w:color="auto" w:fill="FFFFFF"/>
        </w:rPr>
        <w:t xml:space="preserve"> </w:t>
      </w:r>
      <w:r w:rsidR="00BB0CEC">
        <w:rPr>
          <w:rFonts w:cs="Times New Roman"/>
          <w:shd w:val="clear" w:color="auto" w:fill="FFFFFF"/>
        </w:rPr>
        <w:t xml:space="preserve">zawarte zostały </w:t>
      </w:r>
      <w:r w:rsidR="00203BD5">
        <w:rPr>
          <w:rFonts w:cs="Times New Roman"/>
          <w:shd w:val="clear" w:color="auto" w:fill="FFFFFF"/>
        </w:rPr>
        <w:t>postanowienia</w:t>
      </w:r>
      <w:r w:rsidR="00BB0CEC">
        <w:rPr>
          <w:rFonts w:cs="Times New Roman"/>
          <w:shd w:val="clear" w:color="auto" w:fill="FFFFFF"/>
        </w:rPr>
        <w:t xml:space="preserve"> niedozwolone</w:t>
      </w:r>
      <w:r w:rsidR="00137E5A">
        <w:rPr>
          <w:rFonts w:cs="Times New Roman"/>
          <w:shd w:val="clear" w:color="auto" w:fill="FFFFFF"/>
        </w:rPr>
        <w:t xml:space="preserve"> (zmiana ta stanowi również wykonanie wyroku </w:t>
      </w:r>
      <w:r w:rsidR="00137E5A">
        <w:rPr>
          <w:rFonts w:cs="Times New Roman"/>
          <w:szCs w:val="24"/>
        </w:rPr>
        <w:t xml:space="preserve">w połączonych sprawach C-419/18 i C-483/18 </w:t>
      </w:r>
      <w:r w:rsidR="00137E5A" w:rsidRPr="003544B7">
        <w:rPr>
          <w:i/>
        </w:rPr>
        <w:t>Profi Credit Polska</w:t>
      </w:r>
      <w:r w:rsidR="00137E5A">
        <w:t>)</w:t>
      </w:r>
      <w:r w:rsidR="00BB0CEC">
        <w:rPr>
          <w:rFonts w:cs="Times New Roman"/>
          <w:shd w:val="clear" w:color="auto" w:fill="FFFFFF"/>
        </w:rPr>
        <w:t xml:space="preserve">, </w:t>
      </w:r>
      <w:r w:rsidR="008D6922">
        <w:rPr>
          <w:rFonts w:cs="Times New Roman"/>
          <w:shd w:val="clear" w:color="auto" w:fill="FFFFFF"/>
        </w:rPr>
        <w:t>wydłużeniu terminu do wniesienia zarzutów od nakazu zapłaty (art.</w:t>
      </w:r>
      <w:r w:rsidR="00BB0CEC">
        <w:rPr>
          <w:rFonts w:cs="Times New Roman"/>
          <w:shd w:val="clear" w:color="auto" w:fill="FFFFFF"/>
        </w:rPr>
        <w:t xml:space="preserve"> 1 pkt </w:t>
      </w:r>
      <w:r w:rsidR="00E53766">
        <w:rPr>
          <w:rFonts w:cs="Times New Roman"/>
          <w:shd w:val="clear" w:color="auto" w:fill="FFFFFF"/>
        </w:rPr>
        <w:t>3</w:t>
      </w:r>
      <w:r w:rsidR="00CA4479">
        <w:rPr>
          <w:rFonts w:cs="Times New Roman"/>
          <w:shd w:val="clear" w:color="auto" w:fill="FFFFFF"/>
        </w:rPr>
        <w:t xml:space="preserve"> lit</w:t>
      </w:r>
      <w:r w:rsidR="002A780E">
        <w:rPr>
          <w:rFonts w:cs="Times New Roman"/>
          <w:shd w:val="clear" w:color="auto" w:fill="FFFFFF"/>
        </w:rPr>
        <w:t>.</w:t>
      </w:r>
      <w:r w:rsidR="007141AD">
        <w:rPr>
          <w:rFonts w:cs="Times New Roman"/>
          <w:shd w:val="clear" w:color="auto" w:fill="FFFFFF"/>
        </w:rPr>
        <w:t xml:space="preserve"> a</w:t>
      </w:r>
      <w:r w:rsidR="00BB0CEC">
        <w:rPr>
          <w:rFonts w:cs="Times New Roman"/>
          <w:shd w:val="clear" w:color="auto" w:fill="FFFFFF"/>
        </w:rPr>
        <w:t xml:space="preserve"> projektu) oraz ograniczeniu maksymalnej wysokości opłaty sądowej od zarzutów od nakazu zapłaty, </w:t>
      </w:r>
      <w:r w:rsidR="00BB0CEC" w:rsidRPr="00FF2C21">
        <w:rPr>
          <w:rFonts w:cs="Times New Roman"/>
          <w:szCs w:val="24"/>
          <w:shd w:val="clear" w:color="auto" w:fill="FFFFFF"/>
        </w:rPr>
        <w:t>znowelizowane przepisy postępowan</w:t>
      </w:r>
      <w:r w:rsidR="00C54FF6">
        <w:rPr>
          <w:rFonts w:cs="Times New Roman"/>
          <w:szCs w:val="24"/>
          <w:shd w:val="clear" w:color="auto" w:fill="FFFFFF"/>
        </w:rPr>
        <w:t>ia nakazowego z weksla zapewni</w:t>
      </w:r>
      <w:r w:rsidR="00BB0CEC" w:rsidRPr="00FF2C21">
        <w:rPr>
          <w:rFonts w:cs="Times New Roman"/>
          <w:szCs w:val="24"/>
          <w:shd w:val="clear" w:color="auto" w:fill="FFFFFF"/>
        </w:rPr>
        <w:t xml:space="preserve">ą możliwość </w:t>
      </w:r>
      <w:r w:rsidR="00BB0CEC" w:rsidRPr="00FF2C21">
        <w:rPr>
          <w:rFonts w:cs="Times New Roman"/>
          <w:color w:val="000000"/>
          <w:szCs w:val="24"/>
        </w:rPr>
        <w:t xml:space="preserve">wykonania przez konsumenta </w:t>
      </w:r>
      <w:r w:rsidR="00FF2C21" w:rsidRPr="00FF2C21">
        <w:rPr>
          <w:rFonts w:cs="Times New Roman"/>
          <w:color w:val="000000"/>
          <w:szCs w:val="24"/>
        </w:rPr>
        <w:t xml:space="preserve">wszelkich </w:t>
      </w:r>
      <w:r w:rsidR="00BB0CEC" w:rsidRPr="00FF2C21">
        <w:rPr>
          <w:rFonts w:cs="Times New Roman"/>
          <w:color w:val="000000"/>
          <w:szCs w:val="24"/>
        </w:rPr>
        <w:t xml:space="preserve">uprawnień przyznanych </w:t>
      </w:r>
      <w:r w:rsidR="008D77F6">
        <w:rPr>
          <w:rFonts w:cs="Times New Roman"/>
          <w:color w:val="000000"/>
          <w:szCs w:val="24"/>
        </w:rPr>
        <w:t xml:space="preserve">mu </w:t>
      </w:r>
      <w:r w:rsidR="00BB0CEC" w:rsidRPr="00FF2C21">
        <w:rPr>
          <w:rFonts w:cs="Times New Roman"/>
          <w:color w:val="000000"/>
          <w:szCs w:val="24"/>
        </w:rPr>
        <w:t xml:space="preserve">przez dyrektywę </w:t>
      </w:r>
      <w:r w:rsidR="00FF2C21" w:rsidRPr="00FF2C21">
        <w:rPr>
          <w:rFonts w:cs="Times New Roman"/>
          <w:bCs/>
          <w:color w:val="000000"/>
          <w:szCs w:val="24"/>
        </w:rPr>
        <w:t xml:space="preserve">Rady 93/13/EWG z dnia 5 kwietnia 1993 r. </w:t>
      </w:r>
      <w:r w:rsidR="00FF2C21" w:rsidRPr="009961AA">
        <w:rPr>
          <w:rFonts w:cs="Times New Roman"/>
          <w:bCs/>
          <w:color w:val="000000"/>
          <w:szCs w:val="24"/>
        </w:rPr>
        <w:t>w sprawie nieuczciwych warunków w umowach konsumenckich</w:t>
      </w:r>
      <w:r w:rsidR="00BB0CEC" w:rsidRPr="00FF2C21">
        <w:rPr>
          <w:rFonts w:cs="Times New Roman"/>
          <w:color w:val="000000"/>
          <w:szCs w:val="24"/>
        </w:rPr>
        <w:t>.</w:t>
      </w:r>
      <w:r w:rsidR="00BB0CEC">
        <w:rPr>
          <w:rFonts w:cs="Times New Roman"/>
          <w:shd w:val="clear" w:color="auto" w:fill="FFFFFF"/>
        </w:rPr>
        <w:t xml:space="preserve"> </w:t>
      </w:r>
    </w:p>
    <w:p w14:paraId="2E022FA3" w14:textId="77777777" w:rsidR="00876A58" w:rsidRDefault="00876A58" w:rsidP="00314F46">
      <w:pPr>
        <w:ind w:firstLine="708"/>
        <w:jc w:val="both"/>
        <w:rPr>
          <w:rFonts w:cs="Times New Roman"/>
          <w:shd w:val="clear" w:color="auto" w:fill="FFFFFF"/>
        </w:rPr>
      </w:pPr>
    </w:p>
    <w:p w14:paraId="5DC5DA30" w14:textId="307F6F4D" w:rsidR="003267C7" w:rsidRDefault="0056704A" w:rsidP="003B0E78">
      <w:pPr>
        <w:pStyle w:val="NIEARTTEKSTtekstnieartykuowanynppodstprawnarozplubpreambua"/>
        <w:spacing w:before="0"/>
        <w:ind w:firstLine="709"/>
        <w:rPr>
          <w:b/>
        </w:rPr>
      </w:pPr>
      <w:r>
        <w:rPr>
          <w:b/>
        </w:rPr>
        <w:t xml:space="preserve">Art. 2 projektu (proj. art. 11 i </w:t>
      </w:r>
      <w:r w:rsidR="00FA3A8A">
        <w:rPr>
          <w:b/>
        </w:rPr>
        <w:t xml:space="preserve">art. </w:t>
      </w:r>
      <w:r>
        <w:rPr>
          <w:b/>
        </w:rPr>
        <w:t xml:space="preserve">11a ustawy </w:t>
      </w:r>
      <w:r w:rsidR="0051199F">
        <w:rPr>
          <w:b/>
        </w:rPr>
        <w:t xml:space="preserve">z dnia 28 kwietnia 1936 r. </w:t>
      </w:r>
      <w:r w:rsidR="0081768F">
        <w:rPr>
          <w:b/>
        </w:rPr>
        <w:t>–</w:t>
      </w:r>
      <w:r w:rsidR="0051199F">
        <w:rPr>
          <w:b/>
        </w:rPr>
        <w:t xml:space="preserve"> </w:t>
      </w:r>
      <w:r>
        <w:rPr>
          <w:b/>
        </w:rPr>
        <w:t>Prawo wekslowe</w:t>
      </w:r>
      <w:r w:rsidR="0051199F">
        <w:rPr>
          <w:b/>
        </w:rPr>
        <w:t xml:space="preserve"> </w:t>
      </w:r>
      <w:r w:rsidR="0051199F" w:rsidRPr="009961AA">
        <w:t>(Dz.</w:t>
      </w:r>
      <w:r w:rsidR="00C230CD">
        <w:t xml:space="preserve"> </w:t>
      </w:r>
      <w:r w:rsidR="0051199F" w:rsidRPr="009961AA">
        <w:t>U. z 2016 r. poz. 160</w:t>
      </w:r>
      <w:r w:rsidR="0081768F">
        <w:t>; dalej: ustawa prawo wekslowe</w:t>
      </w:r>
      <w:r w:rsidRPr="009961AA">
        <w:t>)</w:t>
      </w:r>
    </w:p>
    <w:p w14:paraId="63A429C0" w14:textId="77777777" w:rsidR="00876A58" w:rsidRDefault="00876A58" w:rsidP="00876A58">
      <w:pPr>
        <w:ind w:firstLine="680"/>
        <w:jc w:val="both"/>
      </w:pPr>
    </w:p>
    <w:p w14:paraId="7CDAC6B6" w14:textId="23DD9D30" w:rsidR="00634B6C" w:rsidRDefault="00634B6C" w:rsidP="00634B6C">
      <w:pPr>
        <w:ind w:firstLine="680"/>
        <w:jc w:val="both"/>
      </w:pPr>
      <w:r>
        <w:t xml:space="preserve">Głównym celem wprowadzonych tu zmian jest potrzeba dostosowania </w:t>
      </w:r>
      <w:r w:rsidR="007C7FEE">
        <w:t xml:space="preserve">przenoszalności weksla w obrocie konsumenckim do przepisów procesowych. </w:t>
      </w:r>
      <w:r>
        <w:t>Skoro przedsiębiorca</w:t>
      </w:r>
      <w:r w:rsidR="00C230CD">
        <w:t>,</w:t>
      </w:r>
      <w:r>
        <w:t xml:space="preserve"> występując na drogę sądową na podstawie wystawionego przez konsumenta weksla</w:t>
      </w:r>
      <w:r w:rsidR="00C230CD">
        <w:t>,</w:t>
      </w:r>
      <w:r>
        <w:t xml:space="preserve"> będzie musiał dołączyć wraz z pozwem umowę główną, </w:t>
      </w:r>
      <w:r w:rsidR="003C35CC">
        <w:t xml:space="preserve">roszczenia z </w:t>
      </w:r>
      <w:r>
        <w:t>któr</w:t>
      </w:r>
      <w:r w:rsidR="003C35CC">
        <w:t>ej</w:t>
      </w:r>
      <w:r>
        <w:t xml:space="preserve"> ów weksel zabezpieczał, bez wprowadzenia ograniczeń w prawie materialnym, wymaganie przedstawienia takiej </w:t>
      </w:r>
      <w:r>
        <w:lastRenderedPageBreak/>
        <w:t xml:space="preserve">umowy przez sąd od osoby trzeciej byłoby co najmniej utrudnione. Wykonalność nałożonych zarówno na przedsiębiorcę, jak i na sąd obowiązków należało zatem zapewnić już na etapie kreowania praw </w:t>
      </w:r>
      <w:r w:rsidR="007C7FEE">
        <w:t xml:space="preserve">i obowiązków </w:t>
      </w:r>
      <w:r>
        <w:t xml:space="preserve">z weksla. </w:t>
      </w:r>
    </w:p>
    <w:p w14:paraId="78712A46" w14:textId="2FDC88BD" w:rsidR="00876A58" w:rsidRDefault="00876A58" w:rsidP="00876A58">
      <w:pPr>
        <w:ind w:firstLine="680"/>
        <w:jc w:val="both"/>
        <w:rPr>
          <w:iCs/>
        </w:rPr>
      </w:pPr>
      <w:r>
        <w:t xml:space="preserve">Zmiany w tym zakresie zostały wprowadzone do ustawy z dnia 28 kwietnia 1936 r. </w:t>
      </w:r>
      <w:r w:rsidR="00C230CD">
        <w:t>–</w:t>
      </w:r>
      <w:r>
        <w:t xml:space="preserve"> Prawo wekslowe. TSUE w sprawie C-176/17 </w:t>
      </w:r>
      <w:r w:rsidRPr="003544B7">
        <w:rPr>
          <w:i/>
        </w:rPr>
        <w:t>Profi Credit Polska</w:t>
      </w:r>
      <w:r>
        <w:rPr>
          <w:i/>
        </w:rPr>
        <w:t xml:space="preserve"> </w:t>
      </w:r>
      <w:r w:rsidRPr="00E50CDA">
        <w:rPr>
          <w:iCs/>
        </w:rPr>
        <w:t>potwierdził</w:t>
      </w:r>
      <w:r>
        <w:rPr>
          <w:iCs/>
        </w:rPr>
        <w:t xml:space="preserve">, że w każdej sprawie, w której pozwanym jest konsument, sąd ma obowiązek z urzędu zbadać umowę główną, </w:t>
      </w:r>
      <w:r w:rsidR="002367F6">
        <w:rPr>
          <w:iCs/>
        </w:rPr>
        <w:t xml:space="preserve">z której wynika roszczenie </w:t>
      </w:r>
      <w:r>
        <w:rPr>
          <w:iCs/>
        </w:rPr>
        <w:t>zabezpieczon</w:t>
      </w:r>
      <w:r w:rsidR="002367F6">
        <w:rPr>
          <w:iCs/>
        </w:rPr>
        <w:t>e</w:t>
      </w:r>
      <w:r>
        <w:rPr>
          <w:iCs/>
        </w:rPr>
        <w:t xml:space="preserve"> wekslem. Jest to kierunek </w:t>
      </w:r>
      <w:r>
        <w:t>wykładni art. 6 ust. 1 i</w:t>
      </w:r>
      <w:r w:rsidR="00C230CD">
        <w:t xml:space="preserve"> </w:t>
      </w:r>
      <w:r>
        <w:t>art.</w:t>
      </w:r>
      <w:r w:rsidR="00C230CD">
        <w:t xml:space="preserve"> </w:t>
      </w:r>
      <w:r>
        <w:t>7 ust.</w:t>
      </w:r>
      <w:r w:rsidR="00C230CD">
        <w:t xml:space="preserve"> </w:t>
      </w:r>
      <w:r>
        <w:t>1 dyrektywy Rady 93/13/EWG z</w:t>
      </w:r>
      <w:r w:rsidR="00C230CD">
        <w:t xml:space="preserve"> </w:t>
      </w:r>
      <w:r>
        <w:t>dnia 5</w:t>
      </w:r>
      <w:r w:rsidR="00C230CD">
        <w:t xml:space="preserve"> </w:t>
      </w:r>
      <w:r>
        <w:t>kwietnia 1993</w:t>
      </w:r>
      <w:r w:rsidR="00C230CD">
        <w:t xml:space="preserve"> </w:t>
      </w:r>
      <w:r>
        <w:t xml:space="preserve">r. </w:t>
      </w:r>
      <w:r w:rsidRPr="009961AA">
        <w:rPr>
          <w:iCs/>
        </w:rPr>
        <w:t>w</w:t>
      </w:r>
      <w:r w:rsidR="00C230CD">
        <w:rPr>
          <w:iCs/>
        </w:rPr>
        <w:t xml:space="preserve"> </w:t>
      </w:r>
      <w:r w:rsidRPr="009961AA">
        <w:rPr>
          <w:iCs/>
        </w:rPr>
        <w:t>sprawie nieuczciwych warunków w</w:t>
      </w:r>
      <w:r w:rsidR="00C230CD">
        <w:rPr>
          <w:iCs/>
        </w:rPr>
        <w:t xml:space="preserve"> </w:t>
      </w:r>
      <w:r w:rsidRPr="009961AA">
        <w:rPr>
          <w:iCs/>
        </w:rPr>
        <w:t>umowach konsumenckich</w:t>
      </w:r>
      <w:r w:rsidRPr="00C230CD">
        <w:t xml:space="preserve"> </w:t>
      </w:r>
      <w:r>
        <w:t>(Dz.</w:t>
      </w:r>
      <w:r w:rsidR="00D205CF">
        <w:t xml:space="preserve"> </w:t>
      </w:r>
      <w:r>
        <w:t>U</w:t>
      </w:r>
      <w:r w:rsidR="00D205CF">
        <w:t>rz</w:t>
      </w:r>
      <w:r>
        <w:t>.</w:t>
      </w:r>
      <w:r w:rsidR="00D205CF">
        <w:t xml:space="preserve"> </w:t>
      </w:r>
      <w:r w:rsidR="002C4E7F">
        <w:t>UE</w:t>
      </w:r>
      <w:r w:rsidR="00C230CD">
        <w:t xml:space="preserve"> </w:t>
      </w:r>
      <w:r w:rsidR="00D205CF">
        <w:t>L 95 z 21.04.</w:t>
      </w:r>
      <w:r>
        <w:t>1993, s.</w:t>
      </w:r>
      <w:r w:rsidR="00C230CD">
        <w:t xml:space="preserve"> </w:t>
      </w:r>
      <w:r>
        <w:t>29), które mają zastosowanie nie tylko do umów o kredyt konsumencki, czyli szerzej niż regulacja dyrektywy Parlamentu Europejskiego i</w:t>
      </w:r>
      <w:r w:rsidR="00C230CD">
        <w:t xml:space="preserve"> </w:t>
      </w:r>
      <w:r>
        <w:t>Rady 2008/48/WE z</w:t>
      </w:r>
      <w:r w:rsidR="00C230CD">
        <w:t xml:space="preserve"> </w:t>
      </w:r>
      <w:r>
        <w:t>dnia 23</w:t>
      </w:r>
      <w:r w:rsidR="00C230CD">
        <w:t xml:space="preserve"> </w:t>
      </w:r>
      <w:r>
        <w:t>kwietnia 2008</w:t>
      </w:r>
      <w:r w:rsidR="00C230CD">
        <w:t xml:space="preserve"> </w:t>
      </w:r>
      <w:r>
        <w:t xml:space="preserve">r. </w:t>
      </w:r>
      <w:r w:rsidRPr="002C4E7F">
        <w:rPr>
          <w:iCs/>
        </w:rPr>
        <w:t>w</w:t>
      </w:r>
      <w:r w:rsidR="00C230CD" w:rsidRPr="002C4E7F">
        <w:rPr>
          <w:iCs/>
        </w:rPr>
        <w:t xml:space="preserve"> </w:t>
      </w:r>
      <w:r w:rsidRPr="002C4E7F">
        <w:rPr>
          <w:iCs/>
        </w:rPr>
        <w:t>sprawie umów o kredyt konsumencki oraz uchylającej dyrektywę Rady 87/102/EWG</w:t>
      </w:r>
      <w:r w:rsidRPr="00D205CF">
        <w:t xml:space="preserve"> </w:t>
      </w:r>
      <w:r>
        <w:t>(Dz.</w:t>
      </w:r>
      <w:r w:rsidR="00D205CF">
        <w:t xml:space="preserve"> </w:t>
      </w:r>
      <w:r>
        <w:t>U</w:t>
      </w:r>
      <w:r w:rsidR="00D205CF">
        <w:t>rz</w:t>
      </w:r>
      <w:r>
        <w:t>.</w:t>
      </w:r>
      <w:r w:rsidR="00E73333">
        <w:t xml:space="preserve"> UE</w:t>
      </w:r>
      <w:r w:rsidR="00C230CD">
        <w:t xml:space="preserve"> </w:t>
      </w:r>
      <w:r w:rsidR="00DB09A0">
        <w:t>L 133 z 22.05.</w:t>
      </w:r>
      <w:r>
        <w:t>2008, s.</w:t>
      </w:r>
      <w:r w:rsidR="00C230CD">
        <w:t xml:space="preserve"> </w:t>
      </w:r>
      <w:r>
        <w:t>66; sprostowania Dz.</w:t>
      </w:r>
      <w:r w:rsidR="00DB09A0">
        <w:t xml:space="preserve"> </w:t>
      </w:r>
      <w:r>
        <w:t>U</w:t>
      </w:r>
      <w:r w:rsidR="00DB09A0">
        <w:t>rz</w:t>
      </w:r>
      <w:r>
        <w:t>.</w:t>
      </w:r>
      <w:r w:rsidR="00C230CD">
        <w:t xml:space="preserve"> </w:t>
      </w:r>
      <w:r w:rsidR="00521730">
        <w:t xml:space="preserve">UE </w:t>
      </w:r>
      <w:r w:rsidR="00DB09A0">
        <w:t>L 207 z 11.08.</w:t>
      </w:r>
      <w:r>
        <w:t>2009, s.</w:t>
      </w:r>
      <w:r w:rsidR="00C230CD">
        <w:t xml:space="preserve"> </w:t>
      </w:r>
      <w:r>
        <w:t>14; Dz.</w:t>
      </w:r>
      <w:r w:rsidR="00DB09A0">
        <w:t xml:space="preserve"> </w:t>
      </w:r>
      <w:r>
        <w:t>U</w:t>
      </w:r>
      <w:r w:rsidR="00DB09A0">
        <w:t>rz</w:t>
      </w:r>
      <w:r>
        <w:t>.</w:t>
      </w:r>
      <w:r w:rsidR="00521730">
        <w:t>UE</w:t>
      </w:r>
      <w:r w:rsidR="00C230CD">
        <w:t xml:space="preserve"> </w:t>
      </w:r>
      <w:r w:rsidR="00DB09A0">
        <w:t>L 199 z 31.07.</w:t>
      </w:r>
      <w:r>
        <w:t>2010, s.</w:t>
      </w:r>
      <w:r w:rsidR="00C230CD">
        <w:t xml:space="preserve"> </w:t>
      </w:r>
      <w:r>
        <w:t>40; Dz.</w:t>
      </w:r>
      <w:r w:rsidR="00DB09A0">
        <w:t xml:space="preserve"> </w:t>
      </w:r>
      <w:r>
        <w:t>U</w:t>
      </w:r>
      <w:r w:rsidR="00DB09A0">
        <w:t>rz</w:t>
      </w:r>
      <w:r>
        <w:t>.</w:t>
      </w:r>
      <w:r w:rsidR="00C230CD">
        <w:t xml:space="preserve"> </w:t>
      </w:r>
      <w:r w:rsidR="00521730">
        <w:t xml:space="preserve">UE </w:t>
      </w:r>
      <w:r w:rsidR="00DB09A0">
        <w:t>L 234 z 10.09.</w:t>
      </w:r>
      <w:r>
        <w:t>2011, s.</w:t>
      </w:r>
      <w:r w:rsidR="00C230CD">
        <w:t xml:space="preserve"> </w:t>
      </w:r>
      <w:r>
        <w:t>46; Dz.</w:t>
      </w:r>
      <w:r w:rsidR="00DB09A0">
        <w:t xml:space="preserve"> </w:t>
      </w:r>
      <w:r>
        <w:t>U</w:t>
      </w:r>
      <w:r w:rsidR="00DB09A0">
        <w:t>rz</w:t>
      </w:r>
      <w:r>
        <w:t>.</w:t>
      </w:r>
      <w:r w:rsidR="00C230CD">
        <w:t xml:space="preserve"> </w:t>
      </w:r>
      <w:r w:rsidR="00521730">
        <w:t xml:space="preserve">UE </w:t>
      </w:r>
      <w:r w:rsidR="00DB09A0">
        <w:t xml:space="preserve">L 36 </w:t>
      </w:r>
      <w:r w:rsidR="00521730">
        <w:t>z 12.02.</w:t>
      </w:r>
      <w:r>
        <w:t>2015, s.</w:t>
      </w:r>
      <w:r w:rsidR="00C230CD">
        <w:t xml:space="preserve"> </w:t>
      </w:r>
      <w:r>
        <w:t>15).</w:t>
      </w:r>
      <w:r>
        <w:rPr>
          <w:iCs/>
        </w:rPr>
        <w:t xml:space="preserve"> W związku z powyższym dotychczasowa regulacja art. 41 </w:t>
      </w:r>
      <w:r w:rsidR="002367F6">
        <w:rPr>
          <w:iCs/>
        </w:rPr>
        <w:t xml:space="preserve">ustawy </w:t>
      </w:r>
      <w:r w:rsidR="002367F6" w:rsidRPr="00DB09A0">
        <w:rPr>
          <w:iCs/>
        </w:rPr>
        <w:t>o</w:t>
      </w:r>
      <w:r w:rsidRPr="002C4E7F">
        <w:t xml:space="preserve"> kredycie konsumenckim</w:t>
      </w:r>
      <w:r>
        <w:rPr>
          <w:iCs/>
        </w:rPr>
        <w:t xml:space="preserve">, okazała </w:t>
      </w:r>
      <w:r w:rsidR="00FA3A8A">
        <w:rPr>
          <w:iCs/>
        </w:rPr>
        <w:t xml:space="preserve">się </w:t>
      </w:r>
      <w:r>
        <w:rPr>
          <w:iCs/>
        </w:rPr>
        <w:t>niewystarczająca.</w:t>
      </w:r>
    </w:p>
    <w:p w14:paraId="33B81018" w14:textId="247BFE5C" w:rsidR="007C7FEE" w:rsidRDefault="007C7FEE" w:rsidP="007C7FEE">
      <w:pPr>
        <w:jc w:val="both"/>
        <w:rPr>
          <w:iCs/>
        </w:rPr>
      </w:pPr>
      <w:r>
        <w:rPr>
          <w:iCs/>
        </w:rPr>
        <w:tab/>
        <w:t>Kluczową zmianą w tym zakresie jest dodanie art. 11a, który realizuje powyższy cel, wyłączając możliwość</w:t>
      </w:r>
      <w:r w:rsidR="00D00D77">
        <w:rPr>
          <w:iCs/>
        </w:rPr>
        <w:t xml:space="preserve"> przenoszenia ze skutkami indosu weksla wystawionego przez konsumenta na zabezpieczenie </w:t>
      </w:r>
      <w:r w:rsidR="002367F6">
        <w:rPr>
          <w:iCs/>
        </w:rPr>
        <w:t xml:space="preserve">roszczeń </w:t>
      </w:r>
      <w:r w:rsidR="003F06DA">
        <w:rPr>
          <w:iCs/>
        </w:rPr>
        <w:t xml:space="preserve">z </w:t>
      </w:r>
      <w:r w:rsidR="002367F6">
        <w:rPr>
          <w:iCs/>
        </w:rPr>
        <w:t>umowy</w:t>
      </w:r>
      <w:r>
        <w:rPr>
          <w:iCs/>
        </w:rPr>
        <w:t xml:space="preserve">. </w:t>
      </w:r>
    </w:p>
    <w:p w14:paraId="066683B5" w14:textId="73790A2E" w:rsidR="007C7FEE" w:rsidRPr="002905CE" w:rsidRDefault="007C7FEE" w:rsidP="003A1EC2">
      <w:pPr>
        <w:jc w:val="both"/>
        <w:rPr>
          <w:iCs/>
        </w:rPr>
      </w:pPr>
      <w:r>
        <w:rPr>
          <w:iCs/>
        </w:rPr>
        <w:tab/>
        <w:t xml:space="preserve">Projektowany art. 11 jest w istocie konsekwencją wprowadzonego w art. 11a ograniczenia. Zmiana </w:t>
      </w:r>
      <w:r w:rsidR="007F3C42">
        <w:rPr>
          <w:iCs/>
        </w:rPr>
        <w:t xml:space="preserve">w art. 11 </w:t>
      </w:r>
      <w:r>
        <w:rPr>
          <w:iCs/>
        </w:rPr>
        <w:t>polega</w:t>
      </w:r>
      <w:r w:rsidR="007F3C42">
        <w:rPr>
          <w:iCs/>
        </w:rPr>
        <w:t xml:space="preserve"> bowiem</w:t>
      </w:r>
      <w:r>
        <w:rPr>
          <w:iCs/>
        </w:rPr>
        <w:t xml:space="preserve"> tylko na wykreśleniu słowa „każdy” – skoro weks</w:t>
      </w:r>
      <w:r w:rsidR="00D00D77">
        <w:rPr>
          <w:iCs/>
        </w:rPr>
        <w:t>la</w:t>
      </w:r>
      <w:r>
        <w:rPr>
          <w:iCs/>
        </w:rPr>
        <w:t xml:space="preserve"> wystawion</w:t>
      </w:r>
      <w:r w:rsidR="00D00D77">
        <w:rPr>
          <w:iCs/>
        </w:rPr>
        <w:t>ego</w:t>
      </w:r>
      <w:r>
        <w:rPr>
          <w:iCs/>
        </w:rPr>
        <w:t xml:space="preserve"> przez konsumenta nie można przenieść przez indos</w:t>
      </w:r>
      <w:r w:rsidR="007F3C42">
        <w:rPr>
          <w:iCs/>
        </w:rPr>
        <w:t xml:space="preserve"> (o czym stanowi projektowany art. 11a)</w:t>
      </w:r>
      <w:r>
        <w:rPr>
          <w:iCs/>
        </w:rPr>
        <w:t xml:space="preserve">. </w:t>
      </w:r>
    </w:p>
    <w:p w14:paraId="5A1CC2D7" w14:textId="77777777" w:rsidR="0056704A" w:rsidRDefault="0056704A" w:rsidP="003B0E78">
      <w:pPr>
        <w:pStyle w:val="NIEARTTEKSTtekstnieartykuowanynppodstprawnarozplubpreambua"/>
        <w:spacing w:before="0"/>
        <w:ind w:firstLine="709"/>
        <w:rPr>
          <w:b/>
        </w:rPr>
      </w:pPr>
    </w:p>
    <w:p w14:paraId="352D87EB" w14:textId="51FF2F94" w:rsidR="00912153" w:rsidRDefault="00FA72C0" w:rsidP="003B0E78">
      <w:pPr>
        <w:pStyle w:val="NIEARTTEKSTtekstnieartykuowanynppodstprawnarozplubpreambua"/>
        <w:spacing w:before="0"/>
        <w:ind w:firstLine="709"/>
        <w:rPr>
          <w:bCs w:val="0"/>
        </w:rPr>
      </w:pPr>
      <w:r>
        <w:rPr>
          <w:b/>
        </w:rPr>
        <w:t xml:space="preserve">Art. 3 projektu (proj. </w:t>
      </w:r>
      <w:r w:rsidR="00912153">
        <w:rPr>
          <w:b/>
        </w:rPr>
        <w:t xml:space="preserve">art. 138c </w:t>
      </w:r>
      <w:r w:rsidR="00912153">
        <w:rPr>
          <w:rFonts w:cs="Times"/>
          <w:b/>
        </w:rPr>
        <w:t>§</w:t>
      </w:r>
      <w:r w:rsidR="00912153">
        <w:rPr>
          <w:b/>
        </w:rPr>
        <w:t xml:space="preserve"> 3 </w:t>
      </w:r>
      <w:r w:rsidR="00FC5635">
        <w:rPr>
          <w:b/>
        </w:rPr>
        <w:t xml:space="preserve">ustawy z dnia 20 maja 1971 r. </w:t>
      </w:r>
      <w:r w:rsidR="000D40CE">
        <w:rPr>
          <w:b/>
        </w:rPr>
        <w:t>–</w:t>
      </w:r>
      <w:r w:rsidR="00FC5635">
        <w:rPr>
          <w:b/>
        </w:rPr>
        <w:t xml:space="preserve"> K</w:t>
      </w:r>
      <w:r w:rsidR="00912153" w:rsidRPr="000340B6">
        <w:rPr>
          <w:b/>
        </w:rPr>
        <w:t>odeks wykroczeń</w:t>
      </w:r>
      <w:r w:rsidR="0051199F">
        <w:rPr>
          <w:b/>
        </w:rPr>
        <w:t xml:space="preserve"> </w:t>
      </w:r>
      <w:r w:rsidR="0051199F" w:rsidRPr="009961AA">
        <w:t>(</w:t>
      </w:r>
      <w:r w:rsidR="00FC5635" w:rsidRPr="009961AA">
        <w:t>Dz.</w:t>
      </w:r>
      <w:r w:rsidR="000D40CE" w:rsidRPr="009961AA">
        <w:t xml:space="preserve"> </w:t>
      </w:r>
      <w:r w:rsidR="00FC5635" w:rsidRPr="009961AA">
        <w:t xml:space="preserve">U. z </w:t>
      </w:r>
      <w:r w:rsidR="00652581" w:rsidRPr="009961AA">
        <w:t>2021 r. poz. 281</w:t>
      </w:r>
      <w:r w:rsidR="00FA3A8A" w:rsidRPr="009961AA">
        <w:t xml:space="preserve"> i 720</w:t>
      </w:r>
      <w:r w:rsidR="008A6F22" w:rsidRPr="009961AA">
        <w:t>, dalej „kodeks wykroczeń”)</w:t>
      </w:r>
      <w:r w:rsidR="00652581">
        <w:rPr>
          <w:b/>
        </w:rPr>
        <w:t xml:space="preserve"> </w:t>
      </w:r>
    </w:p>
    <w:p w14:paraId="7D3A40DF" w14:textId="6723920B" w:rsidR="00F815D0" w:rsidRPr="00F815D0" w:rsidRDefault="00912153" w:rsidP="00912153">
      <w:pPr>
        <w:pStyle w:val="ARTartustawynprozporzdzenia"/>
        <w:rPr>
          <w:rFonts w:ascii="Times New Roman" w:hAnsi="Times New Roman" w:cs="Times New Roman"/>
          <w:szCs w:val="24"/>
        </w:rPr>
      </w:pPr>
      <w:r>
        <w:t xml:space="preserve">Mając na uwadze, że w projektowanym art. 11a ustawy </w:t>
      </w:r>
      <w:r w:rsidRPr="009961AA">
        <w:rPr>
          <w:iCs/>
        </w:rPr>
        <w:t>prawo</w:t>
      </w:r>
      <w:r w:rsidRPr="0081768F">
        <w:rPr>
          <w:i/>
          <w:iCs/>
        </w:rPr>
        <w:t xml:space="preserve"> </w:t>
      </w:r>
      <w:r w:rsidRPr="009961AA">
        <w:rPr>
          <w:iCs/>
        </w:rPr>
        <w:t>wekslowe</w:t>
      </w:r>
      <w:r>
        <w:t xml:space="preserve"> projektodawca rozszerzył ograniczenie przenoszenia weksli w obrocie konsumenckim poza wcześniej obowiązując</w:t>
      </w:r>
      <w:r w:rsidR="008568A5">
        <w:t>e</w:t>
      </w:r>
      <w:r>
        <w:t xml:space="preserve"> w art. 41 ustawy </w:t>
      </w:r>
      <w:r w:rsidRPr="009961AA">
        <w:rPr>
          <w:iCs/>
        </w:rPr>
        <w:t>o kredycie konsumenckim</w:t>
      </w:r>
      <w:r>
        <w:t xml:space="preserve">, którego zmianę przewiduje art. </w:t>
      </w:r>
      <w:r w:rsidR="002367F6">
        <w:t>6</w:t>
      </w:r>
      <w:r>
        <w:t xml:space="preserve"> projektu, należało dostosować </w:t>
      </w:r>
      <w:r w:rsidR="001D4DF5">
        <w:t xml:space="preserve">do tej zmiany </w:t>
      </w:r>
      <w:r>
        <w:t>art. 138c kodeksu wykroczeń</w:t>
      </w:r>
      <w:r w:rsidR="008568A5" w:rsidRPr="00F815D0">
        <w:rPr>
          <w:rFonts w:ascii="Times New Roman" w:hAnsi="Times New Roman" w:cs="Times New Roman"/>
          <w:szCs w:val="24"/>
        </w:rPr>
        <w:t xml:space="preserve">. </w:t>
      </w:r>
      <w:r w:rsidR="0077224C">
        <w:rPr>
          <w:rFonts w:ascii="Times New Roman" w:hAnsi="Times New Roman" w:cs="Times New Roman"/>
          <w:szCs w:val="24"/>
        </w:rPr>
        <w:t>Projekt nie zakłada przy tym wprowadzenia dodatkowych ograniczeń co do przenoszenia czeków.</w:t>
      </w:r>
    </w:p>
    <w:p w14:paraId="57EE3D7B" w14:textId="46C034A3" w:rsidR="001D4DF5" w:rsidRPr="000340B6" w:rsidRDefault="008568A5" w:rsidP="00912153">
      <w:pPr>
        <w:pStyle w:val="ARTartustawynprozporzdzenia"/>
        <w:rPr>
          <w:rFonts w:ascii="Times New Roman" w:hAnsi="Times New Roman" w:cs="Times New Roman"/>
          <w:szCs w:val="24"/>
          <w:shd w:val="clear" w:color="auto" w:fill="FFFFFF"/>
        </w:rPr>
      </w:pPr>
      <w:r w:rsidRPr="000340B6">
        <w:rPr>
          <w:rFonts w:ascii="Times New Roman" w:hAnsi="Times New Roman" w:cs="Times New Roman"/>
          <w:szCs w:val="24"/>
        </w:rPr>
        <w:t xml:space="preserve">W obecnym brzmieniu art. 138c § 3 kodeksu wykroczeń penalizuje zachowanie polegające </w:t>
      </w:r>
      <w:r w:rsidRPr="000340B6">
        <w:rPr>
          <w:rFonts w:ascii="Times New Roman" w:hAnsi="Times New Roman" w:cs="Times New Roman"/>
          <w:szCs w:val="24"/>
          <w:shd w:val="clear" w:color="auto" w:fill="FFFFFF"/>
        </w:rPr>
        <w:t xml:space="preserve">na przyjmowaniu od konsumenta weksla lub czeku niezawierającego klauzuli „nie </w:t>
      </w:r>
      <w:r w:rsidRPr="000340B6">
        <w:rPr>
          <w:rFonts w:ascii="Times New Roman" w:hAnsi="Times New Roman" w:cs="Times New Roman"/>
          <w:szCs w:val="24"/>
          <w:shd w:val="clear" w:color="auto" w:fill="FFFFFF"/>
        </w:rPr>
        <w:lastRenderedPageBreak/>
        <w:t xml:space="preserve">na zlecenie” w celu spełnienia lub zabezpieczenia świadczenia wynikającego </w:t>
      </w:r>
      <w:r w:rsidR="00F815D0" w:rsidRPr="000340B6">
        <w:rPr>
          <w:rFonts w:ascii="Times New Roman" w:hAnsi="Times New Roman" w:cs="Times New Roman"/>
          <w:szCs w:val="24"/>
          <w:shd w:val="clear" w:color="auto" w:fill="FFFFFF"/>
        </w:rPr>
        <w:t xml:space="preserve">jedynie </w:t>
      </w:r>
      <w:r w:rsidRPr="000340B6">
        <w:rPr>
          <w:rFonts w:ascii="Times New Roman" w:hAnsi="Times New Roman" w:cs="Times New Roman"/>
          <w:szCs w:val="24"/>
          <w:shd w:val="clear" w:color="auto" w:fill="FFFFFF"/>
        </w:rPr>
        <w:t>z umowy o kredyt konsumencki.</w:t>
      </w:r>
      <w:r w:rsidR="00F815D0" w:rsidRPr="000340B6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</w:p>
    <w:p w14:paraId="02C877A1" w14:textId="45D12851" w:rsidR="00D41BC8" w:rsidRPr="00EC28EE" w:rsidRDefault="00F815D0" w:rsidP="00D41BC8">
      <w:pPr>
        <w:pStyle w:val="ARTartustawynprozporzdzenia"/>
        <w:rPr>
          <w:rFonts w:ascii="Times New Roman" w:hAnsi="Times New Roman" w:cs="Times New Roman"/>
          <w:szCs w:val="24"/>
        </w:rPr>
      </w:pPr>
      <w:r w:rsidRPr="00EC28EE">
        <w:rPr>
          <w:rFonts w:ascii="Times New Roman" w:hAnsi="Times New Roman" w:cs="Times New Roman"/>
          <w:szCs w:val="24"/>
          <w:shd w:val="clear" w:color="auto" w:fill="FFFFFF"/>
        </w:rPr>
        <w:t xml:space="preserve">W związku z koniecznością zapewnienia pełniejszej ochrony praw konsumentów oraz skuteczności projektowanego art. 11a ustawy </w:t>
      </w:r>
      <w:r w:rsidRPr="009961AA">
        <w:rPr>
          <w:rFonts w:ascii="Times New Roman" w:hAnsi="Times New Roman" w:cs="Times New Roman"/>
          <w:iCs/>
          <w:szCs w:val="24"/>
          <w:shd w:val="clear" w:color="auto" w:fill="FFFFFF"/>
        </w:rPr>
        <w:t>prawo wekslowe</w:t>
      </w:r>
      <w:r w:rsidRPr="00EC28EE">
        <w:rPr>
          <w:rFonts w:ascii="Times New Roman" w:hAnsi="Times New Roman" w:cs="Times New Roman"/>
          <w:szCs w:val="24"/>
          <w:shd w:val="clear" w:color="auto" w:fill="FFFFFF"/>
        </w:rPr>
        <w:t xml:space="preserve">, należało rozszerzyć zakres zastosowania </w:t>
      </w:r>
      <w:r w:rsidR="00C1014C" w:rsidRPr="00EC28EE">
        <w:rPr>
          <w:rFonts w:ascii="Times New Roman" w:hAnsi="Times New Roman" w:cs="Times New Roman"/>
          <w:szCs w:val="24"/>
          <w:shd w:val="clear" w:color="auto" w:fill="FFFFFF"/>
        </w:rPr>
        <w:t xml:space="preserve">dotychczasowego </w:t>
      </w:r>
      <w:r w:rsidRPr="00EC28EE">
        <w:rPr>
          <w:rFonts w:ascii="Times New Roman" w:hAnsi="Times New Roman" w:cs="Times New Roman"/>
          <w:szCs w:val="24"/>
        </w:rPr>
        <w:t xml:space="preserve">art. 138c § 3 kodeksu wykroczeń do weksli wydanych </w:t>
      </w:r>
      <w:r w:rsidR="00EC28EE" w:rsidRPr="00EC28EE">
        <w:rPr>
          <w:rFonts w:ascii="Times New Roman" w:hAnsi="Times New Roman" w:cs="Times New Roman"/>
          <w:szCs w:val="24"/>
          <w:shd w:val="clear" w:color="auto" w:fill="FFFFFF"/>
        </w:rPr>
        <w:t xml:space="preserve">w celu spełnienia lub zabezpieczenia świadczenia </w:t>
      </w:r>
      <w:r w:rsidRPr="00EC28EE">
        <w:rPr>
          <w:rFonts w:ascii="Times New Roman" w:hAnsi="Times New Roman" w:cs="Times New Roman"/>
          <w:szCs w:val="24"/>
        </w:rPr>
        <w:t xml:space="preserve">wynikającego z </w:t>
      </w:r>
      <w:r w:rsidR="007A0A02" w:rsidRPr="00EC28EE">
        <w:rPr>
          <w:rFonts w:ascii="Times New Roman" w:hAnsi="Times New Roman" w:cs="Times New Roman"/>
          <w:szCs w:val="24"/>
        </w:rPr>
        <w:t>wszelkich</w:t>
      </w:r>
      <w:r w:rsidRPr="00EC28EE">
        <w:rPr>
          <w:rFonts w:ascii="Times New Roman" w:hAnsi="Times New Roman" w:cs="Times New Roman"/>
          <w:szCs w:val="24"/>
        </w:rPr>
        <w:t xml:space="preserve"> umów zawartych z konsumentem</w:t>
      </w:r>
      <w:r w:rsidR="001D4DF5" w:rsidRPr="00EC28EE">
        <w:rPr>
          <w:rFonts w:ascii="Times New Roman" w:hAnsi="Times New Roman" w:cs="Times New Roman"/>
          <w:szCs w:val="24"/>
        </w:rPr>
        <w:t xml:space="preserve">. </w:t>
      </w:r>
      <w:r w:rsidR="00D41BC8" w:rsidRPr="00EC28EE">
        <w:rPr>
          <w:rFonts w:ascii="Times New Roman" w:hAnsi="Times New Roman" w:cs="Times New Roman"/>
          <w:szCs w:val="24"/>
        </w:rPr>
        <w:t xml:space="preserve"> </w:t>
      </w:r>
    </w:p>
    <w:p w14:paraId="77D9F098" w14:textId="04048651" w:rsidR="001D4DF5" w:rsidRDefault="00D41BC8" w:rsidP="00D41BC8">
      <w:pPr>
        <w:pStyle w:val="ARTartustawynprozporzdzenia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</w:t>
      </w:r>
      <w:r w:rsidR="001D4DF5">
        <w:rPr>
          <w:rFonts w:ascii="Times New Roman" w:hAnsi="Times New Roman" w:cs="Times New Roman"/>
          <w:szCs w:val="24"/>
        </w:rPr>
        <w:t xml:space="preserve">obec </w:t>
      </w:r>
      <w:r w:rsidR="0077224C">
        <w:rPr>
          <w:rFonts w:ascii="Times New Roman" w:hAnsi="Times New Roman" w:cs="Times New Roman"/>
          <w:szCs w:val="24"/>
        </w:rPr>
        <w:t>powyższego</w:t>
      </w:r>
      <w:r w:rsidR="001D4DF5">
        <w:rPr>
          <w:rFonts w:ascii="Times New Roman" w:hAnsi="Times New Roman" w:cs="Times New Roman"/>
          <w:szCs w:val="24"/>
        </w:rPr>
        <w:t xml:space="preserve"> brzmienie </w:t>
      </w:r>
      <w:r>
        <w:rPr>
          <w:rFonts w:ascii="Times New Roman" w:hAnsi="Times New Roman" w:cs="Times New Roman"/>
          <w:szCs w:val="24"/>
        </w:rPr>
        <w:t xml:space="preserve">art. </w:t>
      </w:r>
      <w:r w:rsidR="001D4DF5" w:rsidRPr="00F815D0">
        <w:rPr>
          <w:rFonts w:ascii="Times New Roman" w:hAnsi="Times New Roman" w:cs="Times New Roman"/>
          <w:szCs w:val="24"/>
        </w:rPr>
        <w:t>138c § 3 kodeksu wykroczeń</w:t>
      </w:r>
      <w:r w:rsidR="001D4DF5">
        <w:rPr>
          <w:rFonts w:ascii="Times New Roman" w:hAnsi="Times New Roman" w:cs="Times New Roman"/>
          <w:szCs w:val="24"/>
        </w:rPr>
        <w:t xml:space="preserve"> zmieniono w ten sposób</w:t>
      </w:r>
      <w:r w:rsidR="00C1014C">
        <w:rPr>
          <w:rFonts w:ascii="Times New Roman" w:hAnsi="Times New Roman" w:cs="Times New Roman"/>
          <w:szCs w:val="24"/>
        </w:rPr>
        <w:t xml:space="preserve">, że </w:t>
      </w:r>
      <w:r>
        <w:rPr>
          <w:rFonts w:ascii="Times New Roman" w:hAnsi="Times New Roman" w:cs="Times New Roman"/>
          <w:szCs w:val="24"/>
        </w:rPr>
        <w:t xml:space="preserve">pozostawiono w nim </w:t>
      </w:r>
      <w:r w:rsidR="0077224C">
        <w:rPr>
          <w:rFonts w:ascii="Times New Roman" w:hAnsi="Times New Roman" w:cs="Times New Roman"/>
          <w:szCs w:val="24"/>
        </w:rPr>
        <w:t xml:space="preserve">jedynie </w:t>
      </w:r>
      <w:r>
        <w:rPr>
          <w:rFonts w:ascii="Times New Roman" w:hAnsi="Times New Roman" w:cs="Times New Roman"/>
          <w:szCs w:val="24"/>
        </w:rPr>
        <w:t xml:space="preserve">regulację dotyczącą penalizacji w zakresie czeków przyjmowanych od konsumenta </w:t>
      </w:r>
      <w:r w:rsidR="00EC28EE" w:rsidRPr="00F815D0"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w celu spełnienia lub zabezpieczenia świadczenia </w:t>
      </w:r>
      <w:r>
        <w:rPr>
          <w:rFonts w:ascii="Times New Roman" w:hAnsi="Times New Roman" w:cs="Times New Roman"/>
          <w:szCs w:val="24"/>
        </w:rPr>
        <w:t>wynikającego z umowy o kredyt konsumencki, wyłączając jednocześnie</w:t>
      </w:r>
      <w:r w:rsidR="001D4DF5">
        <w:rPr>
          <w:rFonts w:ascii="Times New Roman" w:hAnsi="Times New Roman" w:cs="Times New Roman"/>
          <w:szCs w:val="24"/>
        </w:rPr>
        <w:t xml:space="preserve"> z </w:t>
      </w:r>
      <w:r w:rsidR="00C1014C">
        <w:rPr>
          <w:rFonts w:ascii="Times New Roman" w:hAnsi="Times New Roman" w:cs="Times New Roman"/>
          <w:szCs w:val="24"/>
        </w:rPr>
        <w:t>jego zakresu</w:t>
      </w:r>
      <w:r w:rsidR="001D4DF5">
        <w:rPr>
          <w:rFonts w:ascii="Times New Roman" w:hAnsi="Times New Roman" w:cs="Times New Roman"/>
          <w:szCs w:val="24"/>
        </w:rPr>
        <w:t xml:space="preserve"> obrót wekslowy, któr</w:t>
      </w:r>
      <w:r w:rsidR="00C1014C">
        <w:rPr>
          <w:rFonts w:ascii="Times New Roman" w:hAnsi="Times New Roman" w:cs="Times New Roman"/>
          <w:szCs w:val="24"/>
        </w:rPr>
        <w:t>ego</w:t>
      </w:r>
      <w:r w:rsidR="001D4DF5">
        <w:rPr>
          <w:rFonts w:ascii="Times New Roman" w:hAnsi="Times New Roman" w:cs="Times New Roman"/>
          <w:szCs w:val="24"/>
        </w:rPr>
        <w:t xml:space="preserve"> uregulowan</w:t>
      </w:r>
      <w:r w:rsidR="00C1014C">
        <w:rPr>
          <w:rFonts w:ascii="Times New Roman" w:hAnsi="Times New Roman" w:cs="Times New Roman"/>
          <w:szCs w:val="24"/>
        </w:rPr>
        <w:t>ie</w:t>
      </w:r>
      <w:r w:rsidR="001D4DF5">
        <w:rPr>
          <w:rFonts w:ascii="Times New Roman" w:hAnsi="Times New Roman" w:cs="Times New Roman"/>
          <w:szCs w:val="24"/>
        </w:rPr>
        <w:t xml:space="preserve"> zosta</w:t>
      </w:r>
      <w:r>
        <w:rPr>
          <w:rFonts w:ascii="Times New Roman" w:hAnsi="Times New Roman" w:cs="Times New Roman"/>
          <w:szCs w:val="24"/>
        </w:rPr>
        <w:t>ło przeniesione</w:t>
      </w:r>
      <w:r w:rsidR="001D4D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do</w:t>
      </w:r>
      <w:r w:rsidR="001D4DF5">
        <w:rPr>
          <w:rFonts w:ascii="Times New Roman" w:hAnsi="Times New Roman" w:cs="Times New Roman"/>
          <w:szCs w:val="24"/>
        </w:rPr>
        <w:t xml:space="preserve"> now</w:t>
      </w:r>
      <w:r>
        <w:rPr>
          <w:rFonts w:ascii="Times New Roman" w:hAnsi="Times New Roman" w:cs="Times New Roman"/>
          <w:szCs w:val="24"/>
        </w:rPr>
        <w:t>o</w:t>
      </w:r>
      <w:r w:rsidR="00BC39B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projektowanego</w:t>
      </w:r>
      <w:r w:rsidR="001D4DF5">
        <w:rPr>
          <w:rFonts w:ascii="Times New Roman" w:hAnsi="Times New Roman" w:cs="Times New Roman"/>
          <w:szCs w:val="24"/>
        </w:rPr>
        <w:t xml:space="preserve"> </w:t>
      </w:r>
      <w:r w:rsidR="00FA3A8A">
        <w:rPr>
          <w:rFonts w:ascii="Times New Roman" w:hAnsi="Times New Roman" w:cs="Times New Roman"/>
          <w:szCs w:val="24"/>
        </w:rPr>
        <w:t xml:space="preserve">przepisu </w:t>
      </w:r>
      <w:r w:rsidR="001D4DF5" w:rsidRPr="00F815D0">
        <w:rPr>
          <w:rFonts w:ascii="Times New Roman" w:hAnsi="Times New Roman" w:cs="Times New Roman"/>
          <w:szCs w:val="24"/>
        </w:rPr>
        <w:t>§ 3</w:t>
      </w:r>
      <w:r w:rsidR="001D4DF5">
        <w:rPr>
          <w:rFonts w:ascii="Times New Roman" w:hAnsi="Times New Roman" w:cs="Times New Roman"/>
          <w:szCs w:val="24"/>
        </w:rPr>
        <w:t>a.</w:t>
      </w:r>
    </w:p>
    <w:p w14:paraId="10CB25B5" w14:textId="5D859D89" w:rsidR="00FA72C0" w:rsidRDefault="001C3B1D" w:rsidP="001C3B1D">
      <w:pPr>
        <w:pStyle w:val="ARTartustawynprozporzdzenia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Dodanie w art. 138c </w:t>
      </w:r>
      <w:r w:rsidRPr="00F815D0">
        <w:rPr>
          <w:rFonts w:ascii="Times New Roman" w:hAnsi="Times New Roman" w:cs="Times New Roman"/>
          <w:szCs w:val="24"/>
        </w:rPr>
        <w:t>§ 3</w:t>
      </w:r>
      <w:r>
        <w:rPr>
          <w:rFonts w:ascii="Times New Roman" w:hAnsi="Times New Roman" w:cs="Times New Roman"/>
          <w:szCs w:val="24"/>
        </w:rPr>
        <w:t xml:space="preserve">a implikuje konieczność zmiany w </w:t>
      </w:r>
      <w:r w:rsidRPr="00F815D0">
        <w:rPr>
          <w:rFonts w:ascii="Times New Roman" w:hAnsi="Times New Roman" w:cs="Times New Roman"/>
          <w:szCs w:val="24"/>
        </w:rPr>
        <w:t>§</w:t>
      </w:r>
      <w:r>
        <w:rPr>
          <w:rFonts w:ascii="Times New Roman" w:hAnsi="Times New Roman" w:cs="Times New Roman"/>
          <w:szCs w:val="24"/>
        </w:rPr>
        <w:t xml:space="preserve"> 4 art. 138c</w:t>
      </w:r>
      <w:r w:rsidR="008A5AA6">
        <w:rPr>
          <w:rFonts w:ascii="Times New Roman" w:hAnsi="Times New Roman" w:cs="Times New Roman"/>
          <w:szCs w:val="24"/>
        </w:rPr>
        <w:t xml:space="preserve"> kodeksu wykroczeń</w:t>
      </w:r>
      <w:r>
        <w:rPr>
          <w:rFonts w:ascii="Times New Roman" w:hAnsi="Times New Roman" w:cs="Times New Roman"/>
          <w:szCs w:val="24"/>
        </w:rPr>
        <w:t>, aby również w tym przypadku przewidziana była odpowiedzialność osób kierujących przedsiębiorstwem lub osób upoważnionych do zawierania umów z konsumentami, gdy przedsiębiorcą</w:t>
      </w:r>
      <w:r w:rsidR="008A5AA6">
        <w:rPr>
          <w:rFonts w:ascii="Times New Roman" w:hAnsi="Times New Roman" w:cs="Times New Roman"/>
          <w:szCs w:val="24"/>
        </w:rPr>
        <w:t xml:space="preserve"> przyjmującym weksel</w:t>
      </w:r>
      <w:r>
        <w:rPr>
          <w:rFonts w:ascii="Times New Roman" w:hAnsi="Times New Roman" w:cs="Times New Roman"/>
          <w:szCs w:val="24"/>
        </w:rPr>
        <w:t xml:space="preserve"> jest podmiot niebędący osobą fizyczną.</w:t>
      </w:r>
    </w:p>
    <w:p w14:paraId="1330631A" w14:textId="77777777" w:rsidR="00256DE7" w:rsidRPr="0008323B" w:rsidRDefault="00256DE7" w:rsidP="0008323B">
      <w:pPr>
        <w:widowControl/>
        <w:spacing w:line="240" w:lineRule="auto"/>
      </w:pPr>
    </w:p>
    <w:p w14:paraId="461FFDE0" w14:textId="7C2FBB06" w:rsidR="003267C7" w:rsidRDefault="003B0E78" w:rsidP="00701F76">
      <w:pPr>
        <w:pStyle w:val="NIEARTTEKSTtekstnieartykuowanynppodstprawnarozplubpreambua"/>
        <w:spacing w:before="0"/>
        <w:ind w:firstLine="709"/>
      </w:pPr>
      <w:r w:rsidRPr="009C797D">
        <w:rPr>
          <w:b/>
        </w:rPr>
        <w:t>Art.</w:t>
      </w:r>
      <w:r>
        <w:rPr>
          <w:b/>
        </w:rPr>
        <w:t xml:space="preserve"> </w:t>
      </w:r>
      <w:r w:rsidR="00983E27">
        <w:rPr>
          <w:b/>
        </w:rPr>
        <w:t>4</w:t>
      </w:r>
      <w:r w:rsidR="00701F76">
        <w:rPr>
          <w:b/>
        </w:rPr>
        <w:t xml:space="preserve"> </w:t>
      </w:r>
      <w:r>
        <w:rPr>
          <w:b/>
        </w:rPr>
        <w:t xml:space="preserve">projektu </w:t>
      </w:r>
      <w:r w:rsidR="002367F6">
        <w:rPr>
          <w:b/>
        </w:rPr>
        <w:t>(proj.</w:t>
      </w:r>
      <w:r>
        <w:rPr>
          <w:b/>
        </w:rPr>
        <w:t xml:space="preserve"> art. 16 ust. </w:t>
      </w:r>
      <w:r w:rsidR="00FA3A8A">
        <w:rPr>
          <w:b/>
        </w:rPr>
        <w:t>1 zdanie drugie</w:t>
      </w:r>
      <w:r>
        <w:rPr>
          <w:b/>
        </w:rPr>
        <w:t xml:space="preserve"> ustawy </w:t>
      </w:r>
      <w:r w:rsidRPr="009961AA">
        <w:rPr>
          <w:b/>
          <w:iCs/>
        </w:rPr>
        <w:t>o prawie pomocy</w:t>
      </w:r>
      <w:r>
        <w:rPr>
          <w:b/>
        </w:rPr>
        <w:t xml:space="preserve">) </w:t>
      </w:r>
    </w:p>
    <w:p w14:paraId="14E4A6DD" w14:textId="77777777" w:rsidR="00701F76" w:rsidRPr="00701F76" w:rsidRDefault="00701F76" w:rsidP="002C56FC">
      <w:pPr>
        <w:pStyle w:val="ARTartustawynprozporzdzenia"/>
        <w:spacing w:before="0"/>
      </w:pPr>
    </w:p>
    <w:p w14:paraId="545B5111" w14:textId="77777777" w:rsidR="003B0E78" w:rsidRPr="00463B3D" w:rsidRDefault="003B0E78" w:rsidP="003B0E78">
      <w:pPr>
        <w:pStyle w:val="NIEARTTEKSTtekstnieartykuowanynppodstprawnarozplubpreambua"/>
        <w:spacing w:before="0"/>
        <w:ind w:firstLine="709"/>
        <w:rPr>
          <w:rFonts w:ascii="Times New Roman" w:hAnsi="Times New Roman" w:cs="Times New Roman"/>
          <w:szCs w:val="24"/>
        </w:rPr>
      </w:pPr>
      <w:r w:rsidRPr="00463B3D">
        <w:rPr>
          <w:rFonts w:ascii="Times New Roman" w:hAnsi="Times New Roman" w:cs="Times New Roman"/>
          <w:szCs w:val="24"/>
        </w:rPr>
        <w:t>Przewidziana w projekcie nowelizacja ustawy z dnia 17 grudnia 2004 r.</w:t>
      </w:r>
      <w:r w:rsidRPr="008454E7">
        <w:rPr>
          <w:rFonts w:ascii="Times New Roman" w:hAnsi="Times New Roman" w:cs="Times New Roman"/>
          <w:szCs w:val="24"/>
        </w:rPr>
        <w:t xml:space="preserve"> </w:t>
      </w:r>
      <w:r w:rsidRPr="009961AA">
        <w:rPr>
          <w:rFonts w:ascii="Times New Roman" w:hAnsi="Times New Roman" w:cs="Times New Roman"/>
          <w:szCs w:val="24"/>
        </w:rPr>
        <w:t>o prawie pomocy w postępowaniu w sprawach cywilnych prowadzonym w państwach członkowskich Unii Europejskiej oraz o prawie pomocy w celu ugodowego załatwienia sporu przed wszczęciem takiego postępowania</w:t>
      </w:r>
      <w:r w:rsidRPr="008454E7">
        <w:rPr>
          <w:rFonts w:ascii="Times New Roman" w:hAnsi="Times New Roman" w:cs="Times New Roman"/>
          <w:szCs w:val="24"/>
        </w:rPr>
        <w:t xml:space="preserve"> </w:t>
      </w:r>
      <w:r w:rsidRPr="00463B3D">
        <w:rPr>
          <w:rFonts w:ascii="Times New Roman" w:hAnsi="Times New Roman" w:cs="Times New Roman"/>
          <w:szCs w:val="24"/>
        </w:rPr>
        <w:t xml:space="preserve">ma na celu doprecyzowanie istnienia po stronie wnioskodawcy uprawnienia do ubiegania się o zwrot kosztów tłumaczenia koniecznych dokumentów uzasadniających wniosek o przyznanie prawa pomocy w postępowaniu prowadzonym w Rzeczypospolitej Polskiej. </w:t>
      </w:r>
    </w:p>
    <w:p w14:paraId="4E41D915" w14:textId="1D5A2DBC" w:rsidR="003B0E78" w:rsidRDefault="003B0E78" w:rsidP="003B0E78">
      <w:pPr>
        <w:pStyle w:val="NIEARTTEKSTtekstnieartykuowanynppodstprawnarozplubpreambua"/>
        <w:spacing w:before="0"/>
        <w:ind w:firstLine="709"/>
        <w:rPr>
          <w:rFonts w:ascii="Times New Roman" w:hAnsi="Times New Roman" w:cs="Times New Roman"/>
          <w:szCs w:val="24"/>
        </w:rPr>
      </w:pPr>
      <w:r w:rsidRPr="00463B3D">
        <w:rPr>
          <w:rFonts w:ascii="Times New Roman" w:hAnsi="Times New Roman" w:cs="Times New Roman"/>
          <w:szCs w:val="24"/>
        </w:rPr>
        <w:t>Projektowana zmiana dostosow</w:t>
      </w:r>
      <w:r>
        <w:rPr>
          <w:rFonts w:ascii="Times New Roman" w:hAnsi="Times New Roman" w:cs="Times New Roman"/>
          <w:szCs w:val="24"/>
        </w:rPr>
        <w:t>uje polskie przepisy</w:t>
      </w:r>
      <w:r w:rsidRPr="00463B3D">
        <w:rPr>
          <w:rFonts w:ascii="Times New Roman" w:hAnsi="Times New Roman" w:cs="Times New Roman"/>
          <w:szCs w:val="24"/>
        </w:rPr>
        <w:t xml:space="preserve"> do wykładni dyrektywy Rady 2003/8/WE z dnia 27 stycznia 2003 r. </w:t>
      </w:r>
      <w:r w:rsidRPr="009961AA">
        <w:rPr>
          <w:rFonts w:ascii="Times New Roman" w:hAnsi="Times New Roman" w:cs="Times New Roman"/>
          <w:szCs w:val="24"/>
        </w:rPr>
        <w:t>w celu usprawnienia dostępu do wymiaru sprawiedliwości w sporach transgranicznych poprzez ustanowienie minimalnych wspólnych zasad odnoszących się do pomocy prawnej w sporach o tym charakterze</w:t>
      </w:r>
      <w:r w:rsidR="003267C7">
        <w:rPr>
          <w:rFonts w:ascii="Times New Roman" w:hAnsi="Times New Roman" w:cs="Times New Roman"/>
          <w:szCs w:val="24"/>
        </w:rPr>
        <w:t xml:space="preserve"> (Dz.</w:t>
      </w:r>
      <w:r w:rsidR="008454E7">
        <w:rPr>
          <w:rFonts w:ascii="Times New Roman" w:hAnsi="Times New Roman" w:cs="Times New Roman"/>
          <w:szCs w:val="24"/>
        </w:rPr>
        <w:t xml:space="preserve"> </w:t>
      </w:r>
      <w:r w:rsidRPr="00463B3D">
        <w:rPr>
          <w:rFonts w:ascii="Times New Roman" w:hAnsi="Times New Roman" w:cs="Times New Roman"/>
          <w:szCs w:val="24"/>
        </w:rPr>
        <w:t>U</w:t>
      </w:r>
      <w:r w:rsidR="008454E7">
        <w:rPr>
          <w:rFonts w:ascii="Times New Roman" w:hAnsi="Times New Roman" w:cs="Times New Roman"/>
          <w:szCs w:val="24"/>
        </w:rPr>
        <w:t>rz</w:t>
      </w:r>
      <w:r w:rsidR="003267C7">
        <w:rPr>
          <w:rFonts w:ascii="Times New Roman" w:hAnsi="Times New Roman" w:cs="Times New Roman"/>
          <w:szCs w:val="24"/>
        </w:rPr>
        <w:t>.</w:t>
      </w:r>
      <w:r w:rsidR="008454E7">
        <w:rPr>
          <w:rFonts w:ascii="Times New Roman" w:hAnsi="Times New Roman" w:cs="Times New Roman"/>
          <w:szCs w:val="24"/>
        </w:rPr>
        <w:t xml:space="preserve"> </w:t>
      </w:r>
      <w:r w:rsidR="003267C7">
        <w:rPr>
          <w:rFonts w:ascii="Times New Roman" w:hAnsi="Times New Roman" w:cs="Times New Roman"/>
          <w:szCs w:val="24"/>
        </w:rPr>
        <w:t>UE</w:t>
      </w:r>
      <w:r w:rsidR="008454E7">
        <w:rPr>
          <w:rFonts w:ascii="Times New Roman" w:hAnsi="Times New Roman" w:cs="Times New Roman"/>
          <w:szCs w:val="24"/>
        </w:rPr>
        <w:t xml:space="preserve"> </w:t>
      </w:r>
      <w:r w:rsidR="003267C7">
        <w:rPr>
          <w:rFonts w:ascii="Times New Roman" w:hAnsi="Times New Roman" w:cs="Times New Roman"/>
          <w:szCs w:val="24"/>
        </w:rPr>
        <w:t>L</w:t>
      </w:r>
      <w:r w:rsidR="008454E7">
        <w:rPr>
          <w:rFonts w:ascii="Times New Roman" w:hAnsi="Times New Roman" w:cs="Times New Roman"/>
          <w:szCs w:val="24"/>
        </w:rPr>
        <w:t xml:space="preserve"> </w:t>
      </w:r>
      <w:r w:rsidRPr="00463B3D">
        <w:rPr>
          <w:rFonts w:ascii="Times New Roman" w:hAnsi="Times New Roman" w:cs="Times New Roman"/>
          <w:szCs w:val="24"/>
        </w:rPr>
        <w:t>26 z 31.01.2003, str. 41), zawart</w:t>
      </w:r>
      <w:r w:rsidR="00B252E6">
        <w:rPr>
          <w:rFonts w:ascii="Times New Roman" w:hAnsi="Times New Roman" w:cs="Times New Roman"/>
          <w:szCs w:val="24"/>
        </w:rPr>
        <w:t>ej</w:t>
      </w:r>
      <w:r w:rsidRPr="00463B3D">
        <w:rPr>
          <w:rFonts w:ascii="Times New Roman" w:hAnsi="Times New Roman" w:cs="Times New Roman"/>
          <w:szCs w:val="24"/>
        </w:rPr>
        <w:t xml:space="preserve"> w wyroku </w:t>
      </w:r>
      <w:r w:rsidR="003267C7">
        <w:rPr>
          <w:rFonts w:ascii="Times New Roman" w:hAnsi="Times New Roman" w:cs="Times New Roman"/>
          <w:szCs w:val="24"/>
        </w:rPr>
        <w:t>TSUE</w:t>
      </w:r>
      <w:r w:rsidRPr="00463B3D">
        <w:rPr>
          <w:rFonts w:ascii="Times New Roman" w:hAnsi="Times New Roman" w:cs="Times New Roman"/>
          <w:szCs w:val="24"/>
        </w:rPr>
        <w:t xml:space="preserve"> z dnia 26 lipca 2017 r. w sprawie C-670/15 </w:t>
      </w:r>
      <w:r w:rsidR="003267C7" w:rsidRPr="005356F1">
        <w:rPr>
          <w:rFonts w:cs="Times New Roman"/>
          <w:i/>
          <w:color w:val="000000"/>
          <w:szCs w:val="24"/>
        </w:rPr>
        <w:t>Š</w:t>
      </w:r>
      <w:r w:rsidR="003267C7" w:rsidRPr="005356F1">
        <w:rPr>
          <w:rFonts w:cs="Times New Roman"/>
          <w:i/>
          <w:szCs w:val="24"/>
        </w:rPr>
        <w:t>alplachta</w:t>
      </w:r>
      <w:r w:rsidRPr="00463B3D">
        <w:rPr>
          <w:rFonts w:ascii="Times New Roman" w:hAnsi="Times New Roman" w:cs="Times New Roman"/>
          <w:szCs w:val="24"/>
        </w:rPr>
        <w:t xml:space="preserve">. W wyroku tym </w:t>
      </w:r>
      <w:r w:rsidR="003267C7" w:rsidRPr="003267C7">
        <w:rPr>
          <w:rFonts w:cs="Times New Roman"/>
          <w:color w:val="000000"/>
          <w:szCs w:val="24"/>
        </w:rPr>
        <w:t>TSUE</w:t>
      </w:r>
      <w:r w:rsidR="003267C7">
        <w:rPr>
          <w:rFonts w:cs="Times New Roman"/>
          <w:szCs w:val="24"/>
        </w:rPr>
        <w:t xml:space="preserve"> </w:t>
      </w:r>
      <w:r w:rsidRPr="00463B3D">
        <w:rPr>
          <w:rFonts w:ascii="Times New Roman" w:hAnsi="Times New Roman" w:cs="Times New Roman"/>
          <w:szCs w:val="24"/>
        </w:rPr>
        <w:t>wskazał</w:t>
      </w:r>
      <w:r w:rsidR="00B252E6">
        <w:rPr>
          <w:rFonts w:ascii="Times New Roman" w:hAnsi="Times New Roman" w:cs="Times New Roman"/>
          <w:szCs w:val="24"/>
        </w:rPr>
        <w:t xml:space="preserve"> na</w:t>
      </w:r>
      <w:r w:rsidRPr="00463B3D">
        <w:rPr>
          <w:rFonts w:ascii="Times New Roman" w:hAnsi="Times New Roman" w:cs="Times New Roman"/>
          <w:szCs w:val="24"/>
        </w:rPr>
        <w:t xml:space="preserve"> konieczność objęcia zakresem przyznanej </w:t>
      </w:r>
      <w:r w:rsidRPr="00463B3D">
        <w:rPr>
          <w:rFonts w:ascii="Times New Roman" w:hAnsi="Times New Roman" w:cs="Times New Roman"/>
          <w:szCs w:val="24"/>
        </w:rPr>
        <w:lastRenderedPageBreak/>
        <w:t xml:space="preserve">pomocy prawnej także poniesionych przez wnioskodawcę kosztów tłumaczenia koniecznych dokumentów uzasadniających wniosek o przyznanie prawa pomocy. Z przepisów polskiej ustawy o prawie pomocy, implementującej wskazaną dyrektywę, takie uprawnienie wnioskodawcy nie wynika w sposób oczywisty. </w:t>
      </w:r>
    </w:p>
    <w:p w14:paraId="4F31E7A6" w14:textId="77777777" w:rsidR="003B0E78" w:rsidRPr="00734F14" w:rsidRDefault="003B0E78" w:rsidP="003B0E78">
      <w:pPr>
        <w:ind w:firstLine="708"/>
        <w:jc w:val="both"/>
      </w:pPr>
      <w:r w:rsidRPr="00463B3D">
        <w:rPr>
          <w:rFonts w:cs="Times New Roman"/>
          <w:szCs w:val="24"/>
        </w:rPr>
        <w:t xml:space="preserve">Umieszczenie proponowanej zmiany w art. 16 ustawy </w:t>
      </w:r>
      <w:r w:rsidRPr="009961AA">
        <w:rPr>
          <w:rFonts w:cs="Times New Roman"/>
          <w:szCs w:val="24"/>
        </w:rPr>
        <w:t>o prawie pomocy</w:t>
      </w:r>
      <w:r w:rsidRPr="00463B3D">
        <w:rPr>
          <w:rFonts w:cs="Times New Roman"/>
          <w:szCs w:val="24"/>
        </w:rPr>
        <w:t xml:space="preserve"> wynika z przyjętej w niej systematyki oraz treści tego przepisu, który stanowi o szczegółowych warunkach zwolnienia od kosztów sądowych, w tym o zakresie zwolnienia od wydatków.</w:t>
      </w:r>
    </w:p>
    <w:p w14:paraId="4890B028" w14:textId="76E6C1A6" w:rsidR="002662BD" w:rsidRDefault="002662BD" w:rsidP="002116BE">
      <w:pPr>
        <w:ind w:firstLine="708"/>
        <w:jc w:val="both"/>
      </w:pPr>
    </w:p>
    <w:p w14:paraId="49AB6591" w14:textId="43B931CC" w:rsidR="007A0A02" w:rsidRDefault="007A0A02" w:rsidP="007A0A02">
      <w:pPr>
        <w:pStyle w:val="NIEARTTEKSTtekstnieartykuowanynppodstprawnarozplubpreambua"/>
        <w:spacing w:before="0"/>
        <w:ind w:firstLine="709"/>
        <w:rPr>
          <w:b/>
        </w:rPr>
      </w:pPr>
      <w:r w:rsidRPr="009C797D">
        <w:rPr>
          <w:b/>
        </w:rPr>
        <w:t>Art.</w:t>
      </w:r>
      <w:r>
        <w:rPr>
          <w:b/>
        </w:rPr>
        <w:t xml:space="preserve"> </w:t>
      </w:r>
      <w:r w:rsidR="00983E27">
        <w:rPr>
          <w:b/>
        </w:rPr>
        <w:t>6</w:t>
      </w:r>
      <w:r>
        <w:rPr>
          <w:b/>
        </w:rPr>
        <w:t xml:space="preserve"> projektu </w:t>
      </w:r>
      <w:r w:rsidR="00701F76">
        <w:rPr>
          <w:b/>
        </w:rPr>
        <w:t>(proj.</w:t>
      </w:r>
      <w:r>
        <w:rPr>
          <w:b/>
        </w:rPr>
        <w:t xml:space="preserve"> art. 41 ustawy </w:t>
      </w:r>
      <w:r w:rsidRPr="009961AA">
        <w:rPr>
          <w:b/>
          <w:iCs/>
        </w:rPr>
        <w:t>o kredycie konsumenckim</w:t>
      </w:r>
      <w:r>
        <w:rPr>
          <w:b/>
        </w:rPr>
        <w:t xml:space="preserve">) </w:t>
      </w:r>
    </w:p>
    <w:p w14:paraId="0D9FE1F0" w14:textId="4B388A7D" w:rsidR="007A0A02" w:rsidRDefault="007A0A02" w:rsidP="002116BE">
      <w:pPr>
        <w:ind w:firstLine="708"/>
        <w:jc w:val="both"/>
      </w:pPr>
    </w:p>
    <w:p w14:paraId="76660CF7" w14:textId="77777777" w:rsidR="002566FD" w:rsidRDefault="0069725B" w:rsidP="002116BE">
      <w:pPr>
        <w:ind w:firstLine="708"/>
        <w:jc w:val="both"/>
      </w:pPr>
      <w:r>
        <w:t xml:space="preserve">Wobec projektowanego art. 11a ustawy </w:t>
      </w:r>
      <w:r w:rsidRPr="009961AA">
        <w:rPr>
          <w:iCs/>
        </w:rPr>
        <w:t>prawo wekslowe</w:t>
      </w:r>
      <w:r>
        <w:t xml:space="preserve"> ograniczającego przenoszenie weksli przez </w:t>
      </w:r>
      <w:r w:rsidRPr="009961AA">
        <w:rPr>
          <w:iCs/>
        </w:rPr>
        <w:t>indos</w:t>
      </w:r>
      <w:r w:rsidRPr="008D53D2">
        <w:t xml:space="preserve"> </w:t>
      </w:r>
      <w:r>
        <w:t>również w zakresie obecnie przewidzianym w art. 41 ustawy</w:t>
      </w:r>
      <w:r w:rsidRPr="008D53D2">
        <w:t xml:space="preserve"> </w:t>
      </w:r>
      <w:r w:rsidRPr="009961AA">
        <w:rPr>
          <w:iCs/>
        </w:rPr>
        <w:t>o kredycie konsumenckim</w:t>
      </w:r>
      <w:r>
        <w:t xml:space="preserve">, regulacja ww. przepisu ustawy </w:t>
      </w:r>
      <w:r w:rsidRPr="009961AA">
        <w:rPr>
          <w:iCs/>
        </w:rPr>
        <w:t>o kredycie konsumenckim</w:t>
      </w:r>
      <w:r>
        <w:t xml:space="preserve"> w </w:t>
      </w:r>
      <w:r w:rsidR="002566FD">
        <w:t>części</w:t>
      </w:r>
      <w:r>
        <w:t xml:space="preserve"> odnoszą</w:t>
      </w:r>
      <w:r w:rsidR="002566FD">
        <w:t>cej</w:t>
      </w:r>
      <w:r>
        <w:t xml:space="preserve"> się do weksli stała się zbędna.</w:t>
      </w:r>
      <w:r w:rsidR="002566FD">
        <w:t xml:space="preserve"> </w:t>
      </w:r>
    </w:p>
    <w:p w14:paraId="5325C110" w14:textId="7A65D4C8" w:rsidR="007A0A02" w:rsidRPr="002566FD" w:rsidRDefault="002566FD" w:rsidP="002116BE">
      <w:pPr>
        <w:ind w:firstLine="708"/>
        <w:jc w:val="both"/>
      </w:pPr>
      <w:r>
        <w:t xml:space="preserve">Pozostawienie art. 41 ustawy </w:t>
      </w:r>
      <w:r w:rsidRPr="009961AA">
        <w:rPr>
          <w:iCs/>
        </w:rPr>
        <w:t>o kredycie konsumenckim</w:t>
      </w:r>
      <w:r>
        <w:t xml:space="preserve"> w obecnym brzmieniu mogłoby prowadzić do niepotrzebnych wątpliwości interpretacyjnych co do zakresu jej zastosowania, jednocześnie nie wnosząc żadnej wartości dodanej w kwestii ochrony praw konsumenta w zakresie umów, do których zastosowanie znajduje ta ustawa.</w:t>
      </w:r>
    </w:p>
    <w:p w14:paraId="40641C86" w14:textId="279958C5" w:rsidR="0069725B" w:rsidRPr="0069725B" w:rsidRDefault="0069725B" w:rsidP="002116BE">
      <w:pPr>
        <w:ind w:firstLine="708"/>
        <w:jc w:val="both"/>
      </w:pPr>
      <w:r>
        <w:t>Mając na uwadze powyższe</w:t>
      </w:r>
      <w:r w:rsidR="00C44339">
        <w:t>,</w:t>
      </w:r>
      <w:r>
        <w:t xml:space="preserve"> projekt zakłada zmianę art. 41 ustawy </w:t>
      </w:r>
      <w:r w:rsidRPr="009961AA">
        <w:rPr>
          <w:iCs/>
        </w:rPr>
        <w:t>o kredycie konsumenckim</w:t>
      </w:r>
      <w:r>
        <w:t xml:space="preserve"> przez ograniczenie jego zastosowania jedynie do czeków konsumenta.</w:t>
      </w:r>
    </w:p>
    <w:p w14:paraId="77CFB885" w14:textId="77777777" w:rsidR="007A0A02" w:rsidRPr="00734F14" w:rsidRDefault="007A0A02" w:rsidP="002116BE">
      <w:pPr>
        <w:ind w:firstLine="708"/>
        <w:jc w:val="both"/>
      </w:pPr>
    </w:p>
    <w:p w14:paraId="71C2DB1A" w14:textId="3DB89D8C" w:rsidR="006F533F" w:rsidRDefault="006F533F" w:rsidP="00B83343">
      <w:pPr>
        <w:pStyle w:val="ARTartustawynprozporzdzenia"/>
        <w:numPr>
          <w:ilvl w:val="0"/>
          <w:numId w:val="1"/>
        </w:numPr>
        <w:spacing w:before="0"/>
        <w:rPr>
          <w:b/>
        </w:rPr>
      </w:pPr>
      <w:r>
        <w:rPr>
          <w:b/>
        </w:rPr>
        <w:t>Przepisy przejściowe</w:t>
      </w:r>
      <w:r w:rsidR="00FB46D5">
        <w:rPr>
          <w:b/>
        </w:rPr>
        <w:t xml:space="preserve"> – art. </w:t>
      </w:r>
      <w:r w:rsidR="00983E27">
        <w:rPr>
          <w:b/>
        </w:rPr>
        <w:t>7</w:t>
      </w:r>
      <w:r w:rsidR="00EC28EE">
        <w:rPr>
          <w:b/>
        </w:rPr>
        <w:t xml:space="preserve"> </w:t>
      </w:r>
      <w:r w:rsidR="00FB46D5">
        <w:rPr>
          <w:b/>
        </w:rPr>
        <w:t>projektu</w:t>
      </w:r>
    </w:p>
    <w:p w14:paraId="5B5C55DA" w14:textId="77777777" w:rsidR="00FB46D5" w:rsidRDefault="00FB46D5" w:rsidP="00FB46D5">
      <w:pPr>
        <w:pStyle w:val="ARTartustawynprozporzdzenia"/>
        <w:spacing w:before="0"/>
        <w:rPr>
          <w:b/>
        </w:rPr>
      </w:pPr>
    </w:p>
    <w:p w14:paraId="00566B22" w14:textId="77777777" w:rsidR="00FB46D5" w:rsidRDefault="00FB46D5" w:rsidP="00FB46D5">
      <w:pPr>
        <w:pStyle w:val="ARTartustawynprozporzdzenia"/>
        <w:spacing w:before="0"/>
        <w:ind w:firstLine="567"/>
      </w:pPr>
      <w:r>
        <w:t>Projektowane przepisy przejściowe mają zapewnić jak najszersze i najszybsze stosowanie przepisów wprowadzanych i zmienianych niniejszą ustawą</w:t>
      </w:r>
      <w:r w:rsidR="00AE3C29">
        <w:t>, a jednocześnie uniknięcie wątpliwości interpretacyjnych co do ich stosowania w czasie</w:t>
      </w:r>
      <w:r w:rsidR="002026EE">
        <w:t>. U podstaw tego założenia leży dobro stron postępowania, a przede wszystkim pozwanych-konsumentów w sprawach w postępowaniu nakazowym z weksla, w których dochodzone są roszczenia powstałe</w:t>
      </w:r>
      <w:r w:rsidR="002026EE" w:rsidRPr="008068FA">
        <w:t xml:space="preserve"> w związku z zawarciem umowy, do której znajduje zastosowanie ustawa </w:t>
      </w:r>
      <w:r w:rsidR="002026EE" w:rsidRPr="009961AA">
        <w:t>o kredycie konsumenckim</w:t>
      </w:r>
      <w:r w:rsidR="002026EE" w:rsidRPr="008D53D2">
        <w:t>.</w:t>
      </w:r>
    </w:p>
    <w:p w14:paraId="0E58B027" w14:textId="79032461" w:rsidR="00137E5A" w:rsidRDefault="00CE3561" w:rsidP="00FB46D5">
      <w:pPr>
        <w:pStyle w:val="ARTartustawynprozporzdzenia"/>
        <w:spacing w:before="0"/>
        <w:ind w:firstLine="567"/>
      </w:pPr>
      <w:r>
        <w:t xml:space="preserve">Zgodnie z art. </w:t>
      </w:r>
      <w:r w:rsidR="005B4C88">
        <w:t>7</w:t>
      </w:r>
      <w:r w:rsidR="0008323B">
        <w:t xml:space="preserve"> </w:t>
      </w:r>
      <w:r w:rsidR="003F06DA">
        <w:t>ust.</w:t>
      </w:r>
      <w:r>
        <w:t xml:space="preserve"> 1 projektu </w:t>
      </w:r>
      <w:r w:rsidR="00137E5A">
        <w:t xml:space="preserve">przepis art. 165 </w:t>
      </w:r>
      <w:r w:rsidR="00137E5A">
        <w:rPr>
          <w:rFonts w:cs="Times"/>
        </w:rPr>
        <w:t>§</w:t>
      </w:r>
      <w:r w:rsidR="00137E5A">
        <w:t xml:space="preserve"> 2 ustawy zmienianej w art. 1 w brzmieniu nadanym niniejszą ustawą znajdzie zastosowanie do pism procesowych oddanych w placówce po dniu wejścia w życie niniejszej ustawy.</w:t>
      </w:r>
    </w:p>
    <w:p w14:paraId="7B6A6F81" w14:textId="6CDA8AA0" w:rsidR="00137E5A" w:rsidRDefault="002026EE" w:rsidP="00DD2A1B">
      <w:pPr>
        <w:pStyle w:val="ARTartustawynprozporzdzenia"/>
        <w:spacing w:before="0"/>
        <w:ind w:firstLine="567"/>
      </w:pPr>
      <w:r>
        <w:lastRenderedPageBreak/>
        <w:t>W celu uzyskania jasności i pewności co do wpływu</w:t>
      </w:r>
      <w:r w:rsidR="00CE3561">
        <w:t xml:space="preserve"> projektowanych zmian</w:t>
      </w:r>
      <w:r>
        <w:t xml:space="preserve"> na niezakończone jeszcze postępowania, </w:t>
      </w:r>
      <w:r w:rsidR="00CE3561">
        <w:t>w których</w:t>
      </w:r>
      <w:r w:rsidR="00DD2A1B">
        <w:t xml:space="preserve"> nie</w:t>
      </w:r>
      <w:r w:rsidR="00CE3561">
        <w:t xml:space="preserve"> został</w:t>
      </w:r>
      <w:r w:rsidR="00DD2A1B">
        <w:t xml:space="preserve"> jeszcze</w:t>
      </w:r>
      <w:r w:rsidR="00CE3561">
        <w:t xml:space="preserve"> wydany nakaz zapłaty</w:t>
      </w:r>
      <w:r w:rsidR="008D53D2">
        <w:t>,</w:t>
      </w:r>
      <w:r w:rsidR="00CE3561">
        <w:t xml:space="preserve"> wprowadzono przepisy przejściowe przewidziane w art. </w:t>
      </w:r>
      <w:r w:rsidR="005B4C88">
        <w:t>7</w:t>
      </w:r>
      <w:r w:rsidR="0008323B">
        <w:t xml:space="preserve"> </w:t>
      </w:r>
      <w:r w:rsidR="003F06DA">
        <w:t>ust</w:t>
      </w:r>
      <w:r w:rsidR="00CE3561">
        <w:t>. 2 projektu</w:t>
      </w:r>
      <w:r w:rsidR="008D53D2">
        <w:t>,</w:t>
      </w:r>
      <w:r w:rsidR="00CE3561">
        <w:t xml:space="preserve"> określając za punkt istotn</w:t>
      </w:r>
      <w:r w:rsidR="00DD2A1B">
        <w:t>y</w:t>
      </w:r>
      <w:r w:rsidR="00CE3561">
        <w:t xml:space="preserve"> dla stosowania wprowadzanych zmian moment wydania nakazu zapłaty.</w:t>
      </w:r>
    </w:p>
    <w:p w14:paraId="3D449DEF" w14:textId="22145ADD" w:rsidR="00137E5A" w:rsidRDefault="00DD2A1B" w:rsidP="00137E5A">
      <w:pPr>
        <w:pStyle w:val="ARTartustawynprozporzdzenia"/>
        <w:spacing w:before="0"/>
        <w:ind w:firstLine="567"/>
      </w:pPr>
      <w:r>
        <w:t xml:space="preserve">Zmiany przepisu art. 16 </w:t>
      </w:r>
      <w:r w:rsidR="00FA3A8A">
        <w:t xml:space="preserve">ust. 1 zdanie drugie </w:t>
      </w:r>
      <w:r>
        <w:t xml:space="preserve">ustawy zamienianej w art. </w:t>
      </w:r>
      <w:r w:rsidR="00983E27">
        <w:t>4</w:t>
      </w:r>
      <w:r w:rsidR="0008323B">
        <w:t xml:space="preserve"> </w:t>
      </w:r>
      <w:r>
        <w:t>w brzmieniu nadanym niniejszą ustawą</w:t>
      </w:r>
      <w:r w:rsidR="00137E5A">
        <w:t xml:space="preserve"> znajdą zastosowanie we wszystkich</w:t>
      </w:r>
      <w:r w:rsidR="00137E5A" w:rsidRPr="00883CFC">
        <w:t xml:space="preserve"> sprawach wszczętych i niezakończonych przed dniem wejścia w życie niniejszej ustawy</w:t>
      </w:r>
      <w:r>
        <w:t xml:space="preserve"> (art. </w:t>
      </w:r>
      <w:r w:rsidR="00983E27">
        <w:t>7</w:t>
      </w:r>
      <w:r w:rsidR="00E97419">
        <w:t xml:space="preserve"> </w:t>
      </w:r>
      <w:r>
        <w:t xml:space="preserve">ust. </w:t>
      </w:r>
      <w:r w:rsidR="00983E27">
        <w:t>3</w:t>
      </w:r>
      <w:r w:rsidR="00E97419">
        <w:t xml:space="preserve"> </w:t>
      </w:r>
      <w:r>
        <w:t>projektu ustawy)</w:t>
      </w:r>
      <w:r w:rsidR="00137E5A">
        <w:t>.</w:t>
      </w:r>
    </w:p>
    <w:p w14:paraId="0C6B9F70" w14:textId="2C4BCD46" w:rsidR="00137E5A" w:rsidRPr="00137E5A" w:rsidRDefault="009F141A" w:rsidP="00CE3561">
      <w:pPr>
        <w:pStyle w:val="ARTartustawynprozporzdzenia"/>
        <w:spacing w:before="0"/>
        <w:ind w:firstLine="567"/>
        <w:rPr>
          <w:b/>
        </w:rPr>
      </w:pPr>
      <w:bookmarkStart w:id="1" w:name="_Hlk37256016"/>
      <w:r>
        <w:t xml:space="preserve">W art. </w:t>
      </w:r>
      <w:r w:rsidR="00310906">
        <w:t>7</w:t>
      </w:r>
      <w:r>
        <w:t xml:space="preserve"> ust. </w:t>
      </w:r>
      <w:r w:rsidR="00983E27">
        <w:t>4</w:t>
      </w:r>
      <w:r>
        <w:t xml:space="preserve"> projektu zawarta została regulacja intertemporalna rozgraniczająca zakresy stosowania dotychczasowej regulacji (art. 11 ustawy zmienianej w art. 2 projektu) i aktualnie obowiązującej ustawy. Jej podstawę stanowi reguła dalszego stosowania ustawy dotychczasowej (</w:t>
      </w:r>
      <w:r>
        <w:rPr>
          <w:i/>
          <w:iCs/>
        </w:rPr>
        <w:t>tempus regit actum)</w:t>
      </w:r>
      <w:r>
        <w:t>, co odpowiada ogólnym założeniom intertemporalnej regulacji stosunków zobowiązaniowych w prawie polskim.</w:t>
      </w:r>
    </w:p>
    <w:bookmarkEnd w:id="1"/>
    <w:p w14:paraId="17D0355A" w14:textId="77777777" w:rsidR="006F533F" w:rsidRDefault="006F533F" w:rsidP="006F533F">
      <w:pPr>
        <w:pStyle w:val="ARTartustawynprozporzdzenia"/>
        <w:spacing w:before="0"/>
        <w:ind w:left="1400" w:firstLine="0"/>
        <w:rPr>
          <w:b/>
        </w:rPr>
      </w:pPr>
    </w:p>
    <w:p w14:paraId="299B70DF" w14:textId="5581CD88" w:rsidR="006F533F" w:rsidRDefault="006F533F" w:rsidP="00B83343">
      <w:pPr>
        <w:pStyle w:val="ARTartustawynprozporzdzenia"/>
        <w:numPr>
          <w:ilvl w:val="0"/>
          <w:numId w:val="1"/>
        </w:numPr>
        <w:spacing w:before="0"/>
        <w:rPr>
          <w:b/>
        </w:rPr>
      </w:pPr>
      <w:r>
        <w:rPr>
          <w:b/>
        </w:rPr>
        <w:t xml:space="preserve">Przepis końcowy – art. </w:t>
      </w:r>
      <w:r w:rsidR="00983E27">
        <w:rPr>
          <w:b/>
        </w:rPr>
        <w:t>8</w:t>
      </w:r>
      <w:r w:rsidR="00E97419">
        <w:rPr>
          <w:b/>
        </w:rPr>
        <w:t xml:space="preserve"> </w:t>
      </w:r>
      <w:r>
        <w:rPr>
          <w:b/>
        </w:rPr>
        <w:t>projektu</w:t>
      </w:r>
    </w:p>
    <w:p w14:paraId="56283CDB" w14:textId="77777777" w:rsidR="006F533F" w:rsidRPr="00A91CD8" w:rsidRDefault="006F533F" w:rsidP="00AE33E8">
      <w:pPr>
        <w:spacing w:before="240"/>
        <w:ind w:firstLine="51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</w:t>
      </w:r>
      <w:r w:rsidRPr="00A91CD8">
        <w:rPr>
          <w:rFonts w:eastAsia="Calibri"/>
          <w:lang w:eastAsia="en-US"/>
        </w:rPr>
        <w:t>rojektowan</w:t>
      </w:r>
      <w:r>
        <w:rPr>
          <w:rFonts w:eastAsia="Calibri"/>
          <w:lang w:eastAsia="en-US"/>
        </w:rPr>
        <w:t>y przepis</w:t>
      </w:r>
      <w:r w:rsidRPr="00A91CD8">
        <w:rPr>
          <w:rFonts w:eastAsia="Calibri"/>
          <w:lang w:eastAsia="en-US"/>
        </w:rPr>
        <w:t xml:space="preserve"> określa datę wejścia w życie</w:t>
      </w:r>
      <w:r>
        <w:rPr>
          <w:rFonts w:eastAsia="Calibri"/>
          <w:lang w:eastAsia="en-US"/>
        </w:rPr>
        <w:t xml:space="preserve"> ustawy</w:t>
      </w:r>
      <w:r w:rsidRPr="00A91CD8">
        <w:rPr>
          <w:rFonts w:eastAsia="Calibri"/>
          <w:lang w:eastAsia="en-US"/>
        </w:rPr>
        <w:t>.</w:t>
      </w:r>
    </w:p>
    <w:p w14:paraId="60B390A6" w14:textId="77777777" w:rsidR="006F533F" w:rsidRDefault="006F533F" w:rsidP="006F533F">
      <w:pPr>
        <w:pStyle w:val="ARTartustawynprozporzdzenia"/>
        <w:spacing w:before="0"/>
        <w:ind w:left="1400" w:firstLine="0"/>
        <w:rPr>
          <w:b/>
        </w:rPr>
      </w:pPr>
    </w:p>
    <w:p w14:paraId="63C10A24" w14:textId="77777777" w:rsidR="00B83343" w:rsidRDefault="00B83343" w:rsidP="00B83343">
      <w:pPr>
        <w:pStyle w:val="ARTartustawynprozporzdzenia"/>
        <w:numPr>
          <w:ilvl w:val="0"/>
          <w:numId w:val="1"/>
        </w:numPr>
        <w:spacing w:before="0"/>
        <w:rPr>
          <w:b/>
        </w:rPr>
      </w:pPr>
      <w:r w:rsidRPr="00734F14">
        <w:rPr>
          <w:b/>
        </w:rPr>
        <w:t>Kwestie dodatkowe</w:t>
      </w:r>
    </w:p>
    <w:p w14:paraId="777DD4EC" w14:textId="77777777" w:rsidR="00FB46D5" w:rsidRPr="00FB46D5" w:rsidRDefault="00B83343" w:rsidP="00AE33E8">
      <w:pPr>
        <w:pStyle w:val="NIEARTTEKSTtekstnieartykuowanynppodstprawnarozplubpreambua"/>
        <w:spacing w:before="240"/>
        <w:ind w:firstLine="709"/>
        <w:rPr>
          <w:rFonts w:ascii="Times New Roman" w:hAnsi="Times New Roman" w:cs="Times New Roman"/>
          <w:szCs w:val="24"/>
        </w:rPr>
      </w:pPr>
      <w:r w:rsidRPr="00734F14">
        <w:rPr>
          <w:rFonts w:ascii="Times New Roman" w:hAnsi="Times New Roman" w:cs="Times New Roman"/>
          <w:szCs w:val="24"/>
        </w:rPr>
        <w:t>Projekt w zakresie zmiany przepisów Kodeksu postępowania cywilnego nie spowoduje skutków finansowych dla budżetu państwa i budżetów jednostek samorządu terytorialnego.</w:t>
      </w:r>
    </w:p>
    <w:p w14:paraId="315E5666" w14:textId="4A7D7964" w:rsidR="006A774B" w:rsidRDefault="006A774B" w:rsidP="006A774B">
      <w:pPr>
        <w:pStyle w:val="ARTartustawynprozporzdzenia"/>
        <w:spacing w:before="0"/>
        <w:ind w:firstLine="709"/>
        <w:rPr>
          <w:rFonts w:ascii="Times New Roman" w:hAnsi="Times New Roman" w:cs="Times New Roman"/>
          <w:szCs w:val="24"/>
        </w:rPr>
      </w:pPr>
      <w:r w:rsidRPr="00734F14">
        <w:rPr>
          <w:rFonts w:ascii="Times New Roman" w:hAnsi="Times New Roman" w:cs="Times New Roman"/>
          <w:szCs w:val="24"/>
        </w:rPr>
        <w:t xml:space="preserve">Zmiana ustawy </w:t>
      </w:r>
      <w:r w:rsidRPr="0090062C">
        <w:rPr>
          <w:rFonts w:cs="Times New Roman"/>
        </w:rPr>
        <w:t>o kosztach sądowych w sprawach cywilnych</w:t>
      </w:r>
      <w:r>
        <w:rPr>
          <w:rFonts w:ascii="Times New Roman" w:hAnsi="Times New Roman" w:cs="Times New Roman"/>
          <w:szCs w:val="24"/>
        </w:rPr>
        <w:t xml:space="preserve"> wywoła skutki finansowe </w:t>
      </w:r>
      <w:r w:rsidRPr="00734F14">
        <w:rPr>
          <w:rFonts w:ascii="Times New Roman" w:hAnsi="Times New Roman" w:cs="Times New Roman"/>
          <w:szCs w:val="24"/>
        </w:rPr>
        <w:t>dla budżetu państwa</w:t>
      </w:r>
      <w:r>
        <w:rPr>
          <w:rFonts w:ascii="Times New Roman" w:hAnsi="Times New Roman" w:cs="Times New Roman"/>
          <w:szCs w:val="24"/>
        </w:rPr>
        <w:t xml:space="preserve"> przez zmniejszenie wpływów z tytułu opłat </w:t>
      </w:r>
      <w:r w:rsidR="002E1D63">
        <w:rPr>
          <w:rFonts w:ascii="Times New Roman" w:hAnsi="Times New Roman" w:cs="Times New Roman"/>
          <w:szCs w:val="24"/>
        </w:rPr>
        <w:t>sądowych od wniesienia zarzutów od nakazu zapłaty w sprawach przeciwko konsumentom</w:t>
      </w:r>
      <w:r w:rsidRPr="00734F14">
        <w:rPr>
          <w:rFonts w:ascii="Times New Roman" w:hAnsi="Times New Roman" w:cs="Times New Roman"/>
          <w:szCs w:val="24"/>
        </w:rPr>
        <w:t xml:space="preserve">. </w:t>
      </w:r>
      <w:r w:rsidR="002E1D63">
        <w:rPr>
          <w:rFonts w:ascii="Times New Roman" w:hAnsi="Times New Roman" w:cs="Times New Roman"/>
          <w:szCs w:val="24"/>
        </w:rPr>
        <w:t>W konsekwencji w części</w:t>
      </w:r>
      <w:r w:rsidR="00EF6455">
        <w:rPr>
          <w:rFonts w:ascii="Times New Roman" w:hAnsi="Times New Roman" w:cs="Times New Roman"/>
          <w:szCs w:val="24"/>
        </w:rPr>
        <w:t>, w</w:t>
      </w:r>
      <w:r w:rsidR="002E1D63">
        <w:rPr>
          <w:rFonts w:ascii="Times New Roman" w:hAnsi="Times New Roman" w:cs="Times New Roman"/>
          <w:szCs w:val="24"/>
        </w:rPr>
        <w:t xml:space="preserve"> jakiej wniesione opłaty sądowe nie pokryją wszystkich </w:t>
      </w:r>
      <w:r w:rsidR="00D22A61">
        <w:rPr>
          <w:rFonts w:ascii="Times New Roman" w:hAnsi="Times New Roman" w:cs="Times New Roman"/>
          <w:szCs w:val="24"/>
        </w:rPr>
        <w:t>nakładów Skarbu Państwa</w:t>
      </w:r>
      <w:r w:rsidR="002E1D63">
        <w:rPr>
          <w:rFonts w:ascii="Times New Roman" w:hAnsi="Times New Roman" w:cs="Times New Roman"/>
          <w:szCs w:val="24"/>
        </w:rPr>
        <w:t xml:space="preserve"> </w:t>
      </w:r>
      <w:r w:rsidR="00D22A61">
        <w:rPr>
          <w:rFonts w:ascii="Times New Roman" w:hAnsi="Times New Roman" w:cs="Times New Roman"/>
          <w:szCs w:val="24"/>
        </w:rPr>
        <w:t>poniesionych w związku z toczącym się postępowaniem, różnica ta będzie obciążała Skarb Państwa. Przy czym dotyczyć będzie to jedynie spraw, w których wydany został nakaz zapłaty w postępowaniu nakazowym</w:t>
      </w:r>
      <w:r w:rsidR="001E0C28">
        <w:rPr>
          <w:rFonts w:ascii="Times New Roman" w:hAnsi="Times New Roman" w:cs="Times New Roman"/>
          <w:szCs w:val="24"/>
        </w:rPr>
        <w:t>,</w:t>
      </w:r>
      <w:r w:rsidR="00D22A61">
        <w:rPr>
          <w:rFonts w:ascii="Times New Roman" w:hAnsi="Times New Roman" w:cs="Times New Roman"/>
          <w:szCs w:val="24"/>
        </w:rPr>
        <w:t xml:space="preserve"> a wartość przedmiotu sporu przekracza 20 000 zł.</w:t>
      </w:r>
    </w:p>
    <w:p w14:paraId="0B2559DB" w14:textId="77777777" w:rsidR="002E1D63" w:rsidRDefault="006A774B" w:rsidP="002E1D63">
      <w:pPr>
        <w:pStyle w:val="ARTartustawynprozporzdzenia"/>
        <w:spacing w:before="0"/>
        <w:ind w:firstLine="709"/>
        <w:rPr>
          <w:rFonts w:ascii="Times New Roman" w:hAnsi="Times New Roman" w:cs="Times New Roman"/>
          <w:szCs w:val="24"/>
        </w:rPr>
      </w:pPr>
      <w:r w:rsidRPr="00734F14">
        <w:rPr>
          <w:rFonts w:ascii="Times New Roman" w:hAnsi="Times New Roman" w:cs="Times New Roman"/>
          <w:szCs w:val="24"/>
        </w:rPr>
        <w:t xml:space="preserve">Zmiana ustawy </w:t>
      </w:r>
      <w:r w:rsidRPr="0090062C">
        <w:rPr>
          <w:rFonts w:ascii="Times New Roman" w:hAnsi="Times New Roman" w:cs="Times New Roman"/>
          <w:szCs w:val="24"/>
        </w:rPr>
        <w:t>o prawie pomocy</w:t>
      </w:r>
      <w:r w:rsidRPr="00734F14">
        <w:rPr>
          <w:rFonts w:ascii="Times New Roman" w:hAnsi="Times New Roman" w:cs="Times New Roman"/>
          <w:szCs w:val="24"/>
        </w:rPr>
        <w:t xml:space="preserve"> także może potencjalnie wywołać skutki finansowe </w:t>
      </w:r>
      <w:r w:rsidRPr="00734F14">
        <w:rPr>
          <w:rFonts w:ascii="Times New Roman" w:hAnsi="Times New Roman" w:cs="Times New Roman"/>
          <w:szCs w:val="24"/>
        </w:rPr>
        <w:br/>
        <w:t xml:space="preserve">dla budżetu państwa. </w:t>
      </w:r>
    </w:p>
    <w:p w14:paraId="32F4CF05" w14:textId="77777777" w:rsidR="006A774B" w:rsidRDefault="002E1D63" w:rsidP="002E1D63">
      <w:pPr>
        <w:pStyle w:val="ARTartustawynprozporzdzenia"/>
        <w:spacing w:before="0"/>
        <w:ind w:firstLine="709"/>
        <w:rPr>
          <w:rFonts w:ascii="Times New Roman" w:hAnsi="Times New Roman" w:cs="Times New Roman"/>
          <w:szCs w:val="24"/>
        </w:rPr>
      </w:pPr>
      <w:r w:rsidRPr="00734F14">
        <w:rPr>
          <w:rFonts w:ascii="Times New Roman" w:hAnsi="Times New Roman" w:cs="Times New Roman"/>
          <w:szCs w:val="24"/>
        </w:rPr>
        <w:t>Ocenia się jednak, iż skutki finansowe dla budżetu państwa obu projektowanych zmian nie będą znaczące i wydatki w tym zakresie zostaną sfinansowane w ramach dostępnych w budżecie państwa w części 15 – Sądy powszechne, bez konieczności występowania o dodatkowe środki.</w:t>
      </w:r>
    </w:p>
    <w:p w14:paraId="74B6CFF3" w14:textId="77777777" w:rsidR="006A774B" w:rsidRPr="00D22A61" w:rsidRDefault="002E1D63" w:rsidP="00D22A61">
      <w:pPr>
        <w:pStyle w:val="ARTartustawynprozporzdzenia"/>
        <w:spacing w:before="0"/>
        <w:ind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="006A774B" w:rsidRPr="00734F14">
        <w:rPr>
          <w:rFonts w:ascii="Times New Roman" w:hAnsi="Times New Roman" w:cs="Times New Roman"/>
          <w:szCs w:val="24"/>
        </w:rPr>
        <w:t>rojekt jest objęty prawem Unii Europejskiej.</w:t>
      </w:r>
    </w:p>
    <w:p w14:paraId="24549504" w14:textId="77777777" w:rsidR="00B83343" w:rsidRPr="00FB46D5" w:rsidRDefault="00B83343" w:rsidP="00FB46D5">
      <w:pPr>
        <w:pStyle w:val="ARTartustawynprozporzdzenia"/>
        <w:spacing w:before="0"/>
        <w:ind w:firstLine="709"/>
        <w:rPr>
          <w:rFonts w:ascii="Times New Roman" w:hAnsi="Times New Roman" w:cs="Times New Roman"/>
          <w:szCs w:val="24"/>
        </w:rPr>
      </w:pPr>
      <w:r w:rsidRPr="00734F14">
        <w:rPr>
          <w:rFonts w:ascii="Times New Roman" w:hAnsi="Times New Roman" w:cs="Times New Roman"/>
          <w:szCs w:val="24"/>
        </w:rPr>
        <w:lastRenderedPageBreak/>
        <w:t xml:space="preserve">Projekt zmian wskazanych ustaw nie wymaga jednak przedstawienia właściwym organom i instytucjom Unii Europejskiej, o których mowa w § 27 ust. 4 uchwały nr 190 Rady Ministrów z dnia 29 października 2013 r. – Regulamin pracy Rady Ministrów (M. P. z 2016 r. </w:t>
      </w:r>
      <w:r w:rsidRPr="00FB46D5">
        <w:rPr>
          <w:rFonts w:ascii="Times New Roman" w:hAnsi="Times New Roman" w:cs="Times New Roman"/>
          <w:szCs w:val="24"/>
        </w:rPr>
        <w:t>poz. 1006, z późn. zm.).</w:t>
      </w:r>
    </w:p>
    <w:p w14:paraId="5BE5781E" w14:textId="6F858C68" w:rsidR="00FB46D5" w:rsidRPr="00FB46D5" w:rsidRDefault="002C6803" w:rsidP="0011262B">
      <w:pPr>
        <w:ind w:firstLine="708"/>
        <w:jc w:val="both"/>
        <w:rPr>
          <w:rFonts w:cs="Times New Roman"/>
          <w:szCs w:val="24"/>
        </w:rPr>
      </w:pPr>
      <w:r w:rsidRPr="0011262B">
        <w:rPr>
          <w:rFonts w:cs="Times New Roman"/>
          <w:szCs w:val="24"/>
        </w:rPr>
        <w:t>Głównym celem p</w:t>
      </w:r>
      <w:r w:rsidR="00B83343" w:rsidRPr="0011262B">
        <w:rPr>
          <w:rFonts w:cs="Times New Roman"/>
          <w:szCs w:val="24"/>
        </w:rPr>
        <w:t>rzewidzian</w:t>
      </w:r>
      <w:r w:rsidRPr="0011262B">
        <w:rPr>
          <w:rFonts w:cs="Times New Roman"/>
          <w:szCs w:val="24"/>
        </w:rPr>
        <w:t>ych</w:t>
      </w:r>
      <w:r w:rsidR="00B83343" w:rsidRPr="0011262B">
        <w:rPr>
          <w:rFonts w:cs="Times New Roman"/>
          <w:szCs w:val="24"/>
        </w:rPr>
        <w:t xml:space="preserve"> w projekcie rozwiąza</w:t>
      </w:r>
      <w:r w:rsidRPr="0011262B">
        <w:rPr>
          <w:rFonts w:cs="Times New Roman"/>
          <w:szCs w:val="24"/>
        </w:rPr>
        <w:t>ń jest ochrona konsumentów</w:t>
      </w:r>
      <w:r w:rsidR="0011262B">
        <w:rPr>
          <w:rFonts w:cs="Times New Roman"/>
          <w:szCs w:val="24"/>
        </w:rPr>
        <w:t>,</w:t>
      </w:r>
      <w:r w:rsidRPr="0011262B">
        <w:rPr>
          <w:rFonts w:cs="Times New Roman"/>
          <w:szCs w:val="24"/>
        </w:rPr>
        <w:t xml:space="preserve"> którą sądy są zobowiązane zapewnić z urzędu</w:t>
      </w:r>
      <w:r w:rsidR="0011262B">
        <w:rPr>
          <w:rFonts w:cs="Times New Roman"/>
          <w:szCs w:val="24"/>
        </w:rPr>
        <w:t>,</w:t>
      </w:r>
      <w:r w:rsidRPr="0011262B">
        <w:rPr>
          <w:rFonts w:cs="Times New Roman"/>
          <w:szCs w:val="24"/>
        </w:rPr>
        <w:t xml:space="preserve"> na podstawie przepisów dyrektywy </w:t>
      </w:r>
      <w:r w:rsidRPr="0011262B">
        <w:rPr>
          <w:rFonts w:cs="Times New Roman"/>
          <w:bCs/>
          <w:color w:val="000000"/>
          <w:szCs w:val="24"/>
        </w:rPr>
        <w:t xml:space="preserve">Rady 93/13/EWG z dnia 5 kwietnia 1993 r. </w:t>
      </w:r>
      <w:r w:rsidRPr="0090062C">
        <w:rPr>
          <w:rFonts w:cs="Times New Roman"/>
          <w:bCs/>
          <w:color w:val="000000"/>
          <w:szCs w:val="24"/>
        </w:rPr>
        <w:t>w sprawie nieuczciwych warunków w umowach konsumenckich</w:t>
      </w:r>
      <w:r w:rsidRPr="009D4503">
        <w:rPr>
          <w:rFonts w:cs="Times New Roman"/>
          <w:color w:val="000000"/>
          <w:szCs w:val="24"/>
        </w:rPr>
        <w:t>.</w:t>
      </w:r>
      <w:r w:rsidRPr="009D4503">
        <w:rPr>
          <w:rFonts w:cs="Times New Roman"/>
          <w:shd w:val="clear" w:color="auto" w:fill="FFFFFF"/>
        </w:rPr>
        <w:t xml:space="preserve"> </w:t>
      </w:r>
      <w:r w:rsidRPr="0011262B">
        <w:rPr>
          <w:rFonts w:cs="Times New Roman"/>
          <w:szCs w:val="24"/>
        </w:rPr>
        <w:t xml:space="preserve">Wprowadzane zmiany nie powinny wpłynąć </w:t>
      </w:r>
      <w:r w:rsidR="00B83343" w:rsidRPr="0011262B">
        <w:rPr>
          <w:rFonts w:cs="Times New Roman"/>
          <w:szCs w:val="24"/>
        </w:rPr>
        <w:t>na działalność mikroprzedsiębiorców, małych i średnich przedsiębiorców, w związku z czym odstąpiono od analiz i oceny przewidywanych skutków społeczno-gospodarczych wskazanych w art. 66 ust.</w:t>
      </w:r>
      <w:r w:rsidR="009D4503">
        <w:rPr>
          <w:rFonts w:cs="Times New Roman"/>
          <w:szCs w:val="24"/>
        </w:rPr>
        <w:t> </w:t>
      </w:r>
      <w:r w:rsidR="00B83343" w:rsidRPr="0011262B">
        <w:rPr>
          <w:rFonts w:cs="Times New Roman"/>
          <w:szCs w:val="24"/>
        </w:rPr>
        <w:t>1 ustawy z dnia 6 marca 2018 r. – Prawo przedsiębiorców (Dz. U.</w:t>
      </w:r>
      <w:r w:rsidR="00CC1497">
        <w:rPr>
          <w:rFonts w:cs="Times New Roman"/>
          <w:szCs w:val="24"/>
        </w:rPr>
        <w:t xml:space="preserve"> z 2</w:t>
      </w:r>
      <w:r w:rsidR="00144DF9">
        <w:rPr>
          <w:rFonts w:cs="Times New Roman"/>
          <w:szCs w:val="24"/>
        </w:rPr>
        <w:t>021</w:t>
      </w:r>
      <w:r w:rsidR="00CC1497">
        <w:rPr>
          <w:rFonts w:cs="Times New Roman"/>
          <w:szCs w:val="24"/>
        </w:rPr>
        <w:t xml:space="preserve"> r. poz.1</w:t>
      </w:r>
      <w:r w:rsidR="00144DF9">
        <w:rPr>
          <w:rFonts w:cs="Times New Roman"/>
          <w:szCs w:val="24"/>
        </w:rPr>
        <w:t>62</w:t>
      </w:r>
      <w:r w:rsidR="00B83343" w:rsidRPr="0011262B">
        <w:rPr>
          <w:rFonts w:cs="Times New Roman"/>
          <w:szCs w:val="24"/>
        </w:rPr>
        <w:t>).</w:t>
      </w:r>
    </w:p>
    <w:p w14:paraId="0D3E038C" w14:textId="40037A8A" w:rsidR="00FB46D5" w:rsidRDefault="00FB46D5" w:rsidP="00FB46D5">
      <w:pPr>
        <w:pStyle w:val="ARTartustawynprozporzdzenia"/>
        <w:spacing w:before="0"/>
        <w:ind w:firstLine="709"/>
        <w:rPr>
          <w:rFonts w:ascii="Times New Roman" w:eastAsiaTheme="minorHAnsi" w:hAnsi="Times New Roman" w:cs="Times New Roman"/>
          <w:szCs w:val="24"/>
          <w:lang w:eastAsia="en-US"/>
        </w:rPr>
      </w:pPr>
      <w:r w:rsidRPr="00FB46D5">
        <w:rPr>
          <w:rFonts w:ascii="Times New Roman" w:eastAsiaTheme="minorHAnsi" w:hAnsi="Times New Roman" w:cs="Times New Roman"/>
          <w:szCs w:val="24"/>
          <w:lang w:eastAsia="en-US"/>
        </w:rPr>
        <w:t>Stosownie do postanowień art. 5 ustawy z dnia 7 lipca 2005 r. o działalności lobbingowej w</w:t>
      </w:r>
      <w:r>
        <w:rPr>
          <w:rFonts w:ascii="Times New Roman" w:eastAsiaTheme="minorHAnsi" w:hAnsi="Times New Roman" w:cs="Times New Roman"/>
          <w:szCs w:val="24"/>
          <w:lang w:eastAsia="en-US"/>
        </w:rPr>
        <w:t xml:space="preserve"> </w:t>
      </w:r>
      <w:r w:rsidRPr="00FB46D5">
        <w:rPr>
          <w:rFonts w:ascii="Times New Roman" w:eastAsiaTheme="minorHAnsi" w:hAnsi="Times New Roman" w:cs="Times New Roman"/>
          <w:szCs w:val="24"/>
          <w:lang w:eastAsia="en-US"/>
        </w:rPr>
        <w:t>procesie stanowienia prawa (Dz. U. 2017 r. poz. 248) projekt ustawy został zamieszczony na stronach</w:t>
      </w:r>
      <w:r>
        <w:rPr>
          <w:rFonts w:eastAsiaTheme="minorHAnsi" w:cs="Times New Roman"/>
          <w:szCs w:val="24"/>
          <w:lang w:eastAsia="en-US"/>
        </w:rPr>
        <w:t xml:space="preserve"> </w:t>
      </w:r>
      <w:r w:rsidRPr="00FB46D5">
        <w:rPr>
          <w:rFonts w:ascii="Times New Roman" w:eastAsiaTheme="minorHAnsi" w:hAnsi="Times New Roman" w:cs="Times New Roman"/>
          <w:szCs w:val="24"/>
          <w:lang w:eastAsia="en-US"/>
        </w:rPr>
        <w:t>internetowych Rządowego Centrum Legislacji w zakładce Rządowy Proces Legislacyjny.</w:t>
      </w:r>
      <w:r w:rsidR="000C46BC">
        <w:rPr>
          <w:rFonts w:ascii="Times New Roman" w:eastAsiaTheme="minorHAnsi" w:hAnsi="Times New Roman" w:cs="Times New Roman"/>
          <w:szCs w:val="24"/>
          <w:lang w:eastAsia="en-US"/>
        </w:rPr>
        <w:t xml:space="preserve"> W toku procesu legislacyjnego nie </w:t>
      </w:r>
      <w:r w:rsidR="004E45AA">
        <w:rPr>
          <w:rFonts w:ascii="Times New Roman" w:eastAsiaTheme="minorHAnsi" w:hAnsi="Times New Roman" w:cs="Times New Roman"/>
          <w:szCs w:val="24"/>
          <w:lang w:eastAsia="en-US"/>
        </w:rPr>
        <w:t>wpłynęły</w:t>
      </w:r>
      <w:r w:rsidR="000C46BC">
        <w:rPr>
          <w:rFonts w:ascii="Times New Roman" w:eastAsiaTheme="minorHAnsi" w:hAnsi="Times New Roman" w:cs="Times New Roman"/>
          <w:szCs w:val="24"/>
          <w:lang w:eastAsia="en-US"/>
        </w:rPr>
        <w:t xml:space="preserve"> zgłosze</w:t>
      </w:r>
      <w:r w:rsidR="004E45AA">
        <w:rPr>
          <w:rFonts w:ascii="Times New Roman" w:eastAsiaTheme="minorHAnsi" w:hAnsi="Times New Roman" w:cs="Times New Roman"/>
          <w:szCs w:val="24"/>
          <w:lang w:eastAsia="en-US"/>
        </w:rPr>
        <w:t>nia</w:t>
      </w:r>
      <w:r w:rsidR="000C46BC">
        <w:rPr>
          <w:rFonts w:ascii="Times New Roman" w:eastAsiaTheme="minorHAnsi" w:hAnsi="Times New Roman" w:cs="Times New Roman"/>
          <w:szCs w:val="24"/>
          <w:lang w:eastAsia="en-US"/>
        </w:rPr>
        <w:t xml:space="preserve"> lobbingow</w:t>
      </w:r>
      <w:r w:rsidR="004E45AA">
        <w:rPr>
          <w:rFonts w:ascii="Times New Roman" w:eastAsiaTheme="minorHAnsi" w:hAnsi="Times New Roman" w:cs="Times New Roman"/>
          <w:szCs w:val="24"/>
          <w:lang w:eastAsia="en-US"/>
        </w:rPr>
        <w:t>e</w:t>
      </w:r>
      <w:r w:rsidR="000C46BC">
        <w:rPr>
          <w:rFonts w:ascii="Times New Roman" w:eastAsiaTheme="minorHAnsi" w:hAnsi="Times New Roman" w:cs="Times New Roman"/>
          <w:szCs w:val="24"/>
          <w:lang w:eastAsia="en-US"/>
        </w:rPr>
        <w:t>.</w:t>
      </w:r>
      <w:r w:rsidR="009D4503">
        <w:rPr>
          <w:rFonts w:ascii="Times New Roman" w:eastAsiaTheme="minorHAnsi" w:hAnsi="Times New Roman" w:cs="Times New Roman"/>
          <w:szCs w:val="24"/>
          <w:lang w:eastAsia="en-US"/>
        </w:rPr>
        <w:t xml:space="preserve"> </w:t>
      </w:r>
    </w:p>
    <w:p w14:paraId="1F1AD3E0" w14:textId="5EFFC416" w:rsidR="00E1725B" w:rsidRPr="00E1725B" w:rsidRDefault="00E1725B" w:rsidP="0011262B">
      <w:pPr>
        <w:pStyle w:val="ARTartustawynprozporzdzenia"/>
        <w:ind w:firstLine="709"/>
        <w:rPr>
          <w:rFonts w:eastAsiaTheme="minorHAnsi" w:cs="Times New Roman"/>
          <w:szCs w:val="24"/>
          <w:lang w:eastAsia="en-US"/>
        </w:rPr>
      </w:pPr>
      <w:r w:rsidRPr="00E1725B">
        <w:rPr>
          <w:rFonts w:eastAsiaTheme="minorHAnsi" w:cs="Times New Roman"/>
          <w:szCs w:val="24"/>
          <w:lang w:eastAsia="en-US"/>
        </w:rPr>
        <w:t xml:space="preserve">Projekt ustawy nie dotyczy funkcjonowania samorządu terytorialnego oraz nie podlega notyfikacji zgodnie z przepisami dotyczącymi funkcjonowania krajowego systemu notyfikacji norm i aktów prawnych. Projektowana ustawa nie zawiera </w:t>
      </w:r>
      <w:r>
        <w:rPr>
          <w:rFonts w:eastAsiaTheme="minorHAnsi" w:cs="Times New Roman"/>
          <w:szCs w:val="24"/>
          <w:lang w:eastAsia="en-US"/>
        </w:rPr>
        <w:t xml:space="preserve">bowiem </w:t>
      </w:r>
      <w:r w:rsidRPr="00E1725B">
        <w:rPr>
          <w:rFonts w:eastAsiaTheme="minorHAnsi" w:cs="Times New Roman"/>
          <w:szCs w:val="24"/>
          <w:lang w:eastAsia="en-US"/>
        </w:rPr>
        <w:t>przepisów technicznych w rozumieniu rozporządzenia Rady Ministrów z dnia 23 grudnia 2002 r. w sprawie sposobu funkcjonowania krajowego systemu notyfikacji norm i aktów prawnych (Dz. U. poz. 2039, z późn. zm.).</w:t>
      </w:r>
    </w:p>
    <w:p w14:paraId="633EECD3" w14:textId="77777777" w:rsidR="00E1725B" w:rsidRPr="0011262B" w:rsidRDefault="00E1725B" w:rsidP="00E1725B">
      <w:pPr>
        <w:pStyle w:val="ARTartustawynprozporzdzenia"/>
        <w:spacing w:before="0"/>
        <w:ind w:firstLine="709"/>
        <w:rPr>
          <w:rFonts w:eastAsiaTheme="minorHAnsi" w:cs="Times New Roman"/>
          <w:szCs w:val="24"/>
          <w:lang w:eastAsia="en-US"/>
        </w:rPr>
      </w:pPr>
      <w:r w:rsidRPr="00E1725B">
        <w:rPr>
          <w:rFonts w:eastAsiaTheme="minorHAnsi" w:cs="Times New Roman"/>
          <w:szCs w:val="24"/>
          <w:lang w:eastAsia="en-US"/>
        </w:rPr>
        <w:t>Projekt ustawy nie wymaga przedstawienia właściwym organom i instytucjom Unii Europejskiej, w tym Europejskiemu Bankowi Centralnemu, w celu uzyskania opinii, dokonania powiadomienia, konsultacji albo uzgodnienia.</w:t>
      </w:r>
    </w:p>
    <w:p w14:paraId="00103A31" w14:textId="212C7C78" w:rsidR="00B83343" w:rsidRDefault="00B83343" w:rsidP="00FB46D5">
      <w:pPr>
        <w:pStyle w:val="ARTartustawynprozporzdzenia"/>
        <w:spacing w:before="0"/>
        <w:ind w:firstLine="709"/>
        <w:rPr>
          <w:rFonts w:ascii="Times New Roman" w:hAnsi="Times New Roman" w:cs="Times New Roman"/>
          <w:szCs w:val="24"/>
        </w:rPr>
      </w:pPr>
      <w:r w:rsidRPr="00FB46D5">
        <w:rPr>
          <w:rFonts w:ascii="Times New Roman" w:hAnsi="Times New Roman" w:cs="Times New Roman"/>
          <w:szCs w:val="24"/>
        </w:rPr>
        <w:t>Nie była dokonywana ocena OSR w trybie § 32 uchwały nr 190 Rady Ministrów z dnia 29 października 2013 r. – Regulamin pracy Rady Ministrów.</w:t>
      </w:r>
    </w:p>
    <w:p w14:paraId="4B39AC05" w14:textId="121E321E" w:rsidR="002662BD" w:rsidRPr="00E14CBE" w:rsidRDefault="00E1725B" w:rsidP="00701F76">
      <w:pPr>
        <w:ind w:firstLine="708"/>
        <w:jc w:val="both"/>
      </w:pPr>
      <w:r w:rsidRPr="00E1725B">
        <w:rPr>
          <w:rFonts w:cs="Times New Roman"/>
          <w:szCs w:val="24"/>
        </w:rPr>
        <w:t>Osiągnięcie celu ustawy nie jest możliwe za pomocą innych środków.</w:t>
      </w:r>
    </w:p>
    <w:sectPr w:rsidR="002662BD" w:rsidRPr="00E14CBE" w:rsidSect="00AE33E8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1489F" w14:textId="77777777" w:rsidR="00835404" w:rsidRDefault="00835404" w:rsidP="00683CB6">
      <w:pPr>
        <w:spacing w:line="240" w:lineRule="auto"/>
      </w:pPr>
      <w:r>
        <w:separator/>
      </w:r>
    </w:p>
  </w:endnote>
  <w:endnote w:type="continuationSeparator" w:id="0">
    <w:p w14:paraId="02B1E343" w14:textId="77777777" w:rsidR="00835404" w:rsidRDefault="00835404" w:rsidP="00683C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920027"/>
      <w:docPartObj>
        <w:docPartGallery w:val="Page Numbers (Bottom of Page)"/>
        <w:docPartUnique/>
      </w:docPartObj>
    </w:sdtPr>
    <w:sdtEndPr/>
    <w:sdtContent>
      <w:p w14:paraId="42015DC1" w14:textId="1522BE9F" w:rsidR="00AE33E8" w:rsidRDefault="00AE33E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8F9">
          <w:rPr>
            <w:noProof/>
          </w:rPr>
          <w:t>17</w:t>
        </w:r>
        <w:r>
          <w:fldChar w:fldCharType="end"/>
        </w:r>
      </w:p>
    </w:sdtContent>
  </w:sdt>
  <w:p w14:paraId="10734FFD" w14:textId="77777777" w:rsidR="00683CB6" w:rsidRDefault="00683C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B79CC" w14:textId="77777777" w:rsidR="00835404" w:rsidRDefault="00835404" w:rsidP="00683CB6">
      <w:pPr>
        <w:spacing w:line="240" w:lineRule="auto"/>
      </w:pPr>
      <w:r>
        <w:separator/>
      </w:r>
    </w:p>
  </w:footnote>
  <w:footnote w:type="continuationSeparator" w:id="0">
    <w:p w14:paraId="575F52F4" w14:textId="77777777" w:rsidR="00835404" w:rsidRDefault="00835404" w:rsidP="00683C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91632"/>
    <w:multiLevelType w:val="hybridMultilevel"/>
    <w:tmpl w:val="5E0AFF1E"/>
    <w:lvl w:ilvl="0" w:tplc="C5F026F6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2F"/>
    <w:rsid w:val="0000216B"/>
    <w:rsid w:val="00003C40"/>
    <w:rsid w:val="00031AC2"/>
    <w:rsid w:val="000340B6"/>
    <w:rsid w:val="00036EC3"/>
    <w:rsid w:val="00040A02"/>
    <w:rsid w:val="000416F6"/>
    <w:rsid w:val="00063ED4"/>
    <w:rsid w:val="0007161F"/>
    <w:rsid w:val="000816B5"/>
    <w:rsid w:val="0008323B"/>
    <w:rsid w:val="000854EC"/>
    <w:rsid w:val="000A22A4"/>
    <w:rsid w:val="000A2998"/>
    <w:rsid w:val="000B7C36"/>
    <w:rsid w:val="000C46BC"/>
    <w:rsid w:val="000D40CE"/>
    <w:rsid w:val="000D66A1"/>
    <w:rsid w:val="000E61F2"/>
    <w:rsid w:val="000E63D3"/>
    <w:rsid w:val="000F7A9F"/>
    <w:rsid w:val="00105345"/>
    <w:rsid w:val="00106F82"/>
    <w:rsid w:val="00110161"/>
    <w:rsid w:val="0011262B"/>
    <w:rsid w:val="0011303A"/>
    <w:rsid w:val="00117220"/>
    <w:rsid w:val="00121EEB"/>
    <w:rsid w:val="0012631B"/>
    <w:rsid w:val="001377DA"/>
    <w:rsid w:val="00137E5A"/>
    <w:rsid w:val="00141840"/>
    <w:rsid w:val="00144DF9"/>
    <w:rsid w:val="0016395E"/>
    <w:rsid w:val="00180F8B"/>
    <w:rsid w:val="00181068"/>
    <w:rsid w:val="00184ACB"/>
    <w:rsid w:val="00187E5E"/>
    <w:rsid w:val="00193175"/>
    <w:rsid w:val="001B39C8"/>
    <w:rsid w:val="001C3B1D"/>
    <w:rsid w:val="001C6C8F"/>
    <w:rsid w:val="001D26AF"/>
    <w:rsid w:val="001D4DF5"/>
    <w:rsid w:val="001E0C28"/>
    <w:rsid w:val="001E2D57"/>
    <w:rsid w:val="002026EE"/>
    <w:rsid w:val="00202D3A"/>
    <w:rsid w:val="00203BD5"/>
    <w:rsid w:val="00204324"/>
    <w:rsid w:val="00205B24"/>
    <w:rsid w:val="002116BE"/>
    <w:rsid w:val="00215B0D"/>
    <w:rsid w:val="00217177"/>
    <w:rsid w:val="0022037C"/>
    <w:rsid w:val="00224DF8"/>
    <w:rsid w:val="0023373B"/>
    <w:rsid w:val="002367F6"/>
    <w:rsid w:val="00236A31"/>
    <w:rsid w:val="00236F8A"/>
    <w:rsid w:val="002419CE"/>
    <w:rsid w:val="00250AC0"/>
    <w:rsid w:val="00250B6D"/>
    <w:rsid w:val="00251799"/>
    <w:rsid w:val="002566FD"/>
    <w:rsid w:val="00256DE7"/>
    <w:rsid w:val="0026215C"/>
    <w:rsid w:val="00265304"/>
    <w:rsid w:val="0026567D"/>
    <w:rsid w:val="002662BD"/>
    <w:rsid w:val="00271FA7"/>
    <w:rsid w:val="002730F4"/>
    <w:rsid w:val="0028101E"/>
    <w:rsid w:val="002905CE"/>
    <w:rsid w:val="002A0868"/>
    <w:rsid w:val="002A0CF2"/>
    <w:rsid w:val="002A24D1"/>
    <w:rsid w:val="002A4902"/>
    <w:rsid w:val="002A5786"/>
    <w:rsid w:val="002A780E"/>
    <w:rsid w:val="002C4E7F"/>
    <w:rsid w:val="002C56FC"/>
    <w:rsid w:val="002C5E99"/>
    <w:rsid w:val="002C6803"/>
    <w:rsid w:val="002D75FA"/>
    <w:rsid w:val="002D7E40"/>
    <w:rsid w:val="002E1D63"/>
    <w:rsid w:val="002F5A93"/>
    <w:rsid w:val="002F5F79"/>
    <w:rsid w:val="002F6957"/>
    <w:rsid w:val="00304178"/>
    <w:rsid w:val="00310906"/>
    <w:rsid w:val="003133EE"/>
    <w:rsid w:val="00314F46"/>
    <w:rsid w:val="003154A7"/>
    <w:rsid w:val="00321659"/>
    <w:rsid w:val="003222B0"/>
    <w:rsid w:val="003267C7"/>
    <w:rsid w:val="003279F7"/>
    <w:rsid w:val="00345CCA"/>
    <w:rsid w:val="00351E4F"/>
    <w:rsid w:val="00353AB6"/>
    <w:rsid w:val="003544B7"/>
    <w:rsid w:val="00363D8E"/>
    <w:rsid w:val="00377E4C"/>
    <w:rsid w:val="00383118"/>
    <w:rsid w:val="00383296"/>
    <w:rsid w:val="00384F85"/>
    <w:rsid w:val="0039649D"/>
    <w:rsid w:val="003A1EC2"/>
    <w:rsid w:val="003B0E78"/>
    <w:rsid w:val="003B2FCF"/>
    <w:rsid w:val="003C1808"/>
    <w:rsid w:val="003C1D0F"/>
    <w:rsid w:val="003C35CC"/>
    <w:rsid w:val="003D66B6"/>
    <w:rsid w:val="003E0535"/>
    <w:rsid w:val="003E1FB0"/>
    <w:rsid w:val="003E5B6F"/>
    <w:rsid w:val="003E67D3"/>
    <w:rsid w:val="003F06DA"/>
    <w:rsid w:val="003F1144"/>
    <w:rsid w:val="004054D1"/>
    <w:rsid w:val="00406082"/>
    <w:rsid w:val="0041092C"/>
    <w:rsid w:val="004171D8"/>
    <w:rsid w:val="00417C9D"/>
    <w:rsid w:val="00427C83"/>
    <w:rsid w:val="00431041"/>
    <w:rsid w:val="004313F9"/>
    <w:rsid w:val="004413C4"/>
    <w:rsid w:val="004448D9"/>
    <w:rsid w:val="00445ED9"/>
    <w:rsid w:val="0045553B"/>
    <w:rsid w:val="004563A2"/>
    <w:rsid w:val="00456CC7"/>
    <w:rsid w:val="00461D12"/>
    <w:rsid w:val="00481A4B"/>
    <w:rsid w:val="00491978"/>
    <w:rsid w:val="004A0512"/>
    <w:rsid w:val="004A211A"/>
    <w:rsid w:val="004B3FB5"/>
    <w:rsid w:val="004B5157"/>
    <w:rsid w:val="004C3E44"/>
    <w:rsid w:val="004C753A"/>
    <w:rsid w:val="004D1959"/>
    <w:rsid w:val="004D5004"/>
    <w:rsid w:val="004E45AA"/>
    <w:rsid w:val="004E7AEB"/>
    <w:rsid w:val="0051199F"/>
    <w:rsid w:val="00521730"/>
    <w:rsid w:val="00523F2B"/>
    <w:rsid w:val="005356F1"/>
    <w:rsid w:val="005407CA"/>
    <w:rsid w:val="00541FB9"/>
    <w:rsid w:val="00554EC1"/>
    <w:rsid w:val="0056704A"/>
    <w:rsid w:val="00567EEC"/>
    <w:rsid w:val="00576C21"/>
    <w:rsid w:val="00582BA0"/>
    <w:rsid w:val="005935F2"/>
    <w:rsid w:val="00594C73"/>
    <w:rsid w:val="00597518"/>
    <w:rsid w:val="005A11D0"/>
    <w:rsid w:val="005B1AE6"/>
    <w:rsid w:val="005B1EAD"/>
    <w:rsid w:val="005B3C50"/>
    <w:rsid w:val="005B4C88"/>
    <w:rsid w:val="005B60E5"/>
    <w:rsid w:val="005C1B23"/>
    <w:rsid w:val="005C2339"/>
    <w:rsid w:val="005C3ABA"/>
    <w:rsid w:val="005C5385"/>
    <w:rsid w:val="005C5589"/>
    <w:rsid w:val="005C6CC4"/>
    <w:rsid w:val="005D39BB"/>
    <w:rsid w:val="005E0135"/>
    <w:rsid w:val="006048F9"/>
    <w:rsid w:val="00615876"/>
    <w:rsid w:val="0062706D"/>
    <w:rsid w:val="00630637"/>
    <w:rsid w:val="00631E60"/>
    <w:rsid w:val="00634B6C"/>
    <w:rsid w:val="0064548B"/>
    <w:rsid w:val="00652581"/>
    <w:rsid w:val="00653681"/>
    <w:rsid w:val="00677C2D"/>
    <w:rsid w:val="00683CB6"/>
    <w:rsid w:val="0069009E"/>
    <w:rsid w:val="0069725B"/>
    <w:rsid w:val="006A1DE3"/>
    <w:rsid w:val="006A774B"/>
    <w:rsid w:val="006B68EA"/>
    <w:rsid w:val="006B6C51"/>
    <w:rsid w:val="006D4724"/>
    <w:rsid w:val="006E1C23"/>
    <w:rsid w:val="006F03BB"/>
    <w:rsid w:val="006F251A"/>
    <w:rsid w:val="006F533F"/>
    <w:rsid w:val="00701F76"/>
    <w:rsid w:val="00707607"/>
    <w:rsid w:val="007139A6"/>
    <w:rsid w:val="007141AD"/>
    <w:rsid w:val="007169D4"/>
    <w:rsid w:val="007210A5"/>
    <w:rsid w:val="00724D77"/>
    <w:rsid w:val="00734F14"/>
    <w:rsid w:val="00742009"/>
    <w:rsid w:val="00747F2F"/>
    <w:rsid w:val="007531F5"/>
    <w:rsid w:val="00765344"/>
    <w:rsid w:val="0077224C"/>
    <w:rsid w:val="00774F52"/>
    <w:rsid w:val="00792E13"/>
    <w:rsid w:val="007A0A02"/>
    <w:rsid w:val="007B61C9"/>
    <w:rsid w:val="007C0D81"/>
    <w:rsid w:val="007C68FA"/>
    <w:rsid w:val="007C7FEE"/>
    <w:rsid w:val="007D68DB"/>
    <w:rsid w:val="007D74AF"/>
    <w:rsid w:val="007E0724"/>
    <w:rsid w:val="007F3C42"/>
    <w:rsid w:val="00804ACD"/>
    <w:rsid w:val="00813FAD"/>
    <w:rsid w:val="0081768F"/>
    <w:rsid w:val="00832C1E"/>
    <w:rsid w:val="00835404"/>
    <w:rsid w:val="008454E7"/>
    <w:rsid w:val="00854FE7"/>
    <w:rsid w:val="008568A5"/>
    <w:rsid w:val="00857746"/>
    <w:rsid w:val="008578FC"/>
    <w:rsid w:val="00871E9C"/>
    <w:rsid w:val="008750BF"/>
    <w:rsid w:val="00876A58"/>
    <w:rsid w:val="00885941"/>
    <w:rsid w:val="00885EEF"/>
    <w:rsid w:val="008A5AA6"/>
    <w:rsid w:val="008A6F22"/>
    <w:rsid w:val="008B44C9"/>
    <w:rsid w:val="008B75D2"/>
    <w:rsid w:val="008D15CC"/>
    <w:rsid w:val="008D53D2"/>
    <w:rsid w:val="008D6922"/>
    <w:rsid w:val="008D77F6"/>
    <w:rsid w:val="008D785B"/>
    <w:rsid w:val="008E3406"/>
    <w:rsid w:val="008E4323"/>
    <w:rsid w:val="008E7248"/>
    <w:rsid w:val="0090062C"/>
    <w:rsid w:val="00902677"/>
    <w:rsid w:val="0090328B"/>
    <w:rsid w:val="00905031"/>
    <w:rsid w:val="00912153"/>
    <w:rsid w:val="009174C7"/>
    <w:rsid w:val="00921430"/>
    <w:rsid w:val="00924E8E"/>
    <w:rsid w:val="009259B8"/>
    <w:rsid w:val="00932C7A"/>
    <w:rsid w:val="009335DC"/>
    <w:rsid w:val="00942D18"/>
    <w:rsid w:val="0095401D"/>
    <w:rsid w:val="00961DA9"/>
    <w:rsid w:val="00962571"/>
    <w:rsid w:val="00970096"/>
    <w:rsid w:val="00983E27"/>
    <w:rsid w:val="00990044"/>
    <w:rsid w:val="00995DA0"/>
    <w:rsid w:val="009961AA"/>
    <w:rsid w:val="0099749E"/>
    <w:rsid w:val="009A4088"/>
    <w:rsid w:val="009A4EBE"/>
    <w:rsid w:val="009B0093"/>
    <w:rsid w:val="009B304B"/>
    <w:rsid w:val="009D4503"/>
    <w:rsid w:val="009F141A"/>
    <w:rsid w:val="00A0521B"/>
    <w:rsid w:val="00A136B7"/>
    <w:rsid w:val="00A43FB7"/>
    <w:rsid w:val="00A612D5"/>
    <w:rsid w:val="00A6280D"/>
    <w:rsid w:val="00A74BCD"/>
    <w:rsid w:val="00A77A97"/>
    <w:rsid w:val="00A82C38"/>
    <w:rsid w:val="00A90119"/>
    <w:rsid w:val="00A92487"/>
    <w:rsid w:val="00A926E1"/>
    <w:rsid w:val="00AA1F3E"/>
    <w:rsid w:val="00AB13A7"/>
    <w:rsid w:val="00AB40ED"/>
    <w:rsid w:val="00AC292B"/>
    <w:rsid w:val="00AC3BAF"/>
    <w:rsid w:val="00AE265F"/>
    <w:rsid w:val="00AE33E8"/>
    <w:rsid w:val="00AE3C29"/>
    <w:rsid w:val="00AF31F5"/>
    <w:rsid w:val="00B05645"/>
    <w:rsid w:val="00B06D30"/>
    <w:rsid w:val="00B12D3E"/>
    <w:rsid w:val="00B17DEB"/>
    <w:rsid w:val="00B252E6"/>
    <w:rsid w:val="00B275BE"/>
    <w:rsid w:val="00B307A2"/>
    <w:rsid w:val="00B34F83"/>
    <w:rsid w:val="00B514A1"/>
    <w:rsid w:val="00B52433"/>
    <w:rsid w:val="00B550E8"/>
    <w:rsid w:val="00B64449"/>
    <w:rsid w:val="00B679EB"/>
    <w:rsid w:val="00B72465"/>
    <w:rsid w:val="00B83343"/>
    <w:rsid w:val="00B838D3"/>
    <w:rsid w:val="00B8419B"/>
    <w:rsid w:val="00BB0CEC"/>
    <w:rsid w:val="00BC361E"/>
    <w:rsid w:val="00BC39BF"/>
    <w:rsid w:val="00BC3E80"/>
    <w:rsid w:val="00BD62F9"/>
    <w:rsid w:val="00C00A45"/>
    <w:rsid w:val="00C05830"/>
    <w:rsid w:val="00C1014C"/>
    <w:rsid w:val="00C230CD"/>
    <w:rsid w:val="00C262AA"/>
    <w:rsid w:val="00C32377"/>
    <w:rsid w:val="00C44339"/>
    <w:rsid w:val="00C52FE1"/>
    <w:rsid w:val="00C54FF6"/>
    <w:rsid w:val="00C566F5"/>
    <w:rsid w:val="00C61D57"/>
    <w:rsid w:val="00C65D68"/>
    <w:rsid w:val="00C67835"/>
    <w:rsid w:val="00C72278"/>
    <w:rsid w:val="00C855EF"/>
    <w:rsid w:val="00C86E7D"/>
    <w:rsid w:val="00C86F07"/>
    <w:rsid w:val="00C91381"/>
    <w:rsid w:val="00C91A6A"/>
    <w:rsid w:val="00CA4479"/>
    <w:rsid w:val="00CA5DA4"/>
    <w:rsid w:val="00CA7584"/>
    <w:rsid w:val="00CC1497"/>
    <w:rsid w:val="00CC4F0C"/>
    <w:rsid w:val="00CC5238"/>
    <w:rsid w:val="00CC57A6"/>
    <w:rsid w:val="00CD195E"/>
    <w:rsid w:val="00CE3561"/>
    <w:rsid w:val="00CF33CE"/>
    <w:rsid w:val="00D00D77"/>
    <w:rsid w:val="00D1411A"/>
    <w:rsid w:val="00D205CF"/>
    <w:rsid w:val="00D2218F"/>
    <w:rsid w:val="00D22A61"/>
    <w:rsid w:val="00D26227"/>
    <w:rsid w:val="00D26E33"/>
    <w:rsid w:val="00D27862"/>
    <w:rsid w:val="00D41BC8"/>
    <w:rsid w:val="00D51E3B"/>
    <w:rsid w:val="00D546A5"/>
    <w:rsid w:val="00D61B53"/>
    <w:rsid w:val="00D67493"/>
    <w:rsid w:val="00D7028C"/>
    <w:rsid w:val="00D71159"/>
    <w:rsid w:val="00D76D4E"/>
    <w:rsid w:val="00D82C00"/>
    <w:rsid w:val="00DA75E9"/>
    <w:rsid w:val="00DB09A0"/>
    <w:rsid w:val="00DC4325"/>
    <w:rsid w:val="00DD2A1B"/>
    <w:rsid w:val="00DD4DB7"/>
    <w:rsid w:val="00DD6BAF"/>
    <w:rsid w:val="00DE383E"/>
    <w:rsid w:val="00DE446D"/>
    <w:rsid w:val="00DE685A"/>
    <w:rsid w:val="00DE70DF"/>
    <w:rsid w:val="00DF1BEC"/>
    <w:rsid w:val="00E00CA9"/>
    <w:rsid w:val="00E01F24"/>
    <w:rsid w:val="00E0647F"/>
    <w:rsid w:val="00E14CBE"/>
    <w:rsid w:val="00E1725B"/>
    <w:rsid w:val="00E23F1A"/>
    <w:rsid w:val="00E3685B"/>
    <w:rsid w:val="00E411F4"/>
    <w:rsid w:val="00E43A7E"/>
    <w:rsid w:val="00E51250"/>
    <w:rsid w:val="00E53766"/>
    <w:rsid w:val="00E64295"/>
    <w:rsid w:val="00E70FA5"/>
    <w:rsid w:val="00E73333"/>
    <w:rsid w:val="00E81316"/>
    <w:rsid w:val="00E867F6"/>
    <w:rsid w:val="00E97419"/>
    <w:rsid w:val="00EB5CE6"/>
    <w:rsid w:val="00EC12B5"/>
    <w:rsid w:val="00EC28EE"/>
    <w:rsid w:val="00ED25FB"/>
    <w:rsid w:val="00ED2FC9"/>
    <w:rsid w:val="00EF355C"/>
    <w:rsid w:val="00EF6455"/>
    <w:rsid w:val="00EF70A7"/>
    <w:rsid w:val="00F20CE2"/>
    <w:rsid w:val="00F2109C"/>
    <w:rsid w:val="00F267BF"/>
    <w:rsid w:val="00F27BDA"/>
    <w:rsid w:val="00F345FF"/>
    <w:rsid w:val="00F46271"/>
    <w:rsid w:val="00F50781"/>
    <w:rsid w:val="00F53317"/>
    <w:rsid w:val="00F627A3"/>
    <w:rsid w:val="00F67E05"/>
    <w:rsid w:val="00F75E43"/>
    <w:rsid w:val="00F77D4E"/>
    <w:rsid w:val="00F815D0"/>
    <w:rsid w:val="00FA1235"/>
    <w:rsid w:val="00FA3A8A"/>
    <w:rsid w:val="00FA6219"/>
    <w:rsid w:val="00FA728B"/>
    <w:rsid w:val="00FA72C0"/>
    <w:rsid w:val="00FB035B"/>
    <w:rsid w:val="00FB2C95"/>
    <w:rsid w:val="00FB46D5"/>
    <w:rsid w:val="00FC18D9"/>
    <w:rsid w:val="00FC5635"/>
    <w:rsid w:val="00FD2500"/>
    <w:rsid w:val="00FD2850"/>
    <w:rsid w:val="00FE13AB"/>
    <w:rsid w:val="00FE1BA8"/>
    <w:rsid w:val="00FE51C1"/>
    <w:rsid w:val="00FF2C21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9498"/>
  <w15:docId w15:val="{2423DBDA-B992-49B8-8424-47E25210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7F2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747F2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47F2F"/>
    <w:rPr>
      <w:bCs/>
    </w:rPr>
  </w:style>
  <w:style w:type="character" w:customStyle="1" w:styleId="Ppogrubienie">
    <w:name w:val="_P_ – pogrubienie"/>
    <w:basedOn w:val="Domylnaczcionkaakapitu"/>
    <w:uiPriority w:val="1"/>
    <w:qFormat/>
    <w:rsid w:val="00747F2F"/>
    <w:rPr>
      <w:b/>
    </w:rPr>
  </w:style>
  <w:style w:type="character" w:customStyle="1" w:styleId="IGindeksgrny">
    <w:name w:val="_IG_ – indeks górny"/>
    <w:basedOn w:val="Domylnaczcionkaakapitu"/>
    <w:uiPriority w:val="2"/>
    <w:qFormat/>
    <w:rsid w:val="007D74AF"/>
    <w:rPr>
      <w:b w:val="0"/>
      <w:i w:val="0"/>
      <w:vanish w:val="0"/>
      <w:spacing w:val="0"/>
      <w:vertAlign w:val="superscript"/>
    </w:rPr>
  </w:style>
  <w:style w:type="character" w:customStyle="1" w:styleId="articletitle">
    <w:name w:val="articletitle"/>
    <w:basedOn w:val="Domylnaczcionkaakapitu"/>
    <w:rsid w:val="002662BD"/>
  </w:style>
  <w:style w:type="paragraph" w:styleId="NormalnyWeb">
    <w:name w:val="Normal (Web)"/>
    <w:basedOn w:val="Normalny"/>
    <w:uiPriority w:val="99"/>
    <w:semiHidden/>
    <w:unhideWhenUsed/>
    <w:rsid w:val="004B3FB5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4B3FB5"/>
    <w:rPr>
      <w:color w:val="0000FF"/>
      <w:u w:val="single"/>
    </w:rPr>
  </w:style>
  <w:style w:type="character" w:customStyle="1" w:styleId="csec-nr">
    <w:name w:val="c_sec-nr"/>
    <w:basedOn w:val="Domylnaczcionkaakapitu"/>
    <w:rsid w:val="004B3FB5"/>
  </w:style>
  <w:style w:type="character" w:styleId="Odwoaniedokomentarza">
    <w:name w:val="annotation reference"/>
    <w:basedOn w:val="Domylnaczcionkaakapitu"/>
    <w:uiPriority w:val="99"/>
    <w:semiHidden/>
    <w:rsid w:val="00FA12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A1235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1235"/>
    <w:rPr>
      <w:rFonts w:ascii="Times" w:eastAsia="Times New Roman" w:hAnsi="Times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235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9A4088"/>
    <w:pPr>
      <w:widowControl/>
      <w:suppressAutoHyphens/>
      <w:ind w:left="510" w:firstLine="510"/>
      <w:jc w:val="both"/>
    </w:pPr>
    <w:rPr>
      <w:rFonts w:ascii="Times" w:hAnsi="Time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2C7A"/>
    <w:pPr>
      <w:spacing w:line="240" w:lineRule="auto"/>
    </w:pPr>
    <w:rPr>
      <w:rFonts w:ascii="Times New Roman" w:eastAsiaTheme="minorEastAsia" w:hAnsi="Times New Roman" w:cs="Arial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2C7A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3CB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CB6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3CB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CB6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9A4EBE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7D4E"/>
    <w:pPr>
      <w:widowControl/>
      <w:autoSpaceDE/>
      <w:autoSpaceDN/>
      <w:adjustRightInd/>
      <w:spacing w:line="240" w:lineRule="auto"/>
    </w:pPr>
    <w:rPr>
      <w:rFonts w:asciiTheme="minorHAnsi" w:hAnsiTheme="minorHAnsi" w:cstheme="minorBidi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7D4E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7D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08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46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69FE2-BADD-4C95-BC6A-A2E679E4D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6172</Words>
  <Characters>37034</Characters>
  <Application>Microsoft Office Word</Application>
  <DocSecurity>0</DocSecurity>
  <Lines>308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Srokowska Agata  (DPE)</dc:creator>
  <cp:lastModifiedBy>Czarnecka Grażyna</cp:lastModifiedBy>
  <cp:revision>4</cp:revision>
  <cp:lastPrinted>2021-02-17T12:35:00Z</cp:lastPrinted>
  <dcterms:created xsi:type="dcterms:W3CDTF">2021-05-21T13:22:00Z</dcterms:created>
  <dcterms:modified xsi:type="dcterms:W3CDTF">2021-05-24T07:43:00Z</dcterms:modified>
</cp:coreProperties>
</file>