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4BD3D" w14:textId="0EEF296C" w:rsidR="00D053A7" w:rsidRPr="00A44C7E" w:rsidRDefault="00D053A7" w:rsidP="00D053A7">
      <w:pPr>
        <w:spacing w:line="360" w:lineRule="auto"/>
        <w:jc w:val="right"/>
        <w:rPr>
          <w:i/>
          <w:iCs/>
        </w:rPr>
      </w:pPr>
    </w:p>
    <w:p w14:paraId="6D7C7C83" w14:textId="77777777" w:rsidR="00D053A7" w:rsidRDefault="00D053A7" w:rsidP="00D053A7">
      <w:pPr>
        <w:spacing w:line="360" w:lineRule="auto"/>
      </w:pPr>
    </w:p>
    <w:p w14:paraId="5BC1A600" w14:textId="77777777" w:rsidR="00D053A7" w:rsidRPr="007346A5" w:rsidRDefault="00D053A7" w:rsidP="007346A5">
      <w:pPr>
        <w:spacing w:line="276" w:lineRule="auto"/>
        <w:jc w:val="center"/>
        <w:rPr>
          <w:b/>
          <w:bCs/>
          <w:sz w:val="26"/>
          <w:szCs w:val="26"/>
        </w:rPr>
      </w:pPr>
      <w:r w:rsidRPr="007346A5">
        <w:rPr>
          <w:b/>
          <w:bCs/>
          <w:sz w:val="26"/>
          <w:szCs w:val="26"/>
        </w:rPr>
        <w:t>Stanowisko Rządu</w:t>
      </w:r>
    </w:p>
    <w:p w14:paraId="2F0A23F2" w14:textId="135A4B86" w:rsidR="00D053A7" w:rsidRPr="007346A5" w:rsidRDefault="00D053A7" w:rsidP="007346A5">
      <w:pPr>
        <w:spacing w:line="276" w:lineRule="auto"/>
        <w:jc w:val="center"/>
        <w:rPr>
          <w:b/>
          <w:bCs/>
          <w:sz w:val="26"/>
          <w:szCs w:val="26"/>
        </w:rPr>
      </w:pPr>
      <w:r w:rsidRPr="007346A5">
        <w:rPr>
          <w:b/>
          <w:bCs/>
          <w:sz w:val="26"/>
          <w:szCs w:val="26"/>
        </w:rPr>
        <w:t>wobec senackiego projektu ustawy o zmianie ustawy – Kodeks postępowania cywilnego (druk nr 1225)</w:t>
      </w:r>
    </w:p>
    <w:p w14:paraId="0A0FFCF8" w14:textId="77777777" w:rsidR="00E11261" w:rsidRPr="00876DC0" w:rsidRDefault="00E11261" w:rsidP="00E11261">
      <w:pPr>
        <w:spacing w:line="360" w:lineRule="auto"/>
        <w:jc w:val="center"/>
        <w:rPr>
          <w:b/>
          <w:bCs/>
        </w:rPr>
      </w:pPr>
    </w:p>
    <w:p w14:paraId="3311BB81" w14:textId="77777777" w:rsidR="00D053A7" w:rsidRPr="009D680E" w:rsidRDefault="00D053A7" w:rsidP="00D053A7">
      <w:pPr>
        <w:pStyle w:val="Akapitzlist"/>
        <w:numPr>
          <w:ilvl w:val="0"/>
          <w:numId w:val="1"/>
        </w:numPr>
        <w:spacing w:line="360" w:lineRule="auto"/>
        <w:rPr>
          <w:b/>
        </w:rPr>
      </w:pPr>
      <w:r w:rsidRPr="009D680E">
        <w:rPr>
          <w:b/>
        </w:rPr>
        <w:t xml:space="preserve">Przedmiot projektu ustawy i istota projektowanej zmiany </w:t>
      </w:r>
    </w:p>
    <w:p w14:paraId="4A530D5E" w14:textId="773336F9" w:rsidR="00D053A7" w:rsidRDefault="00D053A7" w:rsidP="00D053A7">
      <w:pPr>
        <w:spacing w:line="360" w:lineRule="auto"/>
        <w:jc w:val="both"/>
      </w:pPr>
      <w:r>
        <w:tab/>
        <w:t>W projekcie ustawy zaproponowano przeniesienie</w:t>
      </w:r>
      <w:r w:rsidRPr="007E1640">
        <w:t xml:space="preserve"> </w:t>
      </w:r>
      <w:r>
        <w:t>na grunt usta</w:t>
      </w:r>
      <w:r w:rsidR="0062666C">
        <w:t xml:space="preserve">wy z dnia 17 listopada 1964 r. </w:t>
      </w:r>
      <w:r>
        <w:t xml:space="preserve">– Kodeks postępowania cywilnego (Dz. U. z 2020 r. poz. 1575 z </w:t>
      </w:r>
      <w:proofErr w:type="spellStart"/>
      <w:r>
        <w:t>późn</w:t>
      </w:r>
      <w:proofErr w:type="spellEnd"/>
      <w:r>
        <w:t>. zm.), z pewnymi modyfikacjami, rozwiązań uj</w:t>
      </w:r>
      <w:r w:rsidR="0062666C">
        <w:t xml:space="preserve">ętych obecnie w rozporządzeniu </w:t>
      </w:r>
      <w:r>
        <w:t xml:space="preserve">Ministra Sprawiedliwości z dnia 5 lipca 2017 r. w sprawie określenia przedmiotów należących do rolnika prowadzącego gospodarstwo, które nie podlegają egzekucji (Dz. U. poz. 1385). </w:t>
      </w:r>
    </w:p>
    <w:p w14:paraId="6F34B041" w14:textId="2D94EDF0" w:rsidR="00D053A7" w:rsidRDefault="00D053A7" w:rsidP="00D053A7">
      <w:pPr>
        <w:spacing w:line="360" w:lineRule="auto"/>
        <w:jc w:val="both"/>
      </w:pPr>
      <w:r>
        <w:tab/>
        <w:t>Treść proponowanych przepisów art. 829</w:t>
      </w:r>
      <w:r>
        <w:rPr>
          <w:vertAlign w:val="superscript"/>
        </w:rPr>
        <w:t>1</w:t>
      </w:r>
      <w:r w:rsidR="009D680E">
        <w:t>–</w:t>
      </w:r>
      <w:r>
        <w:t>829</w:t>
      </w:r>
      <w:r>
        <w:rPr>
          <w:vertAlign w:val="superscript"/>
        </w:rPr>
        <w:t>4</w:t>
      </w:r>
      <w:r>
        <w:t xml:space="preserve"> (art. 1 pkt 1 projektu) niemal wiernie odzwierciedla postanowienia zawarte w rozporządzeniu – wprowadzone zmiany ograniczają się głównie do korekt o charakterze redakcyjnym i terminologicznym (np. art. 829</w:t>
      </w:r>
      <w:r>
        <w:rPr>
          <w:vertAlign w:val="superscript"/>
        </w:rPr>
        <w:t>3</w:t>
      </w:r>
      <w:r>
        <w:t>). Wyjątkami są: termin przewidziany na wydanie przez właściwą izbę rolniczą opinii w</w:t>
      </w:r>
      <w:r w:rsidR="00C014AA">
        <w:t> </w:t>
      </w:r>
      <w:r>
        <w:t>przedmiocie zasadności wyłączenia spod egzekucji nadwyżki inwentarza żywego bądź przedmiotów w ilości większej niż wynika to z przepisów art. 829</w:t>
      </w:r>
      <w:r w:rsidRPr="007E1640">
        <w:rPr>
          <w:vertAlign w:val="superscript"/>
        </w:rPr>
        <w:t>1</w:t>
      </w:r>
      <w:r>
        <w:t xml:space="preserve"> k.p.c. (wydłużenie tego terminu z 14 do 21 dni ma urealnić możliwość wydania opinii – proj. art. 829</w:t>
      </w:r>
      <w:r>
        <w:rPr>
          <w:vertAlign w:val="superscript"/>
        </w:rPr>
        <w:t>2</w:t>
      </w:r>
      <w:r>
        <w:t xml:space="preserve"> § 2) oraz</w:t>
      </w:r>
      <w:r w:rsidR="00C014AA">
        <w:t> </w:t>
      </w:r>
      <w:r>
        <w:t>wyeliminowanie regulacji przewidującej, że przepisów określających wyłączenia spod</w:t>
      </w:r>
      <w:r w:rsidR="00C014AA">
        <w:t> </w:t>
      </w:r>
      <w:r>
        <w:t>egzekucji (proj. art. 829</w:t>
      </w:r>
      <w:r>
        <w:rPr>
          <w:vertAlign w:val="superscript"/>
        </w:rPr>
        <w:t>1</w:t>
      </w:r>
      <w:r w:rsidR="00CA029F">
        <w:t>–</w:t>
      </w:r>
      <w:r>
        <w:t>829</w:t>
      </w:r>
      <w:r>
        <w:rPr>
          <w:vertAlign w:val="superscript"/>
        </w:rPr>
        <w:t>4</w:t>
      </w:r>
      <w:r>
        <w:t xml:space="preserve"> k.p.c.) nie stosuje się w razie równoczesnego skierowania egzekucji do wszystkich nieruchomości wchodzących w skład gospodarstwa rolnego prowadzonego przez dłużnika (obecnie § 5 rozporządzenia). </w:t>
      </w:r>
    </w:p>
    <w:p w14:paraId="535A9709" w14:textId="14987AF0" w:rsidR="00D053A7" w:rsidRDefault="00D053A7" w:rsidP="00D053A7">
      <w:pPr>
        <w:spacing w:line="360" w:lineRule="auto"/>
        <w:jc w:val="both"/>
      </w:pPr>
      <w:r>
        <w:tab/>
        <w:t>Jednocześnie p</w:t>
      </w:r>
      <w:r w:rsidRPr="007E537B">
        <w:t xml:space="preserve">rojekt zakłada uchylenie art. 830 k.p.c. (art. 1 pkt 2), jako że wraz </w:t>
      </w:r>
      <w:r w:rsidR="006F68C5">
        <w:t>z</w:t>
      </w:r>
      <w:r w:rsidR="00C014AA">
        <w:t> </w:t>
      </w:r>
      <w:r w:rsidRPr="007E537B">
        <w:t>unormowaniem</w:t>
      </w:r>
      <w:r>
        <w:t xml:space="preserve"> </w:t>
      </w:r>
      <w:r w:rsidRPr="007E537B">
        <w:t>w ustawie wszystkich zagadnień, które do tej pory były regulowane rozporządzeniem, przepis</w:t>
      </w:r>
      <w:r>
        <w:t xml:space="preserve"> </w:t>
      </w:r>
      <w:r w:rsidRPr="007E537B">
        <w:t>ten w istocie stanie się zbędny.</w:t>
      </w:r>
    </w:p>
    <w:p w14:paraId="556123FD" w14:textId="77777777" w:rsidR="00D053A7" w:rsidRDefault="00D053A7" w:rsidP="00D053A7">
      <w:pPr>
        <w:spacing w:line="360" w:lineRule="auto"/>
        <w:jc w:val="both"/>
      </w:pPr>
      <w:r>
        <w:tab/>
        <w:t>Dodatkowo, aby nie zmieniać zasad prowadzenia egzekucji w sposób, który mógłby być zaskoczeniem dla ich uczestników, a w szczególności negatywnie odbić się na prawach wierzyciela, w projektowanym art. 2 zaproponowano rozwiązanie intertemporalne polegające na stosowaniu przepisów dotychczasowych do spraw w toku.</w:t>
      </w:r>
    </w:p>
    <w:p w14:paraId="0AAE7416" w14:textId="13669BB0" w:rsidR="00D053A7" w:rsidRDefault="00D053A7" w:rsidP="00D053A7">
      <w:pPr>
        <w:spacing w:line="360" w:lineRule="auto"/>
        <w:jc w:val="both"/>
      </w:pPr>
      <w:r>
        <w:lastRenderedPageBreak/>
        <w:tab/>
        <w:t>Przedmiotowy projekt jest inspirowany postulatem zawartym w indywidualnej petycji wniesionej do Senatu RP (znak: P9-43/19), w której zwrócono między innymi uwagę na</w:t>
      </w:r>
      <w:r w:rsidR="00C014AA">
        <w:t> </w:t>
      </w:r>
      <w:r>
        <w:t>okoliczność, że w świetle wymogów konstytucyjnych wszelkie wyłączenia spod egzekucji dotyczące zwierząt i rzeczy ruchomych potrzebnych do prowadzenia gospodarstwa rolnego muszą być regulowane na poziomie ustawowym. Obecnie natomiast na poziomie aktu wykonawczego regulowane są kwestie, które rzutują zarówno na prawo do sądu (w tym jego aspekcie, który wiąże się z gwarancją wykonania prawomocnego orzeczenia), jak i na ochronę praw majątkowych wierzyciela, który decyduje się na wszczęcie egzekucji sądowej przeciwko rolnikowi prowadząc</w:t>
      </w:r>
      <w:r w:rsidR="007E4B7B">
        <w:t>emu gospodarstwo rolne. Ponadto</w:t>
      </w:r>
      <w:r>
        <w:t xml:space="preserve"> część postanowień rozporządzenia z</w:t>
      </w:r>
      <w:r w:rsidR="00C014AA">
        <w:t> </w:t>
      </w:r>
      <w:r>
        <w:t xml:space="preserve">dnia 5 lipca 2017 r. wykracza poza delegację z art. 830 k.p.c. </w:t>
      </w:r>
    </w:p>
    <w:p w14:paraId="61A814EE" w14:textId="60146145" w:rsidR="00D053A7" w:rsidRDefault="00D053A7" w:rsidP="00D053A7">
      <w:pPr>
        <w:spacing w:line="360" w:lineRule="auto"/>
        <w:jc w:val="both"/>
      </w:pPr>
      <w:r>
        <w:tab/>
      </w:r>
      <w:r w:rsidRPr="002646A3">
        <w:t>W następstwie projektowanej zmiany regulacje dotyczące zwierząt i przedmiotów należących</w:t>
      </w:r>
      <w:r>
        <w:t xml:space="preserve"> </w:t>
      </w:r>
      <w:r w:rsidRPr="002646A3">
        <w:t>do rolnika prowadzącego gospodarstwo rolne, które nie podlegają egzekucji, odzyskają walor</w:t>
      </w:r>
      <w:r>
        <w:t xml:space="preserve"> </w:t>
      </w:r>
      <w:r w:rsidRPr="002646A3">
        <w:t>konstytucyjności, a ściślej: zostaną usystematyzowane odpowiednio do</w:t>
      </w:r>
      <w:r w:rsidR="00C014AA">
        <w:t> </w:t>
      </w:r>
      <w:r w:rsidRPr="002646A3">
        <w:t>wymagań płynących</w:t>
      </w:r>
      <w:r>
        <w:t xml:space="preserve"> </w:t>
      </w:r>
      <w:r w:rsidRPr="002646A3">
        <w:t xml:space="preserve">z wzorców </w:t>
      </w:r>
      <w:r>
        <w:t xml:space="preserve">określonych w </w:t>
      </w:r>
      <w:r w:rsidRPr="002646A3">
        <w:t>art. 92 ust. 1 oraz art. 31 ust. 3 w związku z</w:t>
      </w:r>
      <w:r w:rsidR="00C014AA">
        <w:t> </w:t>
      </w:r>
      <w:r w:rsidRPr="002646A3">
        <w:t>art. 45 ust. 1 i</w:t>
      </w:r>
      <w:r>
        <w:t xml:space="preserve"> </w:t>
      </w:r>
      <w:r w:rsidR="007E4B7B">
        <w:t>art. 64 ust. 1 Konstytucji</w:t>
      </w:r>
      <w:r w:rsidRPr="002646A3">
        <w:t xml:space="preserve">. </w:t>
      </w:r>
      <w:r>
        <w:t xml:space="preserve">Celem jest także zwiększenie </w:t>
      </w:r>
      <w:r w:rsidRPr="002646A3">
        <w:t>koherencji systemu prawa, albowiem w przypadku postępowania egzekucyjnego w administracji ustawodawca już</w:t>
      </w:r>
      <w:r w:rsidR="007346A5">
        <w:t> </w:t>
      </w:r>
      <w:r w:rsidRPr="002646A3">
        <w:t>na</w:t>
      </w:r>
      <w:r w:rsidR="00C014AA">
        <w:t> </w:t>
      </w:r>
      <w:r w:rsidRPr="002646A3">
        <w:t>poziomie</w:t>
      </w:r>
      <w:r>
        <w:t xml:space="preserve"> </w:t>
      </w:r>
      <w:r w:rsidRPr="002646A3">
        <w:t>ustawy określił te zwierzęta i rzeczy ruchome, które są wyłączone spod</w:t>
      </w:r>
      <w:r w:rsidR="007346A5">
        <w:t> </w:t>
      </w:r>
      <w:r w:rsidRPr="002646A3">
        <w:t>egzekucji w</w:t>
      </w:r>
      <w:r w:rsidR="00C014AA">
        <w:t> </w:t>
      </w:r>
      <w:r w:rsidRPr="002646A3">
        <w:t>razie</w:t>
      </w:r>
      <w:r>
        <w:t xml:space="preserve"> </w:t>
      </w:r>
      <w:r w:rsidRPr="002646A3">
        <w:t>skierowania jej przeciwko rolnikowi prowadzącemu gospodarstwo rolne.</w:t>
      </w:r>
    </w:p>
    <w:p w14:paraId="0837DD5C" w14:textId="77777777" w:rsidR="00D053A7" w:rsidRPr="00A457BD" w:rsidRDefault="00D053A7" w:rsidP="00D053A7">
      <w:pPr>
        <w:pStyle w:val="Akapitzlist"/>
        <w:numPr>
          <w:ilvl w:val="0"/>
          <w:numId w:val="1"/>
        </w:numPr>
        <w:spacing w:line="360" w:lineRule="auto"/>
        <w:rPr>
          <w:b/>
        </w:rPr>
      </w:pPr>
      <w:r w:rsidRPr="00A457BD">
        <w:rPr>
          <w:b/>
        </w:rPr>
        <w:t>Uwagi szczegółowe</w:t>
      </w:r>
    </w:p>
    <w:p w14:paraId="6233BF4D" w14:textId="77777777" w:rsidR="00D053A7" w:rsidRDefault="00D053A7" w:rsidP="00D053A7">
      <w:pPr>
        <w:pStyle w:val="Akapitzlist"/>
        <w:spacing w:line="360" w:lineRule="auto"/>
        <w:ind w:left="0"/>
        <w:jc w:val="both"/>
      </w:pPr>
      <w:r>
        <w:tab/>
        <w:t xml:space="preserve">Pozytywnie należy ocenić koncepcję ustawowego uregulowania zagadnień przedmiotów należących do rolnika prowadzącego gospodarstwo, które nie podlegają egzekucji, jak też zasad postępowania w tej materii przez właściwe organy. Bez wątpienia przyczyni się to do zwiększenia ochrony prawnej dłużników będących rolnikami. </w:t>
      </w:r>
    </w:p>
    <w:p w14:paraId="763EE59B" w14:textId="77777777" w:rsidR="00D053A7" w:rsidRDefault="00D053A7" w:rsidP="00D053A7">
      <w:pPr>
        <w:pStyle w:val="Akapitzlist"/>
        <w:spacing w:line="360" w:lineRule="auto"/>
        <w:ind w:left="0"/>
        <w:jc w:val="both"/>
      </w:pPr>
      <w:r>
        <w:tab/>
        <w:t>Niemniej jednak postuluje się rozważenie następujących kwestii:</w:t>
      </w:r>
    </w:p>
    <w:p w14:paraId="65FB5614" w14:textId="7C08BD34" w:rsidR="00D053A7" w:rsidRDefault="00D053A7" w:rsidP="00D053A7">
      <w:pPr>
        <w:pStyle w:val="Akapitzlist"/>
        <w:numPr>
          <w:ilvl w:val="0"/>
          <w:numId w:val="2"/>
        </w:numPr>
        <w:spacing w:line="360" w:lineRule="auto"/>
        <w:jc w:val="both"/>
      </w:pPr>
      <w:r>
        <w:t>U</w:t>
      </w:r>
      <w:r w:rsidRPr="00AC0A0E">
        <w:t xml:space="preserve">zupełnienie projektowanego </w:t>
      </w:r>
      <w:r>
        <w:t>art. 829</w:t>
      </w:r>
      <w:r w:rsidRPr="00AC0A0E">
        <w:rPr>
          <w:vertAlign w:val="superscript"/>
        </w:rPr>
        <w:t>2</w:t>
      </w:r>
      <w:r>
        <w:t xml:space="preserve"> k.p.c. </w:t>
      </w:r>
      <w:r w:rsidRPr="00AC0A0E">
        <w:t>o obowiązek</w:t>
      </w:r>
      <w:r>
        <w:t xml:space="preserve"> </w:t>
      </w:r>
      <w:r w:rsidRPr="00AC0A0E">
        <w:t>dołączania przez komornika odpisu protokołu zajęcia składników majątku dłużnika wraz</w:t>
      </w:r>
      <w:r>
        <w:t xml:space="preserve"> </w:t>
      </w:r>
      <w:r w:rsidRPr="00AC0A0E">
        <w:t>z informacją o łącznej wysokości dochodzonych od dłużnika należności</w:t>
      </w:r>
      <w:r w:rsidR="007346A5">
        <w:t>.</w:t>
      </w:r>
    </w:p>
    <w:p w14:paraId="76223752" w14:textId="76116DA3" w:rsidR="00D053A7" w:rsidRDefault="00D053A7" w:rsidP="00D053A7">
      <w:pPr>
        <w:pStyle w:val="Akapitzlist"/>
        <w:numPr>
          <w:ilvl w:val="0"/>
          <w:numId w:val="2"/>
        </w:numPr>
        <w:spacing w:line="360" w:lineRule="auto"/>
        <w:jc w:val="both"/>
      </w:pPr>
      <w:r>
        <w:t>Wprowadzenie rozwiązań pozwalających komornikowi sądowemu – w uzasadnionych przypadkach, gdy zaistnieją wątpliwości co do treści opinii w zakresie przedmiotów niezbędnych do pr</w:t>
      </w:r>
      <w:r w:rsidR="00997DBB">
        <w:t>owadzenia gospodarstwa rolnego –</w:t>
      </w:r>
      <w:r>
        <w:t xml:space="preserve"> na powołanie biegłego, który</w:t>
      </w:r>
      <w:r w:rsidR="007346A5">
        <w:t> </w:t>
      </w:r>
      <w:r>
        <w:t xml:space="preserve">dokonywałby weryfikacji </w:t>
      </w:r>
      <w:r w:rsidR="007346A5">
        <w:t>ustaleń zawartych w opinii izby.</w:t>
      </w:r>
    </w:p>
    <w:p w14:paraId="19B140DF" w14:textId="322682BF" w:rsidR="00D053A7" w:rsidRPr="00874100" w:rsidRDefault="00D053A7" w:rsidP="00D053A7">
      <w:pPr>
        <w:pStyle w:val="Akapitzlist"/>
        <w:numPr>
          <w:ilvl w:val="0"/>
          <w:numId w:val="2"/>
        </w:numPr>
        <w:spacing w:line="360" w:lineRule="auto"/>
        <w:jc w:val="both"/>
      </w:pPr>
      <w:r>
        <w:lastRenderedPageBreak/>
        <w:t>Przesądzenie, że opinia wydawana przez izbę r</w:t>
      </w:r>
      <w:r w:rsidR="00C014AA">
        <w:t xml:space="preserve">olniczą nie stanowi informacji </w:t>
      </w:r>
      <w:r>
        <w:t>w</w:t>
      </w:r>
      <w:r w:rsidR="00C014AA">
        <w:t> </w:t>
      </w:r>
      <w:r>
        <w:t xml:space="preserve">rozumieniu </w:t>
      </w:r>
      <w:r w:rsidRPr="00874100">
        <w:t>art. 761 § 1</w:t>
      </w:r>
      <w:r w:rsidR="00C73941" w:rsidRPr="00874100">
        <w:rPr>
          <w:vertAlign w:val="superscript"/>
        </w:rPr>
        <w:t>1</w:t>
      </w:r>
      <w:r w:rsidRPr="00874100">
        <w:t xml:space="preserve"> k.p.c. oraz że art. 762 k.p</w:t>
      </w:r>
      <w:r w:rsidR="007346A5">
        <w:t>.c. nie ma do niej zastosowania.</w:t>
      </w:r>
    </w:p>
    <w:p w14:paraId="40127D0F" w14:textId="6DE7DBF6" w:rsidR="00D053A7" w:rsidRDefault="00D053A7" w:rsidP="00D053A7">
      <w:pPr>
        <w:pStyle w:val="Akapitzlist"/>
        <w:numPr>
          <w:ilvl w:val="0"/>
          <w:numId w:val="2"/>
        </w:numPr>
        <w:spacing w:line="360" w:lineRule="auto"/>
        <w:jc w:val="both"/>
      </w:pPr>
      <w:r w:rsidRPr="00874100">
        <w:t xml:space="preserve">Rezygnację z regulacji przewidzianych </w:t>
      </w:r>
      <w:r w:rsidR="00853CAF" w:rsidRPr="00874100">
        <w:t xml:space="preserve">w </w:t>
      </w:r>
      <w:r w:rsidRPr="00874100">
        <w:t>projektowanym art. 829</w:t>
      </w:r>
      <w:r w:rsidRPr="00874100">
        <w:rPr>
          <w:vertAlign w:val="superscript"/>
        </w:rPr>
        <w:t>1</w:t>
      </w:r>
      <w:r w:rsidR="0062666C">
        <w:t xml:space="preserve"> pkt 6,</w:t>
      </w:r>
      <w:r w:rsidRPr="00874100">
        <w:t xml:space="preserve"> 15 i 16 k.p.c., gdyż dalsze wyłączenie spod egzekucji </w:t>
      </w:r>
      <w:r w:rsidR="00C73941" w:rsidRPr="00874100">
        <w:t>ruchomości</w:t>
      </w:r>
      <w:r w:rsidR="00853CAF" w:rsidRPr="00874100">
        <w:t>, o których mowa w proj. art. 829</w:t>
      </w:r>
      <w:r w:rsidR="00853CAF" w:rsidRPr="00874100">
        <w:rPr>
          <w:vertAlign w:val="superscript"/>
        </w:rPr>
        <w:t>1</w:t>
      </w:r>
      <w:r w:rsidR="00853CAF" w:rsidRPr="00874100">
        <w:t xml:space="preserve"> pkt 6 oraz </w:t>
      </w:r>
      <w:r w:rsidRPr="00874100">
        <w:t>nieruchomości określon</w:t>
      </w:r>
      <w:r w:rsidR="00853CAF" w:rsidRPr="00874100">
        <w:t>ych w art. art. 829</w:t>
      </w:r>
      <w:r w:rsidR="00853CAF" w:rsidRPr="00874100">
        <w:rPr>
          <w:vertAlign w:val="superscript"/>
        </w:rPr>
        <w:t>1</w:t>
      </w:r>
      <w:r w:rsidR="00853CAF" w:rsidRPr="00874100">
        <w:t xml:space="preserve"> pkt 15 i 16</w:t>
      </w:r>
      <w:r w:rsidRPr="00874100">
        <w:t xml:space="preserve"> może</w:t>
      </w:r>
      <w:r>
        <w:t xml:space="preserve"> istotnie wpływać na wycenę zabezpieczeń ekspozycji kredytowych wobec rolników indywidualnych. </w:t>
      </w:r>
      <w:r w:rsidR="00B829BB">
        <w:t>W konsekwencji</w:t>
      </w:r>
      <w:r>
        <w:t xml:space="preserve"> brak wystarczającego zabezpieczenia kredytu może skutkować zmniejszeniem się liczby pozytywnie rozpoznanych wniosków kredytowych. Tym samym ogół osób prowadzących gospodarstwo rolne ponosiłby pośrednio koszty ochrony prawnej przyznanej stosunkowo wąskiej grupie osób, które z różnych względów nie wywi</w:t>
      </w:r>
      <w:r w:rsidR="0062666C">
        <w:t>ązują się ze swoich zobowiązań.</w:t>
      </w:r>
      <w:r>
        <w:t xml:space="preserve"> Pewnego rodzaju rozwiązaniem mogłaby być regulacja, zgodnie z którą opisanych na wstępie ograniczeń egzekucji nie</w:t>
      </w:r>
      <w:r w:rsidR="00813392">
        <w:t> </w:t>
      </w:r>
      <w:bookmarkStart w:id="0" w:name="_GoBack"/>
      <w:bookmarkEnd w:id="0"/>
      <w:r>
        <w:t>stosuje się, jeżeli egzekucję prowadzi wierzyciel, na rzecz którego sam dłużnik us</w:t>
      </w:r>
      <w:r w:rsidR="007346A5">
        <w:t>tanowił zabezpieczenie rzeczowe.</w:t>
      </w:r>
      <w:r>
        <w:t xml:space="preserve"> </w:t>
      </w:r>
    </w:p>
    <w:p w14:paraId="20547E52" w14:textId="6A735A1C" w:rsidR="00D053A7" w:rsidRDefault="00D053A7" w:rsidP="00D053A7">
      <w:pPr>
        <w:pStyle w:val="Akapitzlist"/>
        <w:numPr>
          <w:ilvl w:val="0"/>
          <w:numId w:val="2"/>
        </w:numPr>
        <w:spacing w:line="360" w:lineRule="auto"/>
        <w:jc w:val="both"/>
      </w:pPr>
      <w:r>
        <w:t>Należy zarazem podnieść, że w braku akceptacji dla propozycji opisanych w pkt 4 konieczne staje się przywrócenie regulacji przewidującej, że przepisów określających wyłączenia spod egzekucji (proj. art. 829</w:t>
      </w:r>
      <w:r>
        <w:rPr>
          <w:vertAlign w:val="superscript"/>
        </w:rPr>
        <w:t>1</w:t>
      </w:r>
      <w:r>
        <w:t xml:space="preserve"> – 829</w:t>
      </w:r>
      <w:r>
        <w:rPr>
          <w:vertAlign w:val="superscript"/>
        </w:rPr>
        <w:t>4</w:t>
      </w:r>
      <w:r>
        <w:t xml:space="preserve"> k.p.c.) nie stosuje się w razie równoczesnego skierowania egzekucji do wszyst</w:t>
      </w:r>
      <w:r w:rsidR="00E755EB">
        <w:t xml:space="preserve">kich nieruchomości wchodzących </w:t>
      </w:r>
      <w:r>
        <w:t>w</w:t>
      </w:r>
      <w:r w:rsidR="00E755EB">
        <w:t> </w:t>
      </w:r>
      <w:r>
        <w:t>skład gospodarstwa rolnego prowadzonego przez dłużnika (obecnie</w:t>
      </w:r>
      <w:r w:rsidR="007346A5">
        <w:t> </w:t>
      </w:r>
      <w:r>
        <w:t>§</w:t>
      </w:r>
      <w:r w:rsidR="007346A5">
        <w:t> </w:t>
      </w:r>
      <w:r>
        <w:t>5</w:t>
      </w:r>
      <w:r w:rsidR="007346A5">
        <w:t> </w:t>
      </w:r>
      <w:r>
        <w:t>rozporządzenia). Przepis taki pierwotnie występował w druku senackim nr</w:t>
      </w:r>
      <w:r w:rsidR="007346A5">
        <w:t> </w:t>
      </w:r>
      <w:r>
        <w:t xml:space="preserve">222. </w:t>
      </w:r>
      <w:r w:rsidRPr="00D84457">
        <w:t xml:space="preserve">W tym aspekcie należy </w:t>
      </w:r>
      <w:r>
        <w:t xml:space="preserve">bowiem </w:t>
      </w:r>
      <w:r w:rsidRPr="00D84457">
        <w:t>uwzględnić interes wierzycieli oraz wziąć pod</w:t>
      </w:r>
      <w:r w:rsidR="007346A5">
        <w:t> </w:t>
      </w:r>
      <w:r w:rsidRPr="00D84457">
        <w:t xml:space="preserve">uwagę skutki społeczne i ekonomiczne </w:t>
      </w:r>
      <w:r>
        <w:t>braku takiego</w:t>
      </w:r>
      <w:r w:rsidRPr="00D84457">
        <w:t xml:space="preserve"> rozwiązania. K</w:t>
      </w:r>
      <w:r w:rsidRPr="007C0524">
        <w:t xml:space="preserve">onsekwencją </w:t>
      </w:r>
      <w:r w:rsidRPr="00D84457">
        <w:t>rezygnacji z</w:t>
      </w:r>
      <w:r w:rsidR="00C014AA">
        <w:t> </w:t>
      </w:r>
      <w:r w:rsidRPr="00D84457">
        <w:t xml:space="preserve">regulacji obecnie ujętej w § 5 rozporządzenia </w:t>
      </w:r>
      <w:r w:rsidRPr="007C0524">
        <w:t>będzie</w:t>
      </w:r>
      <w:r w:rsidRPr="00D84457">
        <w:t xml:space="preserve"> bowiem </w:t>
      </w:r>
      <w:r w:rsidR="00997DBB">
        <w:t>bezwarunkowa</w:t>
      </w:r>
      <w:r>
        <w:t xml:space="preserve"> </w:t>
      </w:r>
      <w:r w:rsidRPr="00D84457">
        <w:t xml:space="preserve">niemożność prowadzenia </w:t>
      </w:r>
      <w:r w:rsidRPr="007C0524">
        <w:t xml:space="preserve">egzekucji </w:t>
      </w:r>
      <w:r>
        <w:t>z jakiejkolwiek</w:t>
      </w:r>
      <w:r w:rsidRPr="007C0524">
        <w:t xml:space="preserve"> nieruchomości</w:t>
      </w:r>
      <w:r w:rsidRPr="00D84457">
        <w:t xml:space="preserve"> </w:t>
      </w:r>
      <w:r w:rsidRPr="007C0524">
        <w:t>wchodząc</w:t>
      </w:r>
      <w:r>
        <w:t xml:space="preserve">ej </w:t>
      </w:r>
      <w:r w:rsidRPr="007C0524">
        <w:t>w skład gospodarstwa rolnego</w:t>
      </w:r>
      <w:r>
        <w:t>. Oznacza to przyznanie rolnikom swoistego immunitetu egzekucyjnego, co w sposób oczywisty będzie musiało się przełożyć na</w:t>
      </w:r>
      <w:r w:rsidR="007346A5">
        <w:t> </w:t>
      </w:r>
      <w:r>
        <w:t>dostęp ogółu rolników do kredytu hipotecznego</w:t>
      </w:r>
      <w:r w:rsidRPr="007C0524">
        <w:t>.</w:t>
      </w:r>
      <w:r w:rsidRPr="00D84457">
        <w:t xml:space="preserve"> </w:t>
      </w:r>
      <w:r w:rsidRPr="007C0524">
        <w:t>Każde poszerzanie</w:t>
      </w:r>
      <w:r w:rsidRPr="00D84457">
        <w:t xml:space="preserve"> </w:t>
      </w:r>
      <w:r w:rsidRPr="007C0524">
        <w:t xml:space="preserve">zakresu </w:t>
      </w:r>
      <w:proofErr w:type="spellStart"/>
      <w:r w:rsidRPr="007C0524">
        <w:t>wyłączeń</w:t>
      </w:r>
      <w:proofErr w:type="spellEnd"/>
      <w:r w:rsidRPr="007C0524">
        <w:t xml:space="preserve"> spod egzekucji powoduje</w:t>
      </w:r>
      <w:r>
        <w:t xml:space="preserve"> bowiem</w:t>
      </w:r>
      <w:r w:rsidRPr="007C0524">
        <w:t>,</w:t>
      </w:r>
      <w:r w:rsidRPr="00D84457">
        <w:t xml:space="preserve"> </w:t>
      </w:r>
      <w:r w:rsidRPr="007C0524">
        <w:t>że dany podmiot jako nieegzekwowalny</w:t>
      </w:r>
      <w:r w:rsidRPr="00D84457">
        <w:t xml:space="preserve"> </w:t>
      </w:r>
      <w:r w:rsidRPr="007C0524">
        <w:t>staje się dla banku</w:t>
      </w:r>
      <w:r w:rsidRPr="00B7752C">
        <w:t xml:space="preserve"> </w:t>
      </w:r>
      <w:r w:rsidRPr="007C0524">
        <w:t>klientem</w:t>
      </w:r>
      <w:r>
        <w:t xml:space="preserve"> mało wiarygodnym. Same zaś</w:t>
      </w:r>
      <w:r w:rsidRPr="007C0524">
        <w:t xml:space="preserve"> banki nie mają pełnej swobody w decydowaniu,</w:t>
      </w:r>
      <w:r w:rsidRPr="00D84457">
        <w:t xml:space="preserve"> </w:t>
      </w:r>
      <w:r w:rsidRPr="007C0524">
        <w:t xml:space="preserve">komu udzielą kredytu, </w:t>
      </w:r>
      <w:r w:rsidRPr="00D84457">
        <w:t>gdyż</w:t>
      </w:r>
      <w:r w:rsidRPr="007C0524">
        <w:t xml:space="preserve"> </w:t>
      </w:r>
      <w:r>
        <w:t xml:space="preserve">jako depozytariusze środków należących do osób trzecich </w:t>
      </w:r>
      <w:r w:rsidRPr="007C0524">
        <w:t>są</w:t>
      </w:r>
      <w:r w:rsidR="00E755EB">
        <w:t> </w:t>
      </w:r>
      <w:r w:rsidRPr="007C0524">
        <w:t>związane</w:t>
      </w:r>
      <w:r w:rsidRPr="00D84457">
        <w:t xml:space="preserve"> </w:t>
      </w:r>
      <w:r>
        <w:t>stosownymi rekomendacjami</w:t>
      </w:r>
      <w:r w:rsidRPr="007C0524">
        <w:t xml:space="preserve"> Komisji Nadzoru Finansowego.</w:t>
      </w:r>
      <w:r w:rsidRPr="00D84457">
        <w:t xml:space="preserve"> </w:t>
      </w:r>
    </w:p>
    <w:p w14:paraId="647EC968" w14:textId="4E7F883D" w:rsidR="00D053A7" w:rsidRPr="00117394" w:rsidRDefault="00D053A7" w:rsidP="00D053A7">
      <w:pPr>
        <w:spacing w:line="360" w:lineRule="auto"/>
        <w:ind w:left="360" w:firstLine="348"/>
        <w:jc w:val="both"/>
      </w:pPr>
      <w:r>
        <w:lastRenderedPageBreak/>
        <w:t>W konkluzji należy stwierdzić, że p</w:t>
      </w:r>
      <w:r w:rsidRPr="007C0524">
        <w:t xml:space="preserve">rzyjęcie </w:t>
      </w:r>
      <w:r>
        <w:t>projektu w jego aktualnym kształcie</w:t>
      </w:r>
      <w:r w:rsidRPr="007C0524">
        <w:t xml:space="preserve"> skutkować</w:t>
      </w:r>
      <w:r w:rsidRPr="00D84457">
        <w:t xml:space="preserve"> </w:t>
      </w:r>
      <w:r>
        <w:t xml:space="preserve">będzie </w:t>
      </w:r>
      <w:r w:rsidRPr="00D84457">
        <w:t xml:space="preserve">obniżeniem zdolności kredytowej rolników. </w:t>
      </w:r>
      <w:r>
        <w:t>Wadą dotychczasowego §</w:t>
      </w:r>
      <w:r w:rsidR="007346A5">
        <w:t> </w:t>
      </w:r>
      <w:r>
        <w:t>5</w:t>
      </w:r>
      <w:r w:rsidR="007346A5">
        <w:t> </w:t>
      </w:r>
      <w:r>
        <w:t>rozporządzenia jest konieczność równoczesnego kierowania egzekucji do wszystkich nieruchomości, w sytuacji, gdy egzekucja z jednej nieruchomości pozwalałaby na</w:t>
      </w:r>
      <w:r w:rsidR="00C014AA">
        <w:t> </w:t>
      </w:r>
      <w:r>
        <w:t>zaspokojenie wierzyciela. Tym samym należałoby zmierzać w kierunku poszerzenia możliwości prowadzenia egzekucji z nieruchomości wchodzącej w skład gospodarstwa rolnego w sytuacji, gdy wierzyciel dysponuje hipoteką ustanowioną na jego rzecz przez</w:t>
      </w:r>
      <w:r w:rsidR="007346A5">
        <w:t> </w:t>
      </w:r>
      <w:r>
        <w:t>samego dłużnika, względnie gdy tylko egzekucja z nieruchomości pozwoli na</w:t>
      </w:r>
      <w:r w:rsidR="007346A5">
        <w:t> </w:t>
      </w:r>
      <w:r>
        <w:t>zaspokojenie wierzyciela. Pewnym wzorem w zakresie ochrony dłużnika mogłyby się</w:t>
      </w:r>
      <w:r w:rsidR="007346A5">
        <w:t> </w:t>
      </w:r>
      <w:r>
        <w:t>okazać rozwiązania przyjęte w art. 952</w:t>
      </w:r>
      <w:r>
        <w:rPr>
          <w:vertAlign w:val="superscript"/>
        </w:rPr>
        <w:t xml:space="preserve">1 </w:t>
      </w:r>
      <w:r>
        <w:rPr>
          <w:rFonts w:cs="Times New Roman"/>
        </w:rPr>
        <w:t>§</w:t>
      </w:r>
      <w:r w:rsidR="00E00B44">
        <w:t xml:space="preserve"> 1–</w:t>
      </w:r>
      <w:r>
        <w:t>4 k.p.c. Rozwiązania takie pozwoliłyby na</w:t>
      </w:r>
      <w:r w:rsidR="00C014AA">
        <w:t> </w:t>
      </w:r>
      <w:r>
        <w:t>zrównoważenie interesów wierzycie</w:t>
      </w:r>
      <w:r w:rsidR="00E00B44">
        <w:t>li i dłużników, bez jednoczesnego</w:t>
      </w:r>
      <w:r>
        <w:t xml:space="preserve"> stwarzania ryzyka dla rolników indywidualnych korzystających z pożyczek lub kredytów bankowych.</w:t>
      </w:r>
    </w:p>
    <w:p w14:paraId="6F018EC5" w14:textId="77777777" w:rsidR="00D053A7" w:rsidRDefault="00D053A7" w:rsidP="00D053A7">
      <w:pPr>
        <w:pStyle w:val="Akapitzlist"/>
        <w:spacing w:line="360" w:lineRule="auto"/>
        <w:ind w:left="0"/>
        <w:jc w:val="both"/>
      </w:pPr>
      <w:r>
        <w:tab/>
      </w:r>
    </w:p>
    <w:p w14:paraId="0EA114C4" w14:textId="3E457FC3" w:rsidR="005B324B" w:rsidRPr="009D680E" w:rsidRDefault="00D053A7" w:rsidP="009D680E">
      <w:pPr>
        <w:pStyle w:val="Akapitzlist"/>
        <w:spacing w:line="360" w:lineRule="auto"/>
        <w:ind w:left="0"/>
        <w:jc w:val="both"/>
        <w:rPr>
          <w:b/>
          <w:bCs/>
        </w:rPr>
      </w:pPr>
      <w:r>
        <w:tab/>
        <w:t xml:space="preserve">Z uwzględnieniem przedstawionych zastrzeżeń </w:t>
      </w:r>
      <w:r w:rsidRPr="00332E54">
        <w:rPr>
          <w:b/>
          <w:bCs/>
        </w:rPr>
        <w:t xml:space="preserve">Rada Ministrów pozytywnie opiniuje przedłożony </w:t>
      </w:r>
      <w:r w:rsidRPr="00E00B44">
        <w:rPr>
          <w:b/>
          <w:bCs/>
          <w:iCs/>
        </w:rPr>
        <w:t>projekt ustawy o zmianie ustawy – Kodeks postępowania cywilnego</w:t>
      </w:r>
      <w:r w:rsidRPr="00332E54">
        <w:rPr>
          <w:b/>
          <w:bCs/>
        </w:rPr>
        <w:t xml:space="preserve"> (druk</w:t>
      </w:r>
      <w:r w:rsidR="00E11261">
        <w:rPr>
          <w:b/>
          <w:bCs/>
        </w:rPr>
        <w:t> </w:t>
      </w:r>
      <w:r w:rsidRPr="00332E54">
        <w:rPr>
          <w:b/>
          <w:bCs/>
        </w:rPr>
        <w:t>nr</w:t>
      </w:r>
      <w:r w:rsidR="00E11261">
        <w:rPr>
          <w:b/>
          <w:bCs/>
        </w:rPr>
        <w:t> </w:t>
      </w:r>
      <w:r w:rsidRPr="00332E54">
        <w:rPr>
          <w:b/>
          <w:bCs/>
        </w:rPr>
        <w:t xml:space="preserve">1225). </w:t>
      </w:r>
    </w:p>
    <w:sectPr w:rsidR="005B324B" w:rsidRPr="009D680E" w:rsidSect="007346A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4BD10" w14:textId="77777777" w:rsidR="00C01D0C" w:rsidRDefault="00C01D0C" w:rsidP="00D27A6B">
      <w:pPr>
        <w:spacing w:after="0" w:line="240" w:lineRule="auto"/>
      </w:pPr>
      <w:r>
        <w:separator/>
      </w:r>
    </w:p>
  </w:endnote>
  <w:endnote w:type="continuationSeparator" w:id="0">
    <w:p w14:paraId="250166DD" w14:textId="77777777" w:rsidR="00C01D0C" w:rsidRDefault="00C01D0C" w:rsidP="00D27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836CF" w14:textId="77777777" w:rsidR="00D27A6B" w:rsidRDefault="00D27A6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1827330"/>
      <w:docPartObj>
        <w:docPartGallery w:val="Page Numbers (Bottom of Page)"/>
        <w:docPartUnique/>
      </w:docPartObj>
    </w:sdtPr>
    <w:sdtEndPr/>
    <w:sdtContent>
      <w:p w14:paraId="70F68B77" w14:textId="2B8566EF" w:rsidR="007346A5" w:rsidRDefault="007346A5">
        <w:pPr>
          <w:pStyle w:val="Stopka"/>
          <w:jc w:val="center"/>
        </w:pPr>
        <w:r>
          <w:fldChar w:fldCharType="begin"/>
        </w:r>
        <w:r>
          <w:instrText>PAGE   \* MERGEFORMAT</w:instrText>
        </w:r>
        <w:r>
          <w:fldChar w:fldCharType="separate"/>
        </w:r>
        <w:r w:rsidR="00813392">
          <w:rPr>
            <w:noProof/>
          </w:rPr>
          <w:t>4</w:t>
        </w:r>
        <w:r>
          <w:fldChar w:fldCharType="end"/>
        </w:r>
      </w:p>
    </w:sdtContent>
  </w:sdt>
  <w:p w14:paraId="3627C18C" w14:textId="77777777" w:rsidR="00D27A6B" w:rsidRDefault="00D27A6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631102"/>
      <w:docPartObj>
        <w:docPartGallery w:val="Page Numbers (Bottom of Page)"/>
        <w:docPartUnique/>
      </w:docPartObj>
    </w:sdtPr>
    <w:sdtEndPr/>
    <w:sdtContent>
      <w:p w14:paraId="1FEC930A" w14:textId="05B50E06" w:rsidR="00D27A6B" w:rsidRDefault="00C01D0C">
        <w:pPr>
          <w:pStyle w:val="Stopka"/>
          <w:jc w:val="center"/>
        </w:pPr>
      </w:p>
    </w:sdtContent>
  </w:sdt>
  <w:p w14:paraId="5B3F6C80" w14:textId="77777777" w:rsidR="00D27A6B" w:rsidRDefault="00D27A6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90661" w14:textId="77777777" w:rsidR="00C01D0C" w:rsidRDefault="00C01D0C" w:rsidP="00D27A6B">
      <w:pPr>
        <w:spacing w:after="0" w:line="240" w:lineRule="auto"/>
      </w:pPr>
      <w:r>
        <w:separator/>
      </w:r>
    </w:p>
  </w:footnote>
  <w:footnote w:type="continuationSeparator" w:id="0">
    <w:p w14:paraId="4C758943" w14:textId="77777777" w:rsidR="00C01D0C" w:rsidRDefault="00C01D0C" w:rsidP="00D27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B2CB8" w14:textId="77777777" w:rsidR="00D27A6B" w:rsidRDefault="00D27A6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5CD39" w14:textId="77777777" w:rsidR="00D27A6B" w:rsidRDefault="00D27A6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2F170" w14:textId="77777777" w:rsidR="00D27A6B" w:rsidRDefault="00D27A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81EFD"/>
    <w:multiLevelType w:val="hybridMultilevel"/>
    <w:tmpl w:val="59685D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C691F0E"/>
    <w:multiLevelType w:val="hybridMultilevel"/>
    <w:tmpl w:val="44D03644"/>
    <w:lvl w:ilvl="0" w:tplc="2702FBA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C7E"/>
    <w:rsid w:val="00001325"/>
    <w:rsid w:val="00007427"/>
    <w:rsid w:val="00015AE9"/>
    <w:rsid w:val="0001639D"/>
    <w:rsid w:val="00021EE8"/>
    <w:rsid w:val="00022AB9"/>
    <w:rsid w:val="00026FBE"/>
    <w:rsid w:val="00036740"/>
    <w:rsid w:val="000473A5"/>
    <w:rsid w:val="000715D0"/>
    <w:rsid w:val="0007797A"/>
    <w:rsid w:val="000814BA"/>
    <w:rsid w:val="000A24B3"/>
    <w:rsid w:val="000A64A5"/>
    <w:rsid w:val="000C3DE5"/>
    <w:rsid w:val="000D1413"/>
    <w:rsid w:val="000E1A9C"/>
    <w:rsid w:val="000F2F3B"/>
    <w:rsid w:val="001248DB"/>
    <w:rsid w:val="00126129"/>
    <w:rsid w:val="00132BDB"/>
    <w:rsid w:val="00133C6A"/>
    <w:rsid w:val="001364F0"/>
    <w:rsid w:val="00146837"/>
    <w:rsid w:val="00162520"/>
    <w:rsid w:val="00165A91"/>
    <w:rsid w:val="00166843"/>
    <w:rsid w:val="0017285B"/>
    <w:rsid w:val="0019766A"/>
    <w:rsid w:val="001A0060"/>
    <w:rsid w:val="001D25AD"/>
    <w:rsid w:val="001D28D1"/>
    <w:rsid w:val="001D42EE"/>
    <w:rsid w:val="001E07D3"/>
    <w:rsid w:val="001F1A06"/>
    <w:rsid w:val="001F3AFA"/>
    <w:rsid w:val="00202F87"/>
    <w:rsid w:val="00240624"/>
    <w:rsid w:val="00242991"/>
    <w:rsid w:val="00250BD2"/>
    <w:rsid w:val="00255844"/>
    <w:rsid w:val="002646A3"/>
    <w:rsid w:val="00270C74"/>
    <w:rsid w:val="00274B3B"/>
    <w:rsid w:val="00275358"/>
    <w:rsid w:val="002A406C"/>
    <w:rsid w:val="002C52DD"/>
    <w:rsid w:val="002D7837"/>
    <w:rsid w:val="002E5506"/>
    <w:rsid w:val="002E56C4"/>
    <w:rsid w:val="002E578C"/>
    <w:rsid w:val="002F2CF0"/>
    <w:rsid w:val="0030270F"/>
    <w:rsid w:val="00320E05"/>
    <w:rsid w:val="00326A25"/>
    <w:rsid w:val="00332C7A"/>
    <w:rsid w:val="00332E54"/>
    <w:rsid w:val="00340079"/>
    <w:rsid w:val="00371F2E"/>
    <w:rsid w:val="00372322"/>
    <w:rsid w:val="0038394C"/>
    <w:rsid w:val="003C28C9"/>
    <w:rsid w:val="003C35DE"/>
    <w:rsid w:val="003D52C6"/>
    <w:rsid w:val="003E1F7C"/>
    <w:rsid w:val="003F4F97"/>
    <w:rsid w:val="004025DA"/>
    <w:rsid w:val="00404CE8"/>
    <w:rsid w:val="0041230F"/>
    <w:rsid w:val="00417C68"/>
    <w:rsid w:val="0042139C"/>
    <w:rsid w:val="0044779F"/>
    <w:rsid w:val="00454370"/>
    <w:rsid w:val="00466023"/>
    <w:rsid w:val="00470B76"/>
    <w:rsid w:val="0047277B"/>
    <w:rsid w:val="00474729"/>
    <w:rsid w:val="0048022B"/>
    <w:rsid w:val="00493219"/>
    <w:rsid w:val="004A4276"/>
    <w:rsid w:val="004A773B"/>
    <w:rsid w:val="004B04AE"/>
    <w:rsid w:val="004C4458"/>
    <w:rsid w:val="004E1D3E"/>
    <w:rsid w:val="004E7BAC"/>
    <w:rsid w:val="004F2960"/>
    <w:rsid w:val="00503C76"/>
    <w:rsid w:val="005068CF"/>
    <w:rsid w:val="00517044"/>
    <w:rsid w:val="005253CC"/>
    <w:rsid w:val="0053188E"/>
    <w:rsid w:val="005323DA"/>
    <w:rsid w:val="00545AA0"/>
    <w:rsid w:val="005660CA"/>
    <w:rsid w:val="00567246"/>
    <w:rsid w:val="00575C30"/>
    <w:rsid w:val="005901E2"/>
    <w:rsid w:val="00594D80"/>
    <w:rsid w:val="005A33EE"/>
    <w:rsid w:val="005B324B"/>
    <w:rsid w:val="005E27A3"/>
    <w:rsid w:val="005F0620"/>
    <w:rsid w:val="005F0E09"/>
    <w:rsid w:val="005F7867"/>
    <w:rsid w:val="006254D6"/>
    <w:rsid w:val="0062666C"/>
    <w:rsid w:val="00642698"/>
    <w:rsid w:val="00656590"/>
    <w:rsid w:val="006578D0"/>
    <w:rsid w:val="00657934"/>
    <w:rsid w:val="00671E78"/>
    <w:rsid w:val="006A7312"/>
    <w:rsid w:val="006B1198"/>
    <w:rsid w:val="006B15F3"/>
    <w:rsid w:val="006B7A46"/>
    <w:rsid w:val="006B7CB4"/>
    <w:rsid w:val="006C34C6"/>
    <w:rsid w:val="006C397F"/>
    <w:rsid w:val="006D157F"/>
    <w:rsid w:val="006D579B"/>
    <w:rsid w:val="006E14FC"/>
    <w:rsid w:val="006E2920"/>
    <w:rsid w:val="006F4282"/>
    <w:rsid w:val="006F68C5"/>
    <w:rsid w:val="007008BC"/>
    <w:rsid w:val="00706B40"/>
    <w:rsid w:val="00711405"/>
    <w:rsid w:val="007249B2"/>
    <w:rsid w:val="00731642"/>
    <w:rsid w:val="007346A5"/>
    <w:rsid w:val="0074639E"/>
    <w:rsid w:val="00753692"/>
    <w:rsid w:val="00753EA0"/>
    <w:rsid w:val="007544AD"/>
    <w:rsid w:val="00754C3C"/>
    <w:rsid w:val="00754CD4"/>
    <w:rsid w:val="00781811"/>
    <w:rsid w:val="00796A5E"/>
    <w:rsid w:val="007B7777"/>
    <w:rsid w:val="007D2B2B"/>
    <w:rsid w:val="007D2CFD"/>
    <w:rsid w:val="007D3144"/>
    <w:rsid w:val="007E1640"/>
    <w:rsid w:val="007E1C92"/>
    <w:rsid w:val="007E3357"/>
    <w:rsid w:val="007E4B7B"/>
    <w:rsid w:val="007E537B"/>
    <w:rsid w:val="0080123F"/>
    <w:rsid w:val="008037FA"/>
    <w:rsid w:val="00806F07"/>
    <w:rsid w:val="00813392"/>
    <w:rsid w:val="00816E8B"/>
    <w:rsid w:val="0083573C"/>
    <w:rsid w:val="00843677"/>
    <w:rsid w:val="00853CAF"/>
    <w:rsid w:val="008638F8"/>
    <w:rsid w:val="00874100"/>
    <w:rsid w:val="00876DC0"/>
    <w:rsid w:val="00881098"/>
    <w:rsid w:val="0088635D"/>
    <w:rsid w:val="008A24FC"/>
    <w:rsid w:val="008A5856"/>
    <w:rsid w:val="008B73A4"/>
    <w:rsid w:val="008C15AA"/>
    <w:rsid w:val="008C3241"/>
    <w:rsid w:val="008F20C4"/>
    <w:rsid w:val="009064DA"/>
    <w:rsid w:val="009130A4"/>
    <w:rsid w:val="00950001"/>
    <w:rsid w:val="00975B5A"/>
    <w:rsid w:val="009769D0"/>
    <w:rsid w:val="00987F6C"/>
    <w:rsid w:val="00992759"/>
    <w:rsid w:val="009952BE"/>
    <w:rsid w:val="00997DBB"/>
    <w:rsid w:val="009A1ABA"/>
    <w:rsid w:val="009D680E"/>
    <w:rsid w:val="009D6FDA"/>
    <w:rsid w:val="009F06A9"/>
    <w:rsid w:val="009F3DD7"/>
    <w:rsid w:val="009F720B"/>
    <w:rsid w:val="00A1198F"/>
    <w:rsid w:val="00A17B16"/>
    <w:rsid w:val="00A21D5B"/>
    <w:rsid w:val="00A2290C"/>
    <w:rsid w:val="00A25C79"/>
    <w:rsid w:val="00A35754"/>
    <w:rsid w:val="00A35D9D"/>
    <w:rsid w:val="00A44C7E"/>
    <w:rsid w:val="00A457BD"/>
    <w:rsid w:val="00A518E2"/>
    <w:rsid w:val="00A55E2D"/>
    <w:rsid w:val="00A57872"/>
    <w:rsid w:val="00A65BBF"/>
    <w:rsid w:val="00A674E0"/>
    <w:rsid w:val="00A678E8"/>
    <w:rsid w:val="00A82E5E"/>
    <w:rsid w:val="00A912B0"/>
    <w:rsid w:val="00AA7058"/>
    <w:rsid w:val="00AB61AE"/>
    <w:rsid w:val="00AC0A0E"/>
    <w:rsid w:val="00AD6ABF"/>
    <w:rsid w:val="00AE592B"/>
    <w:rsid w:val="00AE6C81"/>
    <w:rsid w:val="00AF4032"/>
    <w:rsid w:val="00B02ED6"/>
    <w:rsid w:val="00B4541C"/>
    <w:rsid w:val="00B46562"/>
    <w:rsid w:val="00B5137E"/>
    <w:rsid w:val="00B719D1"/>
    <w:rsid w:val="00B829BB"/>
    <w:rsid w:val="00BA6159"/>
    <w:rsid w:val="00BA72FC"/>
    <w:rsid w:val="00BB4BE6"/>
    <w:rsid w:val="00BC7E66"/>
    <w:rsid w:val="00BD14D1"/>
    <w:rsid w:val="00BD587F"/>
    <w:rsid w:val="00BE06AC"/>
    <w:rsid w:val="00BE419F"/>
    <w:rsid w:val="00C014AA"/>
    <w:rsid w:val="00C01D0C"/>
    <w:rsid w:val="00C11B0E"/>
    <w:rsid w:val="00C1497E"/>
    <w:rsid w:val="00C22A16"/>
    <w:rsid w:val="00C24E04"/>
    <w:rsid w:val="00C275BC"/>
    <w:rsid w:val="00C41264"/>
    <w:rsid w:val="00C45089"/>
    <w:rsid w:val="00C6518E"/>
    <w:rsid w:val="00C6723B"/>
    <w:rsid w:val="00C73941"/>
    <w:rsid w:val="00C8687C"/>
    <w:rsid w:val="00CA029F"/>
    <w:rsid w:val="00CA498B"/>
    <w:rsid w:val="00CA7532"/>
    <w:rsid w:val="00CB40FF"/>
    <w:rsid w:val="00CC5D5A"/>
    <w:rsid w:val="00CE7A82"/>
    <w:rsid w:val="00CF1BD1"/>
    <w:rsid w:val="00D04E34"/>
    <w:rsid w:val="00D053A7"/>
    <w:rsid w:val="00D126DE"/>
    <w:rsid w:val="00D13DAB"/>
    <w:rsid w:val="00D20594"/>
    <w:rsid w:val="00D27A6B"/>
    <w:rsid w:val="00D61DD5"/>
    <w:rsid w:val="00D755FB"/>
    <w:rsid w:val="00D75CF2"/>
    <w:rsid w:val="00D7676C"/>
    <w:rsid w:val="00D77E0D"/>
    <w:rsid w:val="00D80574"/>
    <w:rsid w:val="00D84457"/>
    <w:rsid w:val="00D870DE"/>
    <w:rsid w:val="00D93143"/>
    <w:rsid w:val="00DA0ECE"/>
    <w:rsid w:val="00DA5945"/>
    <w:rsid w:val="00DB6B49"/>
    <w:rsid w:val="00DC491F"/>
    <w:rsid w:val="00DC6FB7"/>
    <w:rsid w:val="00DC7A64"/>
    <w:rsid w:val="00DD5146"/>
    <w:rsid w:val="00DF778C"/>
    <w:rsid w:val="00E00B44"/>
    <w:rsid w:val="00E02235"/>
    <w:rsid w:val="00E049A7"/>
    <w:rsid w:val="00E10FB2"/>
    <w:rsid w:val="00E11261"/>
    <w:rsid w:val="00E24557"/>
    <w:rsid w:val="00E25ABD"/>
    <w:rsid w:val="00E41730"/>
    <w:rsid w:val="00E440A5"/>
    <w:rsid w:val="00E46C72"/>
    <w:rsid w:val="00E54104"/>
    <w:rsid w:val="00E62957"/>
    <w:rsid w:val="00E755EB"/>
    <w:rsid w:val="00E84DCD"/>
    <w:rsid w:val="00E96655"/>
    <w:rsid w:val="00EA0438"/>
    <w:rsid w:val="00EA32D6"/>
    <w:rsid w:val="00EB683A"/>
    <w:rsid w:val="00EC207B"/>
    <w:rsid w:val="00EE5105"/>
    <w:rsid w:val="00F04CE9"/>
    <w:rsid w:val="00F134A4"/>
    <w:rsid w:val="00F21DE2"/>
    <w:rsid w:val="00F22033"/>
    <w:rsid w:val="00F34A20"/>
    <w:rsid w:val="00F43796"/>
    <w:rsid w:val="00F55655"/>
    <w:rsid w:val="00F85315"/>
    <w:rsid w:val="00F877E1"/>
    <w:rsid w:val="00F917B9"/>
    <w:rsid w:val="00FA3788"/>
    <w:rsid w:val="00FB6A82"/>
    <w:rsid w:val="00FB720B"/>
    <w:rsid w:val="00FD1060"/>
    <w:rsid w:val="00FD7C6E"/>
    <w:rsid w:val="00FE2BCD"/>
    <w:rsid w:val="00FF19DF"/>
    <w:rsid w:val="00FF2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BD628"/>
  <w15:chartTrackingRefBased/>
  <w15:docId w15:val="{AA6EDCB7-F7D8-499B-97E8-DB76927C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3A7"/>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44C7E"/>
    <w:pPr>
      <w:ind w:left="720"/>
      <w:contextualSpacing/>
    </w:pPr>
  </w:style>
  <w:style w:type="paragraph" w:styleId="Nagwek">
    <w:name w:val="header"/>
    <w:basedOn w:val="Normalny"/>
    <w:link w:val="NagwekZnak"/>
    <w:uiPriority w:val="99"/>
    <w:unhideWhenUsed/>
    <w:rsid w:val="00D27A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A6B"/>
    <w:rPr>
      <w:rFonts w:ascii="Times New Roman" w:hAnsi="Times New Roman"/>
      <w:sz w:val="24"/>
    </w:rPr>
  </w:style>
  <w:style w:type="paragraph" w:styleId="Stopka">
    <w:name w:val="footer"/>
    <w:basedOn w:val="Normalny"/>
    <w:link w:val="StopkaZnak"/>
    <w:uiPriority w:val="99"/>
    <w:unhideWhenUsed/>
    <w:rsid w:val="00D27A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A6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1146</Words>
  <Characters>6881</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Marczak Anna  (DLPC)</dc:creator>
  <cp:keywords/>
  <dc:description/>
  <cp:lastModifiedBy>Sabiniewicz Marcin</cp:lastModifiedBy>
  <cp:revision>19</cp:revision>
  <dcterms:created xsi:type="dcterms:W3CDTF">2021-08-23T14:42:00Z</dcterms:created>
  <dcterms:modified xsi:type="dcterms:W3CDTF">2021-08-23T19:06:00Z</dcterms:modified>
</cp:coreProperties>
</file>