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C0" w:rsidRDefault="009C47C0" w:rsidP="008F2494">
      <w:pPr>
        <w:pStyle w:val="OZNPROJEKTUwskazaniedatylubwersjiprojektu"/>
      </w:pPr>
      <w:r>
        <w:t>projekt</w:t>
      </w:r>
    </w:p>
    <w:p w:rsidR="009C47C0" w:rsidRPr="00E000DC" w:rsidRDefault="009C47C0" w:rsidP="008F2494">
      <w:pPr>
        <w:pStyle w:val="OZNRODZAKTUtznustawalubrozporzdzenieiorganwydajcy"/>
      </w:pPr>
      <w:r w:rsidRPr="004810D7">
        <w:t>ustawa</w:t>
      </w:r>
    </w:p>
    <w:p w:rsidR="009C47C0" w:rsidRDefault="009C47C0" w:rsidP="008F2494">
      <w:pPr>
        <w:pStyle w:val="DATAAKTUdatauchwalenialubwydaniaaktu"/>
      </w:pPr>
      <w:r w:rsidRPr="00E000DC">
        <w:t>z dnia</w:t>
      </w:r>
      <w:r>
        <w:t xml:space="preserve"> </w:t>
      </w:r>
    </w:p>
    <w:p w:rsidR="009C47C0" w:rsidRDefault="009C47C0" w:rsidP="008F2494">
      <w:pPr>
        <w:pStyle w:val="TYTUAKTUprzedmiotregulacjiustawylubrozporzdzenia"/>
      </w:pPr>
      <w:r>
        <w:t>o zmianie ustawy – Kodeks postępowania cywilnego</w:t>
      </w:r>
    </w:p>
    <w:p w:rsidR="009C47C0" w:rsidRPr="00960792" w:rsidRDefault="009C47C0" w:rsidP="008F2494">
      <w:pPr>
        <w:pStyle w:val="ARTartustawynprozporzdzenia"/>
      </w:pPr>
      <w:r w:rsidRPr="001474E9">
        <w:rPr>
          <w:rStyle w:val="Ppogrubienie"/>
        </w:rPr>
        <w:t>Art. 1.</w:t>
      </w:r>
      <w:r w:rsidRPr="00960792">
        <w:t xml:space="preserve"> W ustawie z dnia 17 listopada 1964 r. – Kodeks postępowania cywilnego (Dz. U. z 20</w:t>
      </w:r>
      <w:r>
        <w:t>20</w:t>
      </w:r>
      <w:r w:rsidRPr="00960792">
        <w:t xml:space="preserve"> r. poz. 1</w:t>
      </w:r>
      <w:r>
        <w:t>575, 1578 i 2320 oraz z 2021 r. poz. 11</w:t>
      </w:r>
      <w:r w:rsidRPr="00960792">
        <w:t>) wprowadza się następujące zmiany:</w:t>
      </w:r>
    </w:p>
    <w:p w:rsidR="009C47C0" w:rsidRDefault="009C47C0" w:rsidP="008F2494">
      <w:pPr>
        <w:pStyle w:val="PKTpunkt"/>
      </w:pPr>
      <w:r>
        <w:t>1)</w:t>
      </w:r>
      <w:r>
        <w:tab/>
        <w:t>po art. 829 dodaje się art. 829</w:t>
      </w:r>
      <w:r w:rsidRPr="0063328F">
        <w:rPr>
          <w:rStyle w:val="IGindeksgrny"/>
        </w:rPr>
        <w:t>1</w:t>
      </w:r>
      <w:r w:rsidRPr="00B103C9">
        <w:t>–</w:t>
      </w:r>
      <w:r w:rsidRPr="00A9348E">
        <w:t>829</w:t>
      </w:r>
      <w:r>
        <w:rPr>
          <w:rStyle w:val="IGindeksgrny"/>
        </w:rPr>
        <w:t>4</w:t>
      </w:r>
      <w:r>
        <w:t xml:space="preserve"> w brzmieniu:</w:t>
      </w:r>
    </w:p>
    <w:p w:rsidR="009C47C0" w:rsidRPr="00F3079E" w:rsidRDefault="009C47C0" w:rsidP="008F2494">
      <w:pPr>
        <w:pStyle w:val="ZARTzmartartykuempunktem"/>
      </w:pPr>
      <w:r>
        <w:t xml:space="preserve">„Art. </w:t>
      </w:r>
      <w:r w:rsidRPr="00A9348E">
        <w:t>829</w:t>
      </w:r>
      <w:r w:rsidRPr="00A9348E">
        <w:rPr>
          <w:rStyle w:val="IGindeksgrny"/>
        </w:rPr>
        <w:t>1</w:t>
      </w:r>
      <w:r>
        <w:t xml:space="preserve">. </w:t>
      </w:r>
      <w:r w:rsidRPr="0012014E">
        <w:t>Jeżeli zobowiązanym jest rolnik prowadzący gospodarstwo rolne, egzekucji nie podlegają również:</w:t>
      </w:r>
    </w:p>
    <w:p w:rsidR="009C47C0" w:rsidRPr="00F3079E" w:rsidRDefault="009C47C0" w:rsidP="008F2494">
      <w:pPr>
        <w:pStyle w:val="ZPKTzmpktartykuempunktem"/>
      </w:pPr>
      <w:r>
        <w:t>1)</w:t>
      </w:r>
      <w:r>
        <w:tab/>
      </w:r>
      <w:r w:rsidRPr="00F3079E">
        <w:t>stado podstawowe zwierząt gospodarskich:</w:t>
      </w:r>
    </w:p>
    <w:p w:rsidR="009C47C0" w:rsidRPr="00F3079E" w:rsidRDefault="009C47C0" w:rsidP="00A611CD">
      <w:pPr>
        <w:pStyle w:val="ZLITwPKTzmlitwpktartykuempunktem"/>
      </w:pPr>
      <w:r>
        <w:t>a)</w:t>
      </w:r>
      <w:r>
        <w:tab/>
      </w:r>
      <w:r w:rsidRPr="00F3079E">
        <w:t>bydła mlecznego,</w:t>
      </w:r>
    </w:p>
    <w:p w:rsidR="009C47C0" w:rsidRPr="00F3079E" w:rsidRDefault="009C47C0" w:rsidP="00A611CD">
      <w:pPr>
        <w:pStyle w:val="ZLITwPKTzmlitwpktartykuempunktem"/>
      </w:pPr>
      <w:r>
        <w:t>b)</w:t>
      </w:r>
      <w:r>
        <w:tab/>
      </w:r>
      <w:r w:rsidRPr="00F3079E">
        <w:t>bydła mięsnego,</w:t>
      </w:r>
    </w:p>
    <w:p w:rsidR="009C47C0" w:rsidRPr="00F3079E" w:rsidRDefault="009C47C0" w:rsidP="00A611CD">
      <w:pPr>
        <w:pStyle w:val="ZLITwPKTzmlitwpktartykuempunktem"/>
      </w:pPr>
      <w:r>
        <w:t>c)</w:t>
      </w:r>
      <w:r>
        <w:tab/>
      </w:r>
      <w:r w:rsidRPr="00F3079E">
        <w:t>koni,</w:t>
      </w:r>
    </w:p>
    <w:p w:rsidR="009C47C0" w:rsidRPr="00F3079E" w:rsidRDefault="009C47C0" w:rsidP="00A611CD">
      <w:pPr>
        <w:pStyle w:val="ZLITwPKTzmlitwpktartykuempunktem"/>
      </w:pPr>
      <w:r>
        <w:t>d)</w:t>
      </w:r>
      <w:r>
        <w:tab/>
      </w:r>
      <w:r w:rsidRPr="00F3079E">
        <w:t>kóz,</w:t>
      </w:r>
    </w:p>
    <w:p w:rsidR="009C47C0" w:rsidRPr="00F3079E" w:rsidRDefault="009C47C0" w:rsidP="00A611CD">
      <w:pPr>
        <w:pStyle w:val="ZLITwPKTzmlitwpktartykuempunktem"/>
      </w:pPr>
      <w:r>
        <w:t>e)</w:t>
      </w:r>
      <w:r>
        <w:tab/>
      </w:r>
      <w:r w:rsidRPr="00F3079E">
        <w:t>owiec,</w:t>
      </w:r>
    </w:p>
    <w:p w:rsidR="009C47C0" w:rsidRPr="00F3079E" w:rsidRDefault="009C47C0" w:rsidP="00A611CD">
      <w:pPr>
        <w:pStyle w:val="ZLITwPKTzmlitwpktartykuempunktem"/>
      </w:pPr>
      <w:r>
        <w:t>f)</w:t>
      </w:r>
      <w:r>
        <w:tab/>
      </w:r>
      <w:r w:rsidRPr="00F3079E">
        <w:t>świń,</w:t>
      </w:r>
    </w:p>
    <w:p w:rsidR="009C47C0" w:rsidRPr="00F3079E" w:rsidRDefault="009C47C0" w:rsidP="00A611CD">
      <w:pPr>
        <w:pStyle w:val="ZLITwPKTzmlitwpktartykuempunktem"/>
      </w:pPr>
      <w:r>
        <w:t>g)</w:t>
      </w:r>
      <w:r>
        <w:tab/>
      </w:r>
      <w:r w:rsidRPr="00F3079E">
        <w:t>drobiu,</w:t>
      </w:r>
    </w:p>
    <w:p w:rsidR="009C47C0" w:rsidRPr="00F3079E" w:rsidRDefault="009C47C0" w:rsidP="00A611CD">
      <w:pPr>
        <w:pStyle w:val="ZLITwPKTzmlitwpktartykuempunktem"/>
      </w:pPr>
      <w:r w:rsidRPr="00F3079E">
        <w:t>h)</w:t>
      </w:r>
      <w:r>
        <w:tab/>
      </w:r>
      <w:r w:rsidRPr="00F3079E">
        <w:t>zwierząt futerkowych,</w:t>
      </w:r>
    </w:p>
    <w:p w:rsidR="009C47C0" w:rsidRPr="00F3079E" w:rsidRDefault="009C47C0" w:rsidP="00A611CD">
      <w:pPr>
        <w:pStyle w:val="ZLITwPKTzmlitwpktartykuempunktem"/>
      </w:pPr>
      <w:r w:rsidRPr="00F3079E">
        <w:t>i)</w:t>
      </w:r>
      <w:r>
        <w:tab/>
      </w:r>
      <w:r w:rsidRPr="00F3079E">
        <w:t>innych gatunków, stanowiących podstawę produkcji zwierzęcej w gospodarstwie rolnym dłużnika;</w:t>
      </w:r>
    </w:p>
    <w:p w:rsidR="009C47C0" w:rsidRPr="00F3079E" w:rsidRDefault="009C47C0" w:rsidP="00254988">
      <w:pPr>
        <w:pStyle w:val="ZPKTzmpktartykuempunktem"/>
      </w:pPr>
      <w:r w:rsidRPr="00F3079E">
        <w:t>2)</w:t>
      </w:r>
      <w:r>
        <w:tab/>
      </w:r>
      <w:r w:rsidRPr="00F3079E">
        <w:t>zwierzęta gospodarskie, poza stadem podstawowym, w drugiej połowie okresu ciąży i w okresie odchowu potomstwa oraz</w:t>
      </w:r>
      <w:r>
        <w:t xml:space="preserve"> </w:t>
      </w:r>
      <w:r w:rsidRPr="00F3079E">
        <w:t>źrebięta do 6 miesięcy,</w:t>
      </w:r>
      <w:r>
        <w:t xml:space="preserve"> </w:t>
      </w:r>
      <w:r w:rsidRPr="00F3079E">
        <w:t>cielęta do 4 miesięcy,</w:t>
      </w:r>
      <w:r>
        <w:t xml:space="preserve"> </w:t>
      </w:r>
      <w:r w:rsidRPr="00F3079E">
        <w:t>jagnięta do 3 miesięcy,</w:t>
      </w:r>
      <w:r>
        <w:t xml:space="preserve"> </w:t>
      </w:r>
      <w:r w:rsidRPr="00F3079E">
        <w:t>prosięta do 2 miesięcy</w:t>
      </w:r>
      <w:r>
        <w:t xml:space="preserve"> i </w:t>
      </w:r>
      <w:r w:rsidRPr="00F3079E">
        <w:t>koźlęta do 5 miesięcy;</w:t>
      </w:r>
    </w:p>
    <w:p w:rsidR="009C47C0" w:rsidRPr="00F3079E" w:rsidRDefault="009C47C0" w:rsidP="008F2494">
      <w:pPr>
        <w:pStyle w:val="ZPKTzmpktartykuempunktem"/>
      </w:pPr>
      <w:r w:rsidRPr="00F3079E">
        <w:t>3)</w:t>
      </w:r>
      <w:r>
        <w:tab/>
      </w:r>
      <w:r w:rsidRPr="00F3079E">
        <w:t>stado użytkowe drobiu, co do którego zawarto umowę na dostawę ptaków z tego stada lub produktów pochodzących od tych ptaków;</w:t>
      </w:r>
    </w:p>
    <w:p w:rsidR="009C47C0" w:rsidRPr="00F3079E" w:rsidRDefault="009C47C0" w:rsidP="008F2494">
      <w:pPr>
        <w:pStyle w:val="ZPKTzmpktartykuempunktem"/>
      </w:pPr>
      <w:r w:rsidRPr="00F3079E">
        <w:t>4)</w:t>
      </w:r>
      <w:r>
        <w:tab/>
      </w:r>
      <w:r w:rsidRPr="00F3079E">
        <w:t>zwierzęta futerkowe, co do których hodowca zawarł umowę na dostawę skór tych zwierząt;</w:t>
      </w:r>
    </w:p>
    <w:p w:rsidR="009C47C0" w:rsidRPr="00F3079E" w:rsidRDefault="009C47C0" w:rsidP="008F2494">
      <w:pPr>
        <w:pStyle w:val="ZPKTzmpktartykuempunktem"/>
      </w:pPr>
      <w:r w:rsidRPr="00F3079E">
        <w:t>5)</w:t>
      </w:r>
      <w:r>
        <w:tab/>
      </w:r>
      <w:r w:rsidRPr="00F3079E">
        <w:t>rodziny pszczele pszczoły miodnej (Apis mellifera) wraz z zasiedlonymi przez te rodziny ulami;</w:t>
      </w:r>
    </w:p>
    <w:p w:rsidR="009C47C0" w:rsidRPr="00F3079E" w:rsidRDefault="009C47C0" w:rsidP="008F2494">
      <w:pPr>
        <w:pStyle w:val="ZPKTzmpktartykuempunktem"/>
      </w:pPr>
      <w:r w:rsidRPr="00F3079E">
        <w:t>6)</w:t>
      </w:r>
      <w:r>
        <w:tab/>
      </w:r>
      <w:r w:rsidRPr="00F3079E">
        <w:t xml:space="preserve">podstawowe maszyny, narzędzia i urządzenia rolnicze, w </w:t>
      </w:r>
      <w:r>
        <w:t>liczbie</w:t>
      </w:r>
      <w:r w:rsidRPr="00F3079E">
        <w:t xml:space="preserve"> niezbędnej do pracy w gospodarstwie, w tym ciągniki rolnicze z maszynami i sprzętem </w:t>
      </w:r>
      <w:r w:rsidRPr="00F3079E">
        <w:lastRenderedPageBreak/>
        <w:t>współpracującym, samobieżne maszyny rolnicze niezbędne do uprawy, pielęgnacji, zbioru i transportu ziemiopłodów;</w:t>
      </w:r>
    </w:p>
    <w:p w:rsidR="009C47C0" w:rsidRPr="00F3079E" w:rsidRDefault="009C47C0" w:rsidP="008F2494">
      <w:pPr>
        <w:pStyle w:val="ZPKTzmpktartykuempunktem"/>
      </w:pPr>
      <w:r w:rsidRPr="00F3079E">
        <w:t>7)</w:t>
      </w:r>
      <w:r>
        <w:tab/>
      </w:r>
      <w:r w:rsidRPr="00F3079E">
        <w:t>silosy na zboża i pasze;</w:t>
      </w:r>
    </w:p>
    <w:p w:rsidR="009C47C0" w:rsidRPr="00F3079E" w:rsidRDefault="009C47C0" w:rsidP="008F2494">
      <w:pPr>
        <w:pStyle w:val="ZPKTzmpktartykuempunktem"/>
      </w:pPr>
      <w:r w:rsidRPr="00F3079E">
        <w:t>8)</w:t>
      </w:r>
      <w:r>
        <w:tab/>
      </w:r>
      <w:r w:rsidRPr="00F3079E">
        <w:t>zapasy paliwa i części zamienne, niezbędne do normalnej pracy ciągnika i maszyn rolniczych, na okres niezbędny do zakończenia cyklu produkcyjnego;</w:t>
      </w:r>
    </w:p>
    <w:p w:rsidR="009C47C0" w:rsidRPr="00F3079E" w:rsidRDefault="009C47C0" w:rsidP="008F2494">
      <w:pPr>
        <w:pStyle w:val="ZPKTzmpktartykuempunktem"/>
      </w:pPr>
      <w:r w:rsidRPr="00F3079E">
        <w:t>9)</w:t>
      </w:r>
      <w:r>
        <w:tab/>
      </w:r>
      <w:r w:rsidRPr="00F3079E">
        <w:t>materiał siewny, zboże i inne ziemiopłody niezbędne do siewów lub sadzenia w</w:t>
      </w:r>
      <w:r>
        <w:t> </w:t>
      </w:r>
      <w:r w:rsidRPr="00F3079E">
        <w:t>gospodarstwie rolnym dłużnika, w ilości niezbędnej w danym roku gospodarczym;</w:t>
      </w:r>
    </w:p>
    <w:p w:rsidR="009C47C0" w:rsidRPr="00F3079E" w:rsidRDefault="009C47C0" w:rsidP="008F2494">
      <w:pPr>
        <w:pStyle w:val="ZPKTzmpktartykuempunktem"/>
      </w:pPr>
      <w:r w:rsidRPr="00F3079E">
        <w:t>10)</w:t>
      </w:r>
      <w:r>
        <w:tab/>
      </w:r>
      <w:r w:rsidRPr="00F3079E">
        <w:t>zapasy opału na okres 6 miesięcy;</w:t>
      </w:r>
    </w:p>
    <w:p w:rsidR="009C47C0" w:rsidRPr="00F3079E" w:rsidRDefault="009C47C0" w:rsidP="008F2494">
      <w:pPr>
        <w:pStyle w:val="ZPKTzmpktartykuempunktem"/>
      </w:pPr>
      <w:r w:rsidRPr="00F3079E">
        <w:t>11)</w:t>
      </w:r>
      <w:r>
        <w:tab/>
      </w:r>
      <w:r w:rsidRPr="00F3079E">
        <w:t>nawozy, środki ochrony roślin oraz środki wspomagające uprawę roślin, w ilości niezbędnej na dany rok gospodarczy dla gospodarstwa rolnego dłużnika;</w:t>
      </w:r>
    </w:p>
    <w:p w:rsidR="009C47C0" w:rsidRPr="00F3079E" w:rsidRDefault="009C47C0" w:rsidP="008F2494">
      <w:pPr>
        <w:pStyle w:val="ZPKTzmpktartykuempunktem"/>
      </w:pPr>
      <w:r>
        <w:t>12)</w:t>
      </w:r>
      <w:r>
        <w:tab/>
      </w:r>
      <w:r w:rsidRPr="00F3079E">
        <w:t>zapasy paszy i ściółki dla inwentarza wymienionego w pkt 1</w:t>
      </w:r>
      <w:r w:rsidRPr="008738D0">
        <w:t>–</w:t>
      </w:r>
      <w:r w:rsidRPr="00F3079E">
        <w:t>4, do najbliższych zbiorów;</w:t>
      </w:r>
    </w:p>
    <w:p w:rsidR="009C47C0" w:rsidRPr="00F3079E" w:rsidRDefault="009C47C0" w:rsidP="008F2494">
      <w:pPr>
        <w:pStyle w:val="ZPKTzmpktartykuempunktem"/>
      </w:pPr>
      <w:r w:rsidRPr="00F3079E">
        <w:t>13)</w:t>
      </w:r>
      <w:r>
        <w:tab/>
      </w:r>
      <w:r w:rsidRPr="00F3079E">
        <w:t>podstawowy sprzęt techniczny, niezbędny do zakończenia cyklu danej technologii produkcji w przypadku gospodarstwa specjalistycznego;</w:t>
      </w:r>
    </w:p>
    <w:p w:rsidR="009C47C0" w:rsidRPr="00F3079E" w:rsidRDefault="009C47C0" w:rsidP="008F2494">
      <w:pPr>
        <w:pStyle w:val="ZPKTzmpktartykuempunktem"/>
      </w:pPr>
      <w:r w:rsidRPr="00F3079E">
        <w:t>14)</w:t>
      </w:r>
      <w:r>
        <w:tab/>
      </w:r>
      <w:r w:rsidRPr="00F3079E">
        <w:t>zaliczki na poczet dostaw produktów rolnych;</w:t>
      </w:r>
    </w:p>
    <w:p w:rsidR="009C47C0" w:rsidRPr="00F3079E" w:rsidRDefault="009C47C0" w:rsidP="008F2494">
      <w:pPr>
        <w:pStyle w:val="ZPKTzmpktartykuempunktem"/>
      </w:pPr>
      <w:r w:rsidRPr="00F3079E">
        <w:t>15)</w:t>
      </w:r>
      <w:r>
        <w:tab/>
      </w:r>
      <w:r w:rsidRPr="00F3079E">
        <w:t>budynki gospodarcze i grunty rolne, niezbędne do hodowli zwierząt w proporcji uzależnionej od wielkości stada podstawowego i niezbędnej nadwyżki inwentarza;</w:t>
      </w:r>
    </w:p>
    <w:p w:rsidR="009C47C0" w:rsidRDefault="009C47C0" w:rsidP="008F2494">
      <w:pPr>
        <w:pStyle w:val="ZPKTzmpktartykuempunktem"/>
      </w:pPr>
      <w:r w:rsidRPr="00F3079E">
        <w:t>16)</w:t>
      </w:r>
      <w:r>
        <w:tab/>
      </w:r>
      <w:r w:rsidRPr="00F3079E">
        <w:t>budynki gospodarcze magazynowe, składowe, przechowalnie oraz szklarnie, tunele foliowe i inspekty do prowadzenia produkcji roślinnej w gospodarstwie rolnym wraz z wyposażeniem.</w:t>
      </w:r>
    </w:p>
    <w:p w:rsidR="009C47C0" w:rsidRPr="008738D0" w:rsidRDefault="009C47C0" w:rsidP="008F2494">
      <w:pPr>
        <w:pStyle w:val="ZARTzmartartykuempunktem"/>
      </w:pPr>
      <w:r w:rsidRPr="00960792">
        <w:t>Art. 829</w:t>
      </w:r>
      <w:r w:rsidRPr="00EF460D">
        <w:rPr>
          <w:rStyle w:val="IGindeksgrny"/>
        </w:rPr>
        <w:t>2</w:t>
      </w:r>
      <w:r w:rsidRPr="00960792">
        <w:t>. § 1</w:t>
      </w:r>
      <w:r w:rsidRPr="008738D0">
        <w:t>. Niezależnie od wyłączeń, o których mowa w art. 829</w:t>
      </w:r>
      <w:r w:rsidRPr="008738D0">
        <w:rPr>
          <w:rStyle w:val="IGindeksgrny"/>
        </w:rPr>
        <w:t>1</w:t>
      </w:r>
      <w:r w:rsidRPr="008738D0">
        <w:t>, egzekucji nie podlegają nadwyżka inwentarza żywego ponad stado</w:t>
      </w:r>
      <w:r>
        <w:t xml:space="preserve"> podstawowe oraz przedmioty, o </w:t>
      </w:r>
      <w:r w:rsidRPr="008738D0">
        <w:t>których mowa w art. 829</w:t>
      </w:r>
      <w:r w:rsidRPr="008738D0">
        <w:rPr>
          <w:rStyle w:val="IGindeksgrny"/>
        </w:rPr>
        <w:t>1</w:t>
      </w:r>
      <w:r w:rsidRPr="008738D0">
        <w:t xml:space="preserve"> pkt 6, 8, 9, 11–13 i 15, ponad ilości wymienione w </w:t>
      </w:r>
      <w:r>
        <w:t>tych przepisach</w:t>
      </w:r>
      <w:r w:rsidRPr="008738D0">
        <w:t>, jeżeli komornik, po zasięgnięciu opinii izby rolniczej właściwej ze względu na położenie gospodarstwa rolnego dłużnika, uzna je za niezbędne do prowadzenia tego gospodarstwa.</w:t>
      </w:r>
    </w:p>
    <w:p w:rsidR="009C47C0" w:rsidRPr="008738D0" w:rsidRDefault="009C47C0" w:rsidP="008F2494">
      <w:pPr>
        <w:pStyle w:val="ZUSTzmustartykuempunktem"/>
      </w:pPr>
      <w:r w:rsidRPr="008738D0">
        <w:t>§ 2. Komornik, w terminie 3 dni po dokonaniu zajęcia, występuje do izby rolniczej, właściwej ze względu na położenie gospodarstwa rolnego dłużnika, z wnioskiem o</w:t>
      </w:r>
      <w:r>
        <w:t> </w:t>
      </w:r>
      <w:r w:rsidRPr="008738D0">
        <w:t xml:space="preserve">wydanie, w terminie </w:t>
      </w:r>
      <w:r>
        <w:t>21</w:t>
      </w:r>
      <w:r w:rsidRPr="008738D0">
        <w:t xml:space="preserve"> dni, opinii, o której mowa w § 1. Do czasu wydania opinii komornik wstrzymuje się z dokonaniem czynności egzekucyjnych dotyczących nadwyżki inwentarza oraz przedmiotów, o których mowa w art. 829</w:t>
      </w:r>
      <w:r w:rsidRPr="008738D0">
        <w:rPr>
          <w:rStyle w:val="IGindeksgrny"/>
        </w:rPr>
        <w:t>1</w:t>
      </w:r>
      <w:r w:rsidRPr="008738D0">
        <w:t xml:space="preserve"> pkt 6, 8, 9, 11–</w:t>
      </w:r>
      <w:r>
        <w:t>13 i </w:t>
      </w:r>
      <w:r w:rsidRPr="008738D0">
        <w:t>15.</w:t>
      </w:r>
    </w:p>
    <w:p w:rsidR="009C47C0" w:rsidRPr="008738D0" w:rsidRDefault="009C47C0" w:rsidP="008F2494">
      <w:pPr>
        <w:pStyle w:val="ZUSTzmustartykuempunktem"/>
      </w:pPr>
      <w:r w:rsidRPr="008738D0">
        <w:lastRenderedPageBreak/>
        <w:t>§ 3. W razie uznania nadwyżki inwentarza żywego oraz przedmiotów, o których mowa w art. 829</w:t>
      </w:r>
      <w:r w:rsidRPr="008738D0">
        <w:rPr>
          <w:rStyle w:val="IGindeksgrny"/>
        </w:rPr>
        <w:t>1</w:t>
      </w:r>
      <w:r w:rsidRPr="008738D0">
        <w:t xml:space="preserve"> pkt 6, 8, 9, 11–13 i 15, za niezbędne do prowadzenia gospodarstwa rolnego, komornik umarza postępowanie egzekucyjne w tym zakresie.</w:t>
      </w:r>
    </w:p>
    <w:p w:rsidR="009C47C0" w:rsidRPr="008738D0" w:rsidRDefault="009C47C0" w:rsidP="008F2494">
      <w:pPr>
        <w:pStyle w:val="ZARTzmartartykuempunktem"/>
      </w:pPr>
      <w:r w:rsidRPr="008738D0">
        <w:t>Art. 829</w:t>
      </w:r>
      <w:r w:rsidRPr="00691C34">
        <w:rPr>
          <w:rStyle w:val="IGindeksgrny"/>
        </w:rPr>
        <w:t>3</w:t>
      </w:r>
      <w:r w:rsidRPr="008738D0">
        <w:t xml:space="preserve">. Zajęte zwierzęta </w:t>
      </w:r>
      <w:r w:rsidRPr="005D73FB">
        <w:t xml:space="preserve">hodowlane w rozumieniu </w:t>
      </w:r>
      <w:r>
        <w:t xml:space="preserve">przepisów ustawy z dnia 10 grudnia 2020 r. o </w:t>
      </w:r>
      <w:r w:rsidRPr="005D73FB">
        <w:t>organizacji hodowli i rozrodzie zwierząt gospodarskich</w:t>
      </w:r>
      <w:r>
        <w:t xml:space="preserve"> (Dz. U. z 2021 r. poz. 36)</w:t>
      </w:r>
      <w:r w:rsidRPr="008738D0">
        <w:t xml:space="preserve"> wyłącza się spod egzekucji, jeżeli nie mogą być sprzedane osobie, która wykaże, że posiada gospodarstwo rolne, w którym istnieją warunki do dalszej hodowli tych zwierząt.</w:t>
      </w:r>
    </w:p>
    <w:p w:rsidR="009C47C0" w:rsidRPr="008738D0" w:rsidRDefault="009C47C0" w:rsidP="008F2494">
      <w:pPr>
        <w:pStyle w:val="ZARTzmartartykuempunktem"/>
      </w:pPr>
      <w:r w:rsidRPr="008738D0">
        <w:t>Art. 829</w:t>
      </w:r>
      <w:r w:rsidRPr="00691C34">
        <w:rPr>
          <w:rStyle w:val="IGindeksgrny"/>
        </w:rPr>
        <w:t>4</w:t>
      </w:r>
      <w:r w:rsidRPr="008738D0">
        <w:t>. § 1. W sprawach o egzekucję alimentów lub renty mającej charakter alimentów, jak również w sprawach o egzekucję należności powstałych w związku z</w:t>
      </w:r>
      <w:r>
        <w:t> </w:t>
      </w:r>
      <w:r w:rsidRPr="008738D0">
        <w:t>pracą zarobkową, wykonywaną w gospodarstwie rolnym dłużnika, nie stosuje się przepisów art. 829</w:t>
      </w:r>
      <w:r w:rsidRPr="008738D0">
        <w:rPr>
          <w:rStyle w:val="IGindeksgrny"/>
        </w:rPr>
        <w:t>1</w:t>
      </w:r>
      <w:r w:rsidRPr="008738D0">
        <w:t xml:space="preserve"> pkt 1, 3–5 i 14 oraz art. 829</w:t>
      </w:r>
      <w:r w:rsidRPr="008738D0">
        <w:rPr>
          <w:rStyle w:val="IGindeksgrny"/>
        </w:rPr>
        <w:t>2</w:t>
      </w:r>
      <w:r w:rsidRPr="008738D0">
        <w:t>.</w:t>
      </w:r>
    </w:p>
    <w:p w:rsidR="009C47C0" w:rsidRDefault="009C47C0" w:rsidP="00153781">
      <w:pPr>
        <w:pStyle w:val="ZUSTzmustartykuempunktem"/>
      </w:pPr>
      <w:r w:rsidRPr="008738D0">
        <w:t>§ 2. Przepisu § 1 nie stosuje się do egzekucji świadczeń zaległych za okres dłuższy niż 6 miesięcy. Jeżeli jednak w toku egzekucji doszło do sprzedaży rzeczy ruchomej albo przejęcia jej na własność prze</w:t>
      </w:r>
      <w:r w:rsidRPr="00F3079E">
        <w:t>z wierzyciela, a rzecz sprzedana lub przejęta przekracza wartość świadczeń za okres do 6 miesięcy, nadwyżkę zalicza się na poczet pozostałych świadczeń.</w:t>
      </w:r>
      <w:r>
        <w:t>”;</w:t>
      </w:r>
    </w:p>
    <w:p w:rsidR="009C47C0" w:rsidRDefault="009C47C0" w:rsidP="008F2494">
      <w:pPr>
        <w:pStyle w:val="PKTpunkt"/>
      </w:pPr>
      <w:r>
        <w:t>2)</w:t>
      </w:r>
      <w:r>
        <w:tab/>
      </w:r>
      <w:r w:rsidRPr="00DF4B12">
        <w:t>uchyla</w:t>
      </w:r>
      <w:r>
        <w:t xml:space="preserve"> się art. 830.</w:t>
      </w:r>
    </w:p>
    <w:p w:rsidR="009C47C0" w:rsidRDefault="009C47C0" w:rsidP="00691C34">
      <w:pPr>
        <w:pStyle w:val="ARTartustawynprozporzdzenia"/>
      </w:pPr>
      <w:r w:rsidRPr="006443F8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6443F8">
        <w:rPr>
          <w:rStyle w:val="Ppogrubienie"/>
        </w:rPr>
        <w:t>.</w:t>
      </w:r>
      <w:r w:rsidRPr="00691C34">
        <w:t xml:space="preserve"> </w:t>
      </w:r>
      <w:r w:rsidRPr="00411C10">
        <w:t>Do postępowań egzekucyjnych wszczętych i niezakończonych przed dniem wejścia w życie niniejsze</w:t>
      </w:r>
      <w:r>
        <w:t>j</w:t>
      </w:r>
      <w:r w:rsidRPr="00411C10">
        <w:t xml:space="preserve"> </w:t>
      </w:r>
      <w:r>
        <w:t>ustawy</w:t>
      </w:r>
      <w:r w:rsidRPr="00411C10">
        <w:t xml:space="preserve"> stosuje się przepisy </w:t>
      </w:r>
      <w:r>
        <w:t>dotychczasowe</w:t>
      </w:r>
      <w:r w:rsidRPr="00411C10">
        <w:t>.</w:t>
      </w:r>
    </w:p>
    <w:p w:rsidR="009C47C0" w:rsidRPr="004810D7" w:rsidRDefault="009C47C0" w:rsidP="00691C34">
      <w:pPr>
        <w:pStyle w:val="ARTartustawynprozporzdzenia"/>
      </w:pPr>
      <w:r w:rsidRPr="00411C10">
        <w:rPr>
          <w:rStyle w:val="Ppogrubienie"/>
        </w:rPr>
        <w:t>Art. 3.</w:t>
      </w:r>
      <w:r>
        <w:t xml:space="preserve"> </w:t>
      </w:r>
      <w:r w:rsidRPr="00691C34">
        <w:t>Ustawa wchodzi w życie po upływie 14 dni od dnia ogłoszenia.</w:t>
      </w:r>
    </w:p>
    <w:p w:rsidR="00C70646" w:rsidRPr="009C47C0" w:rsidRDefault="00C70646" w:rsidP="00E061D9">
      <w:pPr>
        <w:keepNext/>
        <w:widowControl/>
        <w:suppressAutoHyphens/>
        <w:autoSpaceDE/>
        <w:autoSpaceDN/>
        <w:adjustRightInd/>
        <w:spacing w:after="120"/>
        <w:jc w:val="center"/>
      </w:pPr>
      <w:bookmarkStart w:id="0" w:name="_GoBack"/>
      <w:bookmarkEnd w:id="0"/>
    </w:p>
    <w:sectPr w:rsidR="00C70646" w:rsidRPr="009C47C0" w:rsidSect="009C47C0">
      <w:headerReference w:type="default" r:id="rId7"/>
      <w:pgSz w:w="11906" w:h="16838"/>
      <w:pgMar w:top="1418" w:right="1418" w:bottom="1418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A6" w:rsidRDefault="006A6FA6">
      <w:r>
        <w:separator/>
      </w:r>
    </w:p>
  </w:endnote>
  <w:endnote w:type="continuationSeparator" w:id="0">
    <w:p w:rsidR="006A6FA6" w:rsidRDefault="006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A6" w:rsidRDefault="006A6FA6">
      <w:r>
        <w:separator/>
      </w:r>
    </w:p>
  </w:footnote>
  <w:footnote w:type="continuationSeparator" w:id="0">
    <w:p w:rsidR="006A6FA6" w:rsidRDefault="006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C0" w:rsidRPr="00B371CC" w:rsidRDefault="009C47C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061D9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6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A6FA6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47C0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596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35C2"/>
    <w:rsid w:val="00B55544"/>
    <w:rsid w:val="00B642FC"/>
    <w:rsid w:val="00B64D4B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061D9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D517CE-B212-433C-B5A1-9D5514BA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9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3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C5596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9C47C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C47C0"/>
    <w:rPr>
      <w:b/>
    </w:rPr>
  </w:style>
  <w:style w:type="character" w:customStyle="1" w:styleId="wyrokwyroktk">
    <w:name w:val="wyrok_wyroktk"/>
    <w:basedOn w:val="Domylnaczcionkaakapitu"/>
    <w:rsid w:val="009C47C0"/>
  </w:style>
  <w:style w:type="character" w:customStyle="1" w:styleId="highlight">
    <w:name w:val="highlight"/>
    <w:basedOn w:val="Domylnaczcionkaakapitu"/>
    <w:rsid w:val="009C47C0"/>
  </w:style>
  <w:style w:type="character" w:customStyle="1" w:styleId="luchili">
    <w:name w:val="luc_hili"/>
    <w:basedOn w:val="Domylnaczcionkaakapitu"/>
    <w:rsid w:val="009C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12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Adam O.</dc:creator>
  <cp:lastModifiedBy>Grzegorz Molesztak</cp:lastModifiedBy>
  <cp:revision>4</cp:revision>
  <cp:lastPrinted>2021-05-14T10:10:00Z</cp:lastPrinted>
  <dcterms:created xsi:type="dcterms:W3CDTF">2021-05-14T06:48:00Z</dcterms:created>
  <dcterms:modified xsi:type="dcterms:W3CDTF">2021-05-28T12:23:00Z</dcterms:modified>
</cp:coreProperties>
</file>