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C0" w:rsidRPr="004810D7" w:rsidRDefault="009C47C0" w:rsidP="00691C34">
      <w:pPr>
        <w:pStyle w:val="ARTartustawynprozporzdzenia"/>
      </w:pPr>
      <w:bookmarkStart w:id="0" w:name="_GoBack"/>
      <w:bookmarkEnd w:id="0"/>
    </w:p>
    <w:p w:rsidR="009C47C0" w:rsidRPr="009C47C0" w:rsidRDefault="009C47C0" w:rsidP="009C47C0">
      <w:pPr>
        <w:keepNext/>
        <w:widowControl/>
        <w:suppressAutoHyphens/>
        <w:autoSpaceDE/>
        <w:autoSpaceDN/>
        <w:adjustRightInd/>
        <w:spacing w:after="120"/>
        <w:jc w:val="center"/>
        <w:rPr>
          <w:rFonts w:ascii="Times" w:eastAsiaTheme="minorHAnsi" w:hAnsi="Times" w:cs="Times New Roman"/>
          <w:b/>
          <w:bCs/>
          <w:caps/>
          <w:spacing w:val="54"/>
          <w:kern w:val="24"/>
          <w:szCs w:val="24"/>
          <w:lang w:eastAsia="en-US"/>
        </w:rPr>
      </w:pPr>
      <w:r w:rsidRPr="009C47C0">
        <w:rPr>
          <w:rFonts w:ascii="Times" w:eastAsiaTheme="minorHAnsi" w:hAnsi="Times" w:cs="Times New Roman"/>
          <w:b/>
          <w:bCs/>
          <w:caps/>
          <w:spacing w:val="54"/>
          <w:kern w:val="24"/>
          <w:szCs w:val="24"/>
          <w:lang w:eastAsia="en-US"/>
        </w:rPr>
        <w:t>UZASADNIENIE</w:t>
      </w:r>
    </w:p>
    <w:p w:rsidR="009C47C0" w:rsidRPr="009C47C0" w:rsidRDefault="009C47C0" w:rsidP="009C47C0"/>
    <w:p w:rsidR="009C47C0" w:rsidRPr="009C47C0" w:rsidRDefault="009C47C0" w:rsidP="009C47C0">
      <w:pPr>
        <w:widowControl/>
        <w:autoSpaceDE/>
        <w:autoSpaceDN/>
        <w:adjustRightInd/>
        <w:ind w:left="510" w:hanging="510"/>
        <w:rPr>
          <w:rFonts w:ascii="Times" w:hAnsi="Times"/>
          <w:b/>
          <w:bCs/>
          <w:lang w:eastAsia="en-US"/>
        </w:rPr>
      </w:pPr>
      <w:r w:rsidRPr="009C47C0">
        <w:rPr>
          <w:rFonts w:ascii="Times" w:hAnsi="Times"/>
          <w:b/>
          <w:bCs/>
          <w:lang w:eastAsia="en-US"/>
        </w:rPr>
        <w:t>1.</w:t>
      </w:r>
      <w:r w:rsidRPr="009C47C0">
        <w:rPr>
          <w:rFonts w:ascii="Times" w:hAnsi="Times"/>
          <w:b/>
          <w:bCs/>
          <w:lang w:eastAsia="en-US"/>
        </w:rPr>
        <w:tab/>
        <w:t>Cel projektowanej ustawy</w:t>
      </w:r>
    </w:p>
    <w:p w:rsidR="009C47C0" w:rsidRPr="009C47C0" w:rsidRDefault="009C47C0" w:rsidP="009C47C0">
      <w:pPr>
        <w:spacing w:before="120"/>
        <w:ind w:firstLine="510"/>
      </w:pPr>
      <w:r w:rsidRPr="009C47C0">
        <w:t>Przedkładany projekt ustawy o zmianie ustawy – Kodeks postępowania cywilnego jest inspirowany postulatem zawartym w indywidualnej petycji wniesionej do Senatu, oznaczonej nr P9-43/19.</w:t>
      </w:r>
    </w:p>
    <w:p w:rsidR="009C47C0" w:rsidRPr="009C47C0" w:rsidRDefault="009C47C0" w:rsidP="009C47C0">
      <w:pPr>
        <w:ind w:firstLine="510"/>
      </w:pPr>
      <w:r w:rsidRPr="009C47C0">
        <w:t xml:space="preserve">Autor petycji wystąpił z propozycją nowelizacji ustawy z dnia 17 listopada 1964 r. – Kodeks postępowania cywilnego (dalej jako k.p.c.). Jego zdaniem, określenie zwierząt oraz </w:t>
      </w:r>
      <w:r w:rsidRPr="009C47C0">
        <w:rPr>
          <w:spacing w:val="-3"/>
        </w:rPr>
        <w:t>przedmiotów należących do rolnika prowadzącego gospodarstwo, które nie podlegają egzekucji,</w:t>
      </w:r>
      <w:r w:rsidRPr="009C47C0">
        <w:t xml:space="preserve"> </w:t>
      </w:r>
      <w:r w:rsidRPr="009C47C0">
        <w:rPr>
          <w:spacing w:val="-2"/>
        </w:rPr>
        <w:t xml:space="preserve">stanowi materię ustawową. Tymczasem aktualnie problematyka ta jest normowana wyłącznie </w:t>
      </w:r>
      <w:r w:rsidRPr="009C47C0">
        <w:rPr>
          <w:spacing w:val="-3"/>
        </w:rPr>
        <w:t>przepisami rozporządzenia Ministra Sprawiedliwości z dnia 5 lipca 2017 r. w sprawie określenia</w:t>
      </w:r>
      <w:r w:rsidRPr="009C47C0">
        <w:t xml:space="preserve"> </w:t>
      </w:r>
      <w:r w:rsidRPr="009C47C0">
        <w:rPr>
          <w:spacing w:val="-2"/>
        </w:rPr>
        <w:t>przedmiotów należących do rolnika prowadzącego gospodarstwo, które nie podlegają egzekucji</w:t>
      </w:r>
      <w:r w:rsidRPr="009C47C0">
        <w:t xml:space="preserve"> (Dz. U. poz. 1385). Zdaniem autora petycji, nowe przepisy powinny być wzorowane na art. 8a ustawy z dnia 17 czerwca 1966 r. o postępowaniu egzekucyjnym w administracji (Dz.U. z 2019 r. poz. 1438, z późn. zm.).</w:t>
      </w:r>
    </w:p>
    <w:p w:rsidR="009C47C0" w:rsidRPr="009C47C0" w:rsidRDefault="009C47C0" w:rsidP="009C47C0">
      <w:pPr>
        <w:ind w:firstLine="510"/>
      </w:pPr>
      <w:r w:rsidRPr="009C47C0">
        <w:t xml:space="preserve">Argumenty przedstawione w uzasadnieniu petycji należy, co do zasady, uznać za trafne. </w:t>
      </w:r>
      <w:r w:rsidRPr="009C47C0">
        <w:rPr>
          <w:spacing w:val="-5"/>
        </w:rPr>
        <w:t>W szczególności trzeba zgodzić się z poglądem, iż w świetle wymogów konstytucyjnych wszelkie</w:t>
      </w:r>
      <w:r w:rsidRPr="009C47C0">
        <w:t xml:space="preserve"> </w:t>
      </w:r>
      <w:r w:rsidRPr="009C47C0">
        <w:rPr>
          <w:spacing w:val="-2"/>
        </w:rPr>
        <w:t>wyłączenia spod egzekucji dotyczące zwierząt i rzeczy ruchomych potrzebnych do prowadzenia</w:t>
      </w:r>
      <w:r w:rsidRPr="009C47C0">
        <w:t xml:space="preserve"> </w:t>
      </w:r>
      <w:r w:rsidRPr="009C47C0">
        <w:rPr>
          <w:spacing w:val="-2"/>
        </w:rPr>
        <w:t>gospodarstwa rolnego muszą być regulowane na poziomie ustawowym. Po pierwsze, nie ulega</w:t>
      </w:r>
      <w:r w:rsidRPr="009C47C0">
        <w:t xml:space="preserve"> </w:t>
      </w:r>
      <w:r w:rsidRPr="009C47C0">
        <w:rPr>
          <w:spacing w:val="-3"/>
        </w:rPr>
        <w:t>wątpliwości, iż rozporządzenie jest aktem normatywnym, który może służyć jedynie wykonaniu</w:t>
      </w:r>
      <w:r w:rsidRPr="009C47C0">
        <w:t xml:space="preserve"> ustawy, a nie ją zastępować, uzupełniać bądź też modyfikować przyjęte w niej rozwiązania. Jak wynika z bogatego orzecznictwa Trybunału Konstytucyjnego poświęconego zagadnieniu relacji między ustawą a rozporządzeniem, udzielenie przez ustawodawcę upoważnienia do wydania rozporządzenia może odnosić się tylko do „</w:t>
      </w:r>
      <w:r w:rsidRPr="009C47C0">
        <w:rPr>
          <w:i/>
        </w:rPr>
        <w:t>spraw rodzajowo jednorodnych z tymi, które reguluje ustawa, lecz które nie mają zasadniczego znaczenia z punktu widzenia założeń ustawy i dlatego nie zostały unormowane w niej wyczerpująco, a są niezbędne do realizacji norm ustawy</w:t>
      </w:r>
      <w:r w:rsidRPr="009C47C0">
        <w:t xml:space="preserve">” (tak już w orzeczeniu z dnia 22 kwietnia 1987 r., sygn. K 1/87, które nadal pozostaje w pełni aktualne). Art. 92 ust. 1 Konstytucji przesądza poza tym, że upoważnienie do wydania rozporządzenia ma określać organ właściwy, zakres spraw przekazanych do uregulowania oraz wytyczne dotyczące treści aktu. Stopień precyzji </w:t>
      </w:r>
      <w:r w:rsidRPr="009C47C0">
        <w:rPr>
          <w:spacing w:val="-3"/>
        </w:rPr>
        <w:t xml:space="preserve">wymagany przez ustawę zasadniczą wyklucza zatem tzw. upoważnienia blankietowe tudzież </w:t>
      </w:r>
      <w:r w:rsidRPr="009C47C0">
        <w:rPr>
          <w:spacing w:val="-2"/>
        </w:rPr>
        <w:t>niekompletne. Przepisy upoważniające obarczone tego typu wadą, czyli zwłaszcza naruszające</w:t>
      </w:r>
      <w:r w:rsidRPr="009C47C0">
        <w:t xml:space="preserve"> wymóg szczegółowości </w:t>
      </w:r>
      <w:r w:rsidRPr="009C47C0">
        <w:lastRenderedPageBreak/>
        <w:t>pod względem przedmiotowym lub treściowym, nie czynią zadość wyżej przywołanemu wzorcowi konstytucyjnemu (por. np. wyrok z dnia 26 kwietnia 2004 r., sygn. K 50/02).</w:t>
      </w:r>
    </w:p>
    <w:p w:rsidR="009C47C0" w:rsidRPr="009C47C0" w:rsidRDefault="009C47C0" w:rsidP="009C47C0">
      <w:pPr>
        <w:ind w:firstLine="510"/>
      </w:pPr>
      <w:r w:rsidRPr="009C47C0">
        <w:t>Po drugie, sama delimitacja materii ustawowej i podustawowej</w:t>
      </w:r>
      <w:r w:rsidRPr="009C47C0">
        <w:rPr>
          <w:spacing w:val="-3"/>
        </w:rPr>
        <w:t>, musi być dokonywana</w:t>
      </w:r>
      <w:r w:rsidRPr="009C47C0">
        <w:t xml:space="preserve"> przede wszystkim z uwzględnieniem zasady sformułowanej przez sąd konstytucyjny, wedle której „</w:t>
      </w:r>
      <w:r w:rsidRPr="009C47C0">
        <w:rPr>
          <w:i/>
        </w:rPr>
        <w:t xml:space="preserve">im silniej regulacja ustawowa dotyczy kwestii podstawowych dla pozycji jednostki (podmiotów podobnych), tym szersza musi być regulacja ustawowa i tym mniej miejsca </w:t>
      </w:r>
      <w:r w:rsidRPr="009C47C0">
        <w:rPr>
          <w:i/>
          <w:spacing w:val="-2"/>
        </w:rPr>
        <w:t>pozostaje dla odesłań do aktów wykonawczych. W tych kwestiach, jeżeli ustawodawca korzysta</w:t>
      </w:r>
      <w:r w:rsidRPr="009C47C0">
        <w:rPr>
          <w:i/>
        </w:rPr>
        <w:t xml:space="preserve"> z owych odesłań, to musi znacznie dokładniej wyznaczyć treść przyszłych rozporządzeń</w:t>
      </w:r>
      <w:r w:rsidRPr="009C47C0">
        <w:t>” (wyrok z dnia 31 marca 2009 r., sygn. K 28/08). Nieprzekraczalną granicę dla cedowania przez parlament funkcji prawodawczych na organy władzy wykonawczej wyznaczają przy tym te przepisy Konstytucji, które przewidują wprost, że ograniczenia wolności lub praw następują w drodze ustawy (zob. chociażby art. 22, art. 41 ust. 1 czy też art. 64 ust. 3). Ponadto, zgodnie z regułą wyrażoną w art. 31 ust. 3 Konstytucji, ograniczenia w zakresie korzystania z konstytucyjnych wolności i praw mogą być ustanawiane tylko w ustawie i tylko wtedy, gdy są konieczne w demokratycznym państwie dla jego bezpieczeństwa lub porządku publicznego, bądź dla ochrony środowiska, zdrowia i moralności publicznej, albo wolności i praw innych osób; ograniczenia te nie mogą naruszać istoty wolności i praw.</w:t>
      </w:r>
    </w:p>
    <w:p w:rsidR="009C47C0" w:rsidRPr="009C47C0" w:rsidRDefault="009C47C0" w:rsidP="009C47C0">
      <w:pPr>
        <w:ind w:firstLine="510"/>
      </w:pPr>
      <w:r w:rsidRPr="009C47C0">
        <w:t xml:space="preserve">Odnosząc powyższe tak do samego art. 830 k.p.c., jak i do wydanego na jego podstawie rozporządzenia Ministra Sprawiedliwości z dnia 5 lipca 2017 r. w sprawie określenia </w:t>
      </w:r>
      <w:r w:rsidRPr="009C47C0">
        <w:rPr>
          <w:spacing w:val="-3"/>
        </w:rPr>
        <w:t>przedmiotów należących do rolnika prowadzącego gospodarstwo, które nie podlegają egzekucji,</w:t>
      </w:r>
      <w:r w:rsidRPr="009C47C0">
        <w:rPr>
          <w:spacing w:val="-2"/>
        </w:rPr>
        <w:t xml:space="preserve"> </w:t>
      </w:r>
      <w:r w:rsidRPr="009C47C0">
        <w:t xml:space="preserve">można postawić tezę, że obowiązujący stan prawny nie odpowiada standardom wyznaczonym </w:t>
      </w:r>
      <w:r w:rsidRPr="009C47C0">
        <w:rPr>
          <w:spacing w:val="-2"/>
        </w:rPr>
        <w:t>w art. 92 ust. 1, a także w art. 31 ust. 3 w związku z art. 45 ust. 1 oraz art. 64 ust. 1 Konstytucji.</w:t>
      </w:r>
      <w:r w:rsidRPr="009C47C0">
        <w:t xml:space="preserve"> Stosownie bowiem do powołanego art. 830 k.p.c., Minister Sprawiedliwości w porozumieniu z Ministrem Rolnictwa oraz Ministrem Finansów jest obowiązany określić w rozporządzeniu, jakie przedmioty należące do rolnika prowadzącego gospodarstwo nie podlegają egzekucji. </w:t>
      </w:r>
      <w:r w:rsidRPr="009C47C0">
        <w:rPr>
          <w:spacing w:val="-3"/>
        </w:rPr>
        <w:t>To upoważnienie nie dość, że nie zawiera żadnych wytycznych co do treści aktu wykonawczego</w:t>
      </w:r>
      <w:r w:rsidRPr="009C47C0">
        <w:t xml:space="preserve"> (</w:t>
      </w:r>
      <w:r w:rsidRPr="009C47C0">
        <w:rPr>
          <w:i/>
        </w:rPr>
        <w:t>notabene</w:t>
      </w:r>
      <w:r w:rsidRPr="009C47C0">
        <w:t xml:space="preserve"> wytyczne takie trudno byłoby też zrekonstruować w oparciu o inne przepisy k.p.c.), to przekazuje do uregulowania na poziomie podustawowym kwestie, które rzutują zarówno </w:t>
      </w:r>
      <w:r w:rsidRPr="009C47C0">
        <w:rPr>
          <w:spacing w:val="-2"/>
        </w:rPr>
        <w:t>na prawo do sądu w tym jego aspekcie, który wiąże się z gwarancją wykonania prawomocnego</w:t>
      </w:r>
      <w:r w:rsidRPr="009C47C0">
        <w:t xml:space="preserve"> orzeczenia, jak i na ochronę praw majątkowych wierzyciela, który decyduje się na wszczęcie egzekucji sądowej przeciwko rolnikowi prowadzącemu gospodarstwo rolne. Co więcej: część postanowień rozporządzenia z dnia 5 lipca 2017 r. wykracza poza przytoczoną delegację. Już sam fakt, że w analizowanym akcie wykonawczym wymieniono zwierzęta może wywoływać poważne zastrzeżenia, skoro w polskim porządku prawnym zwierzęta – jako istoty żyjące, </w:t>
      </w:r>
      <w:r w:rsidRPr="009C47C0">
        <w:lastRenderedPageBreak/>
        <w:t xml:space="preserve">zdolne do odczuwania cierpienia – nie są uznawane za </w:t>
      </w:r>
      <w:r w:rsidRPr="009C47C0">
        <w:rPr>
          <w:spacing w:val="-2"/>
        </w:rPr>
        <w:t>rzeczy (patrz art. 1 ust. 1 ustawy z dnia 21 sierpnia 1997 r. o ochronie zwierząt, Dz. U. z 2020 r.</w:t>
      </w:r>
      <w:r w:rsidRPr="009C47C0">
        <w:t xml:space="preserve"> poz. 638), a w art. 830 k.p.c.</w:t>
      </w:r>
      <w:r w:rsidRPr="009C47C0">
        <w:br/>
        <w:t xml:space="preserve">jest mowa jedynie o „przedmiotach” (według słownikowej definicji, przedmiot to „rzecz postrzegana zmysłami jako odrębny element rzeczywistości, wytwór pracy ludzkiej” – Słownik języka polskiego, PWN, wyd. I, t. II, s. 921). Również mechanizm opisany w § 2 </w:t>
      </w:r>
      <w:r w:rsidRPr="009C47C0">
        <w:rPr>
          <w:spacing w:val="-5"/>
        </w:rPr>
        <w:t>rozporządzenia, tj. możliwość wprowadzenia dalszych wyłączeń od egzekucji na mocy</w:t>
      </w:r>
      <w:r w:rsidRPr="009C47C0">
        <w:t xml:space="preserve"> decyzji komornika podejmowanej po zasięgnięciu opinii izby rolniczej właściwej ze względu na położenie gospodarstwa rolnego dłużnika, </w:t>
      </w:r>
      <w:r w:rsidRPr="009C47C0">
        <w:rPr>
          <w:spacing w:val="-2"/>
        </w:rPr>
        <w:t>wywołuje istotne wątpliwości co do zgodności z zakresem przedmiotowym upoważnienia ustawowego, a do tego można mu wręcz zarzucić swoistą sprzeczność z zakazem subdelegacji wysłowionym w art. 92 ust. 2 Konstytucji.</w:t>
      </w:r>
    </w:p>
    <w:p w:rsidR="009C47C0" w:rsidRPr="009C47C0" w:rsidRDefault="009C47C0" w:rsidP="009C47C0">
      <w:pPr>
        <w:ind w:firstLine="510"/>
      </w:pPr>
      <w:r w:rsidRPr="009C47C0">
        <w:rPr>
          <w:spacing w:val="-3"/>
        </w:rPr>
        <w:t>Dlatego – po rozważeniu petycji oraz stanowiska przedstawicieli resortu odpowiedzialnego</w:t>
      </w:r>
      <w:r w:rsidRPr="009C47C0">
        <w:t xml:space="preserve"> za rolnictwo i rozwój wsi – proponuje się „przeniesienie” do ustawy rozwiązań, które do tej pory były zawarte w akcie rangi podustawowej, i jednocześnie uchylenie art. 830 </w:t>
      </w:r>
      <w:r w:rsidRPr="009C47C0">
        <w:rPr>
          <w:spacing w:val="-2"/>
        </w:rPr>
        <w:t>k.p.c. W następstwie projektowanej zmiany regulacje dotyczące zwierząt i przedmiotów należących do rolnika prowadzącego gospodarstwo rolne, które nie podlegają egzekucji, odzyskają walor konstytucyjności, a ściślej: zostaną</w:t>
      </w:r>
      <w:r w:rsidRPr="009C47C0">
        <w:t xml:space="preserve"> </w:t>
      </w:r>
      <w:r w:rsidRPr="009C47C0">
        <w:rPr>
          <w:spacing w:val="-2"/>
        </w:rPr>
        <w:t>usystematyzowane odpowiednio do wymagań płynących z wymienionych wcześniej wzorców</w:t>
      </w:r>
      <w:r w:rsidRPr="009C47C0">
        <w:t xml:space="preserve"> (art. 92 </w:t>
      </w:r>
      <w:r w:rsidRPr="009C47C0">
        <w:rPr>
          <w:spacing w:val="-2"/>
        </w:rPr>
        <w:t>ust. 1 oraz art. 31 ust. 3 w związku z art. 45 ust. 1 i art. 64 ust. 1 Konstytucji). Uchwalenie przedkładanego projektu ustawy przyczyni się zarazem do większej</w:t>
      </w:r>
      <w:r w:rsidRPr="009C47C0">
        <w:t xml:space="preserve"> koherencji systemu prawa, albowiem – jak to słusznie skonstatował autor petycji – w przypadku postępowania egzekucyjnego w administracji ustawodawca już na poziomie ustawy określił te zwierzęta i rzeczy ruchome, które są wyłączone spod egzekucji w razie skierowania jej przeciwko rolnikowi prowadzącemu gospodarstwo rolne.</w:t>
      </w:r>
    </w:p>
    <w:p w:rsidR="009C47C0" w:rsidRPr="009C47C0" w:rsidRDefault="009C47C0" w:rsidP="009C47C0"/>
    <w:p w:rsidR="009C47C0" w:rsidRPr="009C47C0" w:rsidRDefault="009C47C0" w:rsidP="009C47C0">
      <w:pPr>
        <w:widowControl/>
        <w:autoSpaceDE/>
        <w:autoSpaceDN/>
        <w:adjustRightInd/>
        <w:ind w:left="510" w:hanging="510"/>
        <w:rPr>
          <w:rFonts w:ascii="Times" w:hAnsi="Times"/>
          <w:b/>
          <w:bCs/>
          <w:lang w:eastAsia="en-US"/>
        </w:rPr>
      </w:pPr>
      <w:r w:rsidRPr="009C47C0">
        <w:rPr>
          <w:rFonts w:ascii="Times" w:hAnsi="Times"/>
          <w:b/>
          <w:bCs/>
          <w:lang w:eastAsia="en-US"/>
        </w:rPr>
        <w:t>2.</w:t>
      </w:r>
      <w:r w:rsidRPr="009C47C0">
        <w:rPr>
          <w:rFonts w:ascii="Times" w:hAnsi="Times"/>
          <w:b/>
          <w:bCs/>
          <w:lang w:eastAsia="en-US"/>
        </w:rPr>
        <w:tab/>
        <w:t>Różnice między obowiązującym a projektowanym stanem prawnym</w:t>
      </w:r>
    </w:p>
    <w:p w:rsidR="009C47C0" w:rsidRPr="009C47C0" w:rsidRDefault="009C47C0" w:rsidP="009C47C0">
      <w:pPr>
        <w:spacing w:before="120"/>
        <w:ind w:firstLine="510"/>
        <w:rPr>
          <w:spacing w:val="-2"/>
        </w:rPr>
      </w:pPr>
      <w:r w:rsidRPr="009C47C0">
        <w:rPr>
          <w:spacing w:val="-2"/>
        </w:rPr>
        <w:t>Treść proponowanych przepisów art. 829</w:t>
      </w:r>
      <w:r w:rsidRPr="009C47C0">
        <w:rPr>
          <w:spacing w:val="-2"/>
          <w:vertAlign w:val="superscript"/>
        </w:rPr>
        <w:t>1</w:t>
      </w:r>
      <w:r w:rsidRPr="009C47C0">
        <w:rPr>
          <w:spacing w:val="-2"/>
        </w:rPr>
        <w:t>–829</w:t>
      </w:r>
      <w:r w:rsidRPr="009C47C0">
        <w:rPr>
          <w:spacing w:val="-2"/>
          <w:vertAlign w:val="superscript"/>
        </w:rPr>
        <w:t>4</w:t>
      </w:r>
      <w:r w:rsidRPr="009C47C0">
        <w:rPr>
          <w:spacing w:val="-2"/>
        </w:rPr>
        <w:t xml:space="preserve"> k.p.c. (art. 1 pkt 1 projektu) niemal wiernie odzwierciedla</w:t>
      </w:r>
      <w:r w:rsidRPr="009C47C0">
        <w:t xml:space="preserve"> postanowienia </w:t>
      </w:r>
      <w:r w:rsidRPr="009C47C0">
        <w:rPr>
          <w:spacing w:val="-3"/>
        </w:rPr>
        <w:t>rozporządzenia Ministra Sprawiedliwości z dnia 5 lipca 2017 r. w sprawie określenia przedmiotów należących do rolnika prowadzącego gospodarstwo, które nie podlegają</w:t>
      </w:r>
      <w:r w:rsidRPr="009C47C0">
        <w:rPr>
          <w:spacing w:val="-2"/>
        </w:rPr>
        <w:t xml:space="preserve"> egzekucji. Zmiany wprowadzone w tym zakresie ograniczają się głównie do korekt o charakterze redakcyjnym, w tym zwłaszcza uwzględniają konieczność dostosowania odesłań, oraz terminologicznym (art. 1 pkt 1 projektu, art. 829</w:t>
      </w:r>
      <w:r w:rsidRPr="009C47C0">
        <w:rPr>
          <w:spacing w:val="-2"/>
          <w:vertAlign w:val="superscript"/>
        </w:rPr>
        <w:t>3</w:t>
      </w:r>
      <w:r w:rsidRPr="009C47C0">
        <w:rPr>
          <w:spacing w:val="-2"/>
        </w:rPr>
        <w:t>). Wyjątkiem jest rozwiązanie zawarte w projektowanym art. 829</w:t>
      </w:r>
      <w:r w:rsidRPr="009C47C0">
        <w:rPr>
          <w:spacing w:val="-2"/>
          <w:vertAlign w:val="superscript"/>
        </w:rPr>
        <w:t>2</w:t>
      </w:r>
      <w:r w:rsidRPr="009C47C0">
        <w:rPr>
          <w:spacing w:val="-2"/>
        </w:rPr>
        <w:t xml:space="preserve"> § 2 zdanie pierwsze k.p.c. (art. 1 pkt 1 projektu), które w porównaniu z § 2 ust. 2 zdanie pierwsze </w:t>
      </w:r>
      <w:r w:rsidRPr="009C47C0">
        <w:t xml:space="preserve">rozporządzenia z dnia 5 lipca 2017 r. zakłada wydłużenie (z 14 do 21 dni) terminu wyznaczonego izbom rolniczym na wydanie opinii </w:t>
      </w:r>
      <w:r w:rsidRPr="009C47C0">
        <w:lastRenderedPageBreak/>
        <w:t>w przedmiocie zasadności wyłączenia spod egzekucji nadwyżki inwentarza żywego bądź przedmiotów w ilości większej niż wynika to z przepisów art. 829</w:t>
      </w:r>
      <w:r w:rsidRPr="009C47C0">
        <w:rPr>
          <w:vertAlign w:val="superscript"/>
        </w:rPr>
        <w:t xml:space="preserve">1 </w:t>
      </w:r>
      <w:r w:rsidRPr="00B64D4B">
        <w:t>k.p.c. Ponadto w treści projektowanej ustawy nie znalazł się odpowiednik § 5</w:t>
      </w:r>
      <w:r w:rsidRPr="009C47C0">
        <w:rPr>
          <w:vertAlign w:val="superscript"/>
        </w:rPr>
        <w:t xml:space="preserve"> </w:t>
      </w:r>
      <w:r w:rsidRPr="009C47C0">
        <w:t xml:space="preserve">rozporządzenia z dnia 5 lipca 2017 r., gdyż – w ocenie Senatu – wywodzona z tego przepisu norma w praktyce może pozbawiać </w:t>
      </w:r>
      <w:r w:rsidRPr="009C47C0">
        <w:rPr>
          <w:spacing w:val="-4"/>
        </w:rPr>
        <w:t>jakiejkolwiek doniosłości ochronę wynikającą z pozostałych przepisów statuujących ograniczenia</w:t>
      </w:r>
      <w:r w:rsidRPr="009C47C0">
        <w:t xml:space="preserve"> egzekucji skierowanej przeciwko rolnikowi prowadzącemu gospodarstwo rolne (powołany</w:t>
      </w:r>
      <w:r w:rsidRPr="009C47C0">
        <w:br/>
        <w:t>§ 5 przewiduje, iż regulacji określających wyłączenia spod egzekucji nie stosuje się „w razie równoczesnego skierowania egzekucji do wszystkich nieruchomości wchodzących w skład gospodarstwa rolnego prowadzonego przez dłużnika”).</w:t>
      </w:r>
    </w:p>
    <w:p w:rsidR="009C47C0" w:rsidRPr="009C47C0" w:rsidRDefault="009C47C0" w:rsidP="009C47C0">
      <w:pPr>
        <w:ind w:firstLine="510"/>
      </w:pPr>
      <w:r w:rsidRPr="009C47C0">
        <w:t xml:space="preserve">Podkreślenia wymaga też okoliczność, że projektodawcy nie zdecydowali się na pełną realizację postulatów zgłoszonych w petycji. Mianowicie: autor petycji wnioskował, aby nowym regulacjom ustawowym nadać brzmienie analogiczne do art. 8a ustawy z dnia 17 czerwca 1966 r. o postępowaniu egzekucyjnym w administracji. Jednak nie może umknąć uwadze, że przepis ten został dodany ustawą z dnia 6 września 2001 r. o zmianie ustawy o postępowaniu egzekucyjnym w administracji oraz niektórych innych ustaw (Dz. U. Nr 125, poz. 1368) i zasadniczo od 30 listopada 2001 r. (data wejścia w życie wskazanej noweli) nie podlegał modyfikacjom. Można więc przyjąć, iż w mniejszym stopniu odpowiada realiom </w:t>
      </w:r>
      <w:r w:rsidRPr="009C47C0">
        <w:rPr>
          <w:spacing w:val="-3"/>
        </w:rPr>
        <w:t>funkcjonowania współczesnych gospodarstw rolnych niż rozporządzenie wydane 5 lipca 2017 r.</w:t>
      </w:r>
      <w:r w:rsidRPr="009C47C0">
        <w:t xml:space="preserve"> – por. np. projektowany art. 829</w:t>
      </w:r>
      <w:r w:rsidRPr="009C47C0">
        <w:rPr>
          <w:vertAlign w:val="superscript"/>
        </w:rPr>
        <w:t>1</w:t>
      </w:r>
      <w:r w:rsidRPr="009C47C0">
        <w:t xml:space="preserve"> pkt 1 i 6 </w:t>
      </w:r>
      <w:r w:rsidRPr="009C47C0">
        <w:rPr>
          <w:i/>
        </w:rPr>
        <w:t>versus</w:t>
      </w:r>
      <w:r w:rsidRPr="009C47C0">
        <w:t xml:space="preserve"> art. 8a § 1 pkt 1, 2, 4, 8–10. Dodatkowo należy zauważyć, że proponowane przepisy, w brzmieniu odwzorowującym obowiązujące regulacje z rozporządzenia Ministra Sprawiedliwości, będą komplementarne w stosunku do wyłączeń od egzekucji objętych art. 829 k.p.c. (zob. w szczególności pkt 2–4 w tym przepisie).</w:t>
      </w:r>
    </w:p>
    <w:p w:rsidR="009C47C0" w:rsidRPr="009C47C0" w:rsidRDefault="009C47C0" w:rsidP="009C47C0">
      <w:pPr>
        <w:ind w:firstLine="510"/>
      </w:pPr>
      <w:r w:rsidRPr="009C47C0">
        <w:t xml:space="preserve">Projekt zakłada uchylenie art. 830 k.p.c. (art. 1 pkt 2), jako że wraz unormowaniem w ustawie wszystkich zagadnień, które do tej pory były regulowane rozporządzeniem, przepis ten w istocie stanie się zbędny. Tym samym z dniem wejścia w życie projektowanej nowelizacji moc obowiązującą utraci także wielokrotnie już wspominane rozporządzenie Ministra Sprawiedliwości z dnia </w:t>
      </w:r>
      <w:r w:rsidRPr="009C47C0">
        <w:rPr>
          <w:spacing w:val="-3"/>
        </w:rPr>
        <w:t>5 lipca 2017 r. w sprawie określenia</w:t>
      </w:r>
      <w:r w:rsidRPr="009C47C0">
        <w:t xml:space="preserve"> </w:t>
      </w:r>
      <w:r w:rsidRPr="009C47C0">
        <w:rPr>
          <w:spacing w:val="-2"/>
        </w:rPr>
        <w:t>przedmiotów należących do rolnika prowadzącego gospodarstwo, które nie podlegają egzekucji</w:t>
      </w:r>
      <w:r w:rsidRPr="009C47C0">
        <w:t>.</w:t>
      </w:r>
    </w:p>
    <w:p w:rsidR="009C47C0" w:rsidRPr="009C47C0" w:rsidRDefault="009C47C0" w:rsidP="009C47C0">
      <w:pPr>
        <w:ind w:firstLine="510"/>
      </w:pPr>
      <w:r w:rsidRPr="009C47C0">
        <w:t>Niemniej, aby nie zmieniać zasad prowadzenia egzekucji w sposób, który mógłby być zaskoczeniem dla ich uczestników, a w szczególności negatywnie odbić się na prawach wierzyciela, w projektowanym art. 2 zaproponowano rozwiązanie intertemporalne polegające na stosowaniu przepisów dotychczasowych do spraw w toku.</w:t>
      </w:r>
    </w:p>
    <w:p w:rsidR="009C47C0" w:rsidRPr="009C47C0" w:rsidRDefault="009C47C0" w:rsidP="009C47C0">
      <w:pPr>
        <w:ind w:firstLine="510"/>
      </w:pPr>
      <w:r w:rsidRPr="009C47C0">
        <w:t xml:space="preserve">Zgodnie z art. 3 projektu, nowe przepisy wejdą w życie po upływie standardowego </w:t>
      </w:r>
      <w:r w:rsidRPr="009C47C0">
        <w:lastRenderedPageBreak/>
        <w:t>okresu spoczywania ustawy przewidzianego w art. 4 ust. 1 ustawy z dnia 20 lipca 2000 r. o ogłaszaniu aktów normatywnych i niektórych innych aktów prawnych (Dz. U. z 2019 r. poz. 1461).</w:t>
      </w:r>
    </w:p>
    <w:p w:rsidR="009C47C0" w:rsidRPr="009C47C0" w:rsidRDefault="009C47C0" w:rsidP="009C47C0"/>
    <w:p w:rsidR="009C47C0" w:rsidRPr="009C47C0" w:rsidRDefault="009C47C0" w:rsidP="009C47C0">
      <w:pPr>
        <w:widowControl/>
        <w:autoSpaceDE/>
        <w:autoSpaceDN/>
        <w:adjustRightInd/>
        <w:ind w:left="510" w:hanging="510"/>
        <w:rPr>
          <w:rFonts w:ascii="Times" w:hAnsi="Times"/>
          <w:b/>
          <w:bCs/>
          <w:lang w:eastAsia="en-US"/>
        </w:rPr>
      </w:pPr>
      <w:r w:rsidRPr="009C47C0">
        <w:rPr>
          <w:rFonts w:ascii="Times" w:hAnsi="Times"/>
          <w:b/>
          <w:bCs/>
          <w:lang w:eastAsia="en-US"/>
        </w:rPr>
        <w:t>3.</w:t>
      </w:r>
      <w:r w:rsidRPr="009C47C0">
        <w:rPr>
          <w:rFonts w:ascii="Times" w:hAnsi="Times"/>
          <w:b/>
          <w:bCs/>
          <w:lang w:eastAsia="en-US"/>
        </w:rPr>
        <w:tab/>
        <w:t>Konsultacje</w:t>
      </w:r>
    </w:p>
    <w:p w:rsidR="009C47C0" w:rsidRPr="009C47C0" w:rsidRDefault="009C47C0" w:rsidP="009C47C0">
      <w:pPr>
        <w:ind w:firstLine="510"/>
      </w:pPr>
      <w:r w:rsidRPr="009C47C0">
        <w:t>Nadesłane w ramach konsultacji opinie i uwagi są zamieszczone na senackiej stronie internetowej. Wyniki konsultacji przedstawiono w Ocenie Skutków Regulacji.</w:t>
      </w:r>
    </w:p>
    <w:p w:rsidR="009C47C0" w:rsidRPr="009C47C0" w:rsidRDefault="009C47C0" w:rsidP="009C47C0">
      <w:pPr>
        <w:ind w:firstLine="510"/>
      </w:pPr>
    </w:p>
    <w:p w:rsidR="009C47C0" w:rsidRPr="009C47C0" w:rsidRDefault="009C47C0" w:rsidP="009C47C0">
      <w:pPr>
        <w:widowControl/>
        <w:autoSpaceDE/>
        <w:autoSpaceDN/>
        <w:adjustRightInd/>
        <w:ind w:left="510" w:hanging="510"/>
        <w:rPr>
          <w:rFonts w:ascii="Times" w:hAnsi="Times"/>
          <w:b/>
          <w:bCs/>
          <w:lang w:eastAsia="en-US"/>
        </w:rPr>
      </w:pPr>
      <w:r w:rsidRPr="009C47C0">
        <w:rPr>
          <w:rFonts w:ascii="Times" w:hAnsi="Times"/>
          <w:b/>
          <w:bCs/>
          <w:lang w:eastAsia="en-US"/>
        </w:rPr>
        <w:t>4.</w:t>
      </w:r>
      <w:r w:rsidRPr="009C47C0">
        <w:rPr>
          <w:rFonts w:ascii="Times" w:hAnsi="Times"/>
          <w:b/>
          <w:bCs/>
          <w:lang w:eastAsia="en-US"/>
        </w:rPr>
        <w:tab/>
        <w:t>Oświadczenie o zgodności z prawem Unii Europejskiej</w:t>
      </w:r>
    </w:p>
    <w:p w:rsidR="009C47C0" w:rsidRPr="009C47C0" w:rsidRDefault="009C47C0" w:rsidP="009C47C0">
      <w:pPr>
        <w:ind w:firstLine="510"/>
      </w:pPr>
      <w:r w:rsidRPr="009C47C0">
        <w:t>Projekt ustawy jest zgodny z prawem Unii Europejskiej.</w:t>
      </w:r>
    </w:p>
    <w:p w:rsidR="00C70646" w:rsidRPr="009C47C0" w:rsidRDefault="00C70646" w:rsidP="00C70646"/>
    <w:sectPr w:rsidR="00C70646" w:rsidRPr="009C47C0" w:rsidSect="009C47C0">
      <w:headerReference w:type="default" r:id="rId7"/>
      <w:pgSz w:w="11906" w:h="16838"/>
      <w:pgMar w:top="1418" w:right="1418" w:bottom="1418" w:left="1418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B0C" w:rsidRDefault="00076B0C">
      <w:r>
        <w:separator/>
      </w:r>
    </w:p>
  </w:endnote>
  <w:endnote w:type="continuationSeparator" w:id="0">
    <w:p w:rsidR="00076B0C" w:rsidRDefault="0007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B0C" w:rsidRDefault="00076B0C">
      <w:r>
        <w:separator/>
      </w:r>
    </w:p>
  </w:footnote>
  <w:footnote w:type="continuationSeparator" w:id="0">
    <w:p w:rsidR="00076B0C" w:rsidRDefault="00076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7C0" w:rsidRPr="00B371CC" w:rsidRDefault="009C47C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42A00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8CAD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87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BE7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7E3D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EA7D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AA7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2E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012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605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768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93FCB"/>
    <w:multiLevelType w:val="hybridMultilevel"/>
    <w:tmpl w:val="45ECF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5711CE1"/>
    <w:multiLevelType w:val="hybridMultilevel"/>
    <w:tmpl w:val="A1386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1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2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3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96"/>
    <w:rsid w:val="000012DA"/>
    <w:rsid w:val="0000246E"/>
    <w:rsid w:val="00012A35"/>
    <w:rsid w:val="00016099"/>
    <w:rsid w:val="00017DC2"/>
    <w:rsid w:val="00023471"/>
    <w:rsid w:val="00023F13"/>
    <w:rsid w:val="00030634"/>
    <w:rsid w:val="0003362F"/>
    <w:rsid w:val="00037E1A"/>
    <w:rsid w:val="00047312"/>
    <w:rsid w:val="0005339C"/>
    <w:rsid w:val="0005571B"/>
    <w:rsid w:val="00057AB3"/>
    <w:rsid w:val="00060076"/>
    <w:rsid w:val="00060432"/>
    <w:rsid w:val="00060D87"/>
    <w:rsid w:val="00064E4C"/>
    <w:rsid w:val="00066901"/>
    <w:rsid w:val="000736CD"/>
    <w:rsid w:val="0007533B"/>
    <w:rsid w:val="000760BF"/>
    <w:rsid w:val="0007613E"/>
    <w:rsid w:val="00076B0C"/>
    <w:rsid w:val="000814A7"/>
    <w:rsid w:val="0008557B"/>
    <w:rsid w:val="00091BA2"/>
    <w:rsid w:val="000944EF"/>
    <w:rsid w:val="000973F0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D318A"/>
    <w:rsid w:val="000D6173"/>
    <w:rsid w:val="000E25CC"/>
    <w:rsid w:val="000E72BC"/>
    <w:rsid w:val="000F3D0D"/>
    <w:rsid w:val="000F6ED4"/>
    <w:rsid w:val="000F7A6E"/>
    <w:rsid w:val="00101307"/>
    <w:rsid w:val="001042BA"/>
    <w:rsid w:val="00106D03"/>
    <w:rsid w:val="00110465"/>
    <w:rsid w:val="00110628"/>
    <w:rsid w:val="0011245A"/>
    <w:rsid w:val="0011493E"/>
    <w:rsid w:val="00115B72"/>
    <w:rsid w:val="00120A9E"/>
    <w:rsid w:val="00125A9C"/>
    <w:rsid w:val="00134CA0"/>
    <w:rsid w:val="0014026F"/>
    <w:rsid w:val="0015742A"/>
    <w:rsid w:val="00164C57"/>
    <w:rsid w:val="00164C9D"/>
    <w:rsid w:val="00172F7A"/>
    <w:rsid w:val="00173150"/>
    <w:rsid w:val="00173BB3"/>
    <w:rsid w:val="001740D0"/>
    <w:rsid w:val="00174F2C"/>
    <w:rsid w:val="00180F2A"/>
    <w:rsid w:val="00186E4C"/>
    <w:rsid w:val="00186EC1"/>
    <w:rsid w:val="00191E1F"/>
    <w:rsid w:val="00197649"/>
    <w:rsid w:val="001A10E9"/>
    <w:rsid w:val="001A183D"/>
    <w:rsid w:val="001A3CD3"/>
    <w:rsid w:val="001A5BEF"/>
    <w:rsid w:val="001A7F15"/>
    <w:rsid w:val="001B342E"/>
    <w:rsid w:val="001C1832"/>
    <w:rsid w:val="001C188C"/>
    <w:rsid w:val="001D1783"/>
    <w:rsid w:val="001D55A3"/>
    <w:rsid w:val="001E4E0C"/>
    <w:rsid w:val="001E526D"/>
    <w:rsid w:val="001F220F"/>
    <w:rsid w:val="001F6616"/>
    <w:rsid w:val="00202BD4"/>
    <w:rsid w:val="00204A97"/>
    <w:rsid w:val="002114EF"/>
    <w:rsid w:val="00212184"/>
    <w:rsid w:val="002166AD"/>
    <w:rsid w:val="00217871"/>
    <w:rsid w:val="00221ED8"/>
    <w:rsid w:val="00223FDF"/>
    <w:rsid w:val="002279C0"/>
    <w:rsid w:val="00242081"/>
    <w:rsid w:val="00242A00"/>
    <w:rsid w:val="002501A3"/>
    <w:rsid w:val="0025166C"/>
    <w:rsid w:val="00264EC6"/>
    <w:rsid w:val="00271013"/>
    <w:rsid w:val="002765B4"/>
    <w:rsid w:val="00276A94"/>
    <w:rsid w:val="0029405D"/>
    <w:rsid w:val="00295A6F"/>
    <w:rsid w:val="002A20C4"/>
    <w:rsid w:val="002A570F"/>
    <w:rsid w:val="002A7358"/>
    <w:rsid w:val="002A7902"/>
    <w:rsid w:val="002B0F6B"/>
    <w:rsid w:val="002B23B8"/>
    <w:rsid w:val="002B68A6"/>
    <w:rsid w:val="002E1DE3"/>
    <w:rsid w:val="002E2AB6"/>
    <w:rsid w:val="002E3F34"/>
    <w:rsid w:val="002E64FA"/>
    <w:rsid w:val="002F0A00"/>
    <w:rsid w:val="002F669F"/>
    <w:rsid w:val="0031004C"/>
    <w:rsid w:val="003113BE"/>
    <w:rsid w:val="003148FD"/>
    <w:rsid w:val="00321080"/>
    <w:rsid w:val="00325A1F"/>
    <w:rsid w:val="00330BAF"/>
    <w:rsid w:val="00334E3A"/>
    <w:rsid w:val="003361DD"/>
    <w:rsid w:val="00354EB9"/>
    <w:rsid w:val="00360929"/>
    <w:rsid w:val="003674B0"/>
    <w:rsid w:val="0037727C"/>
    <w:rsid w:val="00380904"/>
    <w:rsid w:val="003823EE"/>
    <w:rsid w:val="00382960"/>
    <w:rsid w:val="003846F7"/>
    <w:rsid w:val="00385B39"/>
    <w:rsid w:val="00386785"/>
    <w:rsid w:val="00391B1A"/>
    <w:rsid w:val="00394423"/>
    <w:rsid w:val="00396942"/>
    <w:rsid w:val="00396B49"/>
    <w:rsid w:val="00396E3E"/>
    <w:rsid w:val="003A306E"/>
    <w:rsid w:val="003A6A46"/>
    <w:rsid w:val="003A7A63"/>
    <w:rsid w:val="003B0F1D"/>
    <w:rsid w:val="003C0AD9"/>
    <w:rsid w:val="003C0ED0"/>
    <w:rsid w:val="003C35C4"/>
    <w:rsid w:val="003D31B9"/>
    <w:rsid w:val="003E2DA3"/>
    <w:rsid w:val="003F03D9"/>
    <w:rsid w:val="003F2FBE"/>
    <w:rsid w:val="00401C84"/>
    <w:rsid w:val="004035BB"/>
    <w:rsid w:val="004140F2"/>
    <w:rsid w:val="00421085"/>
    <w:rsid w:val="00424DF7"/>
    <w:rsid w:val="00432B76"/>
    <w:rsid w:val="00435D26"/>
    <w:rsid w:val="00440C99"/>
    <w:rsid w:val="00445F4D"/>
    <w:rsid w:val="004504C0"/>
    <w:rsid w:val="00462946"/>
    <w:rsid w:val="00464B94"/>
    <w:rsid w:val="004653A8"/>
    <w:rsid w:val="00465A0B"/>
    <w:rsid w:val="0047077C"/>
    <w:rsid w:val="00472CD6"/>
    <w:rsid w:val="00480A58"/>
    <w:rsid w:val="00485FAD"/>
    <w:rsid w:val="00492A3F"/>
    <w:rsid w:val="00494F62"/>
    <w:rsid w:val="004B00A7"/>
    <w:rsid w:val="004B25E2"/>
    <w:rsid w:val="004B34D7"/>
    <w:rsid w:val="004B5037"/>
    <w:rsid w:val="004B5B2F"/>
    <w:rsid w:val="004B626A"/>
    <w:rsid w:val="004B6AAB"/>
    <w:rsid w:val="004C05BD"/>
    <w:rsid w:val="004C3F97"/>
    <w:rsid w:val="004D2E1F"/>
    <w:rsid w:val="004D7FD9"/>
    <w:rsid w:val="004E1324"/>
    <w:rsid w:val="004E37E5"/>
    <w:rsid w:val="004E3FDB"/>
    <w:rsid w:val="004F296D"/>
    <w:rsid w:val="004F508B"/>
    <w:rsid w:val="004F695F"/>
    <w:rsid w:val="00500752"/>
    <w:rsid w:val="00501A50"/>
    <w:rsid w:val="0050222D"/>
    <w:rsid w:val="005067C5"/>
    <w:rsid w:val="0050696D"/>
    <w:rsid w:val="00511D99"/>
    <w:rsid w:val="005128D3"/>
    <w:rsid w:val="005158F2"/>
    <w:rsid w:val="00526DFC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35ED"/>
    <w:rsid w:val="00570191"/>
    <w:rsid w:val="00570570"/>
    <w:rsid w:val="00572512"/>
    <w:rsid w:val="00573EE6"/>
    <w:rsid w:val="0057547F"/>
    <w:rsid w:val="0057617E"/>
    <w:rsid w:val="00576497"/>
    <w:rsid w:val="005835E7"/>
    <w:rsid w:val="0058397F"/>
    <w:rsid w:val="00585F33"/>
    <w:rsid w:val="00597024"/>
    <w:rsid w:val="005A669D"/>
    <w:rsid w:val="005A75D8"/>
    <w:rsid w:val="005B713E"/>
    <w:rsid w:val="005C03B6"/>
    <w:rsid w:val="005D3763"/>
    <w:rsid w:val="005D55E1"/>
    <w:rsid w:val="005E19F7"/>
    <w:rsid w:val="005E62C2"/>
    <w:rsid w:val="005F0349"/>
    <w:rsid w:val="005F2EBA"/>
    <w:rsid w:val="005F35ED"/>
    <w:rsid w:val="005F7A88"/>
    <w:rsid w:val="006046D5"/>
    <w:rsid w:val="00610C08"/>
    <w:rsid w:val="00615772"/>
    <w:rsid w:val="00621256"/>
    <w:rsid w:val="00622E4B"/>
    <w:rsid w:val="00635134"/>
    <w:rsid w:val="00642A65"/>
    <w:rsid w:val="00645DCE"/>
    <w:rsid w:val="006465AC"/>
    <w:rsid w:val="00653B22"/>
    <w:rsid w:val="00657BF4"/>
    <w:rsid w:val="006623AC"/>
    <w:rsid w:val="006678AF"/>
    <w:rsid w:val="00680058"/>
    <w:rsid w:val="006840EA"/>
    <w:rsid w:val="00685267"/>
    <w:rsid w:val="006872AE"/>
    <w:rsid w:val="006946BB"/>
    <w:rsid w:val="006969FA"/>
    <w:rsid w:val="006C4A31"/>
    <w:rsid w:val="006D45B2"/>
    <w:rsid w:val="006E0FCC"/>
    <w:rsid w:val="006E5E21"/>
    <w:rsid w:val="006F2648"/>
    <w:rsid w:val="006F2F10"/>
    <w:rsid w:val="006F482B"/>
    <w:rsid w:val="006F6311"/>
    <w:rsid w:val="0070277E"/>
    <w:rsid w:val="00711221"/>
    <w:rsid w:val="00712675"/>
    <w:rsid w:val="00713808"/>
    <w:rsid w:val="007151B6"/>
    <w:rsid w:val="0071520D"/>
    <w:rsid w:val="00715EDB"/>
    <w:rsid w:val="007160D5"/>
    <w:rsid w:val="00717C2E"/>
    <w:rsid w:val="007204FA"/>
    <w:rsid w:val="0072457F"/>
    <w:rsid w:val="0072621B"/>
    <w:rsid w:val="00730555"/>
    <w:rsid w:val="007312CC"/>
    <w:rsid w:val="007410B6"/>
    <w:rsid w:val="00744C6F"/>
    <w:rsid w:val="00745ABB"/>
    <w:rsid w:val="00746E38"/>
    <w:rsid w:val="00753B51"/>
    <w:rsid w:val="00757B4F"/>
    <w:rsid w:val="0076260A"/>
    <w:rsid w:val="00764A67"/>
    <w:rsid w:val="00770F6B"/>
    <w:rsid w:val="00771883"/>
    <w:rsid w:val="00776DC2"/>
    <w:rsid w:val="00780122"/>
    <w:rsid w:val="0078214B"/>
    <w:rsid w:val="00792207"/>
    <w:rsid w:val="00792B64"/>
    <w:rsid w:val="00792E29"/>
    <w:rsid w:val="007A5150"/>
    <w:rsid w:val="007A5373"/>
    <w:rsid w:val="007B75BC"/>
    <w:rsid w:val="007C0BD6"/>
    <w:rsid w:val="007C3806"/>
    <w:rsid w:val="007C5BB7"/>
    <w:rsid w:val="007D1C64"/>
    <w:rsid w:val="007D32C4"/>
    <w:rsid w:val="007D6DCE"/>
    <w:rsid w:val="007E2CFE"/>
    <w:rsid w:val="007F0072"/>
    <w:rsid w:val="007F2EB6"/>
    <w:rsid w:val="007F54C3"/>
    <w:rsid w:val="00802949"/>
    <w:rsid w:val="00812BE5"/>
    <w:rsid w:val="00817429"/>
    <w:rsid w:val="00827820"/>
    <w:rsid w:val="00831B8B"/>
    <w:rsid w:val="008352D4"/>
    <w:rsid w:val="008415B0"/>
    <w:rsid w:val="00842028"/>
    <w:rsid w:val="008460B6"/>
    <w:rsid w:val="00852B59"/>
    <w:rsid w:val="008611DD"/>
    <w:rsid w:val="00866867"/>
    <w:rsid w:val="00872257"/>
    <w:rsid w:val="0087738C"/>
    <w:rsid w:val="008802AF"/>
    <w:rsid w:val="0088318F"/>
    <w:rsid w:val="0088331D"/>
    <w:rsid w:val="008852B0"/>
    <w:rsid w:val="00885AE7"/>
    <w:rsid w:val="00886B60"/>
    <w:rsid w:val="00887889"/>
    <w:rsid w:val="008920FF"/>
    <w:rsid w:val="00896A10"/>
    <w:rsid w:val="008971B5"/>
    <w:rsid w:val="008A5D26"/>
    <w:rsid w:val="008A6B13"/>
    <w:rsid w:val="008B3859"/>
    <w:rsid w:val="008B4E49"/>
    <w:rsid w:val="008B7B26"/>
    <w:rsid w:val="008C4229"/>
    <w:rsid w:val="008C5BE0"/>
    <w:rsid w:val="008C7233"/>
    <w:rsid w:val="008D2434"/>
    <w:rsid w:val="008E171D"/>
    <w:rsid w:val="008E2785"/>
    <w:rsid w:val="008F0654"/>
    <w:rsid w:val="008F06CB"/>
    <w:rsid w:val="008F612A"/>
    <w:rsid w:val="0090293D"/>
    <w:rsid w:val="009034DE"/>
    <w:rsid w:val="0090354A"/>
    <w:rsid w:val="0090605D"/>
    <w:rsid w:val="00912889"/>
    <w:rsid w:val="00913A42"/>
    <w:rsid w:val="009143DB"/>
    <w:rsid w:val="00917CE5"/>
    <w:rsid w:val="00925241"/>
    <w:rsid w:val="00925CEC"/>
    <w:rsid w:val="0092794E"/>
    <w:rsid w:val="009332A2"/>
    <w:rsid w:val="0093790B"/>
    <w:rsid w:val="00946DD0"/>
    <w:rsid w:val="00952018"/>
    <w:rsid w:val="00952800"/>
    <w:rsid w:val="0095300D"/>
    <w:rsid w:val="00956812"/>
    <w:rsid w:val="0095719A"/>
    <w:rsid w:val="009623E9"/>
    <w:rsid w:val="009648BC"/>
    <w:rsid w:val="00965F88"/>
    <w:rsid w:val="00984E03"/>
    <w:rsid w:val="00987E85"/>
    <w:rsid w:val="009A0D12"/>
    <w:rsid w:val="009A1987"/>
    <w:rsid w:val="009A2BEE"/>
    <w:rsid w:val="009A5289"/>
    <w:rsid w:val="009B0402"/>
    <w:rsid w:val="009B0B75"/>
    <w:rsid w:val="009B16DF"/>
    <w:rsid w:val="009B6EF7"/>
    <w:rsid w:val="009B7000"/>
    <w:rsid w:val="009B739C"/>
    <w:rsid w:val="009C4444"/>
    <w:rsid w:val="009C47C0"/>
    <w:rsid w:val="009C7CA6"/>
    <w:rsid w:val="009D3316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4769"/>
    <w:rsid w:val="00A16151"/>
    <w:rsid w:val="00A16EC6"/>
    <w:rsid w:val="00A17C06"/>
    <w:rsid w:val="00A21706"/>
    <w:rsid w:val="00A24FCC"/>
    <w:rsid w:val="00A26A90"/>
    <w:rsid w:val="00A26B27"/>
    <w:rsid w:val="00A3310E"/>
    <w:rsid w:val="00A333A0"/>
    <w:rsid w:val="00A37E70"/>
    <w:rsid w:val="00A437E1"/>
    <w:rsid w:val="00A4685E"/>
    <w:rsid w:val="00A50CD4"/>
    <w:rsid w:val="00A5762C"/>
    <w:rsid w:val="00A600FC"/>
    <w:rsid w:val="00A60BCA"/>
    <w:rsid w:val="00A638DA"/>
    <w:rsid w:val="00A65E00"/>
    <w:rsid w:val="00A66A78"/>
    <w:rsid w:val="00A7436E"/>
    <w:rsid w:val="00A74E96"/>
    <w:rsid w:val="00A75A8E"/>
    <w:rsid w:val="00A83676"/>
    <w:rsid w:val="00A83B7B"/>
    <w:rsid w:val="00A850F3"/>
    <w:rsid w:val="00A864E3"/>
    <w:rsid w:val="00A95936"/>
    <w:rsid w:val="00A96265"/>
    <w:rsid w:val="00A97084"/>
    <w:rsid w:val="00AA1C2C"/>
    <w:rsid w:val="00AA6E91"/>
    <w:rsid w:val="00AB047E"/>
    <w:rsid w:val="00AB0B0A"/>
    <w:rsid w:val="00AB0BB7"/>
    <w:rsid w:val="00AB22C6"/>
    <w:rsid w:val="00AB67FC"/>
    <w:rsid w:val="00AC00F2"/>
    <w:rsid w:val="00AC31B5"/>
    <w:rsid w:val="00AC4EA1"/>
    <w:rsid w:val="00AC5381"/>
    <w:rsid w:val="00AC5596"/>
    <w:rsid w:val="00AC5920"/>
    <w:rsid w:val="00AD0E65"/>
    <w:rsid w:val="00AD2BF2"/>
    <w:rsid w:val="00AD4E90"/>
    <w:rsid w:val="00AD5422"/>
    <w:rsid w:val="00AE4425"/>
    <w:rsid w:val="00AE650F"/>
    <w:rsid w:val="00AE7D16"/>
    <w:rsid w:val="00AF4CAA"/>
    <w:rsid w:val="00AF571A"/>
    <w:rsid w:val="00B07700"/>
    <w:rsid w:val="00B1528C"/>
    <w:rsid w:val="00B21487"/>
    <w:rsid w:val="00B24DB5"/>
    <w:rsid w:val="00B31F9E"/>
    <w:rsid w:val="00B3268F"/>
    <w:rsid w:val="00B33A1A"/>
    <w:rsid w:val="00B371CC"/>
    <w:rsid w:val="00B41CD9"/>
    <w:rsid w:val="00B427E6"/>
    <w:rsid w:val="00B43E1F"/>
    <w:rsid w:val="00B45FBC"/>
    <w:rsid w:val="00B51A7D"/>
    <w:rsid w:val="00B535C2"/>
    <w:rsid w:val="00B55544"/>
    <w:rsid w:val="00B642FC"/>
    <w:rsid w:val="00B64D4B"/>
    <w:rsid w:val="00B70E22"/>
    <w:rsid w:val="00B774CB"/>
    <w:rsid w:val="00B80402"/>
    <w:rsid w:val="00B80B9A"/>
    <w:rsid w:val="00B830B7"/>
    <w:rsid w:val="00B84B2B"/>
    <w:rsid w:val="00B935A4"/>
    <w:rsid w:val="00BB1E19"/>
    <w:rsid w:val="00BB21D1"/>
    <w:rsid w:val="00BB32F2"/>
    <w:rsid w:val="00BB4338"/>
    <w:rsid w:val="00BB6C0E"/>
    <w:rsid w:val="00BC52FD"/>
    <w:rsid w:val="00BC6E62"/>
    <w:rsid w:val="00BC7443"/>
    <w:rsid w:val="00BD0648"/>
    <w:rsid w:val="00BD1040"/>
    <w:rsid w:val="00BD34AA"/>
    <w:rsid w:val="00BE41EC"/>
    <w:rsid w:val="00BE56FB"/>
    <w:rsid w:val="00BF3DDE"/>
    <w:rsid w:val="00BF6589"/>
    <w:rsid w:val="00BF6F7F"/>
    <w:rsid w:val="00C00647"/>
    <w:rsid w:val="00C02764"/>
    <w:rsid w:val="00C04CEF"/>
    <w:rsid w:val="00C12E96"/>
    <w:rsid w:val="00C236C8"/>
    <w:rsid w:val="00C260B1"/>
    <w:rsid w:val="00C26E56"/>
    <w:rsid w:val="00C31406"/>
    <w:rsid w:val="00C40637"/>
    <w:rsid w:val="00C40F6C"/>
    <w:rsid w:val="00C44426"/>
    <w:rsid w:val="00C451F4"/>
    <w:rsid w:val="00C45EB1"/>
    <w:rsid w:val="00C54A3A"/>
    <w:rsid w:val="00C55566"/>
    <w:rsid w:val="00C70646"/>
    <w:rsid w:val="00C72223"/>
    <w:rsid w:val="00C76417"/>
    <w:rsid w:val="00C7726F"/>
    <w:rsid w:val="00C823DA"/>
    <w:rsid w:val="00C8259F"/>
    <w:rsid w:val="00C844AB"/>
    <w:rsid w:val="00C84C47"/>
    <w:rsid w:val="00C86AFA"/>
    <w:rsid w:val="00CB24F5"/>
    <w:rsid w:val="00CB2663"/>
    <w:rsid w:val="00CB59E9"/>
    <w:rsid w:val="00CC0D6A"/>
    <w:rsid w:val="00CC3831"/>
    <w:rsid w:val="00CD5973"/>
    <w:rsid w:val="00CE31A6"/>
    <w:rsid w:val="00CF09AA"/>
    <w:rsid w:val="00CF4813"/>
    <w:rsid w:val="00CF5233"/>
    <w:rsid w:val="00D029B8"/>
    <w:rsid w:val="00D02F60"/>
    <w:rsid w:val="00D07A7B"/>
    <w:rsid w:val="00D10E06"/>
    <w:rsid w:val="00D16820"/>
    <w:rsid w:val="00D32721"/>
    <w:rsid w:val="00D328DC"/>
    <w:rsid w:val="00D402FB"/>
    <w:rsid w:val="00D47D7A"/>
    <w:rsid w:val="00D6046A"/>
    <w:rsid w:val="00D676F3"/>
    <w:rsid w:val="00D70EF5"/>
    <w:rsid w:val="00D71A25"/>
    <w:rsid w:val="00D71FCF"/>
    <w:rsid w:val="00D72A54"/>
    <w:rsid w:val="00D72CC1"/>
    <w:rsid w:val="00D80E7D"/>
    <w:rsid w:val="00D81397"/>
    <w:rsid w:val="00D848B9"/>
    <w:rsid w:val="00D90E69"/>
    <w:rsid w:val="00D93106"/>
    <w:rsid w:val="00D933E9"/>
    <w:rsid w:val="00D9505D"/>
    <w:rsid w:val="00D953D0"/>
    <w:rsid w:val="00D959F5"/>
    <w:rsid w:val="00DB1AD2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590F"/>
    <w:rsid w:val="00DE7DC1"/>
    <w:rsid w:val="00DF7648"/>
    <w:rsid w:val="00E02BAB"/>
    <w:rsid w:val="00E04CEB"/>
    <w:rsid w:val="00E060BC"/>
    <w:rsid w:val="00E11420"/>
    <w:rsid w:val="00E170B7"/>
    <w:rsid w:val="00E177DD"/>
    <w:rsid w:val="00E20900"/>
    <w:rsid w:val="00E20C7F"/>
    <w:rsid w:val="00E2396E"/>
    <w:rsid w:val="00E34A35"/>
    <w:rsid w:val="00E46308"/>
    <w:rsid w:val="00E51E17"/>
    <w:rsid w:val="00E539B0"/>
    <w:rsid w:val="00E55994"/>
    <w:rsid w:val="00E6164D"/>
    <w:rsid w:val="00E618C9"/>
    <w:rsid w:val="00E6307C"/>
    <w:rsid w:val="00E636FA"/>
    <w:rsid w:val="00E66C50"/>
    <w:rsid w:val="00E679D3"/>
    <w:rsid w:val="00E71208"/>
    <w:rsid w:val="00E71444"/>
    <w:rsid w:val="00E773E8"/>
    <w:rsid w:val="00E84F38"/>
    <w:rsid w:val="00E85623"/>
    <w:rsid w:val="00E91FAE"/>
    <w:rsid w:val="00E936D1"/>
    <w:rsid w:val="00E96E3F"/>
    <w:rsid w:val="00EA532E"/>
    <w:rsid w:val="00EB19ED"/>
    <w:rsid w:val="00EC4CEB"/>
    <w:rsid w:val="00ED2072"/>
    <w:rsid w:val="00ED5553"/>
    <w:rsid w:val="00ED5E36"/>
    <w:rsid w:val="00ED6961"/>
    <w:rsid w:val="00EF0B96"/>
    <w:rsid w:val="00EF47AF"/>
    <w:rsid w:val="00F00B73"/>
    <w:rsid w:val="00F115CA"/>
    <w:rsid w:val="00F1510F"/>
    <w:rsid w:val="00F15E5A"/>
    <w:rsid w:val="00F17F0A"/>
    <w:rsid w:val="00F2668F"/>
    <w:rsid w:val="00F340B2"/>
    <w:rsid w:val="00F43390"/>
    <w:rsid w:val="00F50237"/>
    <w:rsid w:val="00F53596"/>
    <w:rsid w:val="00F55BA8"/>
    <w:rsid w:val="00F56ACA"/>
    <w:rsid w:val="00F600FE"/>
    <w:rsid w:val="00F62E4D"/>
    <w:rsid w:val="00F711C9"/>
    <w:rsid w:val="00F831CB"/>
    <w:rsid w:val="00F848A3"/>
    <w:rsid w:val="00F85BF8"/>
    <w:rsid w:val="00F871CE"/>
    <w:rsid w:val="00F87802"/>
    <w:rsid w:val="00F92C0A"/>
    <w:rsid w:val="00F9415B"/>
    <w:rsid w:val="00FA13C2"/>
    <w:rsid w:val="00FB121C"/>
    <w:rsid w:val="00FB2C2F"/>
    <w:rsid w:val="00FB305C"/>
    <w:rsid w:val="00FC2E3D"/>
    <w:rsid w:val="00FD27B6"/>
    <w:rsid w:val="00FD3689"/>
    <w:rsid w:val="00FD42A3"/>
    <w:rsid w:val="00FD7468"/>
    <w:rsid w:val="00FD7CE0"/>
    <w:rsid w:val="00FE1BE2"/>
    <w:rsid w:val="00FE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968056-2675-4A97-87B1-C0E42754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596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17871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217871"/>
    <w:pPr>
      <w:ind w:left="1894"/>
    </w:pPr>
  </w:style>
  <w:style w:type="character" w:customStyle="1" w:styleId="ZTIRwPKTzmtirwpktartykuempunktemZnak">
    <w:name w:val="Z/TIR_w_PKT – zm. tir. w pkt artykułem (punktem) Znak"/>
    <w:basedOn w:val="TIRtiretZnak"/>
    <w:link w:val="ZTIRwPKTzmtirwpktartykuempunktem"/>
    <w:uiPriority w:val="35"/>
    <w:rsid w:val="00BC7443"/>
    <w:rPr>
      <w:rFonts w:eastAsiaTheme="minorEastAsia" w:cs="Arial"/>
      <w:bCs/>
      <w:szCs w:val="20"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217871"/>
    <w:pPr>
      <w:ind w:left="1021"/>
    </w:p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217871"/>
    <w:pPr>
      <w:ind w:left="2177"/>
    </w:pPr>
  </w:style>
  <w:style w:type="character" w:customStyle="1" w:styleId="ZCZWSPLITwPKTzmczciwsplitwpktartykuempunktemZnak">
    <w:name w:val="Z/CZ_WSP_LIT_w_PKT – zm. części wsp. lit. w pkt artykułem (punktem) Znak"/>
    <w:basedOn w:val="CZWSPLITczwsplnaliterZnak"/>
    <w:link w:val="ZCZWSPLITwPKTzmczciwsplitwpktartykuempunktem"/>
    <w:uiPriority w:val="37"/>
    <w:rsid w:val="00BC7443"/>
    <w:rPr>
      <w:rFonts w:eastAsiaTheme="minorEastAsia" w:cs="Arial"/>
      <w:bCs/>
      <w:szCs w:val="20"/>
    </w:rPr>
  </w:style>
  <w:style w:type="character" w:customStyle="1" w:styleId="2TIRpodwjnytiretZnak">
    <w:name w:val="2TIR – podwójny tiret Znak"/>
    <w:basedOn w:val="TIRtiretZnak"/>
    <w:link w:val="2TIRpodwjnytiret"/>
    <w:uiPriority w:val="71"/>
    <w:rsid w:val="00217871"/>
    <w:rPr>
      <w:rFonts w:eastAsiaTheme="minorEastAsia" w:cs="Arial"/>
      <w:bCs/>
      <w:szCs w:val="20"/>
    </w:r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217871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217871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basedOn w:val="CZWSPTIRczwsplnatiretZnak"/>
    <w:link w:val="ZCZWSPTIRwPKTzmczciwsptirwpktartykuempunktem"/>
    <w:uiPriority w:val="38"/>
    <w:rsid w:val="00BC7443"/>
    <w:rPr>
      <w:rFonts w:eastAsiaTheme="minorEastAsia" w:cs="Arial"/>
      <w:bCs/>
      <w:szCs w:val="20"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217871"/>
  </w:style>
  <w:style w:type="character" w:customStyle="1" w:styleId="ZTIRwLITzmtirwlitartykuempunktemZnak">
    <w:name w:val="Z/TIR_w_LIT – zm. tir. w lit. artykułem (punktem) Znak"/>
    <w:basedOn w:val="TIRtiretZnak"/>
    <w:link w:val="ZTIRwLITzmtirwlitartykuempunktem"/>
    <w:uiPriority w:val="35"/>
    <w:rsid w:val="00BC7443"/>
    <w:rPr>
      <w:rFonts w:eastAsiaTheme="minorEastAsia" w:cs="Arial"/>
      <w:bCs/>
      <w:szCs w:val="20"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217871"/>
  </w:style>
  <w:style w:type="character" w:customStyle="1" w:styleId="ZCZWSPTIRwLITzmczciwsptirwlitartykuempunktemZnak">
    <w:name w:val="Z/CZ_WSP_TIR_w_LIT – zm. części wsp. tir. w lit. artykułem (punktem) Znak"/>
    <w:basedOn w:val="CZWSPTIRczwsplnatiretZnak"/>
    <w:link w:val="ZCZWSPTIRwLITzmczciwsptirwlitartykuempunktem"/>
    <w:uiPriority w:val="38"/>
    <w:rsid w:val="00BC7443"/>
    <w:rPr>
      <w:rFonts w:eastAsiaTheme="minorEastAsia" w:cs="Arial"/>
      <w:bCs/>
      <w:szCs w:val="20"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4C3F97"/>
    <w:pPr>
      <w:spacing w:before="60"/>
      <w:ind w:left="51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217871"/>
    <w:rPr>
      <w:rFonts w:eastAsiaTheme="minorEastAsia" w:cs="Arial"/>
      <w:szCs w:val="20"/>
    </w:rPr>
  </w:style>
  <w:style w:type="character" w:customStyle="1" w:styleId="nowelaZnak">
    <w:name w:val="nowela Znak"/>
    <w:basedOn w:val="ARTartustawynprozporzdzeniaZnak"/>
    <w:link w:val="nowela"/>
    <w:uiPriority w:val="99"/>
    <w:semiHidden/>
    <w:locked/>
    <w:rsid w:val="004504C0"/>
    <w:rPr>
      <w:rFonts w:eastAsiaTheme="minorEastAsia" w:cs="Arial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217871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17871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217871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2"/>
    <w:rsid w:val="00217871"/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6"/>
    <w:qFormat/>
    <w:rsid w:val="00217871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217871"/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2A570F"/>
    <w:pPr>
      <w:keepNext/>
      <w:suppressAutoHyphens/>
      <w:spacing w:before="120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basedOn w:val="Domylnaczcionkaakapitu"/>
    <w:link w:val="CZKSIGAoznaczenieiprzedmiotczcilubksigi"/>
    <w:uiPriority w:val="5"/>
    <w:rsid w:val="002A57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217871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217871"/>
    <w:rPr>
      <w:rFonts w:eastAsiaTheme="minorEastAsia" w:cs="Arial"/>
      <w:bCs/>
      <w:szCs w:val="20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2A570F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2A57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217871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217871"/>
    <w:rPr>
      <w:rFonts w:eastAsiaTheme="minorEastAsia" w:cs="Arial"/>
      <w:bCs/>
      <w:szCs w:val="20"/>
    </w:rPr>
  </w:style>
  <w:style w:type="paragraph" w:customStyle="1" w:styleId="PKTpunkt">
    <w:name w:val="PKT – punkt"/>
    <w:basedOn w:val="USTustnpkodeksu"/>
    <w:link w:val="PKTpunktZnak"/>
    <w:uiPriority w:val="13"/>
    <w:qFormat/>
    <w:rsid w:val="00217871"/>
    <w:pPr>
      <w:ind w:left="510" w:hanging="51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217871"/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217871"/>
    <w:pPr>
      <w:ind w:left="0" w:firstLine="0"/>
    </w:pPr>
  </w:style>
  <w:style w:type="character" w:customStyle="1" w:styleId="CZWSPPKTczwsplnapunktwZnak">
    <w:name w:val="CZ_WSP_PKT – część wspólna punktów Znak"/>
    <w:basedOn w:val="PKTpunktZnak"/>
    <w:link w:val="CZWSPPKTczwsplnapunktw"/>
    <w:uiPriority w:val="19"/>
    <w:rsid w:val="00217871"/>
    <w:rPr>
      <w:rFonts w:eastAsiaTheme="minorEastAsia" w:cs="Arial"/>
      <w:bCs/>
      <w:szCs w:val="20"/>
    </w:rPr>
  </w:style>
  <w:style w:type="paragraph" w:customStyle="1" w:styleId="LITlitera">
    <w:name w:val="LIT – litera"/>
    <w:basedOn w:val="PKTpunkt"/>
    <w:link w:val="LITliteraZnak"/>
    <w:uiPriority w:val="17"/>
    <w:qFormat/>
    <w:rsid w:val="00217871"/>
    <w:pPr>
      <w:ind w:left="986" w:hanging="476"/>
    </w:pPr>
  </w:style>
  <w:style w:type="character" w:customStyle="1" w:styleId="LITliteraZnak">
    <w:name w:val="LIT – litera Znak"/>
    <w:basedOn w:val="PKTpunktZnak"/>
    <w:link w:val="LITlitera"/>
    <w:uiPriority w:val="17"/>
    <w:rsid w:val="00217871"/>
    <w:rPr>
      <w:rFonts w:eastAsiaTheme="minorEastAsia" w:cs="Arial"/>
      <w:bCs/>
      <w:szCs w:val="20"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217871"/>
    <w:pPr>
      <w:ind w:left="510" w:firstLine="0"/>
    </w:pPr>
    <w:rPr>
      <w:szCs w:val="24"/>
    </w:rPr>
  </w:style>
  <w:style w:type="character" w:customStyle="1" w:styleId="CZWSPLITczwsplnaliterZnak">
    <w:name w:val="CZ_WSP_LIT – część wspólna liter Znak"/>
    <w:basedOn w:val="LITliteraZnak"/>
    <w:link w:val="CZWSPLITczwsplnaliter"/>
    <w:uiPriority w:val="20"/>
    <w:rsid w:val="00217871"/>
    <w:rPr>
      <w:rFonts w:eastAsiaTheme="minorEastAsia" w:cs="Arial"/>
      <w:bCs/>
      <w:szCs w:val="20"/>
    </w:rPr>
  </w:style>
  <w:style w:type="paragraph" w:customStyle="1" w:styleId="TIRtiret">
    <w:name w:val="TIR – tiret"/>
    <w:basedOn w:val="LITlitera"/>
    <w:link w:val="TIRtiretZnak"/>
    <w:uiPriority w:val="18"/>
    <w:qFormat/>
    <w:rsid w:val="00217871"/>
    <w:pPr>
      <w:ind w:left="1384" w:hanging="397"/>
    </w:pPr>
  </w:style>
  <w:style w:type="character" w:customStyle="1" w:styleId="TIRtiretZnak">
    <w:name w:val="TIR – tiret Znak"/>
    <w:basedOn w:val="Domylnaczcionkaakapitu"/>
    <w:link w:val="TIRtiret"/>
    <w:uiPriority w:val="18"/>
    <w:rsid w:val="00217871"/>
    <w:rPr>
      <w:rFonts w:eastAsiaTheme="minorEastAsia" w:cs="Arial"/>
      <w:bCs/>
      <w:szCs w:val="20"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217871"/>
    <w:pPr>
      <w:ind w:left="987" w:firstLine="0"/>
    </w:pPr>
  </w:style>
  <w:style w:type="character" w:customStyle="1" w:styleId="CZWSPTIRczwsplnatiretZnak">
    <w:name w:val="CZ_WSP_TIR – część wspólna tiret Znak"/>
    <w:basedOn w:val="TIRtiretZnak"/>
    <w:link w:val="CZWSPTIRczwsplnatiret"/>
    <w:uiPriority w:val="21"/>
    <w:rsid w:val="00217871"/>
    <w:rPr>
      <w:rFonts w:eastAsiaTheme="minorEastAsia" w:cs="Arial"/>
      <w:bCs/>
      <w:szCs w:val="20"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217871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217871"/>
    <w:rPr>
      <w:rFonts w:eastAsiaTheme="minorEastAsia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217871"/>
    <w:pPr>
      <w:keepNext/>
      <w:suppressAutoHyphens/>
      <w:spacing w:before="120"/>
      <w:jc w:val="center"/>
    </w:pPr>
    <w:rPr>
      <w:rFonts w:eastAsiaTheme="minorEastAsia"/>
      <w:b/>
      <w:bCs/>
    </w:rPr>
  </w:style>
  <w:style w:type="character" w:customStyle="1" w:styleId="ROZDZODDZPRZEDMprzedmiotregulacjirozdziauluboddziauZnak">
    <w:name w:val="ROZDZ(ODDZ)_PRZEDM – przedmiot regulacji rozdziału lub oddziału Znak"/>
    <w:basedOn w:val="Domylnaczcionkaakapitu"/>
    <w:link w:val="ROZDZODDZPRZEDMprzedmiotregulacjirozdziauluboddziau"/>
    <w:uiPriority w:val="9"/>
    <w:rsid w:val="00217871"/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217871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217871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7"/>
    <w:qFormat/>
    <w:rsid w:val="00217871"/>
    <w:pPr>
      <w:ind w:left="1860"/>
    </w:p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217871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8971B5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character" w:customStyle="1" w:styleId="TYTDZOZNoznaczenietytuulubdziauZnak">
    <w:name w:val="TYT(DZ)_OZN – oznaczenie tytułu lub działu Znak"/>
    <w:basedOn w:val="Domylnaczcionkaakapitu"/>
    <w:link w:val="TYTDZOZNoznaczenietytuulubdziau"/>
    <w:uiPriority w:val="6"/>
    <w:rsid w:val="00217871"/>
    <w:rPr>
      <w:rFonts w:eastAsiaTheme="minorEastAsia" w:cs="Arial"/>
      <w:bCs/>
      <w:caps/>
      <w:kern w:val="24"/>
    </w:rPr>
  </w:style>
  <w:style w:type="character" w:customStyle="1" w:styleId="WMATFIZCHEMwzorymatfizlubchemiichlegendyZnak">
    <w:name w:val="W_MAT(FIZ|CHEM) – wzory mat. (fiz. lub chem.) i ich legendy Znak"/>
    <w:basedOn w:val="Domylnaczcionkaakapitu"/>
    <w:link w:val="WMATFIZCHEMwzorymatfizlubchemiichlegendy"/>
    <w:uiPriority w:val="22"/>
    <w:rsid w:val="008971B5"/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217871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basedOn w:val="TYTDZOZNoznaczenietytuulubdziauZnak"/>
    <w:link w:val="ZTYTDZOZNzmozntytuudziauartykuempunktem"/>
    <w:uiPriority w:val="30"/>
    <w:rsid w:val="00BC7443"/>
    <w:rPr>
      <w:rFonts w:eastAsiaTheme="minorEastAsia"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2A570F"/>
    <w:pPr>
      <w:keepNext/>
      <w:suppressAutoHyphens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basedOn w:val="Domylnaczcionkaakapitu"/>
    <w:link w:val="ZTYTDZPRZEDMzmprzedmtytuulubdziauartykuempunktem"/>
    <w:uiPriority w:val="30"/>
    <w:rsid w:val="00BC7443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217871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217871"/>
    <w:pPr>
      <w:ind w:left="510"/>
    </w:pPr>
  </w:style>
  <w:style w:type="paragraph" w:customStyle="1" w:styleId="ZZLITzmianazmlit">
    <w:name w:val="ZZ/LIT – zmiana zm. lit."/>
    <w:basedOn w:val="ZZPKTzmianazmpkt"/>
    <w:uiPriority w:val="61"/>
    <w:qFormat/>
    <w:rsid w:val="00217871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217871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2A570F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basedOn w:val="Domylnaczcionkaakapitu"/>
    <w:link w:val="ZROZDZODDZOZNzmoznrozdzoddzartykuempunktem"/>
    <w:uiPriority w:val="31"/>
    <w:rsid w:val="00BC7443"/>
    <w:rPr>
      <w:rFonts w:eastAsiaTheme="minorEastAsia" w:cs="Arial"/>
      <w:bCs/>
      <w:kern w:val="24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BC7443"/>
    <w:rPr>
      <w:rFonts w:eastAsiaTheme="minorEastAsia" w:cs="Arial"/>
      <w:bCs/>
      <w:szCs w:val="20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217871"/>
    <w:pPr>
      <w:ind w:left="987"/>
    </w:pPr>
  </w:style>
  <w:style w:type="paragraph" w:customStyle="1" w:styleId="ZLITPKTzmpktliter">
    <w:name w:val="Z_LIT/PKT – zm. pkt literą"/>
    <w:basedOn w:val="PKTpunkt"/>
    <w:uiPriority w:val="45"/>
    <w:qFormat/>
    <w:rsid w:val="00217871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217871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217871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217871"/>
    <w:pPr>
      <w:ind w:left="987"/>
    </w:pPr>
  </w:style>
  <w:style w:type="paragraph" w:customStyle="1" w:styleId="ZLITTIRzmtirliter">
    <w:name w:val="Z_LIT/TIR – zm. tir. literą"/>
    <w:basedOn w:val="TIRtiret"/>
    <w:uiPriority w:val="47"/>
    <w:qFormat/>
    <w:rsid w:val="00217871"/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217871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217871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217871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7"/>
    <w:qFormat/>
    <w:rsid w:val="00217871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217871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217871"/>
    <w:pPr>
      <w:ind w:left="1859"/>
    </w:pPr>
  </w:style>
  <w:style w:type="character" w:customStyle="1" w:styleId="ZTIRLITzmlittiretZnak">
    <w:name w:val="Z_TIR/LIT – zm. lit. tiret Znak"/>
    <w:basedOn w:val="LITliteraZnak"/>
    <w:link w:val="ZTIRLITzmli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217871"/>
    <w:pPr>
      <w:ind w:left="1383"/>
    </w:pPr>
  </w:style>
  <w:style w:type="character" w:customStyle="1" w:styleId="ZTIRCZWSPPKTzmczciwsppkttiretZnak">
    <w:name w:val="Z_TIR/CZ_WSP_PKT – zm. części wsp. pkt tiret Znak"/>
    <w:basedOn w:val="CZWSPLITczwsplnaliterZnak"/>
    <w:link w:val="ZTIRCZWSPPKTzmczciwsppkttiret"/>
    <w:uiPriority w:val="56"/>
    <w:rsid w:val="00217871"/>
    <w:rPr>
      <w:rFonts w:eastAsiaTheme="minorEastAsia" w:cs="Arial"/>
      <w:bCs/>
      <w:szCs w:val="20"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217871"/>
    <w:pPr>
      <w:ind w:left="1780"/>
    </w:pPr>
  </w:style>
  <w:style w:type="character" w:customStyle="1" w:styleId="ZTIRTIRzmtirtiretZnak">
    <w:name w:val="Z_TIR/TIR – zm. tir. tiret Znak"/>
    <w:basedOn w:val="TIRtiretZnak"/>
    <w:link w:val="ZTIRTIRzmtirtiret"/>
    <w:uiPriority w:val="55"/>
    <w:rsid w:val="00217871"/>
    <w:rPr>
      <w:rFonts w:eastAsiaTheme="minorEastAsia" w:cs="Arial"/>
      <w:bCs/>
      <w:szCs w:val="20"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217871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217871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217871"/>
    <w:pPr>
      <w:ind w:left="2257"/>
    </w:pPr>
  </w:style>
  <w:style w:type="character" w:customStyle="1" w:styleId="ZTIRTIRwLITzmtirwlittiretZnak">
    <w:name w:val="Z_TIR/TIR_w_LIT – zm. tir. w lit. tiret Znak"/>
    <w:basedOn w:val="TIRtiretZnak"/>
    <w:link w:val="ZTIRTIRwLITzmtirwli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217871"/>
    <w:pPr>
      <w:ind w:left="1860"/>
    </w:pPr>
  </w:style>
  <w:style w:type="character" w:customStyle="1" w:styleId="ZTIRCZWSPTIRwLITzmczciwsptirwlittiretZnak">
    <w:name w:val="Z_TIR/CZ_WSP_TIR_w_LIT – zm. części wsp. tir. w lit. tiret Znak"/>
    <w:basedOn w:val="CZWSPTIRczwsplnatiretZnak"/>
    <w:link w:val="ZTIRCZWSPTIRwLITzmczciwsptirwlittiret"/>
    <w:uiPriority w:val="58"/>
    <w:rsid w:val="00217871"/>
    <w:rPr>
      <w:rFonts w:eastAsiaTheme="minorEastAsia" w:cs="Arial"/>
      <w:bCs/>
      <w:szCs w:val="20"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217871"/>
    <w:pPr>
      <w:ind w:left="1780"/>
    </w:pPr>
  </w:style>
  <w:style w:type="character" w:customStyle="1" w:styleId="CZWSP2TIRczwsplnapodwjnychtiretZnak">
    <w:name w:val="CZ_WSP_2TIR – część wspólna podwójnych tiret Znak"/>
    <w:basedOn w:val="CZWSPTIRczwsplnatiretZnak"/>
    <w:link w:val="CZWSP2TIRczwsplnapodwjnychtiret"/>
    <w:uiPriority w:val="71"/>
    <w:rsid w:val="00217871"/>
    <w:rPr>
      <w:rFonts w:eastAsiaTheme="minorEastAsia" w:cs="Arial"/>
      <w:bCs/>
      <w:szCs w:val="20"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217871"/>
    <w:pPr>
      <w:ind w:left="907"/>
    </w:pPr>
  </w:style>
  <w:style w:type="character" w:customStyle="1" w:styleId="Z2TIRzmpodwtirartykuempunktemZnak">
    <w:name w:val="Z/2TIR – zm. podw. tir. artykułem (punktem) Znak"/>
    <w:basedOn w:val="TIRtiretZnak"/>
    <w:link w:val="Z2TIRzmpodwtirartykuempunktem"/>
    <w:uiPriority w:val="71"/>
    <w:rsid w:val="00217871"/>
    <w:rPr>
      <w:rFonts w:eastAsiaTheme="minorEastAsia" w:cs="Arial"/>
      <w:bCs/>
      <w:szCs w:val="20"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217871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217871"/>
  </w:style>
  <w:style w:type="character" w:customStyle="1" w:styleId="ZLIT2TIRzmpodwtirliterZnak">
    <w:name w:val="Z_LIT/2TIR – zm. podw. tir. literą Znak"/>
    <w:basedOn w:val="TIRtiretZnak"/>
    <w:link w:val="ZLIT2TIRzmpodwtirliter"/>
    <w:uiPriority w:val="75"/>
    <w:rsid w:val="00217871"/>
    <w:rPr>
      <w:rFonts w:eastAsiaTheme="minorEastAsia" w:cs="Arial"/>
      <w:bCs/>
      <w:szCs w:val="20"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217871"/>
    <w:pPr>
      <w:ind w:left="1780"/>
    </w:pPr>
  </w:style>
  <w:style w:type="character" w:customStyle="1" w:styleId="ZTIR2TIRzmpodwtirtiretZnak">
    <w:name w:val="Z_TIR/2TIR – zm. podw. tir. tiret Znak"/>
    <w:basedOn w:val="TIRtiretZnak"/>
    <w:link w:val="ZTIR2TIRzmpodwtirtiret"/>
    <w:uiPriority w:val="80"/>
    <w:rsid w:val="00217871"/>
    <w:rPr>
      <w:rFonts w:eastAsiaTheme="minorEastAsia" w:cs="Arial"/>
      <w:bCs/>
      <w:szCs w:val="20"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217871"/>
    <w:pPr>
      <w:ind w:left="1780"/>
    </w:pPr>
  </w:style>
  <w:style w:type="character" w:customStyle="1" w:styleId="Z2TIRCZWSPLITzmczciwsplitpodwjnymtiretZnak">
    <w:name w:val="Z_2TIR/CZ_WSP_LIT – zm. części wsp. lit. podwójnym tiret Znak"/>
    <w:basedOn w:val="CZWSPTIRczwsplnatiretZnak"/>
    <w:link w:val="Z2TIRCZWSPLITzmczciwsp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217871"/>
    <w:pPr>
      <w:ind w:left="2291"/>
    </w:pPr>
  </w:style>
  <w:style w:type="character" w:customStyle="1" w:styleId="Z2TIRwPKTzmpodwtirwpktartykuempunktemZnak">
    <w:name w:val="Z/2TIR_w_PKT – zm. podw. tir. w pkt artykułem (punktem) Znak"/>
    <w:basedOn w:val="TIRtiretZnak"/>
    <w:link w:val="Z2TIRwPKTzmpodwtirwpktartykuempunktem"/>
    <w:uiPriority w:val="72"/>
    <w:rsid w:val="00217871"/>
    <w:rPr>
      <w:rFonts w:eastAsiaTheme="minorEastAsia" w:cs="Arial"/>
      <w:bCs/>
      <w:szCs w:val="20"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217871"/>
    <w:pPr>
      <w:ind w:left="1893"/>
    </w:pPr>
  </w:style>
  <w:style w:type="character" w:customStyle="1" w:styleId="ZTIRPKTzmpkttiretZnak">
    <w:name w:val="Z_TIR/PKT – zm. pkt tiret Znak"/>
    <w:basedOn w:val="PKTpunktZnak"/>
    <w:link w:val="ZTIRPKTzmpkttiret"/>
    <w:uiPriority w:val="54"/>
    <w:rsid w:val="00217871"/>
    <w:rPr>
      <w:rFonts w:eastAsiaTheme="minorEastAsia" w:cs="Arial"/>
      <w:bCs/>
      <w:szCs w:val="20"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217871"/>
    <w:pPr>
      <w:ind w:left="2336"/>
    </w:pPr>
  </w:style>
  <w:style w:type="character" w:customStyle="1" w:styleId="ZTIRLITwPKTzmlitwpkttiretZnak">
    <w:name w:val="Z_TIR/LIT_w_PKT – zm. lit. w pkt tiret Znak"/>
    <w:basedOn w:val="LITliteraZnak"/>
    <w:link w:val="ZTIRLITwPKTzmlitwpk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8"/>
    <w:qFormat/>
    <w:rsid w:val="00217871"/>
    <w:pPr>
      <w:ind w:left="1860"/>
    </w:pPr>
  </w:style>
  <w:style w:type="character" w:customStyle="1" w:styleId="ZTIRCZWSPLITwPKTzmczciwsplitwpkttiretZnak">
    <w:name w:val="Z_TIR/CZ_WSP_LIT_w_PKT – zm. części wsp. lit. w pkt tiret Znak"/>
    <w:basedOn w:val="CZWSPLITczwsplnaliterZnak"/>
    <w:link w:val="ZTIRCZWSPLITwPKTzmczciwsplitwpkttiret"/>
    <w:uiPriority w:val="58"/>
    <w:rsid w:val="00217871"/>
    <w:rPr>
      <w:rFonts w:eastAsiaTheme="minorEastAsia" w:cs="Arial"/>
      <w:bCs/>
      <w:szCs w:val="20"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217871"/>
    <w:pPr>
      <w:ind w:left="2654"/>
    </w:pPr>
  </w:style>
  <w:style w:type="character" w:customStyle="1" w:styleId="ZTIR2TIRwLITzmpodwtirwlittiretZnak">
    <w:name w:val="Z_TIR/2TIR_w_LIT – zm. podw. tir. w lit. tiret Znak"/>
    <w:basedOn w:val="TIRtiretZnak"/>
    <w:link w:val="ZTIR2TIRwLITzmpodwtirwlittiret"/>
    <w:uiPriority w:val="81"/>
    <w:rsid w:val="00217871"/>
    <w:rPr>
      <w:rFonts w:eastAsiaTheme="minorEastAsia" w:cs="Arial"/>
      <w:bCs/>
      <w:szCs w:val="20"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217871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basedOn w:val="CZWSPTIRczwsplnatiretZnak"/>
    <w:link w:val="ZTIRCZWSP2TIRwLITzmczciwsppodwtirwlittiret"/>
    <w:uiPriority w:val="82"/>
    <w:rsid w:val="00217871"/>
    <w:rPr>
      <w:rFonts w:eastAsiaTheme="minorEastAsia" w:cs="Arial"/>
      <w:bCs/>
      <w:szCs w:val="20"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217871"/>
    <w:pPr>
      <w:ind w:left="2177"/>
    </w:pPr>
  </w:style>
  <w:style w:type="character" w:customStyle="1" w:styleId="ZTIR2TIRwTIRzmpodwtirwtirtiretZnak">
    <w:name w:val="Z_TIR/2TIR_w_TIR – zm. podw. tir. w tir. tiret Znak"/>
    <w:basedOn w:val="TIRtiretZnak"/>
    <w:link w:val="ZTIR2TIRwTIRzmpodwtirwtirtiret"/>
    <w:uiPriority w:val="80"/>
    <w:rsid w:val="00217871"/>
    <w:rPr>
      <w:rFonts w:eastAsiaTheme="minorEastAsia" w:cs="Arial"/>
      <w:bCs/>
      <w:szCs w:val="20"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217871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basedOn w:val="CZWSPTIRczwsplnatiretZnak"/>
    <w:link w:val="ZTIRCZWSP2TIRwTIRzmczciwsppodwtirwtirtiret"/>
    <w:uiPriority w:val="81"/>
    <w:rsid w:val="00217871"/>
    <w:rPr>
      <w:rFonts w:eastAsiaTheme="minorEastAsia" w:cs="Arial"/>
      <w:bCs/>
      <w:szCs w:val="20"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217871"/>
    <w:pPr>
      <w:ind w:left="2256"/>
    </w:pPr>
  </w:style>
  <w:style w:type="character" w:customStyle="1" w:styleId="Z2TIRLITzmlitpodwjnymtiretZnak">
    <w:name w:val="Z_2TIR/LIT – zm. lit. podwójnym tiret Znak"/>
    <w:basedOn w:val="LITliteraZnak"/>
    <w:link w:val="Z2TIRLITzmlit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Z2TIRwTIRzmianazmpodwtirwtir">
    <w:name w:val="ZZ/2TIR_w_TIR – zmiana zm. podw. tir. w tir."/>
    <w:basedOn w:val="ZZCZWSP2TIRzmianazmczciwsppodwtir"/>
    <w:uiPriority w:val="90"/>
    <w:qFormat/>
    <w:rsid w:val="00217871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1"/>
    <w:qFormat/>
    <w:rsid w:val="00217871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217871"/>
    <w:pPr>
      <w:ind w:left="2654"/>
    </w:pPr>
  </w:style>
  <w:style w:type="character" w:customStyle="1" w:styleId="Z2TIRTIRwLITzmtirwlitpodwjnymtiretZnak">
    <w:name w:val="Z_2TIR/TIR_w_LIT – zm. tir. w lit. podwójnym tiret Znak"/>
    <w:basedOn w:val="TIRtiretZnak"/>
    <w:link w:val="Z2TIRTIRwLITzmtirwlit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217871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basedOn w:val="CZWSPTIRczwsplnatiretZnak"/>
    <w:link w:val="Z2TIRCZWSPTIRwLITzmczciwsptirw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Z2TIRwPKTzmianazmpodwtirwpkt">
    <w:name w:val="ZZ/2TIR_w_PKT – zmiana zm. podw. tir. w pkt"/>
    <w:basedOn w:val="ZZ2TIRwLITzmianazmpodwtirwlit"/>
    <w:uiPriority w:val="91"/>
    <w:qFormat/>
    <w:rsid w:val="00217871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5"/>
    <w:qFormat/>
    <w:rsid w:val="00217871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217871"/>
    <w:pPr>
      <w:ind w:left="2574"/>
    </w:pPr>
  </w:style>
  <w:style w:type="character" w:customStyle="1" w:styleId="Z2TIR2TIRwTIRzmpodwtirwtirpodwjnymtiretZnak">
    <w:name w:val="Z_2TIR/2TIR_w_TIR – zm. podw. tir. w tir. podwójnym tiret Znak"/>
    <w:basedOn w:val="TIRtiretZnak"/>
    <w:link w:val="Z2TIR2TIRwTIRzmpodwtirwtirpodwjnymtiret"/>
    <w:uiPriority w:val="84"/>
    <w:rsid w:val="00217871"/>
    <w:rPr>
      <w:rFonts w:eastAsiaTheme="minorEastAsia" w:cs="Arial"/>
      <w:bCs/>
      <w:szCs w:val="20"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217871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basedOn w:val="CZWSPTIRczwsplnatiretZnak"/>
    <w:link w:val="Z2TIRCZWSP2TIRwTIRzmczciwsppodwtirwtiretpodwjnymtiret"/>
    <w:uiPriority w:val="86"/>
    <w:rsid w:val="00217871"/>
    <w:rPr>
      <w:rFonts w:eastAsiaTheme="minorEastAsia" w:cs="Arial"/>
      <w:bCs/>
      <w:szCs w:val="20"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217871"/>
    <w:pPr>
      <w:ind w:left="3051"/>
    </w:pPr>
  </w:style>
  <w:style w:type="character" w:customStyle="1" w:styleId="Z2TIR2TIRwLITzmpodwtirwlitpodwjnymtiretZnak">
    <w:name w:val="Z_2TIR/2TIR_w_LIT – zm. podw. tir. w lit. podwójnym tiret Znak"/>
    <w:basedOn w:val="TIRtiretZnak"/>
    <w:link w:val="Z2TIR2TIRwLITzmpodwtirw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217871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basedOn w:val="CZWSPTIRczwsplnatiretZnak"/>
    <w:link w:val="Z2TIRCZWSP2TIRwLITzmczciwsppodwtirwlitpodwjnymtiret"/>
    <w:uiPriority w:val="87"/>
    <w:rsid w:val="00217871"/>
    <w:rPr>
      <w:rFonts w:eastAsiaTheme="minorEastAsia" w:cs="Arial"/>
      <w:bCs/>
      <w:szCs w:val="20"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217871"/>
    <w:pPr>
      <w:ind w:left="510"/>
    </w:pPr>
    <w:rPr>
      <w:b w:val="0"/>
    </w:rPr>
  </w:style>
  <w:style w:type="character" w:customStyle="1" w:styleId="ZCZCIKSIGIzmozniprzedmczciksigiartykuempunktemZnak">
    <w:name w:val="Z/CZĘŚCI(KSIĘGI) – zm. ozn. i przedm. części (księgi) artykułem (punktem) Znak"/>
    <w:basedOn w:val="CZKSIGAoznaczenieiprzedmiotczcilubksigiZnak"/>
    <w:link w:val="ZCZCIKSIGIzmozniprzedmczciksigiartykuempunktem"/>
    <w:uiPriority w:val="30"/>
    <w:rsid w:val="00BC7443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217871"/>
    <w:pPr>
      <w:ind w:left="510"/>
    </w:pPr>
    <w:rPr>
      <w:b w:val="0"/>
    </w:rPr>
  </w:style>
  <w:style w:type="character" w:customStyle="1" w:styleId="ZROZDZODDZPRZEDMzmprzedmrozdzoddzartykuempunktemZnak">
    <w:name w:val="Z/ROZDZ(ODDZ)_PRZEDM – zm. przedm. rozdz. (oddz.) artykułem (punktem) Znak"/>
    <w:basedOn w:val="ROZDZODDZPRZEDMprzedmiotregulacjirozdziauluboddziauZnak"/>
    <w:link w:val="ZROZDZODDZPRZEDMzmprzedmrozdzoddzartykuempunktem"/>
    <w:uiPriority w:val="31"/>
    <w:rsid w:val="00BC7443"/>
    <w:rPr>
      <w:rFonts w:eastAsiaTheme="minorEastAsia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217871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217871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217871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217871"/>
    <w:pPr>
      <w:ind w:left="3277"/>
    </w:p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8971B5"/>
    <w:pPr>
      <w:ind w:left="1497"/>
    </w:pPr>
  </w:style>
  <w:style w:type="paragraph" w:customStyle="1" w:styleId="ODNONIKtreodnonika">
    <w:name w:val="ODNOŚNIK – treść odnośnika"/>
    <w:uiPriority w:val="25"/>
    <w:qFormat/>
    <w:rsid w:val="00E02BAB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217871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21787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7"/>
    <w:qFormat/>
    <w:rsid w:val="0021787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217871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217871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4"/>
    <w:qFormat/>
    <w:rsid w:val="00E96E3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217871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basedOn w:val="Domylnaczcionkaakapitu"/>
    <w:link w:val="ROZDZODDZOZNoznaczenierozdziauluboddziau"/>
    <w:uiPriority w:val="8"/>
    <w:rsid w:val="00217871"/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217871"/>
    <w:pPr>
      <w:ind w:left="2177"/>
    </w:pPr>
  </w:style>
  <w:style w:type="character" w:customStyle="1" w:styleId="Z2TIR2TIRzmpodwtirpodwjnymtiretZnak">
    <w:name w:val="Z_2TIR/2TIR – zm. podw. tir. podwójnym tiret Znak"/>
    <w:basedOn w:val="TIRtiretZnak"/>
    <w:link w:val="Z2TIR2TIRzmpodwtirpodwjnymtiret"/>
    <w:uiPriority w:val="84"/>
    <w:rsid w:val="00217871"/>
    <w:rPr>
      <w:rFonts w:eastAsiaTheme="minorEastAsia" w:cs="Arial"/>
      <w:bCs/>
      <w:szCs w:val="20"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217871"/>
    <w:pPr>
      <w:ind w:left="2177"/>
    </w:pPr>
  </w:style>
  <w:style w:type="character" w:customStyle="1" w:styleId="Z2TIRTIRzmtirpodwjnymtiretZnak">
    <w:name w:val="Z_2TIR/TIR – zm. tir. podwójnym tiret Znak"/>
    <w:basedOn w:val="TIRtiretZnak"/>
    <w:link w:val="Z2TIRTIRzmtir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217871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217871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217871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217871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217871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217871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217871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217871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217871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17871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E02BA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8971B5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2"/>
    <w:qFormat/>
    <w:rsid w:val="008971B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8971B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17871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17871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17871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217871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217871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217871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217871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217871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6"/>
    <w:qFormat/>
    <w:rsid w:val="00217871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6"/>
    <w:qFormat/>
    <w:rsid w:val="00217871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21787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21787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217871"/>
  </w:style>
  <w:style w:type="paragraph" w:customStyle="1" w:styleId="ZZ2TIRzmianazmpodwtir">
    <w:name w:val="ZZ/2TIR – zmiana zm. podw. tir."/>
    <w:basedOn w:val="ZZCZWSP2TIRzmianazmczciwsppodwtir"/>
    <w:uiPriority w:val="90"/>
    <w:qFormat/>
    <w:rsid w:val="00217871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21787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21787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21787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49"/>
    <w:qFormat/>
    <w:rsid w:val="0021787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21787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7"/>
    <w:qFormat/>
    <w:rsid w:val="00217871"/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217871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21787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21787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21787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17871"/>
  </w:style>
  <w:style w:type="paragraph" w:customStyle="1" w:styleId="ZZUSTzmianazmust">
    <w:name w:val="ZZ/UST(§) – zmiana zm. ust. (§)"/>
    <w:basedOn w:val="ZZARTzmianazmart"/>
    <w:uiPriority w:val="60"/>
    <w:qFormat/>
    <w:rsid w:val="00217871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2A570F"/>
    <w:pPr>
      <w:keepNext/>
      <w:suppressAutoHyphens/>
      <w:spacing w:before="120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basedOn w:val="Domylnaczcionkaakapitu"/>
    <w:link w:val="TYTDZPRZEDMprzedmiotregulacjitytuulubdziau"/>
    <w:uiPriority w:val="7"/>
    <w:rsid w:val="002A57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217871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7"/>
    <w:qFormat/>
    <w:rsid w:val="00217871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7"/>
    <w:qFormat/>
    <w:rsid w:val="00217871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7"/>
    <w:qFormat/>
    <w:rsid w:val="00217871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8"/>
    <w:qFormat/>
    <w:rsid w:val="00217871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8"/>
    <w:qFormat/>
    <w:rsid w:val="00217871"/>
    <w:pPr>
      <w:ind w:left="1894"/>
    </w:p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9B16DF"/>
    <w:rPr>
      <w:kern w:val="24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9B16DF"/>
    <w:pPr>
      <w:ind w:left="397" w:hanging="397"/>
      <w:jc w:val="left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9B16D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CE31A6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CE31A6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CE31A6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CE31A6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4140F2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4140F2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6"/>
    <w:qFormat/>
    <w:rsid w:val="00F17F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F17F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F17F0A"/>
    <w:pPr>
      <w:jc w:val="right"/>
    </w:p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F17F0A"/>
    <w:pPr>
      <w:jc w:val="left"/>
    </w:pPr>
  </w:style>
  <w:style w:type="paragraph" w:customStyle="1" w:styleId="TEKSTwporozumieniu">
    <w:name w:val="TEKST_&quot;w_porozumieniu:&quot;"/>
    <w:next w:val="NAZORGWPOROZUMIENIUnazwaorganuwporozumieniuzktrymaktjestwydawany"/>
    <w:uiPriority w:val="29"/>
    <w:qFormat/>
    <w:rsid w:val="00E02BAB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E02BAB"/>
    <w:pPr>
      <w:ind w:left="284" w:firstLine="0"/>
    </w:pPr>
  </w:style>
  <w:style w:type="paragraph" w:customStyle="1" w:styleId="ZCZWSPODNONIKA-zmczciwsppktodnonikaartykuempunktem">
    <w:name w:val="Z/CZ_WSP_ODNOŚNIKA - zm. części wsp. pkt odnośnika artykułem (punktem)"/>
    <w:basedOn w:val="ZPKTODNONIKAzmpktodnonikaartykuempunktem"/>
    <w:next w:val="PKTpunkt"/>
    <w:uiPriority w:val="42"/>
    <w:qFormat/>
    <w:rsid w:val="008971B5"/>
    <w:pPr>
      <w:ind w:left="510" w:firstLine="0"/>
    </w:pPr>
  </w:style>
  <w:style w:type="paragraph" w:styleId="Akapitzlist">
    <w:name w:val="List Paragraph"/>
    <w:basedOn w:val="Normalny"/>
    <w:uiPriority w:val="99"/>
    <w:semiHidden/>
    <w:rsid w:val="00C70646"/>
    <w:pPr>
      <w:ind w:left="720"/>
      <w:contextualSpacing/>
    </w:pPr>
  </w:style>
  <w:style w:type="paragraph" w:customStyle="1" w:styleId="POPIERAJCYPOPRAWKZAMIESZCZONWZESTAWIENIUWNIOSKW">
    <w:name w:val="POPIERAJĄCY POPRAWKĘ ZAMIESZCZONĄ W ZESTAWIENIU WNIOSKÓW"/>
    <w:basedOn w:val="Normalny"/>
    <w:qFormat/>
    <w:rsid w:val="00AC5596"/>
    <w:pPr>
      <w:widowControl/>
      <w:autoSpaceDE/>
      <w:autoSpaceDN/>
      <w:adjustRightInd/>
      <w:spacing w:line="240" w:lineRule="auto"/>
      <w:contextualSpacing/>
      <w:jc w:val="left"/>
    </w:pPr>
    <w:rPr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9C47C0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9C47C0"/>
    <w:rPr>
      <w:b/>
    </w:rPr>
  </w:style>
  <w:style w:type="character" w:customStyle="1" w:styleId="wyrokwyroktk">
    <w:name w:val="wyrok_wyroktk"/>
    <w:basedOn w:val="Domylnaczcionkaakapitu"/>
    <w:rsid w:val="009C47C0"/>
  </w:style>
  <w:style w:type="character" w:customStyle="1" w:styleId="highlight">
    <w:name w:val="highlight"/>
    <w:basedOn w:val="Domylnaczcionkaakapitu"/>
    <w:rsid w:val="009C47C0"/>
  </w:style>
  <w:style w:type="character" w:customStyle="1" w:styleId="luchili">
    <w:name w:val="luc_hili"/>
    <w:basedOn w:val="Domylnaczcionkaakapitu"/>
    <w:rsid w:val="009C4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zablony\wniesienie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wniesienie</Template>
  <TotalTime>12</TotalTime>
  <Pages>5</Pages>
  <Words>1645</Words>
  <Characters>9873</Characters>
  <Application>Microsoft Office Word</Application>
  <DocSecurity>0</DocSecurity>
  <Lines>82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szablon projektu aktu prawnego</vt:lpstr>
      <vt:lpstr>p r o j e k t</vt:lpstr>
    </vt:vector>
  </TitlesOfParts>
  <Company>Kancelaria Senatu</Company>
  <LinksUpToDate>false</LinksUpToDate>
  <CharactersWithSpaces>11496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projektu aktu prawnego</dc:title>
  <dc:subject>schema</dc:subject>
  <dc:creator>Adam O.</dc:creator>
  <cp:lastModifiedBy>Grzegorz Molesztak</cp:lastModifiedBy>
  <cp:revision>4</cp:revision>
  <cp:lastPrinted>2021-05-14T10:10:00Z</cp:lastPrinted>
  <dcterms:created xsi:type="dcterms:W3CDTF">2021-05-14T06:48:00Z</dcterms:created>
  <dcterms:modified xsi:type="dcterms:W3CDTF">2021-05-28T12:24:00Z</dcterms:modified>
</cp:coreProperties>
</file>