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84FF8" w14:textId="059C82C3" w:rsidR="00CC3A71" w:rsidRPr="008745EC" w:rsidRDefault="008745EC">
      <w:pPr>
        <w:jc w:val="center"/>
        <w:rPr>
          <w:rFonts w:ascii="Tahoma" w:eastAsia="Times New Roman" w:hAnsi="Tahoma" w:cs="Tahoma"/>
          <w:b/>
          <w:sz w:val="24"/>
          <w:szCs w:val="24"/>
        </w:rPr>
      </w:pPr>
      <w:r w:rsidRPr="008745EC">
        <w:rPr>
          <w:rFonts w:ascii="Tahoma" w:eastAsia="Times New Roman" w:hAnsi="Tahoma" w:cs="Tahoma"/>
          <w:b/>
          <w:sz w:val="24"/>
          <w:szCs w:val="24"/>
        </w:rPr>
        <w:t>UZASADNIENIE</w:t>
      </w:r>
    </w:p>
    <w:p w14:paraId="0260C267" w14:textId="77777777" w:rsidR="00CC3A71" w:rsidRPr="008745EC" w:rsidRDefault="00CC3A71">
      <w:pPr>
        <w:jc w:val="center"/>
        <w:rPr>
          <w:rFonts w:ascii="Tahoma" w:eastAsia="Times New Roman" w:hAnsi="Tahoma" w:cs="Tahoma"/>
          <w:b/>
          <w:sz w:val="24"/>
          <w:szCs w:val="24"/>
        </w:rPr>
      </w:pPr>
    </w:p>
    <w:p w14:paraId="550E8CB5" w14:textId="77777777" w:rsidR="00CC3A71" w:rsidRPr="008745EC" w:rsidRDefault="00CC3A71">
      <w:pPr>
        <w:rPr>
          <w:rFonts w:ascii="Tahoma" w:eastAsia="Times New Roman" w:hAnsi="Tahoma" w:cs="Tahoma"/>
          <w:sz w:val="24"/>
          <w:szCs w:val="24"/>
        </w:rPr>
      </w:pPr>
    </w:p>
    <w:p w14:paraId="2A38EACD" w14:textId="77777777" w:rsidR="00CC3A71" w:rsidRPr="008745EC" w:rsidRDefault="008745EC">
      <w:pPr>
        <w:spacing w:after="240" w:line="360" w:lineRule="auto"/>
        <w:ind w:left="1080" w:hanging="360"/>
        <w:jc w:val="both"/>
        <w:rPr>
          <w:rFonts w:ascii="Tahoma" w:eastAsia="Times New Roman" w:hAnsi="Tahoma" w:cs="Tahoma"/>
          <w:b/>
          <w:sz w:val="24"/>
          <w:szCs w:val="24"/>
        </w:rPr>
      </w:pPr>
      <w:r w:rsidRPr="008745EC">
        <w:rPr>
          <w:rFonts w:ascii="Tahoma" w:eastAsia="Times New Roman" w:hAnsi="Tahoma" w:cs="Tahoma"/>
          <w:b/>
          <w:sz w:val="24"/>
          <w:szCs w:val="24"/>
        </w:rPr>
        <w:t>1.Cel uchwalenia ustawy</w:t>
      </w:r>
    </w:p>
    <w:p w14:paraId="64948C4B" w14:textId="77777777" w:rsidR="00CC3A71" w:rsidRPr="008745EC" w:rsidRDefault="008745EC" w:rsidP="00671B03">
      <w:pPr>
        <w:spacing w:after="240" w:line="360" w:lineRule="auto"/>
        <w:ind w:firstLine="720"/>
        <w:jc w:val="both"/>
        <w:rPr>
          <w:rFonts w:ascii="Tahoma" w:eastAsia="Times New Roman" w:hAnsi="Tahoma" w:cs="Tahoma"/>
          <w:color w:val="111111"/>
          <w:sz w:val="24"/>
          <w:szCs w:val="24"/>
          <w:highlight w:val="white"/>
        </w:rPr>
      </w:pPr>
      <w:r w:rsidRPr="008745EC">
        <w:rPr>
          <w:rFonts w:ascii="Tahoma" w:eastAsia="Times New Roman" w:hAnsi="Tahoma" w:cs="Tahoma"/>
          <w:sz w:val="24"/>
          <w:szCs w:val="24"/>
        </w:rPr>
        <w:t xml:space="preserve">Bezpośrednim celem ustawy jest wdrożenie rozwiązań ułatwiających rozwój energetyki wiatrowej w Polsce i tym samym zwiększenie potencjału energetycznego Rzeczypospolitej Polskiej wynikającego z produkcji energii elektrycznej w elektrowniach wiatrowych. Odpowiada także na cele rozwoju energetyki opartej o odnawialne źródła energii, w tym na założenia Ministerstwo Klimatu, że </w:t>
      </w:r>
      <w:r w:rsidRPr="008745EC">
        <w:rPr>
          <w:rFonts w:ascii="Tahoma" w:eastAsia="Times New Roman" w:hAnsi="Tahoma" w:cs="Tahoma"/>
          <w:color w:val="111111"/>
          <w:sz w:val="24"/>
          <w:szCs w:val="24"/>
          <w:highlight w:val="white"/>
        </w:rPr>
        <w:t xml:space="preserve">udział farm wiatrowych na lądzie w wytwarzaniu energii w ciągu 20 lat wzrosnąć do 11 proc.  </w:t>
      </w:r>
    </w:p>
    <w:p w14:paraId="31D70093" w14:textId="77777777" w:rsidR="00CC3A71" w:rsidRPr="008745EC" w:rsidRDefault="008745EC" w:rsidP="00671B03">
      <w:pPr>
        <w:spacing w:after="240" w:line="360" w:lineRule="auto"/>
        <w:ind w:firstLine="720"/>
        <w:jc w:val="both"/>
        <w:rPr>
          <w:rFonts w:ascii="Tahoma" w:eastAsia="Times New Roman" w:hAnsi="Tahoma" w:cs="Tahoma"/>
          <w:sz w:val="24"/>
          <w:szCs w:val="24"/>
        </w:rPr>
      </w:pPr>
      <w:r w:rsidRPr="008745EC">
        <w:rPr>
          <w:rFonts w:ascii="Tahoma" w:eastAsia="Times New Roman" w:hAnsi="Tahoma" w:cs="Tahoma"/>
          <w:sz w:val="24"/>
          <w:szCs w:val="24"/>
        </w:rPr>
        <w:t xml:space="preserve">Proponowany projekt ustawy ma na celu przywrócenie w Polsce warunków do rozwoju energetyki wiatrowej na lądzie. Prawo obowiązujące w naszym kraju od 2016 roku, które  w praktyce zablokowało nowe inwestycje niszcząc tę gałąź  przemysłu, jest szkodliwe i wymaga zmiany. Przemawiają za tym zarówno potrzeby ochrony klimatu, tworzenia zróżnicowanego miksu energetycznego, a także rozwoju nowych technologii i prowadzenia działalności gospodarczej. </w:t>
      </w:r>
    </w:p>
    <w:p w14:paraId="203DCD63" w14:textId="77777777" w:rsidR="00CC3A71" w:rsidRPr="008745EC" w:rsidRDefault="008745EC" w:rsidP="00671B03">
      <w:pPr>
        <w:spacing w:after="240" w:line="360" w:lineRule="auto"/>
        <w:ind w:firstLine="720"/>
        <w:jc w:val="both"/>
        <w:rPr>
          <w:rFonts w:ascii="Tahoma" w:eastAsia="Times New Roman" w:hAnsi="Tahoma" w:cs="Tahoma"/>
          <w:sz w:val="24"/>
          <w:szCs w:val="24"/>
        </w:rPr>
      </w:pPr>
      <w:r w:rsidRPr="008745EC">
        <w:rPr>
          <w:rFonts w:ascii="Tahoma" w:eastAsia="Times New Roman" w:hAnsi="Tahoma" w:cs="Tahoma"/>
          <w:sz w:val="24"/>
          <w:szCs w:val="24"/>
        </w:rPr>
        <w:t xml:space="preserve">Projektodawca stwarza warunki korzystne dla rozwoju energetyki wiatrowej zarówno po stronie inwestorów jak i lokalnych społeczności, na których elektrownie wiatrowe są usytuowane.  Przede wszystkim zmniejsza ograniczenia odległości elektrowni wiatrowych od zabudowań z 10-krotności ich wysokości od budynków mieszkalnych i terenów cennych przyrodniczo (tzw. zasada 10 H) do 500 metrów. Wprowadza konieczność przeprowadzania konsultacji społecznych, uwzględniając w ten sposób interes wspólnot lokalnych. Rozwiązania proponowane w ustawie odpowiadają także na postulaty przedsiębiorców i środowisk ekologicznych poprzez zniesienie barier prawnych ograniczających niezbędną swobodę inwestycyjną w zakresie energetyki wiatrowej na lądzie. </w:t>
      </w:r>
      <w:r w:rsidRPr="008745EC">
        <w:rPr>
          <w:rFonts w:ascii="Tahoma" w:eastAsia="Times New Roman" w:hAnsi="Tahoma" w:cs="Tahoma"/>
          <w:color w:val="111111"/>
          <w:sz w:val="24"/>
          <w:szCs w:val="24"/>
          <w:highlight w:val="white"/>
        </w:rPr>
        <w:t xml:space="preserve">Zdaniem ekspertów energia wiatrowa może stanowić 25 proc. - a nawet 30 proc. całkowitego miksu energetycznego Polski.  </w:t>
      </w:r>
    </w:p>
    <w:p w14:paraId="7DFD1B77" w14:textId="77777777" w:rsidR="008745EC" w:rsidRDefault="008745EC">
      <w:pPr>
        <w:spacing w:after="240" w:line="360" w:lineRule="auto"/>
        <w:jc w:val="both"/>
        <w:rPr>
          <w:rFonts w:ascii="Tahoma" w:eastAsia="Times New Roman" w:hAnsi="Tahoma" w:cs="Tahoma"/>
          <w:b/>
          <w:sz w:val="24"/>
          <w:szCs w:val="24"/>
        </w:rPr>
      </w:pPr>
    </w:p>
    <w:p w14:paraId="72138F86" w14:textId="77777777" w:rsidR="00CC3A71" w:rsidRPr="008745EC" w:rsidRDefault="008745EC">
      <w:pPr>
        <w:spacing w:after="240" w:line="360" w:lineRule="auto"/>
        <w:jc w:val="both"/>
        <w:rPr>
          <w:rFonts w:ascii="Tahoma" w:eastAsia="Times New Roman" w:hAnsi="Tahoma" w:cs="Tahoma"/>
          <w:b/>
          <w:sz w:val="24"/>
          <w:szCs w:val="24"/>
        </w:rPr>
      </w:pPr>
      <w:r w:rsidRPr="008745EC">
        <w:rPr>
          <w:rFonts w:ascii="Tahoma" w:eastAsia="Times New Roman" w:hAnsi="Tahoma" w:cs="Tahoma"/>
          <w:b/>
          <w:sz w:val="24"/>
          <w:szCs w:val="24"/>
        </w:rPr>
        <w:t xml:space="preserve">2.Proponowane przepisy </w:t>
      </w:r>
      <w:bookmarkStart w:id="0" w:name="_GoBack"/>
      <w:bookmarkEnd w:id="0"/>
    </w:p>
    <w:p w14:paraId="73760C13" w14:textId="77777777" w:rsidR="00CC3A71" w:rsidRPr="008745EC" w:rsidRDefault="008745EC">
      <w:pPr>
        <w:spacing w:after="240" w:line="360" w:lineRule="auto"/>
        <w:ind w:firstLine="360"/>
        <w:jc w:val="both"/>
        <w:rPr>
          <w:rFonts w:ascii="Tahoma" w:eastAsia="Times New Roman" w:hAnsi="Tahoma" w:cs="Tahoma"/>
          <w:sz w:val="24"/>
          <w:szCs w:val="24"/>
        </w:rPr>
      </w:pPr>
      <w:r w:rsidRPr="008745EC">
        <w:rPr>
          <w:rFonts w:ascii="Tahoma" w:eastAsia="Times New Roman" w:hAnsi="Tahoma" w:cs="Tahoma"/>
          <w:sz w:val="24"/>
          <w:szCs w:val="24"/>
        </w:rPr>
        <w:lastRenderedPageBreak/>
        <w:t xml:space="preserve">Projektodawca proponuje znowelizować art. 4 </w:t>
      </w:r>
      <w:r w:rsidR="00CE002C">
        <w:rPr>
          <w:rFonts w:ascii="Tahoma" w:eastAsia="Times New Roman" w:hAnsi="Tahoma" w:cs="Tahoma"/>
          <w:sz w:val="24"/>
          <w:szCs w:val="24"/>
        </w:rPr>
        <w:t xml:space="preserve">ustawy </w:t>
      </w:r>
      <w:r w:rsidR="00CE002C" w:rsidRPr="008745EC">
        <w:rPr>
          <w:rFonts w:ascii="Tahoma" w:eastAsia="Times New Roman" w:hAnsi="Tahoma" w:cs="Tahoma"/>
          <w:sz w:val="24"/>
          <w:szCs w:val="24"/>
        </w:rPr>
        <w:t>z dnia 20 maja 2016 roku o inwestycjach w zakresie elektrowni wiatrowych (Dz. U. z 2020 r. poz. 981 i 1378</w:t>
      </w:r>
      <w:r w:rsidR="00CE002C">
        <w:rPr>
          <w:rFonts w:ascii="Tahoma" w:eastAsia="Times New Roman" w:hAnsi="Tahoma" w:cs="Tahoma"/>
          <w:sz w:val="24"/>
          <w:szCs w:val="24"/>
        </w:rPr>
        <w:t xml:space="preserve">) </w:t>
      </w:r>
      <w:r w:rsidRPr="008745EC">
        <w:rPr>
          <w:rFonts w:ascii="Tahoma" w:eastAsia="Times New Roman" w:hAnsi="Tahoma" w:cs="Tahoma"/>
          <w:sz w:val="24"/>
          <w:szCs w:val="24"/>
        </w:rPr>
        <w:t xml:space="preserve">poprzez zastąpienie dotychczas obowiązującego wymogu zachowania odległości wynoszącej dziesięciokrotność wysokości elektrowni wiatrowej wymogiem ustawowym zachowania odległości co najmniej pięciuset metrów, co stanowi realizację postulatów branży energetyki odnawialnej oraz organizacji ekologicznych. Szacuje się, że dzięki temu </w:t>
      </w:r>
      <w:r w:rsidRPr="008745EC">
        <w:rPr>
          <w:rFonts w:ascii="Tahoma" w:eastAsia="Times New Roman" w:hAnsi="Tahoma" w:cs="Tahoma"/>
          <w:color w:val="111111"/>
          <w:sz w:val="24"/>
          <w:szCs w:val="24"/>
          <w:highlight w:val="white"/>
        </w:rPr>
        <w:t>powierzchnia kraju, na której mogłyby powstawać farmy, zwiększyłaby się ośmiokrotnie i wyniosła zamiast 3 proc. -  26,4 proc.</w:t>
      </w:r>
    </w:p>
    <w:p w14:paraId="12BA339C" w14:textId="77777777" w:rsidR="00CC3A71" w:rsidRPr="008745EC" w:rsidRDefault="008745EC">
      <w:pPr>
        <w:spacing w:after="240" w:line="360" w:lineRule="auto"/>
        <w:ind w:firstLine="360"/>
        <w:jc w:val="both"/>
        <w:rPr>
          <w:rFonts w:ascii="Tahoma" w:eastAsia="Times New Roman" w:hAnsi="Tahoma" w:cs="Tahoma"/>
          <w:sz w:val="24"/>
          <w:szCs w:val="24"/>
        </w:rPr>
      </w:pPr>
      <w:r w:rsidRPr="008745EC">
        <w:rPr>
          <w:rFonts w:ascii="Tahoma" w:eastAsia="Times New Roman" w:hAnsi="Tahoma" w:cs="Tahoma"/>
          <w:sz w:val="24"/>
          <w:szCs w:val="24"/>
        </w:rPr>
        <w:t>Zmiany prop</w:t>
      </w:r>
      <w:r w:rsidR="00B0712E">
        <w:rPr>
          <w:rFonts w:ascii="Tahoma" w:eastAsia="Times New Roman" w:hAnsi="Tahoma" w:cs="Tahoma"/>
          <w:sz w:val="24"/>
          <w:szCs w:val="24"/>
        </w:rPr>
        <w:t xml:space="preserve">onowane w treści art. 7 ustawy </w:t>
      </w:r>
      <w:r w:rsidRPr="008745EC">
        <w:rPr>
          <w:rFonts w:ascii="Tahoma" w:eastAsia="Times New Roman" w:hAnsi="Tahoma" w:cs="Tahoma"/>
          <w:sz w:val="24"/>
          <w:szCs w:val="24"/>
        </w:rPr>
        <w:t>o inwestycjach w</w:t>
      </w:r>
      <w:r w:rsidR="00B0712E">
        <w:rPr>
          <w:rFonts w:ascii="Tahoma" w:eastAsia="Times New Roman" w:hAnsi="Tahoma" w:cs="Tahoma"/>
          <w:sz w:val="24"/>
          <w:szCs w:val="24"/>
        </w:rPr>
        <w:t xml:space="preserve"> zakresie elektrowni wiatrowych</w:t>
      </w:r>
      <w:r w:rsidRPr="008745EC">
        <w:rPr>
          <w:rFonts w:ascii="Tahoma" w:eastAsia="Times New Roman" w:hAnsi="Tahoma" w:cs="Tahoma"/>
          <w:sz w:val="24"/>
          <w:szCs w:val="24"/>
        </w:rPr>
        <w:t xml:space="preserve"> określają po stronie gminy obowiązek przeprowadzenia </w:t>
      </w:r>
      <w:r w:rsidR="00755956">
        <w:rPr>
          <w:rFonts w:ascii="Tahoma" w:eastAsia="Times New Roman" w:hAnsi="Tahoma" w:cs="Tahoma"/>
          <w:sz w:val="24"/>
          <w:szCs w:val="24"/>
        </w:rPr>
        <w:t xml:space="preserve">trwających min. 30 dni </w:t>
      </w:r>
      <w:r w:rsidRPr="008745EC">
        <w:rPr>
          <w:rFonts w:ascii="Tahoma" w:eastAsia="Times New Roman" w:hAnsi="Tahoma" w:cs="Tahoma"/>
          <w:sz w:val="24"/>
          <w:szCs w:val="24"/>
        </w:rPr>
        <w:t>konsultacji miejscowego planu zagospodarowania, który przewidywałby lokalizację elektrowni wiatrowej. Zmiany te w ocenie projektodawcy stanowią rozwiązanie wychodzące naprzeciw oczekiwaniom społeczności lokalnych, które zyskają ustawową gwarancję dialogu z organem podejmującym decyzję o lokalizacji elektrowni wiatrowej.</w:t>
      </w:r>
    </w:p>
    <w:p w14:paraId="0C5AA125" w14:textId="77777777" w:rsidR="00CC3A71" w:rsidRPr="008745EC" w:rsidRDefault="008745EC">
      <w:pPr>
        <w:spacing w:after="240" w:line="360" w:lineRule="auto"/>
        <w:ind w:firstLine="360"/>
        <w:jc w:val="both"/>
        <w:rPr>
          <w:rFonts w:ascii="Tahoma" w:eastAsia="Times New Roman" w:hAnsi="Tahoma" w:cs="Tahoma"/>
          <w:sz w:val="24"/>
          <w:szCs w:val="24"/>
        </w:rPr>
      </w:pPr>
      <w:r w:rsidRPr="008745EC">
        <w:rPr>
          <w:rFonts w:ascii="Tahoma" w:eastAsia="Times New Roman" w:hAnsi="Tahoma" w:cs="Tahoma"/>
          <w:sz w:val="24"/>
          <w:szCs w:val="24"/>
        </w:rPr>
        <w:t xml:space="preserve">Art. </w:t>
      </w:r>
      <w:r w:rsidR="009E5409">
        <w:rPr>
          <w:rFonts w:ascii="Tahoma" w:eastAsia="Times New Roman" w:hAnsi="Tahoma" w:cs="Tahoma"/>
          <w:sz w:val="24"/>
          <w:szCs w:val="24"/>
        </w:rPr>
        <w:t>2</w:t>
      </w:r>
      <w:r w:rsidRPr="008745EC">
        <w:rPr>
          <w:rFonts w:ascii="Tahoma" w:eastAsia="Times New Roman" w:hAnsi="Tahoma" w:cs="Tahoma"/>
          <w:sz w:val="24"/>
          <w:szCs w:val="24"/>
        </w:rPr>
        <w:t xml:space="preserve"> przewiduje vacatio legis dostosowane do powagi proponowanych zmian.</w:t>
      </w:r>
    </w:p>
    <w:p w14:paraId="0BE4C822" w14:textId="77777777" w:rsidR="00CC3A71" w:rsidRPr="008745EC" w:rsidRDefault="008745EC">
      <w:pPr>
        <w:spacing w:after="240" w:line="360" w:lineRule="auto"/>
        <w:ind w:left="1080" w:hanging="360"/>
        <w:jc w:val="both"/>
        <w:rPr>
          <w:rFonts w:ascii="Tahoma" w:eastAsia="Times New Roman" w:hAnsi="Tahoma" w:cs="Tahoma"/>
          <w:b/>
          <w:sz w:val="24"/>
          <w:szCs w:val="24"/>
        </w:rPr>
      </w:pPr>
      <w:r w:rsidRPr="008745EC">
        <w:rPr>
          <w:rFonts w:ascii="Tahoma" w:eastAsia="Times New Roman" w:hAnsi="Tahoma" w:cs="Tahoma"/>
          <w:b/>
          <w:sz w:val="24"/>
          <w:szCs w:val="24"/>
        </w:rPr>
        <w:t>3.Skutki budżetowe i źródła finansowania</w:t>
      </w:r>
    </w:p>
    <w:p w14:paraId="62DE82F6" w14:textId="77777777" w:rsidR="00CC3A71" w:rsidRPr="008745EC" w:rsidRDefault="00B0712E">
      <w:pPr>
        <w:spacing w:after="240" w:line="360" w:lineRule="auto"/>
        <w:ind w:firstLine="360"/>
        <w:jc w:val="both"/>
        <w:rPr>
          <w:rFonts w:ascii="Tahoma" w:eastAsia="Times New Roman" w:hAnsi="Tahoma" w:cs="Tahoma"/>
          <w:sz w:val="24"/>
          <w:szCs w:val="24"/>
        </w:rPr>
      </w:pPr>
      <w:r>
        <w:rPr>
          <w:rFonts w:ascii="Tahoma" w:eastAsia="Times New Roman" w:hAnsi="Tahoma" w:cs="Tahoma"/>
          <w:sz w:val="24"/>
          <w:szCs w:val="24"/>
        </w:rPr>
        <w:t>P</w:t>
      </w:r>
      <w:r w:rsidR="008745EC" w:rsidRPr="008745EC">
        <w:rPr>
          <w:rFonts w:ascii="Tahoma" w:eastAsia="Times New Roman" w:hAnsi="Tahoma" w:cs="Tahoma"/>
          <w:sz w:val="24"/>
          <w:szCs w:val="24"/>
        </w:rPr>
        <w:t>rojektowane rozwiązania nie wywołują skutków finansowych dla Skarbu Państwa</w:t>
      </w:r>
      <w:r w:rsidR="009E5409">
        <w:rPr>
          <w:rFonts w:ascii="Tahoma" w:eastAsia="Times New Roman" w:hAnsi="Tahoma" w:cs="Tahoma"/>
          <w:sz w:val="24"/>
          <w:szCs w:val="24"/>
        </w:rPr>
        <w:t xml:space="preserve"> i jednostek samorządu terytorialnego</w:t>
      </w:r>
      <w:r w:rsidR="008745EC" w:rsidRPr="008745EC">
        <w:rPr>
          <w:rFonts w:ascii="Tahoma" w:eastAsia="Times New Roman" w:hAnsi="Tahoma" w:cs="Tahoma"/>
          <w:sz w:val="24"/>
          <w:szCs w:val="24"/>
        </w:rPr>
        <w:t>.</w:t>
      </w:r>
    </w:p>
    <w:p w14:paraId="0D530391" w14:textId="77777777" w:rsidR="00CC3A71" w:rsidRPr="008745EC" w:rsidRDefault="008745EC">
      <w:pPr>
        <w:spacing w:after="240" w:line="360" w:lineRule="auto"/>
        <w:ind w:firstLine="360"/>
        <w:jc w:val="both"/>
        <w:rPr>
          <w:rFonts w:ascii="Tahoma" w:eastAsia="Times New Roman" w:hAnsi="Tahoma" w:cs="Tahoma"/>
          <w:b/>
          <w:sz w:val="24"/>
          <w:szCs w:val="24"/>
        </w:rPr>
      </w:pPr>
      <w:r w:rsidRPr="008745EC">
        <w:rPr>
          <w:rFonts w:ascii="Tahoma" w:eastAsia="Times New Roman" w:hAnsi="Tahoma" w:cs="Tahoma"/>
          <w:sz w:val="24"/>
          <w:szCs w:val="24"/>
        </w:rPr>
        <w:t xml:space="preserve">4. </w:t>
      </w:r>
      <w:r w:rsidRPr="008745EC">
        <w:rPr>
          <w:rFonts w:ascii="Tahoma" w:eastAsia="Times New Roman" w:hAnsi="Tahoma" w:cs="Tahoma"/>
          <w:b/>
          <w:sz w:val="24"/>
          <w:szCs w:val="24"/>
        </w:rPr>
        <w:t>Wpływ regulacji na konkurencyjność gospodarki i przedsiębiorczość, w tym na funkcjonowanie przedsiębiorstw</w:t>
      </w:r>
    </w:p>
    <w:p w14:paraId="44BC903E" w14:textId="77777777" w:rsidR="00CC3A71" w:rsidRPr="008745EC" w:rsidRDefault="008745EC">
      <w:pPr>
        <w:spacing w:after="240" w:line="360" w:lineRule="auto"/>
        <w:jc w:val="both"/>
        <w:rPr>
          <w:rFonts w:ascii="Tahoma" w:eastAsia="Times New Roman" w:hAnsi="Tahoma" w:cs="Tahoma"/>
          <w:sz w:val="24"/>
          <w:szCs w:val="24"/>
        </w:rPr>
      </w:pPr>
      <w:r w:rsidRPr="008745EC">
        <w:rPr>
          <w:rFonts w:ascii="Tahoma" w:eastAsia="Times New Roman" w:hAnsi="Tahoma" w:cs="Tahoma"/>
          <w:sz w:val="24"/>
          <w:szCs w:val="24"/>
        </w:rPr>
        <w:tab/>
        <w:t xml:space="preserve">Regulacja zwiększa konkurencyjność gospodarki i ma pozytywny wpływ na przedsiębiorczość i funkcjonowanie przedsiębiorstw z branży lądowej energetyki wiatrowej: przy obecnym stanie prawnym elektrownie wiatrowe mogą powstawać na około 3 proc. </w:t>
      </w:r>
      <w:r w:rsidRPr="008745EC">
        <w:rPr>
          <w:rFonts w:ascii="Tahoma" w:eastAsia="Times New Roman" w:hAnsi="Tahoma" w:cs="Tahoma"/>
          <w:color w:val="111111"/>
          <w:sz w:val="24"/>
          <w:szCs w:val="24"/>
        </w:rPr>
        <w:t>powierzchni Polski, po jej zmianie na projektowany zwiększyłaby się ponad ośmiokrotnie  i wyniosła 26,4 proc.</w:t>
      </w:r>
    </w:p>
    <w:p w14:paraId="10F667B4" w14:textId="77777777" w:rsidR="00CC3A71" w:rsidRPr="008745EC" w:rsidRDefault="008745EC">
      <w:pPr>
        <w:spacing w:after="240" w:line="360" w:lineRule="auto"/>
        <w:ind w:left="1080" w:hanging="360"/>
        <w:jc w:val="both"/>
        <w:rPr>
          <w:rFonts w:ascii="Tahoma" w:eastAsia="Times New Roman" w:hAnsi="Tahoma" w:cs="Tahoma"/>
          <w:b/>
          <w:sz w:val="24"/>
          <w:szCs w:val="24"/>
        </w:rPr>
      </w:pPr>
      <w:r w:rsidRPr="008745EC">
        <w:rPr>
          <w:rFonts w:ascii="Tahoma" w:eastAsia="Times New Roman" w:hAnsi="Tahoma" w:cs="Tahoma"/>
          <w:b/>
          <w:sz w:val="24"/>
          <w:szCs w:val="24"/>
        </w:rPr>
        <w:t>5.Oświadczenie o zgodności projektu ustawy z prawem Unii Europejskiej</w:t>
      </w:r>
    </w:p>
    <w:p w14:paraId="57F51B50" w14:textId="77777777" w:rsidR="00CC3A71" w:rsidRPr="008745EC" w:rsidRDefault="008745EC" w:rsidP="008745EC">
      <w:pPr>
        <w:spacing w:line="360" w:lineRule="auto"/>
        <w:ind w:firstLine="720"/>
        <w:jc w:val="both"/>
        <w:rPr>
          <w:rFonts w:ascii="Tahoma" w:eastAsia="Times New Roman" w:hAnsi="Tahoma" w:cs="Tahoma"/>
          <w:sz w:val="24"/>
          <w:szCs w:val="24"/>
        </w:rPr>
      </w:pPr>
      <w:r w:rsidRPr="008745EC">
        <w:rPr>
          <w:rFonts w:ascii="Tahoma" w:eastAsia="Times New Roman" w:hAnsi="Tahoma" w:cs="Tahoma"/>
          <w:sz w:val="24"/>
          <w:szCs w:val="24"/>
        </w:rPr>
        <w:lastRenderedPageBreak/>
        <w:t>W ocenie projektodawców przedmiot projektowanej regulacji nie jest objęty prawem Unii Europejskiej i nie podlega procedurze notyfikacji w rozumieniu przepisów dotyczących notyfikacji norm i aktów prawnych.</w:t>
      </w:r>
    </w:p>
    <w:p w14:paraId="7125AB5E" w14:textId="77777777" w:rsidR="00CC3A71" w:rsidRPr="008745EC" w:rsidRDefault="00CC3A71">
      <w:pPr>
        <w:spacing w:line="360" w:lineRule="auto"/>
        <w:ind w:left="720"/>
        <w:jc w:val="both"/>
        <w:rPr>
          <w:rFonts w:ascii="Tahoma" w:eastAsia="Times New Roman" w:hAnsi="Tahoma" w:cs="Tahoma"/>
          <w:sz w:val="24"/>
          <w:szCs w:val="24"/>
        </w:rPr>
      </w:pPr>
    </w:p>
    <w:p w14:paraId="4D2C3726" w14:textId="77777777" w:rsidR="00CC3A71" w:rsidRPr="008745EC" w:rsidRDefault="008745EC">
      <w:pPr>
        <w:spacing w:after="240" w:line="360" w:lineRule="auto"/>
        <w:ind w:left="1080" w:hanging="360"/>
        <w:jc w:val="both"/>
        <w:rPr>
          <w:rFonts w:ascii="Tahoma" w:eastAsia="Times New Roman" w:hAnsi="Tahoma" w:cs="Tahoma"/>
          <w:b/>
          <w:sz w:val="24"/>
          <w:szCs w:val="24"/>
        </w:rPr>
      </w:pPr>
      <w:r w:rsidRPr="008745EC">
        <w:rPr>
          <w:rFonts w:ascii="Tahoma" w:eastAsia="Times New Roman" w:hAnsi="Tahoma" w:cs="Tahoma"/>
          <w:b/>
          <w:sz w:val="24"/>
          <w:szCs w:val="24"/>
        </w:rPr>
        <w:t>6.Akty wykonawcze do ustawy</w:t>
      </w:r>
    </w:p>
    <w:p w14:paraId="344C8C57" w14:textId="77777777" w:rsidR="00CC3A71" w:rsidRPr="008745EC" w:rsidRDefault="00B0712E" w:rsidP="008745EC">
      <w:pPr>
        <w:spacing w:after="240" w:line="360" w:lineRule="auto"/>
        <w:ind w:firstLine="700"/>
        <w:jc w:val="both"/>
        <w:rPr>
          <w:rFonts w:ascii="Tahoma" w:eastAsia="Times New Roman" w:hAnsi="Tahoma" w:cs="Tahoma"/>
          <w:sz w:val="24"/>
          <w:szCs w:val="24"/>
        </w:rPr>
      </w:pPr>
      <w:r>
        <w:rPr>
          <w:rFonts w:ascii="Tahoma" w:eastAsia="Times New Roman" w:hAnsi="Tahoma" w:cs="Tahoma"/>
          <w:sz w:val="24"/>
          <w:szCs w:val="24"/>
        </w:rPr>
        <w:t>Proponowany projekt ustawy nie wymaga wydania dodatkowych aktów wykonawczych.</w:t>
      </w:r>
    </w:p>
    <w:p w14:paraId="77B0AFC8" w14:textId="77777777" w:rsidR="00CC3A71" w:rsidRPr="008745EC" w:rsidRDefault="009E5409">
      <w:pPr>
        <w:spacing w:after="240" w:line="360" w:lineRule="auto"/>
        <w:ind w:left="360" w:firstLine="340"/>
        <w:jc w:val="both"/>
        <w:rPr>
          <w:rFonts w:ascii="Tahoma" w:eastAsia="Times New Roman" w:hAnsi="Tahoma" w:cs="Tahoma"/>
          <w:b/>
          <w:sz w:val="24"/>
          <w:szCs w:val="24"/>
        </w:rPr>
      </w:pPr>
      <w:r>
        <w:rPr>
          <w:rFonts w:ascii="Tahoma" w:eastAsia="Times New Roman" w:hAnsi="Tahoma" w:cs="Tahoma"/>
          <w:b/>
          <w:sz w:val="24"/>
          <w:szCs w:val="24"/>
        </w:rPr>
        <w:t>7. Konsultacje społeczne</w:t>
      </w:r>
    </w:p>
    <w:p w14:paraId="5054851D" w14:textId="77777777" w:rsidR="00CC3A71" w:rsidRPr="008745EC" w:rsidRDefault="008745EC">
      <w:pPr>
        <w:spacing w:after="240" w:line="360" w:lineRule="auto"/>
        <w:ind w:left="360" w:firstLine="340"/>
        <w:jc w:val="both"/>
        <w:rPr>
          <w:rFonts w:ascii="Tahoma" w:eastAsia="Times New Roman" w:hAnsi="Tahoma" w:cs="Tahoma"/>
          <w:sz w:val="24"/>
          <w:szCs w:val="24"/>
        </w:rPr>
      </w:pPr>
      <w:r w:rsidRPr="008745EC">
        <w:rPr>
          <w:rFonts w:ascii="Tahoma" w:eastAsia="Times New Roman" w:hAnsi="Tahoma" w:cs="Tahoma"/>
          <w:sz w:val="24"/>
          <w:szCs w:val="24"/>
        </w:rPr>
        <w:t xml:space="preserve">Proponowany projekt nie był poddany formalnym konsultacjom społecznym. </w:t>
      </w:r>
    </w:p>
    <w:p w14:paraId="5583944F" w14:textId="77777777" w:rsidR="00CC3A71" w:rsidRPr="008745EC" w:rsidRDefault="009E5409">
      <w:pPr>
        <w:spacing w:after="240" w:line="360" w:lineRule="auto"/>
        <w:ind w:left="360" w:firstLine="340"/>
        <w:jc w:val="both"/>
        <w:rPr>
          <w:rFonts w:ascii="Tahoma" w:eastAsia="Times New Roman" w:hAnsi="Tahoma" w:cs="Tahoma"/>
          <w:b/>
          <w:sz w:val="24"/>
          <w:szCs w:val="24"/>
        </w:rPr>
      </w:pPr>
      <w:r>
        <w:rPr>
          <w:rFonts w:ascii="Tahoma" w:eastAsia="Times New Roman" w:hAnsi="Tahoma" w:cs="Tahoma"/>
          <w:b/>
          <w:sz w:val="24"/>
          <w:szCs w:val="24"/>
        </w:rPr>
        <w:t>8. Zgodność z Konstytucją RP</w:t>
      </w:r>
    </w:p>
    <w:p w14:paraId="33DD6E52" w14:textId="77777777" w:rsidR="00CC3A71" w:rsidRPr="008745EC" w:rsidRDefault="008745EC" w:rsidP="008745EC">
      <w:pPr>
        <w:spacing w:after="240" w:line="360" w:lineRule="auto"/>
        <w:ind w:firstLine="700"/>
        <w:jc w:val="both"/>
        <w:rPr>
          <w:rFonts w:ascii="Tahoma" w:eastAsia="Times New Roman" w:hAnsi="Tahoma" w:cs="Tahoma"/>
          <w:b/>
          <w:sz w:val="24"/>
          <w:szCs w:val="24"/>
        </w:rPr>
      </w:pPr>
      <w:r w:rsidRPr="008745EC">
        <w:rPr>
          <w:rFonts w:ascii="Tahoma" w:eastAsia="Times New Roman" w:hAnsi="Tahoma" w:cs="Tahoma"/>
          <w:sz w:val="24"/>
          <w:szCs w:val="24"/>
        </w:rPr>
        <w:t>W ocenie projektodawcy przedstawiony projekt ustawy jest zgodny z Konstytucją RP.</w:t>
      </w:r>
    </w:p>
    <w:p w14:paraId="50DE0E8A" w14:textId="77777777" w:rsidR="00CC3A71" w:rsidRPr="008745EC" w:rsidRDefault="00CC3A71">
      <w:pPr>
        <w:spacing w:before="240" w:after="240" w:line="360" w:lineRule="auto"/>
        <w:ind w:firstLine="720"/>
        <w:jc w:val="both"/>
        <w:rPr>
          <w:rFonts w:ascii="Tahoma" w:eastAsia="Times New Roman" w:hAnsi="Tahoma" w:cs="Tahoma"/>
          <w:b/>
          <w:sz w:val="24"/>
          <w:szCs w:val="24"/>
        </w:rPr>
      </w:pPr>
    </w:p>
    <w:p w14:paraId="71E09A4C" w14:textId="77777777" w:rsidR="00CC3A71" w:rsidRPr="008745EC" w:rsidRDefault="00CC3A71">
      <w:pPr>
        <w:spacing w:line="360" w:lineRule="auto"/>
        <w:ind w:firstLine="720"/>
        <w:jc w:val="both"/>
        <w:rPr>
          <w:rFonts w:ascii="Tahoma" w:eastAsia="Times New Roman" w:hAnsi="Tahoma" w:cs="Tahoma"/>
          <w:sz w:val="24"/>
          <w:szCs w:val="24"/>
        </w:rPr>
      </w:pPr>
    </w:p>
    <w:sectPr w:rsidR="00CC3A71" w:rsidRPr="008745EC" w:rsidSect="003E025A">
      <w:footerReference w:type="default" r:id="rId7"/>
      <w:pgSz w:w="11909" w:h="16834"/>
      <w:pgMar w:top="1440" w:right="1440" w:bottom="1560" w:left="1440" w:header="720" w:footer="720" w:gutter="0"/>
      <w:pgNumType w:start="3"/>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E5EE3B" w14:textId="77777777" w:rsidR="00257678" w:rsidRDefault="00257678" w:rsidP="00014387">
      <w:pPr>
        <w:spacing w:line="240" w:lineRule="auto"/>
      </w:pPr>
      <w:r>
        <w:separator/>
      </w:r>
    </w:p>
  </w:endnote>
  <w:endnote w:type="continuationSeparator" w:id="0">
    <w:p w14:paraId="5F4F55B8" w14:textId="77777777" w:rsidR="00257678" w:rsidRDefault="00257678" w:rsidP="000143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ahoma" w:hAnsi="Tahoma" w:cs="Tahoma"/>
      </w:rPr>
      <w:id w:val="-755428849"/>
      <w:docPartObj>
        <w:docPartGallery w:val="Page Numbers (Bottom of Page)"/>
        <w:docPartUnique/>
      </w:docPartObj>
    </w:sdtPr>
    <w:sdtEndPr/>
    <w:sdtContent>
      <w:p w14:paraId="384E42C7" w14:textId="77777777" w:rsidR="00014387" w:rsidRPr="00014387" w:rsidRDefault="00046E37">
        <w:pPr>
          <w:pStyle w:val="Stopka"/>
          <w:jc w:val="right"/>
          <w:rPr>
            <w:rFonts w:ascii="Tahoma" w:hAnsi="Tahoma" w:cs="Tahoma"/>
          </w:rPr>
        </w:pPr>
        <w:r w:rsidRPr="00014387">
          <w:rPr>
            <w:rFonts w:ascii="Tahoma" w:hAnsi="Tahoma" w:cs="Tahoma"/>
          </w:rPr>
          <w:fldChar w:fldCharType="begin"/>
        </w:r>
        <w:r w:rsidR="00014387" w:rsidRPr="00014387">
          <w:rPr>
            <w:rFonts w:ascii="Tahoma" w:hAnsi="Tahoma" w:cs="Tahoma"/>
          </w:rPr>
          <w:instrText>PAGE   \* MERGEFORMAT</w:instrText>
        </w:r>
        <w:r w:rsidRPr="00014387">
          <w:rPr>
            <w:rFonts w:ascii="Tahoma" w:hAnsi="Tahoma" w:cs="Tahoma"/>
          </w:rPr>
          <w:fldChar w:fldCharType="separate"/>
        </w:r>
        <w:r w:rsidR="003E025A">
          <w:rPr>
            <w:rFonts w:ascii="Tahoma" w:hAnsi="Tahoma" w:cs="Tahoma"/>
            <w:noProof/>
          </w:rPr>
          <w:t>5</w:t>
        </w:r>
        <w:r w:rsidRPr="00014387">
          <w:rPr>
            <w:rFonts w:ascii="Tahoma" w:hAnsi="Tahoma" w:cs="Tahoma"/>
          </w:rPr>
          <w:fldChar w:fldCharType="end"/>
        </w:r>
      </w:p>
    </w:sdtContent>
  </w:sdt>
  <w:p w14:paraId="2D649DBE" w14:textId="77777777" w:rsidR="00014387" w:rsidRPr="00014387" w:rsidRDefault="00014387">
    <w:pPr>
      <w:pStyle w:val="Stopka"/>
      <w:rPr>
        <w:rFonts w:ascii="Tahoma" w:hAnsi="Tahoma" w:cs="Tahom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77A661" w14:textId="77777777" w:rsidR="00257678" w:rsidRDefault="00257678" w:rsidP="00014387">
      <w:pPr>
        <w:spacing w:line="240" w:lineRule="auto"/>
      </w:pPr>
      <w:r>
        <w:separator/>
      </w:r>
    </w:p>
  </w:footnote>
  <w:footnote w:type="continuationSeparator" w:id="0">
    <w:p w14:paraId="7A0BDFBF" w14:textId="77777777" w:rsidR="00257678" w:rsidRDefault="00257678" w:rsidP="0001438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37091"/>
    <w:multiLevelType w:val="multilevel"/>
    <w:tmpl w:val="7AE8783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139F5EF3"/>
    <w:multiLevelType w:val="multilevel"/>
    <w:tmpl w:val="C4E05DB2"/>
    <w:lvl w:ilvl="0">
      <w:start w:val="1"/>
      <w:numFmt w:val="decimal"/>
      <w:lvlText w:val="%1)"/>
      <w:lvlJc w:val="left"/>
      <w:pPr>
        <w:ind w:left="1440" w:hanging="72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15:restartNumberingAfterBreak="0">
    <w:nsid w:val="79CC6695"/>
    <w:multiLevelType w:val="multilevel"/>
    <w:tmpl w:val="6294230E"/>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A71"/>
    <w:rsid w:val="00014387"/>
    <w:rsid w:val="00046E37"/>
    <w:rsid w:val="00257678"/>
    <w:rsid w:val="003A4C29"/>
    <w:rsid w:val="003E025A"/>
    <w:rsid w:val="00671B03"/>
    <w:rsid w:val="00755956"/>
    <w:rsid w:val="00776676"/>
    <w:rsid w:val="007849D3"/>
    <w:rsid w:val="00820475"/>
    <w:rsid w:val="008745EC"/>
    <w:rsid w:val="008A58EC"/>
    <w:rsid w:val="009D30C8"/>
    <w:rsid w:val="009E5409"/>
    <w:rsid w:val="00B0712E"/>
    <w:rsid w:val="00B751DA"/>
    <w:rsid w:val="00BF3AD8"/>
    <w:rsid w:val="00CC3A71"/>
    <w:rsid w:val="00CE002C"/>
    <w:rsid w:val="00D52F72"/>
    <w:rsid w:val="00E929BC"/>
    <w:rsid w:val="00F026C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96521"/>
  <w15:docId w15:val="{AE046A07-17FF-4746-907D-B30E7F4FC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046E37"/>
  </w:style>
  <w:style w:type="paragraph" w:styleId="Nagwek1">
    <w:name w:val="heading 1"/>
    <w:basedOn w:val="Normalny"/>
    <w:next w:val="Normalny"/>
    <w:rsid w:val="00046E37"/>
    <w:pPr>
      <w:keepNext/>
      <w:keepLines/>
      <w:spacing w:before="400" w:after="120"/>
      <w:outlineLvl w:val="0"/>
    </w:pPr>
    <w:rPr>
      <w:sz w:val="40"/>
      <w:szCs w:val="40"/>
    </w:rPr>
  </w:style>
  <w:style w:type="paragraph" w:styleId="Nagwek2">
    <w:name w:val="heading 2"/>
    <w:basedOn w:val="Normalny"/>
    <w:next w:val="Normalny"/>
    <w:rsid w:val="00046E37"/>
    <w:pPr>
      <w:keepNext/>
      <w:keepLines/>
      <w:spacing w:before="360" w:after="120"/>
      <w:outlineLvl w:val="1"/>
    </w:pPr>
    <w:rPr>
      <w:sz w:val="32"/>
      <w:szCs w:val="32"/>
    </w:rPr>
  </w:style>
  <w:style w:type="paragraph" w:styleId="Nagwek3">
    <w:name w:val="heading 3"/>
    <w:basedOn w:val="Normalny"/>
    <w:next w:val="Normalny"/>
    <w:rsid w:val="00046E37"/>
    <w:pPr>
      <w:keepNext/>
      <w:keepLines/>
      <w:spacing w:before="320" w:after="80"/>
      <w:outlineLvl w:val="2"/>
    </w:pPr>
    <w:rPr>
      <w:color w:val="434343"/>
      <w:sz w:val="28"/>
      <w:szCs w:val="28"/>
    </w:rPr>
  </w:style>
  <w:style w:type="paragraph" w:styleId="Nagwek4">
    <w:name w:val="heading 4"/>
    <w:basedOn w:val="Normalny"/>
    <w:next w:val="Normalny"/>
    <w:rsid w:val="00046E37"/>
    <w:pPr>
      <w:keepNext/>
      <w:keepLines/>
      <w:spacing w:before="280" w:after="80"/>
      <w:outlineLvl w:val="3"/>
    </w:pPr>
    <w:rPr>
      <w:color w:val="666666"/>
      <w:sz w:val="24"/>
      <w:szCs w:val="24"/>
    </w:rPr>
  </w:style>
  <w:style w:type="paragraph" w:styleId="Nagwek5">
    <w:name w:val="heading 5"/>
    <w:basedOn w:val="Normalny"/>
    <w:next w:val="Normalny"/>
    <w:rsid w:val="00046E37"/>
    <w:pPr>
      <w:keepNext/>
      <w:keepLines/>
      <w:spacing w:before="240" w:after="80"/>
      <w:outlineLvl w:val="4"/>
    </w:pPr>
    <w:rPr>
      <w:color w:val="666666"/>
    </w:rPr>
  </w:style>
  <w:style w:type="paragraph" w:styleId="Nagwek6">
    <w:name w:val="heading 6"/>
    <w:basedOn w:val="Normalny"/>
    <w:next w:val="Normalny"/>
    <w:rsid w:val="00046E37"/>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046E37"/>
    <w:tblPr>
      <w:tblCellMar>
        <w:top w:w="0" w:type="dxa"/>
        <w:left w:w="0" w:type="dxa"/>
        <w:bottom w:w="0" w:type="dxa"/>
        <w:right w:w="0" w:type="dxa"/>
      </w:tblCellMar>
    </w:tblPr>
  </w:style>
  <w:style w:type="paragraph" w:styleId="Tytu">
    <w:name w:val="Title"/>
    <w:basedOn w:val="Normalny"/>
    <w:next w:val="Normalny"/>
    <w:rsid w:val="00046E37"/>
    <w:pPr>
      <w:keepNext/>
      <w:keepLines/>
      <w:spacing w:after="60"/>
    </w:pPr>
    <w:rPr>
      <w:sz w:val="52"/>
      <w:szCs w:val="52"/>
    </w:rPr>
  </w:style>
  <w:style w:type="paragraph" w:styleId="Podtytu">
    <w:name w:val="Subtitle"/>
    <w:basedOn w:val="Normalny"/>
    <w:next w:val="Normalny"/>
    <w:rsid w:val="00046E37"/>
    <w:pPr>
      <w:keepNext/>
      <w:keepLines/>
      <w:spacing w:after="320"/>
    </w:pPr>
    <w:rPr>
      <w:color w:val="666666"/>
      <w:sz w:val="30"/>
      <w:szCs w:val="30"/>
    </w:rPr>
  </w:style>
  <w:style w:type="paragraph" w:styleId="Nagwek">
    <w:name w:val="header"/>
    <w:basedOn w:val="Normalny"/>
    <w:link w:val="NagwekZnak"/>
    <w:uiPriority w:val="99"/>
    <w:unhideWhenUsed/>
    <w:rsid w:val="00014387"/>
    <w:pPr>
      <w:tabs>
        <w:tab w:val="center" w:pos="4536"/>
        <w:tab w:val="right" w:pos="9072"/>
      </w:tabs>
      <w:spacing w:line="240" w:lineRule="auto"/>
    </w:pPr>
  </w:style>
  <w:style w:type="character" w:customStyle="1" w:styleId="NagwekZnak">
    <w:name w:val="Nagłówek Znak"/>
    <w:basedOn w:val="Domylnaczcionkaakapitu"/>
    <w:link w:val="Nagwek"/>
    <w:uiPriority w:val="99"/>
    <w:rsid w:val="00014387"/>
  </w:style>
  <w:style w:type="paragraph" w:styleId="Stopka">
    <w:name w:val="footer"/>
    <w:basedOn w:val="Normalny"/>
    <w:link w:val="StopkaZnak"/>
    <w:uiPriority w:val="99"/>
    <w:unhideWhenUsed/>
    <w:rsid w:val="00014387"/>
    <w:pPr>
      <w:tabs>
        <w:tab w:val="center" w:pos="4536"/>
        <w:tab w:val="right" w:pos="9072"/>
      </w:tabs>
      <w:spacing w:line="240" w:lineRule="auto"/>
    </w:pPr>
  </w:style>
  <w:style w:type="character" w:customStyle="1" w:styleId="StopkaZnak">
    <w:name w:val="Stopka Znak"/>
    <w:basedOn w:val="Domylnaczcionkaakapitu"/>
    <w:link w:val="Stopka"/>
    <w:uiPriority w:val="99"/>
    <w:rsid w:val="00014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603</Words>
  <Characters>3620</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4215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Dariusz Standerski</dc:creator>
  <cp:lastModifiedBy>Grzegorz Molesztak</cp:lastModifiedBy>
  <cp:revision>5</cp:revision>
  <dcterms:created xsi:type="dcterms:W3CDTF">2021-05-18T08:57:00Z</dcterms:created>
  <dcterms:modified xsi:type="dcterms:W3CDTF">2021-05-28T13:29:00Z</dcterms:modified>
</cp:coreProperties>
</file>