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91229D" w14:textId="77777777" w:rsidR="000E6485" w:rsidRDefault="000E6485" w:rsidP="000E6485">
      <w:pPr>
        <w:jc w:val="center"/>
        <w:rPr>
          <w:b/>
          <w:bCs/>
          <w:sz w:val="28"/>
          <w:szCs w:val="28"/>
        </w:rPr>
      </w:pPr>
      <w:bookmarkStart w:id="0" w:name="_GoBack"/>
      <w:bookmarkEnd w:id="0"/>
      <w:r w:rsidRPr="000E6485">
        <w:rPr>
          <w:b/>
          <w:bCs/>
          <w:sz w:val="28"/>
          <w:szCs w:val="28"/>
        </w:rPr>
        <w:t>Uzasadnienie</w:t>
      </w:r>
    </w:p>
    <w:p w14:paraId="38E9CDC2" w14:textId="77777777" w:rsidR="00B307D9" w:rsidRPr="000E6485" w:rsidRDefault="00B307D9" w:rsidP="000E6485">
      <w:pPr>
        <w:jc w:val="center"/>
        <w:rPr>
          <w:b/>
          <w:bCs/>
          <w:sz w:val="28"/>
          <w:szCs w:val="28"/>
        </w:rPr>
      </w:pPr>
    </w:p>
    <w:p w14:paraId="7C875487" w14:textId="77777777" w:rsidR="000E6485" w:rsidRPr="000E6485" w:rsidRDefault="000E6485" w:rsidP="000E6485">
      <w:pPr>
        <w:spacing w:line="276" w:lineRule="auto"/>
        <w:jc w:val="both"/>
        <w:rPr>
          <w:sz w:val="28"/>
          <w:szCs w:val="28"/>
        </w:rPr>
      </w:pPr>
      <w:r w:rsidRPr="000E6485">
        <w:rPr>
          <w:sz w:val="28"/>
          <w:szCs w:val="28"/>
        </w:rPr>
        <w:t>Przyjęte w 2016 roku przez Sejm RP zmiany w ustawie o kształtowaniu ustroju rolnego</w:t>
      </w:r>
      <w:r w:rsidR="00027705">
        <w:rPr>
          <w:sz w:val="28"/>
          <w:szCs w:val="28"/>
        </w:rPr>
        <w:t xml:space="preserve"> (UKUR</w:t>
      </w:r>
      <w:r w:rsidR="00B307D9">
        <w:rPr>
          <w:sz w:val="28"/>
          <w:szCs w:val="28"/>
        </w:rPr>
        <w:t>, u.</w:t>
      </w:r>
      <w:r w:rsidR="00D95AA0">
        <w:rPr>
          <w:sz w:val="28"/>
          <w:szCs w:val="28"/>
        </w:rPr>
        <w:t xml:space="preserve"> </w:t>
      </w:r>
      <w:r w:rsidR="00B307D9">
        <w:rPr>
          <w:sz w:val="28"/>
          <w:szCs w:val="28"/>
        </w:rPr>
        <w:t>o</w:t>
      </w:r>
      <w:r w:rsidR="00D95AA0">
        <w:rPr>
          <w:sz w:val="28"/>
          <w:szCs w:val="28"/>
        </w:rPr>
        <w:t xml:space="preserve"> </w:t>
      </w:r>
      <w:r w:rsidR="00AB08A2">
        <w:rPr>
          <w:sz w:val="28"/>
          <w:szCs w:val="28"/>
        </w:rPr>
        <w:t>k.u.r.</w:t>
      </w:r>
      <w:r w:rsidR="00027705">
        <w:rPr>
          <w:sz w:val="28"/>
          <w:szCs w:val="28"/>
        </w:rPr>
        <w:t>)</w:t>
      </w:r>
      <w:r w:rsidRPr="000E6485">
        <w:rPr>
          <w:sz w:val="28"/>
          <w:szCs w:val="28"/>
        </w:rPr>
        <w:t xml:space="preserve"> wprowadzone ustawą o wstrzymaniu sprzedaży nieruchomości Zasobu Własności Rolnej Skarbu Państwa oraz o zmianie niektórych ustaw nie przyniosły spodziewanych efektów.</w:t>
      </w:r>
    </w:p>
    <w:p w14:paraId="6EC2C310" w14:textId="77777777" w:rsidR="000E6485" w:rsidRPr="000E6485" w:rsidRDefault="0045109C" w:rsidP="000E6485">
      <w:pPr>
        <w:spacing w:line="276" w:lineRule="auto"/>
        <w:jc w:val="both"/>
        <w:rPr>
          <w:sz w:val="28"/>
          <w:szCs w:val="28"/>
        </w:rPr>
      </w:pPr>
      <w:r>
        <w:rPr>
          <w:sz w:val="28"/>
          <w:szCs w:val="28"/>
        </w:rPr>
        <w:t>Wbrew zapowiedziom, z</w:t>
      </w:r>
      <w:r w:rsidR="000E6485" w:rsidRPr="000E6485">
        <w:rPr>
          <w:sz w:val="28"/>
          <w:szCs w:val="28"/>
        </w:rPr>
        <w:t>mienione przepisy nie ograniczyły nabywania przez cudzoziemców gruntów w Polsce oraz nie zahamowały wzrostu cen gruntów rolnych.</w:t>
      </w:r>
    </w:p>
    <w:p w14:paraId="40C23F1D" w14:textId="77777777" w:rsidR="0015078A" w:rsidRDefault="000E6485" w:rsidP="000E6485">
      <w:pPr>
        <w:spacing w:line="276" w:lineRule="auto"/>
        <w:jc w:val="both"/>
        <w:rPr>
          <w:sz w:val="28"/>
          <w:szCs w:val="28"/>
        </w:rPr>
      </w:pPr>
      <w:r w:rsidRPr="000E6485">
        <w:rPr>
          <w:sz w:val="28"/>
          <w:szCs w:val="28"/>
        </w:rPr>
        <w:t>Jak wynika z raportu MSWiA w 2016 roku (po wprowadzeniu ograniczeń w obrocie gruntami rolnymi) cudzoziemcy kupili 576 ha gruntów rolnych i leśnych</w:t>
      </w:r>
      <w:r w:rsidR="00F6451F">
        <w:rPr>
          <w:rStyle w:val="Odwoanieprzypisudolnego"/>
          <w:sz w:val="28"/>
          <w:szCs w:val="28"/>
        </w:rPr>
        <w:footnoteReference w:id="1"/>
      </w:r>
      <w:r w:rsidRPr="000E6485">
        <w:rPr>
          <w:sz w:val="28"/>
          <w:szCs w:val="28"/>
        </w:rPr>
        <w:t xml:space="preserve">, </w:t>
      </w:r>
      <w:r w:rsidR="00E8500F">
        <w:rPr>
          <w:sz w:val="28"/>
          <w:szCs w:val="28"/>
        </w:rPr>
        <w:t xml:space="preserve">tj. o 30% więcej gruntów rolnych i leśnych niż </w:t>
      </w:r>
      <w:r w:rsidRPr="000E6485">
        <w:rPr>
          <w:sz w:val="28"/>
          <w:szCs w:val="28"/>
        </w:rPr>
        <w:t>pod rządami poprzednich uregulowań prawnych</w:t>
      </w:r>
      <w:r w:rsidR="00E8500F">
        <w:rPr>
          <w:sz w:val="28"/>
          <w:szCs w:val="28"/>
        </w:rPr>
        <w:t xml:space="preserve"> (</w:t>
      </w:r>
      <w:r w:rsidR="000464C6">
        <w:rPr>
          <w:sz w:val="28"/>
          <w:szCs w:val="28"/>
        </w:rPr>
        <w:t xml:space="preserve">w 2015 roku cudzoziemcy nabyli </w:t>
      </w:r>
      <w:r w:rsidRPr="000E6485">
        <w:rPr>
          <w:sz w:val="28"/>
          <w:szCs w:val="28"/>
        </w:rPr>
        <w:t>412 ha</w:t>
      </w:r>
      <w:r w:rsidR="00E8500F">
        <w:rPr>
          <w:sz w:val="28"/>
          <w:szCs w:val="28"/>
        </w:rPr>
        <w:t xml:space="preserve"> gruntów rolnych i leśnych)</w:t>
      </w:r>
      <w:r w:rsidR="00F6451F">
        <w:rPr>
          <w:rStyle w:val="Odwoanieprzypisudolnego"/>
          <w:sz w:val="28"/>
          <w:szCs w:val="28"/>
        </w:rPr>
        <w:footnoteReference w:id="2"/>
      </w:r>
      <w:r w:rsidRPr="000E6485">
        <w:rPr>
          <w:sz w:val="28"/>
          <w:szCs w:val="28"/>
        </w:rPr>
        <w:t>. Tendencj</w:t>
      </w:r>
      <w:r w:rsidR="00E8500F">
        <w:rPr>
          <w:sz w:val="28"/>
          <w:szCs w:val="28"/>
        </w:rPr>
        <w:t>a</w:t>
      </w:r>
      <w:r w:rsidR="00D95AA0">
        <w:rPr>
          <w:sz w:val="28"/>
          <w:szCs w:val="28"/>
        </w:rPr>
        <w:t xml:space="preserve"> </w:t>
      </w:r>
      <w:r w:rsidR="00E8500F">
        <w:rPr>
          <w:sz w:val="28"/>
          <w:szCs w:val="28"/>
        </w:rPr>
        <w:t>ta ma charakter trwały i utrzymuje się w kolejnych latach – w 2017 roku cudzoziemcy nabyli 1069 ha gruntów rolnych i leśnych</w:t>
      </w:r>
      <w:r w:rsidR="00F6451F">
        <w:rPr>
          <w:rStyle w:val="Odwoanieprzypisudolnego"/>
          <w:sz w:val="28"/>
          <w:szCs w:val="28"/>
        </w:rPr>
        <w:footnoteReference w:id="3"/>
      </w:r>
      <w:r w:rsidR="00E8500F">
        <w:rPr>
          <w:sz w:val="28"/>
          <w:szCs w:val="28"/>
        </w:rPr>
        <w:t xml:space="preserve"> (wzrost w stosunku do 2015 roku o blisko 160%) a w kolejnym 2018 roku </w:t>
      </w:r>
      <w:r w:rsidR="00E257FC">
        <w:rPr>
          <w:sz w:val="28"/>
          <w:szCs w:val="28"/>
        </w:rPr>
        <w:t>–cudzoziemcy nabyli 799 ha gruntów rolnych i leśnych</w:t>
      </w:r>
      <w:r w:rsidR="00F6451F">
        <w:rPr>
          <w:rStyle w:val="Odwoanieprzypisudolnego"/>
          <w:sz w:val="28"/>
          <w:szCs w:val="28"/>
        </w:rPr>
        <w:footnoteReference w:id="4"/>
      </w:r>
      <w:r w:rsidR="00E257FC">
        <w:rPr>
          <w:sz w:val="28"/>
          <w:szCs w:val="28"/>
        </w:rPr>
        <w:t>, t.j. o blisko 94% więcej gruntów niż w 2015 roku</w:t>
      </w:r>
      <w:r w:rsidR="000464C6">
        <w:rPr>
          <w:sz w:val="28"/>
          <w:szCs w:val="28"/>
        </w:rPr>
        <w:t>.</w:t>
      </w:r>
    </w:p>
    <w:p w14:paraId="76FC1093" w14:textId="77777777" w:rsidR="000E6485" w:rsidRPr="000E6485" w:rsidRDefault="0015078A" w:rsidP="00F6451F">
      <w:pPr>
        <w:spacing w:line="240" w:lineRule="auto"/>
        <w:jc w:val="both"/>
        <w:rPr>
          <w:sz w:val="28"/>
          <w:szCs w:val="28"/>
        </w:rPr>
      </w:pPr>
      <w:r w:rsidRPr="000E6485">
        <w:rPr>
          <w:sz w:val="28"/>
          <w:szCs w:val="28"/>
        </w:rPr>
        <w:t>Także w zakresie zmiany ceny gruntów rolnych można zauważyć,</w:t>
      </w:r>
      <w:r w:rsidR="0045204F">
        <w:rPr>
          <w:sz w:val="28"/>
          <w:szCs w:val="28"/>
        </w:rPr>
        <w:br/>
      </w:r>
      <w:r w:rsidRPr="000E6485">
        <w:rPr>
          <w:sz w:val="28"/>
          <w:szCs w:val="28"/>
        </w:rPr>
        <w:t>że wprowadzenie</w:t>
      </w:r>
      <w:r w:rsidR="00D95AA0">
        <w:rPr>
          <w:sz w:val="28"/>
          <w:szCs w:val="28"/>
        </w:rPr>
        <w:t xml:space="preserve"> </w:t>
      </w:r>
      <w:r w:rsidRPr="000E6485">
        <w:rPr>
          <w:sz w:val="28"/>
          <w:szCs w:val="28"/>
        </w:rPr>
        <w:t xml:space="preserve">ograniczeń obrotu gruntami rolnymi, nie spowodowało zatrzymania wzrostu cen tych gruntów. Z danych Głównego Urzędu Statystycznego wynika, że grunty orne cały czas drożeją. </w:t>
      </w:r>
      <w:r w:rsidR="00E61269">
        <w:rPr>
          <w:sz w:val="28"/>
          <w:szCs w:val="28"/>
        </w:rPr>
        <w:t>W</w:t>
      </w:r>
      <w:r w:rsidR="00E61269" w:rsidRPr="000E6485">
        <w:rPr>
          <w:sz w:val="28"/>
          <w:szCs w:val="28"/>
        </w:rPr>
        <w:t xml:space="preserve"> drugim kwartale 2016</w:t>
      </w:r>
      <w:r w:rsidR="0045204F">
        <w:rPr>
          <w:sz w:val="28"/>
          <w:szCs w:val="28"/>
        </w:rPr>
        <w:t xml:space="preserve"> r.</w:t>
      </w:r>
      <w:r w:rsidR="00E61269" w:rsidRPr="000E6485">
        <w:rPr>
          <w:sz w:val="28"/>
          <w:szCs w:val="28"/>
        </w:rPr>
        <w:t xml:space="preserve"> cena ta wyn</w:t>
      </w:r>
      <w:r w:rsidR="00E61269">
        <w:rPr>
          <w:sz w:val="28"/>
          <w:szCs w:val="28"/>
        </w:rPr>
        <w:t>osi</w:t>
      </w:r>
      <w:r w:rsidR="00E61269" w:rsidRPr="000E6485">
        <w:rPr>
          <w:sz w:val="28"/>
          <w:szCs w:val="28"/>
        </w:rPr>
        <w:t>ła 39</w:t>
      </w:r>
      <w:r w:rsidR="0045204F">
        <w:rPr>
          <w:sz w:val="28"/>
          <w:szCs w:val="28"/>
        </w:rPr>
        <w:t> </w:t>
      </w:r>
      <w:r w:rsidR="00E61269" w:rsidRPr="000E6485">
        <w:rPr>
          <w:sz w:val="28"/>
          <w:szCs w:val="28"/>
        </w:rPr>
        <w:t>429</w:t>
      </w:r>
      <w:r w:rsidR="0045204F">
        <w:rPr>
          <w:sz w:val="28"/>
          <w:szCs w:val="28"/>
        </w:rPr>
        <w:t xml:space="preserve"> zł,</w:t>
      </w:r>
      <w:r w:rsidR="00E61269">
        <w:rPr>
          <w:sz w:val="28"/>
          <w:szCs w:val="28"/>
        </w:rPr>
        <w:t xml:space="preserve"> gdy tym czasem3</w:t>
      </w:r>
      <w:r w:rsidR="00E61269" w:rsidRPr="000E6485">
        <w:rPr>
          <w:sz w:val="28"/>
          <w:szCs w:val="28"/>
        </w:rPr>
        <w:t xml:space="preserve"> lata </w:t>
      </w:r>
      <w:r w:rsidR="00E61269">
        <w:rPr>
          <w:sz w:val="28"/>
          <w:szCs w:val="28"/>
        </w:rPr>
        <w:t>póź</w:t>
      </w:r>
      <w:r w:rsidR="00E61269" w:rsidRPr="000E6485">
        <w:rPr>
          <w:sz w:val="28"/>
          <w:szCs w:val="28"/>
        </w:rPr>
        <w:t>niej</w:t>
      </w:r>
      <w:r w:rsidR="00E61269">
        <w:rPr>
          <w:sz w:val="28"/>
          <w:szCs w:val="28"/>
        </w:rPr>
        <w:t xml:space="preserve"> tj. w</w:t>
      </w:r>
      <w:r w:rsidRPr="000E6485">
        <w:rPr>
          <w:sz w:val="28"/>
          <w:szCs w:val="28"/>
        </w:rPr>
        <w:t xml:space="preserve"> drugim</w:t>
      </w:r>
      <w:r w:rsidR="00F6451F">
        <w:rPr>
          <w:sz w:val="28"/>
          <w:szCs w:val="28"/>
        </w:rPr>
        <w:t xml:space="preserve"> </w:t>
      </w:r>
      <w:r w:rsidR="00E61269" w:rsidRPr="000E6485">
        <w:rPr>
          <w:sz w:val="28"/>
          <w:szCs w:val="28"/>
        </w:rPr>
        <w:t>kwartale 201</w:t>
      </w:r>
      <w:r w:rsidR="00E61269">
        <w:rPr>
          <w:sz w:val="28"/>
          <w:szCs w:val="28"/>
        </w:rPr>
        <w:t>9</w:t>
      </w:r>
      <w:r w:rsidR="00E61269" w:rsidRPr="000E6485">
        <w:rPr>
          <w:sz w:val="28"/>
          <w:szCs w:val="28"/>
        </w:rPr>
        <w:t xml:space="preserve"> r. 1 ha gruntu ornego uzyskał przeciętną cenę na poziomie 4</w:t>
      </w:r>
      <w:r w:rsidR="00E61269">
        <w:rPr>
          <w:sz w:val="28"/>
          <w:szCs w:val="28"/>
        </w:rPr>
        <w:t>689</w:t>
      </w:r>
      <w:r w:rsidR="00E61269" w:rsidRPr="000E6485">
        <w:rPr>
          <w:sz w:val="28"/>
          <w:szCs w:val="28"/>
        </w:rPr>
        <w:t xml:space="preserve">2 zł, </w:t>
      </w:r>
      <w:r w:rsidR="00E61269">
        <w:rPr>
          <w:sz w:val="28"/>
          <w:szCs w:val="28"/>
        </w:rPr>
        <w:t>co oznacza wzrost o prawie 19%</w:t>
      </w:r>
      <w:r w:rsidR="00F6451F">
        <w:rPr>
          <w:rStyle w:val="Odwoanieprzypisudolnego"/>
          <w:sz w:val="28"/>
          <w:szCs w:val="28"/>
        </w:rPr>
        <w:footnoteReference w:id="5"/>
      </w:r>
      <w:r w:rsidR="00E61269">
        <w:rPr>
          <w:sz w:val="28"/>
          <w:szCs w:val="28"/>
        </w:rPr>
        <w:t>.</w:t>
      </w:r>
      <w:r w:rsidR="000E6485" w:rsidRPr="000E6485">
        <w:rPr>
          <w:sz w:val="28"/>
          <w:szCs w:val="28"/>
        </w:rPr>
        <w:t xml:space="preserve">Można </w:t>
      </w:r>
      <w:r w:rsidR="0045204F">
        <w:rPr>
          <w:sz w:val="28"/>
          <w:szCs w:val="28"/>
        </w:rPr>
        <w:t>przyjąć</w:t>
      </w:r>
      <w:r w:rsidR="000E6485" w:rsidRPr="000E6485">
        <w:rPr>
          <w:sz w:val="28"/>
          <w:szCs w:val="28"/>
        </w:rPr>
        <w:t xml:space="preserve">, że </w:t>
      </w:r>
      <w:r w:rsidR="0045204F">
        <w:rPr>
          <w:sz w:val="28"/>
          <w:szCs w:val="28"/>
        </w:rPr>
        <w:t xml:space="preserve">tak gwałtowny wzrost cen </w:t>
      </w:r>
      <w:r w:rsidR="0045204F">
        <w:rPr>
          <w:sz w:val="28"/>
          <w:szCs w:val="28"/>
        </w:rPr>
        <w:lastRenderedPageBreak/>
        <w:t>oraz wprowadzone ograniczenia w obrocie gruntami rolnymi</w:t>
      </w:r>
      <w:r w:rsidR="000E6485" w:rsidRPr="000E6485">
        <w:rPr>
          <w:sz w:val="28"/>
          <w:szCs w:val="28"/>
        </w:rPr>
        <w:t>, z każdym miesiącem oddala</w:t>
      </w:r>
      <w:r w:rsidR="0045204F">
        <w:rPr>
          <w:sz w:val="28"/>
          <w:szCs w:val="28"/>
        </w:rPr>
        <w:t>ją</w:t>
      </w:r>
      <w:r w:rsidR="000E6485" w:rsidRPr="000E6485">
        <w:rPr>
          <w:sz w:val="28"/>
          <w:szCs w:val="28"/>
        </w:rPr>
        <w:t xml:space="preserve"> możliwość zakupu gruntów przez polskich rolników.</w:t>
      </w:r>
    </w:p>
    <w:p w14:paraId="3F14DDD3" w14:textId="77777777" w:rsidR="000E6485" w:rsidRDefault="000E6485" w:rsidP="000E6485">
      <w:pPr>
        <w:jc w:val="both"/>
        <w:rPr>
          <w:sz w:val="28"/>
          <w:szCs w:val="28"/>
        </w:rPr>
      </w:pPr>
      <w:r w:rsidRPr="000E6485">
        <w:rPr>
          <w:sz w:val="28"/>
          <w:szCs w:val="28"/>
        </w:rPr>
        <w:t>Stąd powstaje pytanie, komu i czemu wprowadzone zakazy i ograniczenia w 2016 roku mają służyć?</w:t>
      </w:r>
    </w:p>
    <w:p w14:paraId="1E8EBC66" w14:textId="77777777" w:rsidR="000E6485" w:rsidRPr="000E6485" w:rsidRDefault="0045204F" w:rsidP="000E6485">
      <w:pPr>
        <w:jc w:val="both"/>
        <w:rPr>
          <w:sz w:val="28"/>
          <w:szCs w:val="28"/>
        </w:rPr>
      </w:pPr>
      <w:r>
        <w:rPr>
          <w:sz w:val="28"/>
          <w:szCs w:val="28"/>
        </w:rPr>
        <w:t>W</w:t>
      </w:r>
      <w:r w:rsidR="000E6485" w:rsidRPr="000E6485">
        <w:rPr>
          <w:sz w:val="28"/>
          <w:szCs w:val="28"/>
        </w:rPr>
        <w:t>słuchując się w sygnały otrzymywane od swoich wyborców, prowadz</w:t>
      </w:r>
      <w:r>
        <w:rPr>
          <w:sz w:val="28"/>
          <w:szCs w:val="28"/>
        </w:rPr>
        <w:t>ących</w:t>
      </w:r>
      <w:r w:rsidR="000E6485" w:rsidRPr="000E6485">
        <w:rPr>
          <w:sz w:val="28"/>
          <w:szCs w:val="28"/>
        </w:rPr>
        <w:t xml:space="preserve"> działalnoś</w:t>
      </w:r>
      <w:r>
        <w:rPr>
          <w:sz w:val="28"/>
          <w:szCs w:val="28"/>
        </w:rPr>
        <w:t>ć</w:t>
      </w:r>
      <w:r w:rsidR="000E6485" w:rsidRPr="000E6485">
        <w:rPr>
          <w:sz w:val="28"/>
          <w:szCs w:val="28"/>
        </w:rPr>
        <w:t xml:space="preserve"> rolnicz</w:t>
      </w:r>
      <w:r>
        <w:rPr>
          <w:sz w:val="28"/>
          <w:szCs w:val="28"/>
        </w:rPr>
        <w:t>ą</w:t>
      </w:r>
      <w:r w:rsidR="000E6485" w:rsidRPr="000E6485">
        <w:rPr>
          <w:sz w:val="28"/>
          <w:szCs w:val="28"/>
        </w:rPr>
        <w:t>, grupa posłów Klubu Parlamentarnego Platformy Obywatelskiej wychodzi z inicjatywą ustawodawczą mającą na celu usunięcie zbędnych, nielogicznych, nieracjonalnych i</w:t>
      </w:r>
      <w:r w:rsidR="00B96945">
        <w:rPr>
          <w:sz w:val="28"/>
          <w:szCs w:val="28"/>
        </w:rPr>
        <w:t xml:space="preserve"> </w:t>
      </w:r>
      <w:r w:rsidR="000E6485" w:rsidRPr="000E6485">
        <w:rPr>
          <w:sz w:val="28"/>
          <w:szCs w:val="28"/>
        </w:rPr>
        <w:t>korupcjogennych zapisów ograniczających obrót gruntami rolnymi.</w:t>
      </w:r>
    </w:p>
    <w:p w14:paraId="64DE593D" w14:textId="77777777" w:rsidR="00E10349" w:rsidRDefault="000E6485" w:rsidP="000E6485">
      <w:pPr>
        <w:jc w:val="both"/>
        <w:rPr>
          <w:sz w:val="28"/>
          <w:szCs w:val="28"/>
        </w:rPr>
      </w:pPr>
      <w:r w:rsidRPr="000E6485">
        <w:rPr>
          <w:sz w:val="28"/>
          <w:szCs w:val="28"/>
        </w:rPr>
        <w:t xml:space="preserve">W projekcie przewidziano zmianę art. 2 pkt 1 ustawy o kształtowaniu ustroju rolnego. W pojemnej definicji „nieruchomości rolnej" działaniem ustawy </w:t>
      </w:r>
      <w:r w:rsidR="00E10349">
        <w:rPr>
          <w:sz w:val="28"/>
          <w:szCs w:val="28"/>
        </w:rPr>
        <w:br/>
      </w:r>
      <w:r w:rsidRPr="000E6485">
        <w:rPr>
          <w:sz w:val="28"/>
          <w:szCs w:val="28"/>
        </w:rPr>
        <w:t xml:space="preserve">o kształtowaniu ustroju rolnego niepotrzebnie objęto wszelkie grunty położone na terenach nieposiadających miejscowych planów zagospodarowania przestrzennego, </w:t>
      </w:r>
      <w:r w:rsidR="00E10349" w:rsidRPr="000E6485">
        <w:rPr>
          <w:sz w:val="28"/>
          <w:szCs w:val="28"/>
        </w:rPr>
        <w:t>niezależnie od ich faktycznego charakteru i przeznaczenia</w:t>
      </w:r>
      <w:r w:rsidR="00E10349">
        <w:rPr>
          <w:sz w:val="28"/>
          <w:szCs w:val="28"/>
        </w:rPr>
        <w:t>. Należy zauważyć, że takie grunty stanowią ok. 70% całego obszaru Polski, bowiem z</w:t>
      </w:r>
      <w:r w:rsidRPr="000E6485">
        <w:rPr>
          <w:sz w:val="28"/>
          <w:szCs w:val="28"/>
        </w:rPr>
        <w:t xml:space="preserve">godnie z danymi GUS, na koniec 2016 roku, tylko 30,2% powierzchni kraju </w:t>
      </w:r>
      <w:r w:rsidR="00E10349">
        <w:rPr>
          <w:sz w:val="28"/>
          <w:szCs w:val="28"/>
        </w:rPr>
        <w:t>było</w:t>
      </w:r>
      <w:r w:rsidRPr="000E6485">
        <w:rPr>
          <w:sz w:val="28"/>
          <w:szCs w:val="28"/>
        </w:rPr>
        <w:t xml:space="preserve"> objętych obowiązującymi miejscowymi planami zagospodarowania przestrzennego. </w:t>
      </w:r>
    </w:p>
    <w:p w14:paraId="41125E3D" w14:textId="77777777" w:rsidR="000E6485" w:rsidRPr="000E6485" w:rsidRDefault="000E6485" w:rsidP="000E6485">
      <w:pPr>
        <w:jc w:val="both"/>
        <w:rPr>
          <w:sz w:val="28"/>
          <w:szCs w:val="28"/>
        </w:rPr>
      </w:pPr>
      <w:r w:rsidRPr="000E6485">
        <w:rPr>
          <w:sz w:val="28"/>
          <w:szCs w:val="28"/>
        </w:rPr>
        <w:t xml:space="preserve">Zmieniona w 2016 roku ustawa o kształtowaniu ustroju rolnego reguluje dziś </w:t>
      </w:r>
      <w:r w:rsidR="00E10349" w:rsidRPr="000E6485">
        <w:rPr>
          <w:sz w:val="28"/>
          <w:szCs w:val="28"/>
        </w:rPr>
        <w:t xml:space="preserve">de facto </w:t>
      </w:r>
      <w:r w:rsidRPr="000E6485">
        <w:rPr>
          <w:sz w:val="28"/>
          <w:szCs w:val="28"/>
        </w:rPr>
        <w:t xml:space="preserve">obrót gruntami budowlanymi (w tym położonymi w granicach administracyjnych i centrach miast), czy rekreacyjnymi. </w:t>
      </w:r>
      <w:r w:rsidRPr="00D95AA0">
        <w:rPr>
          <w:sz w:val="28"/>
          <w:szCs w:val="28"/>
        </w:rPr>
        <w:t xml:space="preserve">Dzięki przyjętym regulacjom powstało takie oto kuriozum, że każdy, kto zamierza budować dom mieszkalny lub rekreacyjny, deweloper mający w planach budowę osiedla mieszkaniowego, czy przedsiębiorca tworzący centrum logistyczne czy fabrykę - może kupić grunt pod inwestycję, na terenie nie objętym planem zagospodarowania przestrzennego, spełniając określone wymogi, specyficzne dla gruntów rolnych </w:t>
      </w:r>
      <w:r w:rsidRPr="000E6485">
        <w:rPr>
          <w:sz w:val="28"/>
          <w:szCs w:val="28"/>
        </w:rPr>
        <w:t>Oczywiście w takich przypadkach jest to niemożliwe, co oznacza barierę dla inwestycji i rozwoju społeczno-gospodarczego w gminach bez miejscowego planu zagospodarowania przestrzennego. Chodzi tu przede wszystkim o gminy najbiedniejsze, najczęściej gminy wiejskie.</w:t>
      </w:r>
    </w:p>
    <w:p w14:paraId="78B62545" w14:textId="77777777" w:rsidR="000E6485" w:rsidRPr="000E6485" w:rsidRDefault="000E6485" w:rsidP="000E6485">
      <w:pPr>
        <w:jc w:val="both"/>
        <w:rPr>
          <w:sz w:val="28"/>
          <w:szCs w:val="28"/>
        </w:rPr>
      </w:pPr>
      <w:r w:rsidRPr="000E6485">
        <w:rPr>
          <w:sz w:val="28"/>
          <w:szCs w:val="28"/>
        </w:rPr>
        <w:t xml:space="preserve">Dlatego wnioskodawcy proponują, aby wszelkie grunty - położone na terenach, </w:t>
      </w:r>
      <w:r w:rsidR="00EE5021" w:rsidRPr="000E6485">
        <w:rPr>
          <w:sz w:val="28"/>
          <w:szCs w:val="28"/>
        </w:rPr>
        <w:t xml:space="preserve">przeznaczonych na cele pozarolnicze decyzją o warunkach zabudowy </w:t>
      </w:r>
      <w:r w:rsidR="00EE5021">
        <w:rPr>
          <w:sz w:val="28"/>
          <w:szCs w:val="28"/>
        </w:rPr>
        <w:br/>
      </w:r>
      <w:r w:rsidR="00EE5021" w:rsidRPr="000E6485">
        <w:rPr>
          <w:sz w:val="28"/>
          <w:szCs w:val="28"/>
        </w:rPr>
        <w:t xml:space="preserve">i </w:t>
      </w:r>
      <w:r w:rsidRPr="000E6485">
        <w:rPr>
          <w:sz w:val="28"/>
          <w:szCs w:val="28"/>
        </w:rPr>
        <w:t>zagospodarowania terenu wydaną po dniu wejścia w życie ustawy - nie podlegały przepisom ustawy o k.u.r.</w:t>
      </w:r>
    </w:p>
    <w:p w14:paraId="7EC0C378" w14:textId="77777777" w:rsidR="000E6485" w:rsidRPr="00D95AA0" w:rsidRDefault="000E6485" w:rsidP="000E6485">
      <w:pPr>
        <w:jc w:val="both"/>
        <w:rPr>
          <w:sz w:val="28"/>
          <w:szCs w:val="28"/>
        </w:rPr>
      </w:pPr>
      <w:r w:rsidRPr="000E6485">
        <w:rPr>
          <w:sz w:val="28"/>
          <w:szCs w:val="28"/>
        </w:rPr>
        <w:lastRenderedPageBreak/>
        <w:t xml:space="preserve">Ustawa z 14 kwietnia 2016 r. o wstrzymaniu sprzedaży nieruchomości Zasobu Własności Rolnej Skarbu Państwa oraz o zmianie niektórych ustaw (Dz. U. z 2016 r. poz. 585) wprowadziła zmiany dotyczące obrotu gruntami </w:t>
      </w:r>
      <w:r w:rsidRPr="00D95AA0">
        <w:rPr>
          <w:sz w:val="28"/>
          <w:szCs w:val="28"/>
        </w:rPr>
        <w:t>o powierzchni 0,3 ha i większych oraz tzw. siedlisk rolniczych o powierzchni 0,5 ha i większych.</w:t>
      </w:r>
    </w:p>
    <w:p w14:paraId="4417D917" w14:textId="77777777" w:rsidR="000E6485" w:rsidRPr="000E6485" w:rsidRDefault="000E6485" w:rsidP="000E6485">
      <w:pPr>
        <w:jc w:val="both"/>
        <w:rPr>
          <w:sz w:val="28"/>
          <w:szCs w:val="28"/>
        </w:rPr>
      </w:pPr>
      <w:r w:rsidRPr="000E6485">
        <w:rPr>
          <w:sz w:val="28"/>
          <w:szCs w:val="28"/>
        </w:rPr>
        <w:t>Skupiając się jedynie na grupie nieruchomości gruntowych niezabudowanych należy zwrócić uwagę, że polskie prawo nie dopuszcza dzielenia gruntów rolnych na działki mniejsze niż 0,3 ha. Tak więc wszelkie działki gruntowe wydzielane na cele budowlane na obszarach nie objętych planami miejscowymi, podlegają działaniu nowych przepisów. Dziś biura Krajowego Ośrodka Wsparcia Rolnictwa</w:t>
      </w:r>
      <w:r w:rsidR="00D95AA0">
        <w:rPr>
          <w:sz w:val="28"/>
          <w:szCs w:val="28"/>
        </w:rPr>
        <w:t xml:space="preserve"> </w:t>
      </w:r>
      <w:r w:rsidRPr="000E6485">
        <w:rPr>
          <w:sz w:val="28"/>
          <w:szCs w:val="28"/>
        </w:rPr>
        <w:t>w całej Polsce wypełnione są interesantami w sprawach dotyczących działek tak naprawdę budowlanych czy rekreacyjnych, dawno nie służących produkcji rolniczej.</w:t>
      </w:r>
    </w:p>
    <w:p w14:paraId="61F022FE" w14:textId="77777777" w:rsidR="00027705" w:rsidRPr="00B307D9" w:rsidRDefault="00027705" w:rsidP="00027705">
      <w:pPr>
        <w:pStyle w:val="Bezodstpw"/>
        <w:ind w:left="0" w:firstLine="0"/>
        <w:jc w:val="both"/>
        <w:rPr>
          <w:rFonts w:cstheme="minorHAnsi"/>
          <w:sz w:val="28"/>
          <w:szCs w:val="28"/>
        </w:rPr>
      </w:pPr>
      <w:r w:rsidRPr="00B307D9">
        <w:rPr>
          <w:rFonts w:cstheme="minorHAnsi"/>
          <w:sz w:val="28"/>
          <w:szCs w:val="28"/>
        </w:rPr>
        <w:t>Ostatnia nowelizacja ustawy o kształtowaniu ustroju rolnego, która weszła w życie 26 czerwca 2019 roku, zlikwidowała m.in. konieczność ubiegania się o zgodę KOWR na nabycie nieruchomości o powierzchni poniżej 1 ha. A do powierzchni 0,3 ha, zgodnie z pierwotnym kształtem ustawy z kwietnia 2016 roku nie stosują się wszelkie przepisy.</w:t>
      </w:r>
      <w:r w:rsidR="00D95AA0">
        <w:rPr>
          <w:rFonts w:cstheme="minorHAnsi"/>
          <w:sz w:val="28"/>
          <w:szCs w:val="28"/>
        </w:rPr>
        <w:t xml:space="preserve"> </w:t>
      </w:r>
      <w:r w:rsidRPr="00B307D9">
        <w:rPr>
          <w:rFonts w:cstheme="minorHAnsi"/>
          <w:sz w:val="28"/>
          <w:szCs w:val="28"/>
        </w:rPr>
        <w:t>Wg aktualnych przepisów, dla nieruchomości o pow. od 0,3 ha do 1 ha nie trzeba wprawdzie uzyskiwać zgody na nabycie, stosuje się jednak prawo pierwokupu (wykupu) K</w:t>
      </w:r>
      <w:r w:rsidR="00B307D9" w:rsidRPr="00B307D9">
        <w:rPr>
          <w:rFonts w:cstheme="minorHAnsi"/>
          <w:sz w:val="28"/>
          <w:szCs w:val="28"/>
        </w:rPr>
        <w:t xml:space="preserve">rajowego </w:t>
      </w:r>
      <w:r w:rsidRPr="00B307D9">
        <w:rPr>
          <w:rFonts w:cstheme="minorHAnsi"/>
          <w:sz w:val="28"/>
          <w:szCs w:val="28"/>
        </w:rPr>
        <w:t>O</w:t>
      </w:r>
      <w:r w:rsidR="00B307D9" w:rsidRPr="00B307D9">
        <w:rPr>
          <w:rFonts w:cstheme="minorHAnsi"/>
          <w:sz w:val="28"/>
          <w:szCs w:val="28"/>
        </w:rPr>
        <w:t xml:space="preserve">środka </w:t>
      </w:r>
      <w:r w:rsidRPr="00B307D9">
        <w:rPr>
          <w:rFonts w:cstheme="minorHAnsi"/>
          <w:sz w:val="28"/>
          <w:szCs w:val="28"/>
        </w:rPr>
        <w:t>W</w:t>
      </w:r>
      <w:r w:rsidR="00B307D9" w:rsidRPr="00B307D9">
        <w:rPr>
          <w:rFonts w:cstheme="minorHAnsi"/>
          <w:sz w:val="28"/>
          <w:szCs w:val="28"/>
        </w:rPr>
        <w:t xml:space="preserve">sparcia </w:t>
      </w:r>
      <w:r w:rsidRPr="00B307D9">
        <w:rPr>
          <w:rFonts w:cstheme="minorHAnsi"/>
          <w:sz w:val="28"/>
          <w:szCs w:val="28"/>
        </w:rPr>
        <w:t>R</w:t>
      </w:r>
      <w:r w:rsidR="00B307D9" w:rsidRPr="00B307D9">
        <w:rPr>
          <w:rFonts w:cstheme="minorHAnsi"/>
          <w:sz w:val="28"/>
          <w:szCs w:val="28"/>
        </w:rPr>
        <w:t>olnictwa (KOWR)</w:t>
      </w:r>
      <w:r w:rsidRPr="00B307D9">
        <w:rPr>
          <w:rFonts w:cstheme="minorHAnsi"/>
          <w:sz w:val="28"/>
          <w:szCs w:val="28"/>
        </w:rPr>
        <w:t>. Oddziały terenowe KOWR zasypywane są aktami notarialnymi (głównie warunkowymi umowami sprzedaży) dotyczącymi takich nieruchomości. Załatwianie tego typu spraw to marnotrawstwo sił i środków. Jakie bowiem cele ustawy można zrealizować poprzez ewentualne nabycie małych powierzchni? Wydaje się zasadne zrównanie powierzchni do której nie trzeba uzyskiwać zgody KOWR na nabycie</w:t>
      </w:r>
      <w:r w:rsidR="00B307D9" w:rsidRPr="00B307D9">
        <w:rPr>
          <w:rFonts w:cstheme="minorHAnsi"/>
          <w:sz w:val="28"/>
          <w:szCs w:val="28"/>
        </w:rPr>
        <w:t xml:space="preserve"> -</w:t>
      </w:r>
      <w:r w:rsidRPr="00B307D9">
        <w:rPr>
          <w:rFonts w:cstheme="minorHAnsi"/>
          <w:sz w:val="28"/>
          <w:szCs w:val="28"/>
        </w:rPr>
        <w:t xml:space="preserve"> z powierzchnią, od której Skarb Państwa reprezentowany przez KOWR ma prawo pierwokupu (wykupu). Takie rozwiązanie oznaczałoby realne i pełne ułatwienie obrotu dla obywateli. Jednocześnie KOWR miałby możliwość koncentrowania się na analizie większych obszarowo nieruchomości, głównie pod kątem ich przydatności do poprawy struktury obszarowej gospodarstw rolnych. </w:t>
      </w:r>
      <w:r w:rsidR="00B307D9" w:rsidRPr="00B307D9">
        <w:rPr>
          <w:rFonts w:cstheme="minorHAnsi"/>
          <w:sz w:val="28"/>
          <w:szCs w:val="28"/>
        </w:rPr>
        <w:t xml:space="preserve">Zatem proponując w przedłożonej zmianie </w:t>
      </w:r>
      <w:r w:rsidRPr="00B307D9">
        <w:rPr>
          <w:rFonts w:cstheme="minorHAnsi"/>
          <w:sz w:val="28"/>
          <w:szCs w:val="28"/>
        </w:rPr>
        <w:t xml:space="preserve">swobodne nabywanie </w:t>
      </w:r>
      <w:r w:rsidR="00B307D9" w:rsidRPr="00B307D9">
        <w:rPr>
          <w:rFonts w:cstheme="minorHAnsi"/>
          <w:sz w:val="28"/>
          <w:szCs w:val="28"/>
        </w:rPr>
        <w:t xml:space="preserve">nieruchomości rolnych o powierzchni </w:t>
      </w:r>
      <w:r w:rsidRPr="00B307D9">
        <w:rPr>
          <w:rFonts w:cstheme="minorHAnsi"/>
          <w:sz w:val="28"/>
          <w:szCs w:val="28"/>
        </w:rPr>
        <w:t xml:space="preserve">do 5 ha, </w:t>
      </w:r>
      <w:r w:rsidR="00B307D9" w:rsidRPr="00B307D9">
        <w:rPr>
          <w:rFonts w:cstheme="minorHAnsi"/>
          <w:sz w:val="28"/>
          <w:szCs w:val="28"/>
        </w:rPr>
        <w:t>uzasadnione jest aby</w:t>
      </w:r>
      <w:r w:rsidRPr="00B307D9">
        <w:rPr>
          <w:rFonts w:cstheme="minorHAnsi"/>
          <w:sz w:val="28"/>
          <w:szCs w:val="28"/>
        </w:rPr>
        <w:t xml:space="preserve"> przy obrocie nieruchomościami</w:t>
      </w:r>
      <w:r w:rsidR="00B307D9" w:rsidRPr="00B307D9">
        <w:rPr>
          <w:rFonts w:cstheme="minorHAnsi"/>
          <w:sz w:val="28"/>
          <w:szCs w:val="28"/>
        </w:rPr>
        <w:t xml:space="preserve"> rolnymi</w:t>
      </w:r>
      <w:r w:rsidRPr="00B307D9">
        <w:rPr>
          <w:rFonts w:cstheme="minorHAnsi"/>
          <w:sz w:val="28"/>
          <w:szCs w:val="28"/>
        </w:rPr>
        <w:t xml:space="preserve"> o </w:t>
      </w:r>
      <w:r w:rsidR="00B307D9" w:rsidRPr="00B307D9">
        <w:rPr>
          <w:rFonts w:cstheme="minorHAnsi"/>
          <w:sz w:val="28"/>
          <w:szCs w:val="28"/>
        </w:rPr>
        <w:t xml:space="preserve">do </w:t>
      </w:r>
      <w:r w:rsidRPr="00B307D9">
        <w:rPr>
          <w:rFonts w:cstheme="minorHAnsi"/>
          <w:sz w:val="28"/>
          <w:szCs w:val="28"/>
        </w:rPr>
        <w:t>tej powierzchni nie występowa</w:t>
      </w:r>
      <w:r w:rsidR="00B307D9" w:rsidRPr="00B307D9">
        <w:rPr>
          <w:rFonts w:cstheme="minorHAnsi"/>
          <w:sz w:val="28"/>
          <w:szCs w:val="28"/>
        </w:rPr>
        <w:t>ło prawo</w:t>
      </w:r>
      <w:r w:rsidRPr="00B307D9">
        <w:rPr>
          <w:rFonts w:cstheme="minorHAnsi"/>
          <w:sz w:val="28"/>
          <w:szCs w:val="28"/>
        </w:rPr>
        <w:t xml:space="preserve"> pierwokup</w:t>
      </w:r>
      <w:r w:rsidR="00B307D9" w:rsidRPr="00B307D9">
        <w:rPr>
          <w:rFonts w:cstheme="minorHAnsi"/>
          <w:sz w:val="28"/>
          <w:szCs w:val="28"/>
        </w:rPr>
        <w:t>u</w:t>
      </w:r>
      <w:r w:rsidRPr="00B307D9">
        <w:rPr>
          <w:rFonts w:cstheme="minorHAnsi"/>
          <w:sz w:val="28"/>
          <w:szCs w:val="28"/>
        </w:rPr>
        <w:t>/wykup</w:t>
      </w:r>
      <w:r w:rsidR="00B307D9" w:rsidRPr="00B307D9">
        <w:rPr>
          <w:rFonts w:cstheme="minorHAnsi"/>
          <w:sz w:val="28"/>
          <w:szCs w:val="28"/>
        </w:rPr>
        <w:t>u</w:t>
      </w:r>
      <w:r w:rsidRPr="00B307D9">
        <w:rPr>
          <w:rFonts w:cstheme="minorHAnsi"/>
          <w:sz w:val="28"/>
          <w:szCs w:val="28"/>
        </w:rPr>
        <w:t xml:space="preserve"> KOWR. </w:t>
      </w:r>
    </w:p>
    <w:p w14:paraId="547B49BB" w14:textId="77777777" w:rsidR="008F1DA5" w:rsidRPr="008F1DA5" w:rsidRDefault="000E6485" w:rsidP="000464C6">
      <w:pPr>
        <w:pStyle w:val="Tekstpodstawowy"/>
        <w:spacing w:after="0"/>
        <w:ind w:left="0" w:firstLine="0"/>
        <w:jc w:val="both"/>
        <w:rPr>
          <w:rFonts w:cstheme="minorHAnsi"/>
          <w:sz w:val="28"/>
          <w:szCs w:val="28"/>
          <w:lang w:eastAsia="pl-PL"/>
        </w:rPr>
      </w:pPr>
      <w:r w:rsidRPr="00416075">
        <w:rPr>
          <w:sz w:val="28"/>
          <w:szCs w:val="28"/>
        </w:rPr>
        <w:t xml:space="preserve">Jeśli ustawa ma ograniczać nabywanie gruntów rolnych przez </w:t>
      </w:r>
      <w:r w:rsidR="00EE5021" w:rsidRPr="00416075">
        <w:rPr>
          <w:sz w:val="28"/>
          <w:szCs w:val="28"/>
        </w:rPr>
        <w:t>osoby nieuprawnione</w:t>
      </w:r>
      <w:r w:rsidRPr="00416075">
        <w:rPr>
          <w:sz w:val="28"/>
          <w:szCs w:val="28"/>
        </w:rPr>
        <w:t>, to „ochrona" powinna skupiać się na nieruchomościach większych obszarowo.</w:t>
      </w:r>
      <w:r w:rsidR="00D95AA0" w:rsidRPr="00416075">
        <w:rPr>
          <w:sz w:val="28"/>
          <w:szCs w:val="28"/>
        </w:rPr>
        <w:t xml:space="preserve"> </w:t>
      </w:r>
      <w:r w:rsidRPr="00416075">
        <w:rPr>
          <w:sz w:val="28"/>
          <w:szCs w:val="28"/>
        </w:rPr>
        <w:t>Takie rozwiązania były już realizowane przez Agencję Nieruchomości Rolnych</w:t>
      </w:r>
      <w:r w:rsidRPr="000E6485">
        <w:rPr>
          <w:sz w:val="28"/>
          <w:szCs w:val="28"/>
        </w:rPr>
        <w:t xml:space="preserve"> w latach ubiegłych. W latach 2003-2010 prawo pierwokupu i prawo wykupu z ustawy o k.u.r. dotyczyło transakcji, niezależnie od powierzchni zbywanej nieruchomości.</w:t>
      </w:r>
      <w:r w:rsidR="00D95AA0">
        <w:rPr>
          <w:sz w:val="28"/>
          <w:szCs w:val="28"/>
        </w:rPr>
        <w:t xml:space="preserve"> </w:t>
      </w:r>
      <w:r w:rsidRPr="000E6485">
        <w:rPr>
          <w:sz w:val="28"/>
          <w:szCs w:val="28"/>
        </w:rPr>
        <w:t>Wtedy ANR otrzymywała rocznie 80-</w:t>
      </w:r>
      <w:r w:rsidRPr="000E6485">
        <w:rPr>
          <w:sz w:val="28"/>
          <w:szCs w:val="28"/>
        </w:rPr>
        <w:lastRenderedPageBreak/>
        <w:t>100 tys. umów stanowiących ofertę nabycia. Ok. 80% nieruchomości miało powierzchnię poniżej 1 ha. Skala niepotrzebnej pracy urzędników i utrudnień dla obywateli spowodowała, że w 2010 r. została podniesiona granica powierzchniowa działek podlegających obostrzeniom obrotu do poziomu 5 ha. Zaproponowane wtedy rozwiązanie sprawdziło się, dlatego wnioskodawca proponuje powrót do tego sprawdzonego rozwiązania. Tym bardziej, że jak podaje KOWR w sprawozdaniu z działalności w 201</w:t>
      </w:r>
      <w:r w:rsidR="007A1E91">
        <w:rPr>
          <w:sz w:val="28"/>
          <w:szCs w:val="28"/>
        </w:rPr>
        <w:t>8</w:t>
      </w:r>
      <w:r w:rsidRPr="000E6485">
        <w:rPr>
          <w:sz w:val="28"/>
          <w:szCs w:val="28"/>
        </w:rPr>
        <w:t xml:space="preserve"> roku</w:t>
      </w:r>
      <w:r w:rsidR="00A6745E">
        <w:rPr>
          <w:rStyle w:val="Odwoanieprzypisudolnego"/>
          <w:sz w:val="28"/>
          <w:szCs w:val="28"/>
        </w:rPr>
        <w:footnoteReference w:id="6"/>
      </w:r>
      <w:r w:rsidRPr="000E6485">
        <w:rPr>
          <w:sz w:val="28"/>
          <w:szCs w:val="28"/>
        </w:rPr>
        <w:t xml:space="preserve">, w </w:t>
      </w:r>
      <w:r w:rsidR="008F1DA5">
        <w:rPr>
          <w:sz w:val="28"/>
          <w:szCs w:val="28"/>
        </w:rPr>
        <w:t>całym</w:t>
      </w:r>
      <w:r w:rsidRPr="000E6485">
        <w:rPr>
          <w:sz w:val="28"/>
          <w:szCs w:val="28"/>
        </w:rPr>
        <w:t xml:space="preserve"> 201</w:t>
      </w:r>
      <w:r w:rsidR="008F1DA5">
        <w:rPr>
          <w:sz w:val="28"/>
          <w:szCs w:val="28"/>
        </w:rPr>
        <w:t>8</w:t>
      </w:r>
      <w:r w:rsidRPr="000E6485">
        <w:rPr>
          <w:sz w:val="28"/>
          <w:szCs w:val="28"/>
        </w:rPr>
        <w:t xml:space="preserve"> roku,</w:t>
      </w:r>
      <w:r w:rsidR="00D95AA0">
        <w:rPr>
          <w:sz w:val="28"/>
          <w:szCs w:val="28"/>
        </w:rPr>
        <w:t xml:space="preserve"> </w:t>
      </w:r>
      <w:r w:rsidR="008F1DA5" w:rsidRPr="008F1DA5">
        <w:rPr>
          <w:rFonts w:cstheme="minorHAnsi"/>
          <w:sz w:val="28"/>
          <w:szCs w:val="28"/>
          <w:lang w:eastAsia="pl-PL"/>
        </w:rPr>
        <w:t xml:space="preserve">do OT KOWR wpłynęły łącznie 19 874 wnioski o wyrażenie zgody na nabycie nieruchomości rolnych o łącznej powierzchni 55,5 tys. ha. W OT KOWR wydano łącznie 18 581 decyzji administracyjnych (wobec 15 176 decyzji w 2017 r.), które dotyczyły nieruchomości rolnych o powierzchni 50,8 tys. ha (wobec 44,4 tys. ha w 2017 r.), z tego: </w:t>
      </w:r>
    </w:p>
    <w:p w14:paraId="18C87483" w14:textId="77777777" w:rsidR="008F1DA5" w:rsidRPr="008F1DA5" w:rsidRDefault="008F1DA5" w:rsidP="000464C6">
      <w:pPr>
        <w:spacing w:after="0"/>
        <w:ind w:left="284" w:hanging="284"/>
        <w:jc w:val="both"/>
        <w:rPr>
          <w:rFonts w:eastAsia="Times New Roman" w:cstheme="minorHAnsi"/>
          <w:sz w:val="28"/>
          <w:szCs w:val="28"/>
          <w:lang w:eastAsia="pl-PL"/>
        </w:rPr>
      </w:pPr>
      <w:r w:rsidRPr="008F1DA5">
        <w:rPr>
          <w:rFonts w:eastAsia="Times New Roman" w:cstheme="minorHAnsi"/>
          <w:sz w:val="28"/>
          <w:szCs w:val="28"/>
          <w:lang w:eastAsia="pl-PL"/>
        </w:rPr>
        <w:t>−</w:t>
      </w:r>
      <w:r w:rsidRPr="008F1DA5">
        <w:rPr>
          <w:rFonts w:eastAsia="Times New Roman" w:cstheme="minorHAnsi"/>
          <w:sz w:val="28"/>
          <w:szCs w:val="28"/>
          <w:lang w:eastAsia="pl-PL"/>
        </w:rPr>
        <w:tab/>
        <w:t xml:space="preserve">17 152 decyzje pozytywne (dla nieruchomości o powierzchni 43,9 tys. ha), co stanowi 92,3% wszystkich wydanych decyzji – śr. pow. działki - 2,6ha , </w:t>
      </w:r>
    </w:p>
    <w:p w14:paraId="5D2A7671" w14:textId="77777777" w:rsidR="008F1DA5" w:rsidRPr="008F1DA5" w:rsidRDefault="008F1DA5" w:rsidP="000464C6">
      <w:pPr>
        <w:spacing w:after="0"/>
        <w:ind w:left="284" w:hanging="284"/>
        <w:jc w:val="both"/>
        <w:rPr>
          <w:rFonts w:eastAsia="Times New Roman" w:cstheme="minorHAnsi"/>
          <w:sz w:val="28"/>
          <w:szCs w:val="28"/>
          <w:lang w:eastAsia="pl-PL"/>
        </w:rPr>
      </w:pPr>
      <w:r w:rsidRPr="008F1DA5">
        <w:rPr>
          <w:rFonts w:eastAsia="Times New Roman" w:cstheme="minorHAnsi"/>
          <w:sz w:val="28"/>
          <w:szCs w:val="28"/>
          <w:lang w:eastAsia="pl-PL"/>
        </w:rPr>
        <w:t>−</w:t>
      </w:r>
      <w:r w:rsidRPr="008F1DA5">
        <w:rPr>
          <w:rFonts w:eastAsia="Times New Roman" w:cstheme="minorHAnsi"/>
          <w:sz w:val="28"/>
          <w:szCs w:val="28"/>
          <w:lang w:eastAsia="pl-PL"/>
        </w:rPr>
        <w:tab/>
        <w:t xml:space="preserve">1 136 decyzji o umorzeniu postępowania (dla nieruchomości o powierzchni 4 tys. ha) – śr. pow. działki - 3,5ha, </w:t>
      </w:r>
    </w:p>
    <w:p w14:paraId="410EB760" w14:textId="77777777" w:rsidR="00C90CD9" w:rsidRPr="0046301F" w:rsidRDefault="008F1DA5" w:rsidP="000464C6">
      <w:pPr>
        <w:spacing w:after="0"/>
        <w:ind w:left="284" w:hanging="284"/>
        <w:jc w:val="both"/>
        <w:rPr>
          <w:rFonts w:eastAsia="Times New Roman" w:cstheme="minorHAnsi"/>
          <w:sz w:val="28"/>
          <w:szCs w:val="28"/>
          <w:lang w:eastAsia="pl-PL"/>
        </w:rPr>
      </w:pPr>
      <w:r w:rsidRPr="008F1DA5">
        <w:rPr>
          <w:rFonts w:eastAsia="Times New Roman" w:cstheme="minorHAnsi"/>
          <w:sz w:val="28"/>
          <w:szCs w:val="28"/>
          <w:lang w:eastAsia="pl-PL"/>
        </w:rPr>
        <w:t>−</w:t>
      </w:r>
      <w:r w:rsidRPr="008F1DA5">
        <w:rPr>
          <w:rFonts w:eastAsia="Times New Roman" w:cstheme="minorHAnsi"/>
          <w:sz w:val="28"/>
          <w:szCs w:val="28"/>
          <w:lang w:eastAsia="pl-PL"/>
        </w:rPr>
        <w:tab/>
        <w:t>293 decyzje negatywne (dla nieruchomości o powierzchni 2,9 tys. ha</w:t>
      </w:r>
      <w:r>
        <w:rPr>
          <w:rFonts w:eastAsia="Times New Roman" w:cstheme="minorHAnsi"/>
          <w:sz w:val="28"/>
          <w:szCs w:val="28"/>
          <w:lang w:eastAsia="pl-PL"/>
        </w:rPr>
        <w:t xml:space="preserve">. </w:t>
      </w:r>
      <w:r w:rsidRPr="008F1DA5">
        <w:rPr>
          <w:rFonts w:cstheme="minorHAnsi"/>
          <w:sz w:val="28"/>
          <w:szCs w:val="28"/>
        </w:rPr>
        <w:t xml:space="preserve">Średnia powierzchnia gruntów rolnych, która uzyskała decyzję negatywną wyniosła 9,9 ha. </w:t>
      </w:r>
    </w:p>
    <w:p w14:paraId="6C9DAE0C" w14:textId="77777777" w:rsidR="000E6485" w:rsidRPr="000E6485" w:rsidRDefault="000E6485" w:rsidP="000E6485">
      <w:pPr>
        <w:jc w:val="both"/>
        <w:rPr>
          <w:sz w:val="28"/>
          <w:szCs w:val="28"/>
        </w:rPr>
      </w:pPr>
      <w:r w:rsidRPr="000E6485">
        <w:rPr>
          <w:sz w:val="28"/>
          <w:szCs w:val="28"/>
        </w:rPr>
        <w:t>Wniosk</w:t>
      </w:r>
      <w:r w:rsidR="000464C6">
        <w:rPr>
          <w:sz w:val="28"/>
          <w:szCs w:val="28"/>
        </w:rPr>
        <w:t>odawcy</w:t>
      </w:r>
      <w:r w:rsidRPr="000E6485">
        <w:rPr>
          <w:sz w:val="28"/>
          <w:szCs w:val="28"/>
        </w:rPr>
        <w:t xml:space="preserve"> wychodzą z założenia, że przedmiotem ochrony </w:t>
      </w:r>
      <w:r w:rsidR="000464C6">
        <w:rPr>
          <w:sz w:val="28"/>
          <w:szCs w:val="28"/>
        </w:rPr>
        <w:t xml:space="preserve">gruntów rolnych </w:t>
      </w:r>
      <w:r w:rsidRPr="000E6485">
        <w:rPr>
          <w:sz w:val="28"/>
          <w:szCs w:val="28"/>
        </w:rPr>
        <w:t>powinny być nieruchomości o powierzchni o istotnym znaczeniu dla struktury agrarnej w naszym kraju. Stąd propozycja objęcia przepisami ustawy gruntów rolnych o powierzchni większej niż 5 ha.</w:t>
      </w:r>
    </w:p>
    <w:p w14:paraId="782AE9D5" w14:textId="77777777" w:rsidR="000464C6" w:rsidRDefault="000E6485" w:rsidP="000464C6">
      <w:pPr>
        <w:jc w:val="both"/>
        <w:rPr>
          <w:sz w:val="28"/>
          <w:szCs w:val="28"/>
        </w:rPr>
      </w:pPr>
      <w:r w:rsidRPr="000E6485">
        <w:rPr>
          <w:sz w:val="28"/>
          <w:szCs w:val="28"/>
        </w:rPr>
        <w:t>Ponadto wnioskodawcy proponują zmianę ograniczenia polegającego na konieczności zamieszkiwania przez okres 5 lat od dnia nabycia nieruchomości na terenie gminy, na obszarze której położona jest jedna z nieruchomości rolnych, która wejdzie w skład tworzonego gospodarstwa rodzinnego na konieczność osobistego prowadzenia gospodarstwa przez okres 5 lat od dnia nabycia nieruchomości na terenie gminy, na obszarze której położona jest jedna</w:t>
      </w:r>
      <w:r w:rsidR="00AC7DC4">
        <w:rPr>
          <w:sz w:val="28"/>
          <w:szCs w:val="28"/>
        </w:rPr>
        <w:t xml:space="preserve"> </w:t>
      </w:r>
      <w:r w:rsidRPr="000E6485">
        <w:rPr>
          <w:sz w:val="28"/>
          <w:szCs w:val="28"/>
        </w:rPr>
        <w:t xml:space="preserve">z nieruchomości rolnych, która wchodzi w skład tworzonego gospodarstwa rodzinnego. </w:t>
      </w:r>
    </w:p>
    <w:p w14:paraId="21598ABD" w14:textId="77777777" w:rsidR="000E6485" w:rsidRPr="000E6485" w:rsidRDefault="00AC7DC4" w:rsidP="000E6485">
      <w:pPr>
        <w:jc w:val="both"/>
        <w:rPr>
          <w:sz w:val="28"/>
          <w:szCs w:val="28"/>
        </w:rPr>
      </w:pPr>
      <w:r w:rsidRPr="000E6485">
        <w:rPr>
          <w:sz w:val="28"/>
          <w:szCs w:val="28"/>
        </w:rPr>
        <w:t xml:space="preserve">Takie rozwiązanie zdecydowanie ułatwi proces tworzenia gospodarstw rolnych </w:t>
      </w:r>
      <w:r w:rsidR="000464C6" w:rsidRPr="000E6485">
        <w:rPr>
          <w:sz w:val="28"/>
          <w:szCs w:val="28"/>
        </w:rPr>
        <w:t>przez osoby, które nie zamieszkują na terenie gminy w której znajdują się</w:t>
      </w:r>
      <w:r w:rsidR="00D95AA0">
        <w:rPr>
          <w:sz w:val="28"/>
          <w:szCs w:val="28"/>
        </w:rPr>
        <w:t xml:space="preserve"> </w:t>
      </w:r>
      <w:r w:rsidR="000E6485" w:rsidRPr="000E6485">
        <w:rPr>
          <w:sz w:val="28"/>
          <w:szCs w:val="28"/>
        </w:rPr>
        <w:t xml:space="preserve">nieruchomości wchodzące w skład tworzonego gospodarstwa rolnego. W dobie </w:t>
      </w:r>
      <w:r w:rsidR="000E6485" w:rsidRPr="000E6485">
        <w:rPr>
          <w:sz w:val="28"/>
          <w:szCs w:val="28"/>
        </w:rPr>
        <w:lastRenderedPageBreak/>
        <w:t>nowoczesnych rozwiązań technicznych i komunikacyjnych uzależnianie możliwości tworzenia gospodarstwa rolnego od miejsca zamieszkania jego właściciela wnioskodawcy uważają za sztuczne, zbędne i nieracjonalne ograniczenie swobody przepływu ludzi i kapitału.</w:t>
      </w:r>
    </w:p>
    <w:p w14:paraId="032C3FF8" w14:textId="77777777" w:rsidR="000E6485" w:rsidRDefault="000E6485" w:rsidP="000E6485">
      <w:pPr>
        <w:jc w:val="both"/>
        <w:rPr>
          <w:sz w:val="28"/>
          <w:szCs w:val="28"/>
        </w:rPr>
      </w:pPr>
      <w:r w:rsidRPr="000E6485">
        <w:rPr>
          <w:sz w:val="28"/>
          <w:szCs w:val="28"/>
        </w:rPr>
        <w:t xml:space="preserve">Ograniczenie katalogu osób prawnych </w:t>
      </w:r>
      <w:r w:rsidRPr="00416075">
        <w:rPr>
          <w:sz w:val="28"/>
          <w:szCs w:val="28"/>
        </w:rPr>
        <w:t>wyłączonych ze stosowania przepisów ustawy o wstrzymaniu sprzedaży nieruchomości Zasobu Własności Rolnej Skarbu Państwa oraz o zmianie niektórych ustaw w sposób zasadniczy zmniejszy pole do działań spekulacyjnych na rynku nieruchomości rolnych.</w:t>
      </w:r>
    </w:p>
    <w:p w14:paraId="539EAF43" w14:textId="77777777" w:rsidR="00416075" w:rsidRDefault="00416075" w:rsidP="000E6485">
      <w:pPr>
        <w:jc w:val="both"/>
        <w:rPr>
          <w:sz w:val="28"/>
          <w:szCs w:val="28"/>
        </w:rPr>
      </w:pPr>
      <w:r>
        <w:rPr>
          <w:sz w:val="28"/>
          <w:szCs w:val="28"/>
        </w:rPr>
        <w:t xml:space="preserve">Wejście  w życie projektu nie będzie miało wpływu na budżet państwa. </w:t>
      </w:r>
    </w:p>
    <w:p w14:paraId="09B67097" w14:textId="77777777" w:rsidR="00416075" w:rsidRPr="000E6485" w:rsidRDefault="00416075" w:rsidP="000E6485">
      <w:pPr>
        <w:jc w:val="both"/>
        <w:rPr>
          <w:sz w:val="28"/>
          <w:szCs w:val="28"/>
        </w:rPr>
      </w:pPr>
      <w:r>
        <w:rPr>
          <w:sz w:val="28"/>
          <w:szCs w:val="28"/>
        </w:rPr>
        <w:t xml:space="preserve">Projekt ustawy nie jest sprzeczny z prawem Unii Europejskiej. </w:t>
      </w:r>
    </w:p>
    <w:p w14:paraId="370A13C4" w14:textId="77777777" w:rsidR="000E6485" w:rsidRDefault="000E6485" w:rsidP="00B039DA">
      <w:pPr>
        <w:jc w:val="both"/>
      </w:pPr>
    </w:p>
    <w:sectPr w:rsidR="000E6485" w:rsidSect="00D9173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646C89" w14:textId="77777777" w:rsidR="00B12DA4" w:rsidRDefault="00B12DA4" w:rsidP="000464C6">
      <w:pPr>
        <w:spacing w:after="0" w:line="240" w:lineRule="auto"/>
      </w:pPr>
      <w:r>
        <w:separator/>
      </w:r>
    </w:p>
  </w:endnote>
  <w:endnote w:type="continuationSeparator" w:id="0">
    <w:p w14:paraId="7E2867E3" w14:textId="77777777" w:rsidR="00B12DA4" w:rsidRDefault="00B12DA4" w:rsidP="000464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34FDEA" w14:textId="77777777" w:rsidR="00B12DA4" w:rsidRDefault="00B12DA4" w:rsidP="000464C6">
      <w:pPr>
        <w:spacing w:after="0" w:line="240" w:lineRule="auto"/>
      </w:pPr>
      <w:r>
        <w:separator/>
      </w:r>
    </w:p>
  </w:footnote>
  <w:footnote w:type="continuationSeparator" w:id="0">
    <w:p w14:paraId="0AE88FAB" w14:textId="77777777" w:rsidR="00B12DA4" w:rsidRDefault="00B12DA4" w:rsidP="000464C6">
      <w:pPr>
        <w:spacing w:after="0" w:line="240" w:lineRule="auto"/>
      </w:pPr>
      <w:r>
        <w:continuationSeparator/>
      </w:r>
    </w:p>
  </w:footnote>
  <w:footnote w:id="1">
    <w:p w14:paraId="1B0BA2E0" w14:textId="77777777" w:rsidR="00F6451F" w:rsidRPr="00F6451F" w:rsidRDefault="00F6451F" w:rsidP="00F6451F">
      <w:pPr>
        <w:pStyle w:val="Tekstprzypisudolnego"/>
        <w:jc w:val="both"/>
        <w:rPr>
          <w:rFonts w:ascii="Tahoma" w:hAnsi="Tahoma" w:cs="Tahoma"/>
        </w:rPr>
      </w:pPr>
      <w:r w:rsidRPr="00F6451F">
        <w:rPr>
          <w:rStyle w:val="Odwoanieprzypisudolnego"/>
          <w:rFonts w:ascii="Tahoma" w:hAnsi="Tahoma" w:cs="Tahoma"/>
        </w:rPr>
        <w:footnoteRef/>
      </w:r>
      <w:r w:rsidRPr="00F6451F">
        <w:rPr>
          <w:rFonts w:ascii="Tahoma" w:hAnsi="Tahoma" w:cs="Tahoma"/>
        </w:rPr>
        <w:t xml:space="preserve"> Sprawozdanie Ministra Spraw Wewnętrznych i Administracji z realizacji w 2016 roku ustawy z dnia 24 marca 1920 roku o nabywaniu nieruchomości przez cudzoziemców. Wyd. MSWiA, Warszawa, marzec 2017 r., s. 49</w:t>
      </w:r>
    </w:p>
  </w:footnote>
  <w:footnote w:id="2">
    <w:p w14:paraId="28742226" w14:textId="77777777" w:rsidR="00F6451F" w:rsidRPr="00F6451F" w:rsidRDefault="00F6451F" w:rsidP="00F6451F">
      <w:pPr>
        <w:pStyle w:val="Tekstprzypisudolnego"/>
        <w:jc w:val="both"/>
        <w:rPr>
          <w:rFonts w:ascii="Tahoma" w:hAnsi="Tahoma" w:cs="Tahoma"/>
        </w:rPr>
      </w:pPr>
      <w:r w:rsidRPr="00F6451F">
        <w:rPr>
          <w:rStyle w:val="Odwoanieprzypisudolnego"/>
          <w:rFonts w:ascii="Tahoma" w:hAnsi="Tahoma" w:cs="Tahoma"/>
        </w:rPr>
        <w:footnoteRef/>
      </w:r>
      <w:r w:rsidRPr="00F6451F">
        <w:rPr>
          <w:rFonts w:ascii="Tahoma" w:hAnsi="Tahoma" w:cs="Tahoma"/>
        </w:rPr>
        <w:t xml:space="preserve"> Sprawozdanie Ministra Spraw Wewnętrznych i Administracji z realizacji w 2015 roku ustawy z dnia 24 marca 1920 roku o nabywaniu nieruchomości przez cudzoziemców. Wyd. MSWiA, Warszawa, marzec 2016 r., s. 45</w:t>
      </w:r>
    </w:p>
  </w:footnote>
  <w:footnote w:id="3">
    <w:p w14:paraId="0A4EDD2E" w14:textId="77777777" w:rsidR="00F6451F" w:rsidRPr="00F6451F" w:rsidRDefault="00F6451F" w:rsidP="00F6451F">
      <w:pPr>
        <w:pStyle w:val="Tekstprzypisudolnego"/>
        <w:jc w:val="both"/>
        <w:rPr>
          <w:rFonts w:ascii="Tahoma" w:hAnsi="Tahoma" w:cs="Tahoma"/>
        </w:rPr>
      </w:pPr>
      <w:r w:rsidRPr="00F6451F">
        <w:rPr>
          <w:rStyle w:val="Odwoanieprzypisudolnego"/>
          <w:rFonts w:ascii="Tahoma" w:hAnsi="Tahoma" w:cs="Tahoma"/>
        </w:rPr>
        <w:footnoteRef/>
      </w:r>
      <w:r w:rsidRPr="00F6451F">
        <w:rPr>
          <w:rFonts w:ascii="Tahoma" w:hAnsi="Tahoma" w:cs="Tahoma"/>
        </w:rPr>
        <w:t xml:space="preserve"> Sprawozdanie Ministra Spraw Wewnętrznych i Administracji z realizacji w 2017 roku ustawy z dnia 24 marca 1920 roku o nabywaniu nieruchomości przez cudzoziemców. Wyd. MSWiA, Warszawa, marzec 2018 r., s. 45- 46</w:t>
      </w:r>
    </w:p>
  </w:footnote>
  <w:footnote w:id="4">
    <w:p w14:paraId="0E87EB3B" w14:textId="77777777" w:rsidR="00F6451F" w:rsidRPr="00F6451F" w:rsidRDefault="00F6451F" w:rsidP="00F6451F">
      <w:pPr>
        <w:pStyle w:val="Tekstprzypisudolnego"/>
        <w:jc w:val="both"/>
        <w:rPr>
          <w:rFonts w:ascii="Tahoma" w:hAnsi="Tahoma" w:cs="Tahoma"/>
        </w:rPr>
      </w:pPr>
      <w:r w:rsidRPr="00F6451F">
        <w:rPr>
          <w:rStyle w:val="Odwoanieprzypisudolnego"/>
          <w:rFonts w:ascii="Tahoma" w:hAnsi="Tahoma" w:cs="Tahoma"/>
        </w:rPr>
        <w:footnoteRef/>
      </w:r>
      <w:r w:rsidRPr="00F6451F">
        <w:rPr>
          <w:rFonts w:ascii="Tahoma" w:hAnsi="Tahoma" w:cs="Tahoma"/>
        </w:rPr>
        <w:t xml:space="preserve"> Sprawozdanie Ministra Spraw Wewnętrznych i Administracji z realizacji w 2018 roku ustawy z dnia 24 marca 1920 roku o nabywaniu nieruchomości przez cudzoziemców. Wyd. MSWiA, Warszawa, marzec 2019r., s. 45</w:t>
      </w:r>
    </w:p>
  </w:footnote>
  <w:footnote w:id="5">
    <w:p w14:paraId="0F57EEC8" w14:textId="77777777" w:rsidR="00F6451F" w:rsidRPr="00F6451F" w:rsidRDefault="00F6451F" w:rsidP="00F6451F">
      <w:pPr>
        <w:spacing w:line="240" w:lineRule="auto"/>
        <w:jc w:val="both"/>
        <w:rPr>
          <w:rFonts w:ascii="Tahoma" w:hAnsi="Tahoma" w:cs="Tahoma"/>
          <w:sz w:val="20"/>
          <w:szCs w:val="20"/>
        </w:rPr>
      </w:pPr>
      <w:r w:rsidRPr="00F6451F">
        <w:rPr>
          <w:rStyle w:val="Odwoanieprzypisudolnego"/>
          <w:rFonts w:ascii="Tahoma" w:hAnsi="Tahoma" w:cs="Tahoma"/>
          <w:sz w:val="20"/>
          <w:szCs w:val="20"/>
        </w:rPr>
        <w:footnoteRef/>
      </w:r>
      <w:r w:rsidRPr="00F6451F">
        <w:rPr>
          <w:rFonts w:ascii="Tahoma" w:hAnsi="Tahoma" w:cs="Tahoma"/>
          <w:sz w:val="20"/>
          <w:szCs w:val="20"/>
        </w:rPr>
        <w:t xml:space="preserve"> http://www.arimr.gov.pl/pomoc-krajowa/srednie-ceny-gruntow-wg-gus.html</w:t>
      </w:r>
    </w:p>
    <w:p w14:paraId="3B7038E9" w14:textId="77777777" w:rsidR="00F6451F" w:rsidRDefault="00F6451F">
      <w:pPr>
        <w:pStyle w:val="Tekstprzypisudolnego"/>
      </w:pPr>
    </w:p>
  </w:footnote>
  <w:footnote w:id="6">
    <w:p w14:paraId="5B441CB5" w14:textId="77777777" w:rsidR="00A6745E" w:rsidRPr="00A6745E" w:rsidRDefault="00A6745E" w:rsidP="00A6745E">
      <w:pPr>
        <w:jc w:val="both"/>
        <w:rPr>
          <w:rFonts w:ascii="Tahoma" w:hAnsi="Tahoma" w:cs="Tahoma"/>
          <w:sz w:val="20"/>
          <w:szCs w:val="20"/>
        </w:rPr>
      </w:pPr>
      <w:r w:rsidRPr="00A6745E">
        <w:rPr>
          <w:rStyle w:val="Odwoanieprzypisudolnego"/>
          <w:rFonts w:ascii="Tahoma" w:hAnsi="Tahoma" w:cs="Tahoma"/>
          <w:sz w:val="20"/>
          <w:szCs w:val="20"/>
        </w:rPr>
        <w:footnoteRef/>
      </w:r>
      <w:r w:rsidRPr="00A6745E">
        <w:rPr>
          <w:rFonts w:ascii="Tahoma" w:hAnsi="Tahoma" w:cs="Tahoma"/>
          <w:sz w:val="20"/>
          <w:szCs w:val="20"/>
        </w:rPr>
        <w:t xml:space="preserve"> Sprawozdanie z działalności Krajowego Ośrodka Wsparcia Rozwoju Rolnictwa w 2018 roku, Wyd. KOWR, Warszawa, 2019, s. 53</w:t>
      </w:r>
    </w:p>
    <w:p w14:paraId="5F0E3254" w14:textId="77777777" w:rsidR="00A6745E" w:rsidRDefault="00A6745E">
      <w:pPr>
        <w:pStyle w:val="Tekstprzypisudolneg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7066"/>
    <w:rsid w:val="00027705"/>
    <w:rsid w:val="000464C6"/>
    <w:rsid w:val="000E6485"/>
    <w:rsid w:val="0015078A"/>
    <w:rsid w:val="00165633"/>
    <w:rsid w:val="002C5A78"/>
    <w:rsid w:val="00384511"/>
    <w:rsid w:val="003C6D98"/>
    <w:rsid w:val="00412B67"/>
    <w:rsid w:val="00416075"/>
    <w:rsid w:val="0045109C"/>
    <w:rsid w:val="0045204F"/>
    <w:rsid w:val="0046301F"/>
    <w:rsid w:val="004C4839"/>
    <w:rsid w:val="004E6FA7"/>
    <w:rsid w:val="00527483"/>
    <w:rsid w:val="00554B59"/>
    <w:rsid w:val="00556A07"/>
    <w:rsid w:val="005E766D"/>
    <w:rsid w:val="00695923"/>
    <w:rsid w:val="006A7066"/>
    <w:rsid w:val="00700ACF"/>
    <w:rsid w:val="007678EF"/>
    <w:rsid w:val="007A1E91"/>
    <w:rsid w:val="008453DA"/>
    <w:rsid w:val="008F1DA5"/>
    <w:rsid w:val="0090105B"/>
    <w:rsid w:val="009141DE"/>
    <w:rsid w:val="00955729"/>
    <w:rsid w:val="00962302"/>
    <w:rsid w:val="00A6745E"/>
    <w:rsid w:val="00A778C0"/>
    <w:rsid w:val="00AB08A2"/>
    <w:rsid w:val="00AC7DC4"/>
    <w:rsid w:val="00B039DA"/>
    <w:rsid w:val="00B12DA4"/>
    <w:rsid w:val="00B22FE8"/>
    <w:rsid w:val="00B307D9"/>
    <w:rsid w:val="00B96945"/>
    <w:rsid w:val="00BE0327"/>
    <w:rsid w:val="00C046F8"/>
    <w:rsid w:val="00C90CD9"/>
    <w:rsid w:val="00C917F7"/>
    <w:rsid w:val="00CB3A45"/>
    <w:rsid w:val="00CC2120"/>
    <w:rsid w:val="00D641C9"/>
    <w:rsid w:val="00D91738"/>
    <w:rsid w:val="00D95AA0"/>
    <w:rsid w:val="00DA36CD"/>
    <w:rsid w:val="00DB472C"/>
    <w:rsid w:val="00E10349"/>
    <w:rsid w:val="00E257FC"/>
    <w:rsid w:val="00E55A3A"/>
    <w:rsid w:val="00E61269"/>
    <w:rsid w:val="00E84D95"/>
    <w:rsid w:val="00E8500F"/>
    <w:rsid w:val="00EE5021"/>
    <w:rsid w:val="00F53618"/>
    <w:rsid w:val="00F6451F"/>
    <w:rsid w:val="00FD3CFB"/>
    <w:rsid w:val="00FD42F2"/>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C7FA0B"/>
  <w15:docId w15:val="{847D25D5-A5CC-4BFD-856C-87C98F343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D91738"/>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iPriority w:val="99"/>
    <w:semiHidden/>
    <w:unhideWhenUsed/>
    <w:rsid w:val="00C90CD9"/>
    <w:pPr>
      <w:spacing w:after="120" w:line="240" w:lineRule="auto"/>
      <w:ind w:left="357" w:hanging="357"/>
    </w:pPr>
  </w:style>
  <w:style w:type="character" w:customStyle="1" w:styleId="TekstpodstawowyZnak">
    <w:name w:val="Tekst podstawowy Znak"/>
    <w:basedOn w:val="Domylnaczcionkaakapitu"/>
    <w:link w:val="Tekstpodstawowy"/>
    <w:uiPriority w:val="99"/>
    <w:semiHidden/>
    <w:rsid w:val="00C90CD9"/>
  </w:style>
  <w:style w:type="paragraph" w:styleId="Bezodstpw">
    <w:name w:val="No Spacing"/>
    <w:uiPriority w:val="1"/>
    <w:qFormat/>
    <w:rsid w:val="00C90CD9"/>
    <w:pPr>
      <w:spacing w:after="0" w:line="240" w:lineRule="auto"/>
      <w:ind w:left="357" w:hanging="357"/>
    </w:pPr>
  </w:style>
  <w:style w:type="paragraph" w:styleId="Nagwek">
    <w:name w:val="header"/>
    <w:basedOn w:val="Normalny"/>
    <w:link w:val="NagwekZnak"/>
    <w:uiPriority w:val="99"/>
    <w:unhideWhenUsed/>
    <w:rsid w:val="000464C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464C6"/>
  </w:style>
  <w:style w:type="paragraph" w:styleId="Stopka">
    <w:name w:val="footer"/>
    <w:basedOn w:val="Normalny"/>
    <w:link w:val="StopkaZnak"/>
    <w:uiPriority w:val="99"/>
    <w:unhideWhenUsed/>
    <w:rsid w:val="000464C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464C6"/>
  </w:style>
  <w:style w:type="paragraph" w:styleId="Tekstdymka">
    <w:name w:val="Balloon Text"/>
    <w:basedOn w:val="Normalny"/>
    <w:link w:val="TekstdymkaZnak"/>
    <w:uiPriority w:val="99"/>
    <w:semiHidden/>
    <w:unhideWhenUsed/>
    <w:rsid w:val="00700AC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00ACF"/>
    <w:rPr>
      <w:rFonts w:ascii="Segoe UI" w:hAnsi="Segoe UI" w:cs="Segoe UI"/>
      <w:sz w:val="18"/>
      <w:szCs w:val="18"/>
    </w:rPr>
  </w:style>
  <w:style w:type="character" w:styleId="Odwoaniedokomentarza">
    <w:name w:val="annotation reference"/>
    <w:basedOn w:val="Domylnaczcionkaakapitu"/>
    <w:uiPriority w:val="99"/>
    <w:semiHidden/>
    <w:unhideWhenUsed/>
    <w:rsid w:val="00A778C0"/>
    <w:rPr>
      <w:sz w:val="16"/>
      <w:szCs w:val="16"/>
    </w:rPr>
  </w:style>
  <w:style w:type="paragraph" w:styleId="Tekstkomentarza">
    <w:name w:val="annotation text"/>
    <w:basedOn w:val="Normalny"/>
    <w:link w:val="TekstkomentarzaZnak"/>
    <w:uiPriority w:val="99"/>
    <w:semiHidden/>
    <w:unhideWhenUsed/>
    <w:rsid w:val="00A778C0"/>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778C0"/>
    <w:rPr>
      <w:sz w:val="20"/>
      <w:szCs w:val="20"/>
    </w:rPr>
  </w:style>
  <w:style w:type="paragraph" w:styleId="Tematkomentarza">
    <w:name w:val="annotation subject"/>
    <w:basedOn w:val="Tekstkomentarza"/>
    <w:next w:val="Tekstkomentarza"/>
    <w:link w:val="TematkomentarzaZnak"/>
    <w:uiPriority w:val="99"/>
    <w:semiHidden/>
    <w:unhideWhenUsed/>
    <w:rsid w:val="00A778C0"/>
    <w:rPr>
      <w:b/>
      <w:bCs/>
    </w:rPr>
  </w:style>
  <w:style w:type="character" w:customStyle="1" w:styleId="TematkomentarzaZnak">
    <w:name w:val="Temat komentarza Znak"/>
    <w:basedOn w:val="TekstkomentarzaZnak"/>
    <w:link w:val="Tematkomentarza"/>
    <w:uiPriority w:val="99"/>
    <w:semiHidden/>
    <w:rsid w:val="00A778C0"/>
    <w:rPr>
      <w:b/>
      <w:bCs/>
      <w:sz w:val="20"/>
      <w:szCs w:val="20"/>
    </w:rPr>
  </w:style>
  <w:style w:type="paragraph" w:styleId="Tekstprzypisudolnego">
    <w:name w:val="footnote text"/>
    <w:basedOn w:val="Normalny"/>
    <w:link w:val="TekstprzypisudolnegoZnak"/>
    <w:uiPriority w:val="99"/>
    <w:semiHidden/>
    <w:unhideWhenUsed/>
    <w:rsid w:val="00F6451F"/>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F6451F"/>
    <w:rPr>
      <w:sz w:val="20"/>
      <w:szCs w:val="20"/>
    </w:rPr>
  </w:style>
  <w:style w:type="character" w:styleId="Odwoanieprzypisudolnego">
    <w:name w:val="footnote reference"/>
    <w:basedOn w:val="Domylnaczcionkaakapitu"/>
    <w:uiPriority w:val="99"/>
    <w:semiHidden/>
    <w:unhideWhenUsed/>
    <w:rsid w:val="00F6451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453229">
      <w:bodyDiv w:val="1"/>
      <w:marLeft w:val="0"/>
      <w:marRight w:val="0"/>
      <w:marTop w:val="0"/>
      <w:marBottom w:val="0"/>
      <w:divBdr>
        <w:top w:val="none" w:sz="0" w:space="0" w:color="auto"/>
        <w:left w:val="none" w:sz="0" w:space="0" w:color="auto"/>
        <w:bottom w:val="none" w:sz="0" w:space="0" w:color="auto"/>
        <w:right w:val="none" w:sz="0" w:space="0" w:color="auto"/>
      </w:divBdr>
    </w:div>
    <w:div w:id="739182223">
      <w:bodyDiv w:val="1"/>
      <w:marLeft w:val="0"/>
      <w:marRight w:val="0"/>
      <w:marTop w:val="0"/>
      <w:marBottom w:val="0"/>
      <w:divBdr>
        <w:top w:val="none" w:sz="0" w:space="0" w:color="auto"/>
        <w:left w:val="none" w:sz="0" w:space="0" w:color="auto"/>
        <w:bottom w:val="none" w:sz="0" w:space="0" w:color="auto"/>
        <w:right w:val="none" w:sz="0" w:space="0" w:color="auto"/>
      </w:divBdr>
    </w:div>
    <w:div w:id="1035740953">
      <w:bodyDiv w:val="1"/>
      <w:marLeft w:val="0"/>
      <w:marRight w:val="0"/>
      <w:marTop w:val="0"/>
      <w:marBottom w:val="0"/>
      <w:divBdr>
        <w:top w:val="none" w:sz="0" w:space="0" w:color="auto"/>
        <w:left w:val="none" w:sz="0" w:space="0" w:color="auto"/>
        <w:bottom w:val="none" w:sz="0" w:space="0" w:color="auto"/>
        <w:right w:val="none" w:sz="0" w:space="0" w:color="auto"/>
      </w:divBdr>
    </w:div>
    <w:div w:id="2064481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1361</Words>
  <Characters>8171</Characters>
  <Application>Microsoft Office Word</Application>
  <DocSecurity>0</DocSecurity>
  <Lines>68</Lines>
  <Paragraphs>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9513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Grzegorz Molesztak</dc:creator>
  <cp:lastModifiedBy>Grzegorz Molesztak</cp:lastModifiedBy>
  <cp:revision>4</cp:revision>
  <cp:lastPrinted>2021-06-03T11:16:00Z</cp:lastPrinted>
  <dcterms:created xsi:type="dcterms:W3CDTF">2021-06-02T10:44:00Z</dcterms:created>
  <dcterms:modified xsi:type="dcterms:W3CDTF">2021-06-15T11:19:00Z</dcterms:modified>
</cp:coreProperties>
</file>