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5F23F" w14:textId="77777777" w:rsidR="00D5187A" w:rsidRPr="00D171EB" w:rsidRDefault="00720EC5" w:rsidP="00D171EB">
      <w:pPr>
        <w:pStyle w:val="Podtytu"/>
        <w:pageBreakBefore/>
        <w:spacing w:line="360" w:lineRule="auto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D171EB">
        <w:rPr>
          <w:rFonts w:ascii="Tahoma" w:hAnsi="Tahoma" w:cs="Tahoma"/>
          <w:b/>
          <w:bCs/>
          <w:sz w:val="24"/>
          <w:szCs w:val="24"/>
        </w:rPr>
        <w:t>UZASADNIENIE</w:t>
      </w:r>
    </w:p>
    <w:p w14:paraId="4317A8F2" w14:textId="77777777" w:rsidR="00B15FCF" w:rsidRPr="00D171EB" w:rsidRDefault="00B15FCF" w:rsidP="00D171EB">
      <w:pPr>
        <w:pStyle w:val="Standard"/>
        <w:spacing w:before="57" w:after="57" w:line="360" w:lineRule="auto"/>
        <w:jc w:val="both"/>
        <w:rPr>
          <w:rFonts w:ascii="Tahoma" w:hAnsi="Tahoma" w:cs="Tahoma"/>
        </w:rPr>
      </w:pPr>
    </w:p>
    <w:p w14:paraId="0A6BD394" w14:textId="77777777" w:rsidR="00B15FCF" w:rsidRPr="00D171EB" w:rsidRDefault="00B15FCF" w:rsidP="00D171EB">
      <w:pPr>
        <w:spacing w:after="120" w:line="360" w:lineRule="auto"/>
        <w:jc w:val="both"/>
        <w:rPr>
          <w:rFonts w:ascii="Tahoma" w:hAnsi="Tahoma" w:cs="Tahoma"/>
          <w:b/>
        </w:rPr>
      </w:pPr>
      <w:r w:rsidRPr="00D171EB">
        <w:rPr>
          <w:rFonts w:ascii="Tahoma" w:hAnsi="Tahoma" w:cs="Tahoma"/>
          <w:b/>
        </w:rPr>
        <w:t>1. Potrzeba i cel wydania ustawy</w:t>
      </w:r>
    </w:p>
    <w:p w14:paraId="4F8B3DDE" w14:textId="7DB91378" w:rsidR="00D5187A" w:rsidRPr="00D171EB" w:rsidRDefault="00720EC5" w:rsidP="00D171EB">
      <w:pPr>
        <w:pStyle w:val="Standard"/>
        <w:spacing w:before="57" w:after="57" w:line="360" w:lineRule="auto"/>
        <w:ind w:firstLine="720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>Niniejsza nowelizacja ustawy o mniejszościach narodowych i etnicznych oraz o języku regionalnym ma na celu nadanie obywatelom Polski narodowości gruzińskiej statusu mniejszości narodowej. Art. 2 ust. 1 wyżej wskazanej ustawy jednoznacznie określa warunki, które spełniać powinna mniejszość narodowa. Są to:</w:t>
      </w:r>
    </w:p>
    <w:p w14:paraId="2BD14577" w14:textId="77777777" w:rsidR="00D5187A" w:rsidRPr="00D171EB" w:rsidRDefault="00720EC5" w:rsidP="00D171EB">
      <w:pPr>
        <w:pStyle w:val="Standard"/>
        <w:numPr>
          <w:ilvl w:val="0"/>
          <w:numId w:val="6"/>
        </w:numPr>
        <w:spacing w:line="360" w:lineRule="auto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>jest mniej liczebna od pozostałej części ludności Rzeczypospolitej Polskiej;</w:t>
      </w:r>
    </w:p>
    <w:p w14:paraId="1662BB94" w14:textId="77777777" w:rsidR="00D5187A" w:rsidRPr="00D171EB" w:rsidRDefault="00720EC5" w:rsidP="00D171EB">
      <w:pPr>
        <w:pStyle w:val="Standard"/>
        <w:numPr>
          <w:ilvl w:val="0"/>
          <w:numId w:val="6"/>
        </w:numPr>
        <w:spacing w:line="360" w:lineRule="auto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>w sposób istotny odróżnia się od pozostałych obywateli językiem, kulturą lub tradycją;</w:t>
      </w:r>
    </w:p>
    <w:p w14:paraId="64C2CBF8" w14:textId="77777777" w:rsidR="00D5187A" w:rsidRPr="00D171EB" w:rsidRDefault="00720EC5" w:rsidP="00D171EB">
      <w:pPr>
        <w:pStyle w:val="Standard"/>
        <w:numPr>
          <w:ilvl w:val="0"/>
          <w:numId w:val="6"/>
        </w:numPr>
        <w:spacing w:line="360" w:lineRule="auto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>dąży do zachowania swojego języka, kultury lub tradycji;</w:t>
      </w:r>
    </w:p>
    <w:p w14:paraId="2017D392" w14:textId="77777777" w:rsidR="00D5187A" w:rsidRPr="00D171EB" w:rsidRDefault="00720EC5" w:rsidP="00D171EB">
      <w:pPr>
        <w:pStyle w:val="Standard"/>
        <w:numPr>
          <w:ilvl w:val="0"/>
          <w:numId w:val="6"/>
        </w:numPr>
        <w:spacing w:line="360" w:lineRule="auto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>ma świadomość własnej historycznej wspólnoty narodowej i jest ukierunkowana na jej wyrażanie i ochronę;</w:t>
      </w:r>
    </w:p>
    <w:p w14:paraId="4D1C3FC9" w14:textId="77777777" w:rsidR="00D5187A" w:rsidRPr="00D171EB" w:rsidRDefault="00720EC5" w:rsidP="00D171EB">
      <w:pPr>
        <w:pStyle w:val="Standard"/>
        <w:numPr>
          <w:ilvl w:val="0"/>
          <w:numId w:val="6"/>
        </w:numPr>
        <w:spacing w:line="360" w:lineRule="auto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>jej przodkowie zamieszkiwali obecne terytorium Rzeczypospolitej Polskiej od co najmniej 100 lat;</w:t>
      </w:r>
    </w:p>
    <w:p w14:paraId="4FC7E141" w14:textId="77777777" w:rsidR="00D5187A" w:rsidRPr="00D171EB" w:rsidRDefault="00720EC5" w:rsidP="00D171EB">
      <w:pPr>
        <w:pStyle w:val="Standard"/>
        <w:numPr>
          <w:ilvl w:val="0"/>
          <w:numId w:val="6"/>
        </w:numPr>
        <w:spacing w:line="360" w:lineRule="auto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>utożsamia się z narodem zorganizowanym we własnym państwie.</w:t>
      </w:r>
    </w:p>
    <w:p w14:paraId="42194F48" w14:textId="36BB671A" w:rsidR="00D5187A" w:rsidRPr="00D171EB" w:rsidRDefault="00720EC5" w:rsidP="00D171EB">
      <w:pPr>
        <w:pStyle w:val="Standard"/>
        <w:spacing w:before="57" w:after="57" w:line="360" w:lineRule="auto"/>
        <w:ind w:firstLine="720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 xml:space="preserve">Wszystkie powyższe warunki spełniają obywatele Polski narodowości gruzińskiej. Gruzini zamieszkiwali w Polsce już od XVII w., większa ich migracja miała jednak miejsce w 1921 r. Rok wcześniej z inicjatywy Józefa Piłsudskiego Rzeczpospolita Polska zawarła sojusz z Demokratyczną Republiką Gruzji. Inwazja bolszewicka na Gruzję sprawiła, że gruzińscy oficerowie znaleźli się na emigracji – przede wszystkim w Stambule. Polska bolszewickiej aneksji nie uznała, co więcej, znów z inicjatywy Józefa Piłsudskiego, attachat wojskowy polskiej ambasady w Turcji zaproponował gruzińskim oficerom służbę kontraktową w Wojsku Polskim. Skorzystała z tej oferty ponad setka, a wraz z nimi przybyła do Polski również grupa uchodźców cywilnych. Oficerowie gruzińscy wzięli udział w kampanii wrześniowej, dzieląc los swoich polskich kolegów – zapisali chlubną kartę m.in. w obronie Warszawy (ppłk. Walerian Tewzadze, kawaler orderu </w:t>
      </w:r>
      <w:r w:rsidR="00D171EB" w:rsidRPr="00D171EB">
        <w:rPr>
          <w:rFonts w:ascii="Tahoma" w:hAnsi="Tahoma" w:cs="Tahoma"/>
        </w:rPr>
        <w:t>Virtuti</w:t>
      </w:r>
      <w:r w:rsidRPr="00D171EB">
        <w:rPr>
          <w:rFonts w:ascii="Tahoma" w:hAnsi="Tahoma" w:cs="Tahoma"/>
        </w:rPr>
        <w:t xml:space="preserve"> Militari, był dowódcą północnego odcinka jej obrony), poznali niemieckie obozy jenieckie, służyli w szeregach Armii Krajowej i walczyli w Powstaniu Warszawskim. Niestety, dzielili (a czasem – wyprzedzali) los polskich kolegów również pod okupacją radziecką – często rozstrzeliwano ich od razu po wzięciu do niewoli, wg </w:t>
      </w:r>
      <w:r w:rsidRPr="00D171EB">
        <w:rPr>
          <w:rFonts w:ascii="Tahoma" w:hAnsi="Tahoma" w:cs="Tahoma"/>
        </w:rPr>
        <w:lastRenderedPageBreak/>
        <w:t xml:space="preserve">imiennych spisów, dziesięciu zginęło w obozie w Kozielsku. Po wojnie to zagrożenie nie ustało – radzieckie organa bezpieczeństwa szukały ich aktywnie przez cały okres stalinowski. W tej sytuacji zmieniali personalia, wyjeżdżali na Ziemie Odzyskane, gdzie wśród samych „nietutejszych” łatwiej było zniknąć, nie zapominając jednak nigdy o swojej narodowości, pochodzeniu i ojczyźnie. Symptomatyczny jest tu właśnie historia ppłka Wareriana Tewzadze, który umarł w 1985 r. w dolnośląskiej Oleśnicy jako Walery Krzyżanowski. Na jego grobie wyryty jest napis </w:t>
      </w:r>
      <w:r w:rsidRPr="00D171EB">
        <w:rPr>
          <w:rFonts w:ascii="Tahoma" w:hAnsi="Tahoma" w:cs="Tahoma"/>
          <w:i/>
          <w:iCs/>
        </w:rPr>
        <w:t>Jako Gruzin chciałbym być pochowany w Gruzji, ale jestem szczęśliwy, że będę pochowany w ziemi szlachetnego i dzielnego Narodu Polskiego</w:t>
      </w:r>
      <w:r w:rsidRPr="00D171EB">
        <w:rPr>
          <w:rFonts w:ascii="Tahoma" w:hAnsi="Tahoma" w:cs="Tahoma"/>
        </w:rPr>
        <w:t>.</w:t>
      </w:r>
    </w:p>
    <w:p w14:paraId="600360BC" w14:textId="77777777" w:rsidR="00D5187A" w:rsidRPr="00D171EB" w:rsidRDefault="00720EC5" w:rsidP="00D171EB">
      <w:pPr>
        <w:pStyle w:val="Standard"/>
        <w:spacing w:before="57" w:after="57" w:line="360" w:lineRule="auto"/>
        <w:ind w:firstLine="720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>W Muzeum Powstania Warszawskiego stoi pomnik gruzińskich uczestników polskiego podziemia niepodległościowego, który w 2007 r. prezydenci Lech Kaczyński i Michel Saakaszwili odsłonili pomnik ku czci. 22 września 2019 r. na grobie Waleriana Tewzadze kwiaty złożył premier Mateusz Morawiecki.</w:t>
      </w:r>
    </w:p>
    <w:p w14:paraId="7CA2F57E" w14:textId="77777777" w:rsidR="00D5187A" w:rsidRPr="00D171EB" w:rsidRDefault="00720EC5" w:rsidP="00D171EB">
      <w:pPr>
        <w:pStyle w:val="Standard"/>
        <w:spacing w:before="57" w:after="57" w:line="360" w:lineRule="auto"/>
        <w:ind w:firstLine="720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>Współcześnie działające organizacje polskich Gruzinów nawiązują do tych najlepszych tradycji współżycia naszych narodów.</w:t>
      </w:r>
    </w:p>
    <w:p w14:paraId="12B0E3E1" w14:textId="336DF4D8" w:rsidR="00D5187A" w:rsidRPr="00D171EB" w:rsidRDefault="00720EC5" w:rsidP="00D171EB">
      <w:pPr>
        <w:pStyle w:val="Standard"/>
        <w:spacing w:before="57" w:after="57" w:line="360" w:lineRule="auto"/>
        <w:ind w:firstLine="720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 xml:space="preserve">Doskonałe świadectwo polskiej demokracji i niewątpliwą przewagę naszego kraju na arenie międzynarodowej w zakresie ochrony mniejszości narodowych i etnicznych stanowi stosowana konsekwentnie od samego początku zasada, że prawa mniejszości nie są negatywnym instrumentem wzajemnej polityki – obywatele polscy należący do mniejszości cieszą się takim samymi prawami, niezależnie od tego, jaka jest sytuacja mniejszości polskiej w tych krajach (np. Litwa i Białoruś), ani od tego, jakie są wzajemne stosunki polityczne pomiędzy naszymi krajami (np. Rosja). Szanując i chroniąc prawa mniejszości utożsamiających się z państwami niekoniecznie najbardziej przyjaźnie nastawionymi do Rzeczypospolitej Polskiej, tym bardziej jednak należy uszanować i chronić prawa mniejszości pochodzących z państw zaprzyjaźnionych. Trudno o </w:t>
      </w:r>
      <w:r w:rsidR="00B15FCF" w:rsidRPr="00D171EB">
        <w:rPr>
          <w:rFonts w:ascii="Tahoma" w:hAnsi="Tahoma" w:cs="Tahoma"/>
        </w:rPr>
        <w:t>państwo</w:t>
      </w:r>
      <w:r w:rsidRPr="00D171EB">
        <w:rPr>
          <w:rFonts w:ascii="Tahoma" w:hAnsi="Tahoma" w:cs="Tahoma"/>
        </w:rPr>
        <w:t>, któr</w:t>
      </w:r>
      <w:r w:rsidR="00B15FCF" w:rsidRPr="00D171EB">
        <w:rPr>
          <w:rFonts w:ascii="Tahoma" w:hAnsi="Tahoma" w:cs="Tahoma"/>
        </w:rPr>
        <w:t>e</w:t>
      </w:r>
      <w:r w:rsidRPr="00D171EB">
        <w:rPr>
          <w:rFonts w:ascii="Tahoma" w:hAnsi="Tahoma" w:cs="Tahoma"/>
        </w:rPr>
        <w:t xml:space="preserve"> traktował</w:t>
      </w:r>
      <w:r w:rsidR="00B15FCF" w:rsidRPr="00D171EB">
        <w:rPr>
          <w:rFonts w:ascii="Tahoma" w:hAnsi="Tahoma" w:cs="Tahoma"/>
        </w:rPr>
        <w:t>o</w:t>
      </w:r>
      <w:r w:rsidRPr="00D171EB">
        <w:rPr>
          <w:rFonts w:ascii="Tahoma" w:hAnsi="Tahoma" w:cs="Tahoma"/>
        </w:rPr>
        <w:t>by nas przyjaźniej od Gruzji.</w:t>
      </w:r>
    </w:p>
    <w:p w14:paraId="04E4A5D9" w14:textId="52BB264F" w:rsidR="00B15FCF" w:rsidRPr="00D171EB" w:rsidRDefault="00B15FCF" w:rsidP="00D171EB">
      <w:pPr>
        <w:pStyle w:val="Standard"/>
        <w:spacing w:before="57" w:after="57" w:line="360" w:lineRule="auto"/>
        <w:jc w:val="both"/>
        <w:rPr>
          <w:rFonts w:ascii="Tahoma" w:hAnsi="Tahoma" w:cs="Tahoma"/>
        </w:rPr>
      </w:pPr>
    </w:p>
    <w:p w14:paraId="58DFA678" w14:textId="77777777" w:rsidR="00B15FCF" w:rsidRPr="00D171EB" w:rsidRDefault="00B15FCF" w:rsidP="00D171EB">
      <w:pPr>
        <w:spacing w:after="120" w:line="360" w:lineRule="auto"/>
        <w:jc w:val="both"/>
        <w:rPr>
          <w:rFonts w:ascii="Tahoma" w:hAnsi="Tahoma" w:cs="Tahoma"/>
          <w:b/>
        </w:rPr>
      </w:pPr>
      <w:r w:rsidRPr="00D171EB">
        <w:rPr>
          <w:rFonts w:ascii="Tahoma" w:hAnsi="Tahoma" w:cs="Tahoma"/>
          <w:b/>
        </w:rPr>
        <w:t>2. Różnica pomiędzy dotychczasowym a projektowanym stanem prawnym</w:t>
      </w:r>
    </w:p>
    <w:p w14:paraId="509C5D16" w14:textId="74D456D7" w:rsidR="00B15FCF" w:rsidRPr="00D171EB" w:rsidRDefault="00B15FCF" w:rsidP="00D171EB">
      <w:pPr>
        <w:pStyle w:val="Standard"/>
        <w:spacing w:before="57" w:after="57" w:line="360" w:lineRule="auto"/>
        <w:ind w:firstLine="720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 xml:space="preserve">W zmianie pierwszej w ustawie o mniejszościach narodowych i etnicznych oraz o języku regionalnym w art. 2 ust. 2 do listy mniejszości narodowych projektodawcy proponują dodać mniejszość gruzińską. W zmianie drugiej w art. 24 w ust. 1 pkt 2 </w:t>
      </w:r>
      <w:r w:rsidRPr="00D171EB">
        <w:rPr>
          <w:rFonts w:ascii="Tahoma" w:hAnsi="Tahoma" w:cs="Tahoma"/>
        </w:rPr>
        <w:lastRenderedPageBreak/>
        <w:t>proponuje się dodać przedstawiciela mniejszości gruzińskiej do Komisji Wspólnej Rządu i Mniejszości Narodowych i Etnicznych.</w:t>
      </w:r>
    </w:p>
    <w:p w14:paraId="584E0FFA" w14:textId="143B74B6" w:rsidR="00B15FCF" w:rsidRPr="00D171EB" w:rsidRDefault="00B15FCF" w:rsidP="00D171EB">
      <w:pPr>
        <w:pStyle w:val="Standard"/>
        <w:spacing w:before="57" w:after="57" w:line="360" w:lineRule="auto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>Zmiany zgodnie z art. 2 wejdą w życie z dniem 1 stycznia 2022 r.</w:t>
      </w:r>
    </w:p>
    <w:p w14:paraId="47F9320C" w14:textId="3E01DE96" w:rsidR="00B15FCF" w:rsidRPr="00D171EB" w:rsidRDefault="00B15FCF" w:rsidP="00D171EB">
      <w:pPr>
        <w:pStyle w:val="Standard"/>
        <w:spacing w:before="57" w:after="57" w:line="360" w:lineRule="auto"/>
        <w:jc w:val="both"/>
        <w:rPr>
          <w:rFonts w:ascii="Tahoma" w:hAnsi="Tahoma" w:cs="Tahoma"/>
        </w:rPr>
      </w:pPr>
    </w:p>
    <w:p w14:paraId="68C4ED5E" w14:textId="31E640CB" w:rsidR="00B15FCF" w:rsidRPr="00D171EB" w:rsidRDefault="00B15FCF" w:rsidP="00D171EB">
      <w:pPr>
        <w:pStyle w:val="Standard"/>
        <w:spacing w:before="57" w:after="57" w:line="360" w:lineRule="auto"/>
        <w:jc w:val="both"/>
        <w:rPr>
          <w:rFonts w:ascii="Tahoma" w:hAnsi="Tahoma" w:cs="Tahoma"/>
          <w:b/>
        </w:rPr>
      </w:pPr>
      <w:r w:rsidRPr="00D171EB">
        <w:rPr>
          <w:rFonts w:ascii="Tahoma" w:hAnsi="Tahoma" w:cs="Tahoma"/>
          <w:b/>
        </w:rPr>
        <w:t>3. Przewidywane skutki społeczne, gospodarcze, finansowe i prawne</w:t>
      </w:r>
    </w:p>
    <w:p w14:paraId="13DB6909" w14:textId="0F6DDCEC" w:rsidR="00B15FCF" w:rsidRPr="00D171EB" w:rsidRDefault="00B15FCF" w:rsidP="00D171EB">
      <w:pPr>
        <w:pStyle w:val="Standard"/>
        <w:spacing w:before="57" w:after="57" w:line="360" w:lineRule="auto"/>
        <w:ind w:firstLine="560"/>
        <w:jc w:val="both"/>
        <w:rPr>
          <w:rFonts w:ascii="Tahoma" w:hAnsi="Tahoma" w:cs="Tahoma"/>
        </w:rPr>
      </w:pPr>
      <w:r w:rsidRPr="00D171EB">
        <w:rPr>
          <w:rFonts w:ascii="Tahoma" w:hAnsi="Tahoma" w:cs="Tahoma"/>
          <w:bCs/>
        </w:rPr>
        <w:t xml:space="preserve">Według różnych szacunków, społeczność w liczbie od 5,5 tys. do 12,9 tys. osób narodowości gruzińskiej w Polsce uzyska status mniejszości narodowej i będzie miała możliwość przekazywać swoje opinie i uwagi w ramach </w:t>
      </w:r>
      <w:r w:rsidRPr="00D171EB">
        <w:rPr>
          <w:rFonts w:ascii="Tahoma" w:hAnsi="Tahoma" w:cs="Tahoma"/>
        </w:rPr>
        <w:t>Komisji Wspólnej Rządu i Mniejszości Narodowych i Etnicznych.</w:t>
      </w:r>
    </w:p>
    <w:p w14:paraId="04C0F08D" w14:textId="78D90824" w:rsidR="00B15FCF" w:rsidRPr="00D171EB" w:rsidRDefault="00B15FCF" w:rsidP="00D171EB">
      <w:pPr>
        <w:pStyle w:val="Standard"/>
        <w:spacing w:before="57" w:after="57" w:line="360" w:lineRule="auto"/>
        <w:jc w:val="both"/>
        <w:rPr>
          <w:rFonts w:ascii="Tahoma" w:hAnsi="Tahoma" w:cs="Tahoma"/>
        </w:rPr>
      </w:pPr>
    </w:p>
    <w:p w14:paraId="3DDC8412" w14:textId="77777777" w:rsidR="00B15FCF" w:rsidRPr="00D171EB" w:rsidRDefault="00B15FCF" w:rsidP="00D171EB">
      <w:pPr>
        <w:spacing w:after="120" w:line="360" w:lineRule="auto"/>
        <w:ind w:left="560" w:hanging="280"/>
        <w:jc w:val="both"/>
        <w:rPr>
          <w:rFonts w:ascii="Tahoma" w:hAnsi="Tahoma" w:cs="Tahoma"/>
          <w:b/>
        </w:rPr>
      </w:pPr>
      <w:r w:rsidRPr="00D171EB">
        <w:rPr>
          <w:rFonts w:ascii="Tahoma" w:hAnsi="Tahoma" w:cs="Tahoma"/>
          <w:b/>
        </w:rPr>
        <w:t>4. Źródła finansowania</w:t>
      </w:r>
    </w:p>
    <w:p w14:paraId="4FB15A90" w14:textId="721396F3" w:rsidR="00B15FCF" w:rsidRPr="00D171EB" w:rsidRDefault="00B15FCF" w:rsidP="00D171EB">
      <w:pPr>
        <w:pStyle w:val="Standard"/>
        <w:spacing w:before="57" w:after="57" w:line="360" w:lineRule="auto"/>
        <w:ind w:firstLine="560"/>
        <w:jc w:val="both"/>
        <w:rPr>
          <w:rFonts w:ascii="Tahoma" w:hAnsi="Tahoma" w:cs="Tahoma"/>
          <w:bCs/>
        </w:rPr>
      </w:pPr>
      <w:r w:rsidRPr="00D171EB">
        <w:rPr>
          <w:rFonts w:ascii="Tahoma" w:hAnsi="Tahoma" w:cs="Tahoma"/>
          <w:bCs/>
        </w:rPr>
        <w:t xml:space="preserve">Proponowane zmiany nie generują dodatkowych wydatków dla budżetu państwa lub jednostek samorządu terytorialnego. </w:t>
      </w:r>
    </w:p>
    <w:p w14:paraId="7492ECD3" w14:textId="439440EE" w:rsidR="00A6288D" w:rsidRPr="00D171EB" w:rsidRDefault="00A6288D" w:rsidP="00D171EB">
      <w:pPr>
        <w:pStyle w:val="Standard"/>
        <w:spacing w:before="57" w:after="57" w:line="360" w:lineRule="auto"/>
        <w:jc w:val="both"/>
        <w:rPr>
          <w:rFonts w:ascii="Tahoma" w:hAnsi="Tahoma" w:cs="Tahoma"/>
          <w:bCs/>
        </w:rPr>
      </w:pPr>
    </w:p>
    <w:p w14:paraId="38D68F56" w14:textId="77777777" w:rsidR="00A6288D" w:rsidRPr="00D171EB" w:rsidRDefault="00A6288D" w:rsidP="00D171EB">
      <w:pPr>
        <w:spacing w:after="120" w:line="360" w:lineRule="auto"/>
        <w:jc w:val="both"/>
        <w:rPr>
          <w:rFonts w:ascii="Tahoma" w:hAnsi="Tahoma" w:cs="Tahoma"/>
          <w:b/>
        </w:rPr>
      </w:pPr>
      <w:r w:rsidRPr="00D171EB">
        <w:rPr>
          <w:rFonts w:ascii="Tahoma" w:hAnsi="Tahoma" w:cs="Tahoma"/>
          <w:b/>
        </w:rPr>
        <w:t>5. Założenia projektów podstawowych aktów wykonawczych</w:t>
      </w:r>
    </w:p>
    <w:p w14:paraId="298BC20E" w14:textId="4A29FAD1" w:rsidR="00A6288D" w:rsidRPr="00D171EB" w:rsidRDefault="00A6288D" w:rsidP="00D171EB">
      <w:pPr>
        <w:pStyle w:val="Standard"/>
        <w:spacing w:before="57" w:after="57" w:line="360" w:lineRule="auto"/>
        <w:ind w:firstLine="720"/>
        <w:jc w:val="both"/>
        <w:rPr>
          <w:rFonts w:ascii="Tahoma" w:hAnsi="Tahoma" w:cs="Tahoma"/>
          <w:bCs/>
        </w:rPr>
      </w:pPr>
      <w:r w:rsidRPr="00D171EB">
        <w:rPr>
          <w:rFonts w:ascii="Tahoma" w:hAnsi="Tahoma" w:cs="Tahoma"/>
          <w:bCs/>
        </w:rPr>
        <w:t xml:space="preserve">Projekt ustawy nie zakłada wydania dodatkowych aktów wykonawczych. </w:t>
      </w:r>
    </w:p>
    <w:p w14:paraId="4787F9DE" w14:textId="4689A09A" w:rsidR="00A6288D" w:rsidRPr="00D171EB" w:rsidRDefault="00A6288D" w:rsidP="00D171EB">
      <w:pPr>
        <w:pStyle w:val="Standard"/>
        <w:spacing w:before="57" w:after="57" w:line="360" w:lineRule="auto"/>
        <w:jc w:val="both"/>
        <w:rPr>
          <w:rFonts w:ascii="Tahoma" w:hAnsi="Tahoma" w:cs="Tahoma"/>
          <w:bCs/>
        </w:rPr>
      </w:pPr>
    </w:p>
    <w:p w14:paraId="2AF6EF13" w14:textId="77777777" w:rsidR="00A6288D" w:rsidRPr="00D171EB" w:rsidRDefault="00A6288D" w:rsidP="00D171EB">
      <w:pPr>
        <w:spacing w:after="120" w:line="360" w:lineRule="auto"/>
        <w:jc w:val="both"/>
        <w:rPr>
          <w:rFonts w:ascii="Tahoma" w:hAnsi="Tahoma" w:cs="Tahoma"/>
          <w:b/>
        </w:rPr>
      </w:pPr>
      <w:r w:rsidRPr="00D171EB">
        <w:rPr>
          <w:rFonts w:ascii="Tahoma" w:hAnsi="Tahoma" w:cs="Tahoma"/>
          <w:b/>
        </w:rPr>
        <w:t>6. Oświadczenie o zgodności projektu ustawy z prawem Unii Europejskiej</w:t>
      </w:r>
    </w:p>
    <w:p w14:paraId="41EC9C2E" w14:textId="1B233EAC" w:rsidR="00A6288D" w:rsidRPr="00D171EB" w:rsidRDefault="00A6288D" w:rsidP="00D171EB">
      <w:pPr>
        <w:spacing w:after="120" w:line="360" w:lineRule="auto"/>
        <w:ind w:firstLine="720"/>
        <w:jc w:val="both"/>
        <w:rPr>
          <w:rFonts w:ascii="Tahoma" w:hAnsi="Tahoma" w:cs="Tahoma"/>
        </w:rPr>
      </w:pPr>
      <w:r w:rsidRPr="00D171EB">
        <w:rPr>
          <w:rFonts w:ascii="Tahoma" w:hAnsi="Tahoma" w:cs="Tahoma"/>
        </w:rPr>
        <w:t>Proponowana ustawa nie jest objęta prawem Unii Europejskiej. Projekt nie wymaga przedstawienia go organom i instytucjom Unii Europejskiej w celu uzyskania opinii, dokonania powiadomienia, konsultacji albo uzgodnienia. Zgodnie z art. 2 ust. 1 decyzji Rady 98/415/WE z dnia 29 czerwca 1998 r. w sprawie konsultacji Europejskiego Banku Centralnego udzielanych władzom krajowym w sprawie projektów przepisów prawnych (Dz. Urz. WE L 189 z 03.07.1998, str. 42; Dz. Urz. UE Polskie wydanie specjalne rozdz. 1, t. 1, str. 446) projekt nie wymaga konsultacji z Europejskim Bankiem Centralnym.</w:t>
      </w:r>
    </w:p>
    <w:p w14:paraId="7C753A93" w14:textId="77777777" w:rsidR="00A6288D" w:rsidRPr="00D171EB" w:rsidRDefault="00A6288D" w:rsidP="00D171EB">
      <w:pPr>
        <w:spacing w:after="120" w:line="360" w:lineRule="auto"/>
        <w:jc w:val="both"/>
        <w:rPr>
          <w:rFonts w:ascii="Tahoma" w:hAnsi="Tahoma" w:cs="Tahoma"/>
        </w:rPr>
      </w:pPr>
    </w:p>
    <w:p w14:paraId="23AFAD48" w14:textId="38550FCA" w:rsidR="00A6288D" w:rsidRPr="00D171EB" w:rsidRDefault="00A6288D" w:rsidP="00D171EB">
      <w:pPr>
        <w:spacing w:after="120" w:line="360" w:lineRule="auto"/>
        <w:jc w:val="both"/>
        <w:rPr>
          <w:rFonts w:ascii="Tahoma" w:hAnsi="Tahoma" w:cs="Tahoma"/>
          <w:b/>
        </w:rPr>
      </w:pPr>
      <w:r w:rsidRPr="00D171EB">
        <w:rPr>
          <w:rFonts w:ascii="Tahoma" w:hAnsi="Tahoma" w:cs="Tahoma"/>
          <w:b/>
          <w:bCs/>
        </w:rPr>
        <w:t>7. Oświadczenie</w:t>
      </w:r>
      <w:r w:rsidRPr="00D171EB">
        <w:rPr>
          <w:rFonts w:ascii="Tahoma" w:hAnsi="Tahoma" w:cs="Tahoma"/>
          <w:b/>
        </w:rPr>
        <w:t xml:space="preserve"> o zgodności projektu ustawy z Konstytucją</w:t>
      </w:r>
    </w:p>
    <w:p w14:paraId="5A0B51F8" w14:textId="324B91EC" w:rsidR="00A6288D" w:rsidRPr="00D171EB" w:rsidRDefault="00A6288D" w:rsidP="00D171EB">
      <w:pPr>
        <w:spacing w:after="120" w:line="360" w:lineRule="auto"/>
        <w:ind w:firstLine="720"/>
        <w:jc w:val="both"/>
        <w:rPr>
          <w:rFonts w:ascii="Tahoma" w:hAnsi="Tahoma" w:cs="Tahoma"/>
          <w:bCs/>
        </w:rPr>
      </w:pPr>
      <w:r w:rsidRPr="00D171EB">
        <w:rPr>
          <w:rFonts w:ascii="Tahoma" w:hAnsi="Tahoma" w:cs="Tahoma"/>
          <w:bCs/>
        </w:rPr>
        <w:t>W ocenie projektodawców projekt ustawy jest zgodny z Konstytucją RP.</w:t>
      </w:r>
    </w:p>
    <w:p w14:paraId="13AA6BAE" w14:textId="69457B51" w:rsidR="00A6288D" w:rsidRPr="00D171EB" w:rsidRDefault="00A6288D" w:rsidP="00D171EB">
      <w:pPr>
        <w:spacing w:after="120" w:line="360" w:lineRule="auto"/>
        <w:ind w:firstLine="280"/>
        <w:jc w:val="both"/>
        <w:rPr>
          <w:rFonts w:ascii="Tahoma" w:hAnsi="Tahoma" w:cs="Tahoma"/>
          <w:b/>
        </w:rPr>
      </w:pPr>
      <w:r w:rsidRPr="00D171EB">
        <w:rPr>
          <w:rFonts w:ascii="Tahoma" w:hAnsi="Tahoma" w:cs="Tahoma"/>
          <w:b/>
        </w:rPr>
        <w:lastRenderedPageBreak/>
        <w:t>8. Konsultacje społeczne</w:t>
      </w:r>
    </w:p>
    <w:p w14:paraId="26D9243A" w14:textId="2DE0BF01" w:rsidR="00A6288D" w:rsidRPr="00D171EB" w:rsidRDefault="00A6288D" w:rsidP="00D171EB">
      <w:pPr>
        <w:spacing w:after="120" w:line="360" w:lineRule="auto"/>
        <w:ind w:firstLine="720"/>
        <w:jc w:val="both"/>
        <w:rPr>
          <w:rFonts w:ascii="Tahoma" w:hAnsi="Tahoma" w:cs="Tahoma"/>
          <w:bCs/>
        </w:rPr>
      </w:pPr>
      <w:r w:rsidRPr="00D171EB">
        <w:rPr>
          <w:rFonts w:ascii="Tahoma" w:hAnsi="Tahoma" w:cs="Tahoma"/>
          <w:bCs/>
        </w:rPr>
        <w:t>Projekt nie był poddawany konsultacjom społecznym.</w:t>
      </w:r>
    </w:p>
    <w:p w14:paraId="3CD2C96A" w14:textId="77777777" w:rsidR="00A6288D" w:rsidRPr="00D171EB" w:rsidRDefault="00A6288D" w:rsidP="00D171EB">
      <w:pPr>
        <w:spacing w:after="120" w:line="360" w:lineRule="auto"/>
        <w:ind w:firstLine="720"/>
        <w:jc w:val="both"/>
        <w:rPr>
          <w:rFonts w:ascii="Tahoma" w:hAnsi="Tahoma" w:cs="Tahoma"/>
        </w:rPr>
      </w:pPr>
    </w:p>
    <w:p w14:paraId="6CDE34D8" w14:textId="77777777" w:rsidR="00A6288D" w:rsidRPr="00D171EB" w:rsidRDefault="00A6288D" w:rsidP="00D171EB">
      <w:pPr>
        <w:pStyle w:val="Standard"/>
        <w:spacing w:before="57" w:after="57" w:line="360" w:lineRule="auto"/>
        <w:jc w:val="both"/>
        <w:rPr>
          <w:rFonts w:ascii="Tahoma" w:hAnsi="Tahoma" w:cs="Tahoma"/>
          <w:bCs/>
        </w:rPr>
      </w:pPr>
    </w:p>
    <w:p w14:paraId="70B9928B" w14:textId="19ABF132" w:rsidR="00B15FCF" w:rsidRPr="00D171EB" w:rsidRDefault="00B15FCF" w:rsidP="00D171EB">
      <w:pPr>
        <w:pStyle w:val="Standard"/>
        <w:spacing w:before="57" w:after="57" w:line="360" w:lineRule="auto"/>
        <w:jc w:val="both"/>
        <w:rPr>
          <w:rFonts w:ascii="Tahoma" w:hAnsi="Tahoma" w:cs="Tahoma"/>
        </w:rPr>
      </w:pPr>
    </w:p>
    <w:p w14:paraId="2722E104" w14:textId="77777777" w:rsidR="00D5187A" w:rsidRPr="00D171EB" w:rsidRDefault="00D5187A" w:rsidP="00D171EB">
      <w:pPr>
        <w:pStyle w:val="Standard"/>
        <w:spacing w:after="340" w:line="360" w:lineRule="auto"/>
        <w:jc w:val="both"/>
        <w:rPr>
          <w:rFonts w:ascii="Tahoma" w:hAnsi="Tahoma" w:cs="Tahoma"/>
          <w:color w:val="000000"/>
        </w:rPr>
      </w:pPr>
    </w:p>
    <w:sectPr w:rsidR="00D5187A" w:rsidRPr="00D171EB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F38D68" w14:textId="77777777" w:rsidR="00DC2A2A" w:rsidRDefault="00DC2A2A">
      <w:pPr>
        <w:rPr>
          <w:rFonts w:hint="eastAsia"/>
        </w:rPr>
      </w:pPr>
      <w:r>
        <w:separator/>
      </w:r>
    </w:p>
  </w:endnote>
  <w:endnote w:type="continuationSeparator" w:id="0">
    <w:p w14:paraId="30833B4B" w14:textId="77777777" w:rsidR="00DC2A2A" w:rsidRDefault="00DC2A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1E1204" w14:textId="77777777" w:rsidR="00DC2A2A" w:rsidRDefault="00DC2A2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F209ED5" w14:textId="77777777" w:rsidR="00DC2A2A" w:rsidRDefault="00DC2A2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F23D3"/>
    <w:multiLevelType w:val="hybridMultilevel"/>
    <w:tmpl w:val="397EFC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C26E5"/>
    <w:multiLevelType w:val="multilevel"/>
    <w:tmpl w:val="901E3CE0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</w:rPr>
    </w:lvl>
  </w:abstractNum>
  <w:abstractNum w:abstractNumId="2" w15:restartNumberingAfterBreak="0">
    <w:nsid w:val="1B704045"/>
    <w:multiLevelType w:val="multilevel"/>
    <w:tmpl w:val="8E84D27C"/>
    <w:styleLink w:val="WWNum1"/>
    <w:lvl w:ilvl="0">
      <w:start w:val="1"/>
      <w:numFmt w:val="none"/>
      <w:lvlText w:val="%1​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4F61AEE"/>
    <w:multiLevelType w:val="hybridMultilevel"/>
    <w:tmpl w:val="4F143EEC"/>
    <w:lvl w:ilvl="0" w:tplc="9F8AFCEA">
      <w:start w:val="14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" w15:restartNumberingAfterBreak="0">
    <w:nsid w:val="4D933EBC"/>
    <w:multiLevelType w:val="multilevel"/>
    <w:tmpl w:val="F14A24CA"/>
    <w:styleLink w:val="WWNum2"/>
    <w:lvl w:ilvl="0">
      <w:start w:val="1"/>
      <w:numFmt w:val="none"/>
      <w:lvlText w:val="%1​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30B1C6B"/>
    <w:multiLevelType w:val="multilevel"/>
    <w:tmpl w:val="F2FC65EE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</w:rPr>
    </w:lvl>
  </w:abstractNum>
  <w:abstractNum w:abstractNumId="6" w15:restartNumberingAfterBreak="0">
    <w:nsid w:val="5DB22DBE"/>
    <w:multiLevelType w:val="hybridMultilevel"/>
    <w:tmpl w:val="3D58DC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06AEC"/>
    <w:multiLevelType w:val="multilevel"/>
    <w:tmpl w:val="3BC67596"/>
    <w:styleLink w:val="WWNum3"/>
    <w:lvl w:ilvl="0">
      <w:start w:val="1"/>
      <w:numFmt w:val="none"/>
      <w:lvlText w:val="%1​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</w:num>
  <w:num w:numId="6">
    <w:abstractNumId w:val="1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87A"/>
    <w:rsid w:val="00720EC5"/>
    <w:rsid w:val="009A1EEC"/>
    <w:rsid w:val="00A6288D"/>
    <w:rsid w:val="00B15FCF"/>
    <w:rsid w:val="00D171EB"/>
    <w:rsid w:val="00D5187A"/>
    <w:rsid w:val="00DC2A2A"/>
    <w:rsid w:val="00F7743F"/>
    <w:rsid w:val="00FA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9DD4"/>
  <w15:docId w15:val="{0BD5C736-8085-42CF-AC1E-B69F1C6C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Tytu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Stopka">
    <w:name w:val="footer"/>
    <w:basedOn w:val="HeaderandFooter"/>
    <w:pPr>
      <w:tabs>
        <w:tab w:val="clear" w:pos="4819"/>
        <w:tab w:val="clear" w:pos="9638"/>
        <w:tab w:val="center" w:pos="3260"/>
        <w:tab w:val="right" w:pos="6520"/>
      </w:tabs>
    </w:pPr>
  </w:style>
  <w:style w:type="paragraph" w:styleId="Podtytu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  <w:rPr>
      <w:rFonts w:ascii="Calibri" w:eastAsia="Calibri" w:hAnsi="Calibri" w:cs="Calibri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2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860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 o dzieło.docx</vt:lpstr>
    </vt:vector>
  </TitlesOfParts>
  <Company/>
  <LinksUpToDate>false</LinksUpToDate>
  <CharactersWithSpaces>6008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o dzieło.docx</dc:title>
  <dc:creator>dom</dc:creator>
  <cp:lastModifiedBy>Grzegorz Molesztak</cp:lastModifiedBy>
  <cp:revision>3</cp:revision>
  <cp:lastPrinted>2018-11-19T22:49:00Z</cp:lastPrinted>
  <dcterms:created xsi:type="dcterms:W3CDTF">2021-05-27T06:10:00Z</dcterms:created>
  <dcterms:modified xsi:type="dcterms:W3CDTF">2021-06-23T08:49:00Z</dcterms:modified>
</cp:coreProperties>
</file>