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D6525" w14:textId="77777777" w:rsidR="009D1D00" w:rsidRDefault="009D1D00" w:rsidP="008F5F8D">
      <w:pPr>
        <w:spacing w:line="360" w:lineRule="auto"/>
        <w:jc w:val="center"/>
        <w:rPr>
          <w:rFonts w:ascii="Tahoma" w:eastAsia="Times New Roman" w:hAnsi="Tahoma" w:cs="Tahoma"/>
          <w:b/>
          <w:sz w:val="24"/>
          <w:szCs w:val="24"/>
        </w:rPr>
      </w:pPr>
    </w:p>
    <w:p w14:paraId="4224CA4B" w14:textId="703FF43B" w:rsidR="008F5F8D" w:rsidRDefault="008F5F8D" w:rsidP="008F5F8D">
      <w:pPr>
        <w:spacing w:line="360" w:lineRule="auto"/>
        <w:jc w:val="center"/>
        <w:rPr>
          <w:rFonts w:ascii="Tahoma" w:eastAsia="Times New Roman" w:hAnsi="Tahoma" w:cs="Tahoma"/>
          <w:b/>
          <w:sz w:val="24"/>
          <w:szCs w:val="24"/>
        </w:rPr>
      </w:pPr>
      <w:r w:rsidRPr="008F5F8D">
        <w:rPr>
          <w:rFonts w:ascii="Tahoma" w:eastAsia="Times New Roman" w:hAnsi="Tahoma" w:cs="Tahoma"/>
          <w:b/>
          <w:sz w:val="24"/>
          <w:szCs w:val="24"/>
        </w:rPr>
        <w:t>Uzasadnienie</w:t>
      </w:r>
    </w:p>
    <w:p w14:paraId="7C03C3ED" w14:textId="3167078F" w:rsidR="008F5F8D" w:rsidRDefault="008F5F8D" w:rsidP="008F5F8D">
      <w:pPr>
        <w:pStyle w:val="Akapitzlist"/>
        <w:numPr>
          <w:ilvl w:val="0"/>
          <w:numId w:val="2"/>
        </w:numPr>
        <w:spacing w:line="360" w:lineRule="auto"/>
        <w:rPr>
          <w:rFonts w:ascii="Tahoma" w:eastAsia="Times New Roman" w:hAnsi="Tahoma" w:cs="Tahoma"/>
          <w:b/>
          <w:sz w:val="24"/>
          <w:szCs w:val="24"/>
        </w:rPr>
      </w:pPr>
      <w:r>
        <w:rPr>
          <w:rFonts w:ascii="Tahoma" w:eastAsia="Times New Roman" w:hAnsi="Tahoma" w:cs="Tahoma"/>
          <w:b/>
          <w:sz w:val="24"/>
          <w:szCs w:val="24"/>
        </w:rPr>
        <w:t>Cel i potrzeba wydania ustawy</w:t>
      </w:r>
    </w:p>
    <w:p w14:paraId="7EB639CA" w14:textId="77777777" w:rsidR="00A714F3" w:rsidRDefault="005B2B59" w:rsidP="00A714F3">
      <w:pPr>
        <w:spacing w:line="360" w:lineRule="auto"/>
        <w:ind w:firstLine="708"/>
        <w:jc w:val="both"/>
        <w:rPr>
          <w:rFonts w:ascii="Tahoma" w:eastAsia="Times New Roman" w:hAnsi="Tahoma" w:cs="Tahoma"/>
          <w:bCs/>
          <w:sz w:val="24"/>
          <w:szCs w:val="24"/>
        </w:rPr>
      </w:pPr>
      <w:r w:rsidRPr="005B2B59">
        <w:rPr>
          <w:rFonts w:ascii="Tahoma" w:eastAsia="Times New Roman" w:hAnsi="Tahoma" w:cs="Tahoma"/>
          <w:bCs/>
          <w:sz w:val="24"/>
          <w:szCs w:val="24"/>
        </w:rPr>
        <w:t>Termin transpozycji dyrektywy Parlamentu Europejskiego i Rady (UE) 2019/1158 z dnia 20 czerwca 2019 r. w sprawie równowagi między życiem zawodowym a prywatnym rodziców i opiekunów oraz uchylająca dyrektywę Rady 2010/18/UE</w:t>
      </w:r>
      <w:r>
        <w:rPr>
          <w:rFonts w:ascii="Tahoma" w:eastAsia="Times New Roman" w:hAnsi="Tahoma" w:cs="Tahoma"/>
          <w:bCs/>
          <w:sz w:val="24"/>
          <w:szCs w:val="24"/>
        </w:rPr>
        <w:t xml:space="preserve"> (dalej: „Dyrektywa 2019/1158”) mija </w:t>
      </w:r>
      <w:r w:rsidR="00687492" w:rsidRPr="00687492">
        <w:rPr>
          <w:rFonts w:ascii="Tahoma" w:eastAsia="Times New Roman" w:hAnsi="Tahoma" w:cs="Tahoma"/>
          <w:bCs/>
          <w:sz w:val="24"/>
          <w:szCs w:val="24"/>
        </w:rPr>
        <w:t>2 sierpnia 2022 r.</w:t>
      </w:r>
      <w:r w:rsidR="00687492">
        <w:rPr>
          <w:rFonts w:ascii="Tahoma" w:eastAsia="Times New Roman" w:hAnsi="Tahoma" w:cs="Tahoma"/>
          <w:bCs/>
          <w:sz w:val="24"/>
          <w:szCs w:val="24"/>
        </w:rPr>
        <w:t xml:space="preserve"> Nie podjęto dotychczas żadnych działań ustawodawczych, wykonawczych lub administracyjnych w celu wykonania transpozycji przed terminem. </w:t>
      </w:r>
    </w:p>
    <w:p w14:paraId="4992EAFD" w14:textId="77777777" w:rsidR="00A714F3" w:rsidRPr="007F5264" w:rsidRDefault="00A714F3" w:rsidP="007F5264">
      <w:pPr>
        <w:spacing w:after="0" w:line="360" w:lineRule="auto"/>
        <w:ind w:firstLine="708"/>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 xml:space="preserve">Dyrektywa </w:t>
      </w:r>
      <w:r w:rsidRPr="007F5264">
        <w:rPr>
          <w:rFonts w:ascii="Tahoma" w:eastAsia="Times New Roman" w:hAnsi="Tahoma" w:cs="Tahoma"/>
          <w:sz w:val="24"/>
          <w:szCs w:val="24"/>
          <w:lang w:eastAsia="pl-PL"/>
        </w:rPr>
        <w:t xml:space="preserve">2019/1158 </w:t>
      </w:r>
      <w:r w:rsidRPr="00A714F3">
        <w:rPr>
          <w:rFonts w:ascii="Tahoma" w:eastAsia="Times New Roman" w:hAnsi="Tahoma" w:cs="Tahoma"/>
          <w:sz w:val="24"/>
          <w:szCs w:val="24"/>
          <w:lang w:eastAsia="pl-PL"/>
        </w:rPr>
        <w:t>ma na celu osiągnięcie równości płci w obszarze szans na rynku pracy i traktowania w pracy w całej UE przez ułatwianie pracownikom będącym rodzicami lub opiekunami godzenia życia zawodowego z prywatnym.</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Ustanawia ona minimalne wymagania dotyczące urlopów ze względów rodzinnych (urlopów ojcowskich, rodzicielskich i opiekuńczych) oraz elastycznej organizacji pracy.</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Dyrektywa służy zwiększeniu uczestnictwa kobiet w rynku pracy i zapewnieniu lepszego podziału obowiązków opiekuńczych między mężczyzn i kobiety.</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Przewiduje ona środki zachęcające mężczyzn do równego dzielenia się obowiązkami opiekuńczymi w drodze wprowadzenia płatnego urlopu ojcowskiego i rodzicielskiego, których brak stanowi jedną z przyczyn niewielkiego wykorzystania urlopów przez ojców.</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Ta nierówność między kobietami i mężczyznami, jeśli chodzi o politykę w zakresie równowagi między życiem zawodowym a prywatnym, utrwala stereotypy związane z płcią oraz pogłębia różnice między płciami w dziedzinie pracy i opieki. Polityka równego traktowania powinna mieć na celu rozwiązanie problemu stereotypów dotyczących zarówno męskich, jak i żeńskich zawodów i ról.</w:t>
      </w:r>
    </w:p>
    <w:p w14:paraId="0E4E994F" w14:textId="3E3ED78A" w:rsidR="00A714F3" w:rsidRPr="00A714F3" w:rsidRDefault="00A714F3" w:rsidP="007F5264">
      <w:pPr>
        <w:spacing w:after="0" w:line="360" w:lineRule="auto"/>
        <w:ind w:firstLine="708"/>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Dyrektywa ma zastosowanie do wszystkich mężczyzn i kobiet związanych umową o pracę lub pozostających w innym stosunku pracy określonym przez prawo, układy zbiorowe pracy lub praktykę obowiązujące w poszczególnych państwach UE, przy uwzględnieniu orzecznictwa Trybunału Sprawiedliwości UE.</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Dyrektywa ustanawia indywidualne prawa minimalne związane z:</w:t>
      </w:r>
    </w:p>
    <w:p w14:paraId="785C23D1" w14:textId="77777777" w:rsidR="00A714F3" w:rsidRPr="00A714F3" w:rsidRDefault="00A714F3" w:rsidP="007F5264">
      <w:pPr>
        <w:numPr>
          <w:ilvl w:val="0"/>
          <w:numId w:val="6"/>
        </w:numPr>
        <w:spacing w:after="0" w:line="360" w:lineRule="auto"/>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urlopem ojcowskim, urlopem rodzicielskim i urlopem opiekuńczym,</w:t>
      </w:r>
    </w:p>
    <w:p w14:paraId="01D70B01" w14:textId="77777777" w:rsidR="00A714F3" w:rsidRPr="00A714F3" w:rsidRDefault="00A714F3" w:rsidP="007F5264">
      <w:pPr>
        <w:numPr>
          <w:ilvl w:val="0"/>
          <w:numId w:val="6"/>
        </w:numPr>
        <w:spacing w:after="0" w:line="360" w:lineRule="auto"/>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lastRenderedPageBreak/>
        <w:t>elastyczną organizacją pracy dla pracowników będących rodzicami lub opiekunów</w:t>
      </w:r>
    </w:p>
    <w:p w14:paraId="31CDE56E" w14:textId="77777777" w:rsidR="00A714F3" w:rsidRPr="00A714F3" w:rsidRDefault="00A714F3" w:rsidP="007F5264">
      <w:pPr>
        <w:numPr>
          <w:ilvl w:val="0"/>
          <w:numId w:val="6"/>
        </w:numPr>
        <w:spacing w:after="0" w:line="360" w:lineRule="auto"/>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ochroną prawną przyznawaną osobom wnioskującym o urlopy ze względów rodzinnych i o elastyczną organizację pracy lub osobom z nich korzystającym.</w:t>
      </w:r>
    </w:p>
    <w:p w14:paraId="38845761" w14:textId="77777777" w:rsidR="00A714F3" w:rsidRPr="007F5264" w:rsidRDefault="00A714F3" w:rsidP="007F5264">
      <w:pPr>
        <w:spacing w:after="0" w:line="360" w:lineRule="auto"/>
        <w:ind w:firstLine="708"/>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Państwa UE mogą postanowić o wprowadzeniu lub utrzymaniu przepisów korzystniejszych dla pracowników.</w:t>
      </w:r>
    </w:p>
    <w:p w14:paraId="32E96362" w14:textId="77777777" w:rsidR="00A714F3" w:rsidRPr="007F5264" w:rsidRDefault="00A714F3" w:rsidP="007F5264">
      <w:pPr>
        <w:spacing w:after="0" w:line="360" w:lineRule="auto"/>
        <w:ind w:firstLine="708"/>
        <w:jc w:val="both"/>
        <w:rPr>
          <w:rFonts w:ascii="Tahoma" w:eastAsia="Times New Roman" w:hAnsi="Tahoma" w:cs="Tahoma"/>
          <w:sz w:val="24"/>
          <w:szCs w:val="24"/>
          <w:lang w:eastAsia="pl-PL"/>
        </w:rPr>
      </w:pPr>
      <w:r w:rsidRPr="007F5264">
        <w:rPr>
          <w:rFonts w:ascii="Tahoma" w:eastAsia="Times New Roman" w:hAnsi="Tahoma" w:cs="Tahoma"/>
          <w:sz w:val="24"/>
          <w:szCs w:val="24"/>
          <w:lang w:eastAsia="pl-PL"/>
        </w:rPr>
        <w:t>Zgonie z dyrektywą, o</w:t>
      </w:r>
      <w:r w:rsidRPr="00A714F3">
        <w:rPr>
          <w:rFonts w:ascii="Tahoma" w:eastAsia="Times New Roman" w:hAnsi="Tahoma" w:cs="Tahoma"/>
          <w:sz w:val="24"/>
          <w:szCs w:val="24"/>
          <w:lang w:eastAsia="pl-PL"/>
        </w:rPr>
        <w:t>jcowie lub równoważni drudzy rodzice mają prawo do urlopu ojcowskiego w wymiarze dziesięciu dni roboczych z okazji narodzin dziecka.</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Wysokość wynagrodzenia lub świadczenia w odniesieniu do minimalnego okresu urlopu ojcowskiego odpowiada co najmniej wysokości krajowego świadczenia chorobowego.</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Prawo do urlopu ojcowskiego nie jest uzależnione od wcześniejszego okresu pracy ani stażu pracy.</w:t>
      </w:r>
      <w:r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Państwa UE mogą uzależnić prawo do wynagrodzenia lub świadczenia od okresu wcześniejszego zatrudnienia, przy czym nie może on przekroczyć sześciu miesięcy bezpośrednio przed przewidywaną datą narodzin dziecka.</w:t>
      </w:r>
    </w:p>
    <w:p w14:paraId="009352A0" w14:textId="7BF89C84" w:rsidR="00A714F3" w:rsidRPr="00A714F3" w:rsidRDefault="00A714F3" w:rsidP="007F5264">
      <w:pPr>
        <w:spacing w:after="0" w:line="360" w:lineRule="auto"/>
        <w:ind w:firstLine="708"/>
        <w:jc w:val="both"/>
        <w:rPr>
          <w:rFonts w:ascii="Tahoma" w:eastAsia="Times New Roman" w:hAnsi="Tahoma" w:cs="Tahoma"/>
          <w:sz w:val="24"/>
          <w:szCs w:val="24"/>
          <w:lang w:eastAsia="pl-PL"/>
        </w:rPr>
      </w:pPr>
      <w:r w:rsidRPr="007F5264">
        <w:rPr>
          <w:rFonts w:ascii="Tahoma" w:eastAsia="Times New Roman" w:hAnsi="Tahoma" w:cs="Tahoma"/>
          <w:sz w:val="24"/>
          <w:szCs w:val="24"/>
          <w:lang w:eastAsia="pl-PL"/>
        </w:rPr>
        <w:t>Dyrektywa 2019/1158 reguluje również zagadnienie urlopu rodzicielskiego.</w:t>
      </w:r>
      <w:r w:rsidR="00CE0278">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Każdemu pracownikowi przysługuje indywidualne prawo do urlopu rodzicielskiego w wymiarze czterech miesięcy, przy czym dwa miesiące tego urlopu nie podlegają przeniesieniu pomiędzy rodzicami.</w:t>
      </w:r>
      <w:r w:rsidR="007F5264"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Wysokość wynagrodzenia lub świadczenia w odniesieniu do przynajmniej dwumiesięcznego okresu urlopu rodzicielskiego przypadającego na każdego rodzica jest gwarantowana w odpowiedniej wysokości.</w:t>
      </w:r>
      <w:r w:rsidR="007F5264"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Państwa UE mogą uzależnić przyznanie prawa do urlopu rodzicielskiego od wcześniejszego okresu pracy lub stażu pracy, przy czym nie mogą one przekroczyć jednego roku.</w:t>
      </w:r>
      <w:r w:rsidR="007F5264"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Państwa UE zapewniają, aby pracownicy mieli prawo do korzystania z urlopu rodzicielskiego na elastycznych zasadach, na przykład w niepełnym wymiarze czasu pracy lub w naprzemiennych okresach, w których okresy urlopu przeplatają się z okresami pracy.</w:t>
      </w:r>
    </w:p>
    <w:p w14:paraId="2BBBD9DB" w14:textId="3BE5DFAF" w:rsidR="00A714F3" w:rsidRPr="00A714F3" w:rsidRDefault="00A714F3" w:rsidP="007F5264">
      <w:pPr>
        <w:spacing w:after="0" w:line="360" w:lineRule="auto"/>
        <w:ind w:firstLine="360"/>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 xml:space="preserve">W </w:t>
      </w:r>
      <w:r w:rsidR="007F5264" w:rsidRPr="007F5264">
        <w:rPr>
          <w:rFonts w:ascii="Tahoma" w:eastAsia="Times New Roman" w:hAnsi="Tahoma" w:cs="Tahoma"/>
          <w:sz w:val="24"/>
          <w:szCs w:val="24"/>
          <w:lang w:eastAsia="pl-PL"/>
        </w:rPr>
        <w:t>D</w:t>
      </w:r>
      <w:r w:rsidRPr="00A714F3">
        <w:rPr>
          <w:rFonts w:ascii="Tahoma" w:eastAsia="Times New Roman" w:hAnsi="Tahoma" w:cs="Tahoma"/>
          <w:sz w:val="24"/>
          <w:szCs w:val="24"/>
          <w:lang w:eastAsia="pl-PL"/>
        </w:rPr>
        <w:t xml:space="preserve">yrektywie </w:t>
      </w:r>
      <w:r w:rsidR="007F5264" w:rsidRPr="007F5264">
        <w:rPr>
          <w:rFonts w:ascii="Tahoma" w:eastAsia="Times New Roman" w:hAnsi="Tahoma" w:cs="Tahoma"/>
          <w:sz w:val="24"/>
          <w:szCs w:val="24"/>
          <w:lang w:eastAsia="pl-PL"/>
        </w:rPr>
        <w:t xml:space="preserve">2019/1158 </w:t>
      </w:r>
      <w:r w:rsidRPr="00A714F3">
        <w:rPr>
          <w:rFonts w:ascii="Tahoma" w:eastAsia="Times New Roman" w:hAnsi="Tahoma" w:cs="Tahoma"/>
          <w:sz w:val="24"/>
          <w:szCs w:val="24"/>
          <w:lang w:eastAsia="pl-PL"/>
        </w:rPr>
        <w:t xml:space="preserve">ustanawia się </w:t>
      </w:r>
      <w:r w:rsidR="007F5264" w:rsidRPr="007F5264">
        <w:rPr>
          <w:rFonts w:ascii="Tahoma" w:eastAsia="Times New Roman" w:hAnsi="Tahoma" w:cs="Tahoma"/>
          <w:sz w:val="24"/>
          <w:szCs w:val="24"/>
          <w:lang w:eastAsia="pl-PL"/>
        </w:rPr>
        <w:t xml:space="preserve">również </w:t>
      </w:r>
      <w:r w:rsidRPr="00A714F3">
        <w:rPr>
          <w:rFonts w:ascii="Tahoma" w:eastAsia="Times New Roman" w:hAnsi="Tahoma" w:cs="Tahoma"/>
          <w:sz w:val="24"/>
          <w:szCs w:val="24"/>
          <w:lang w:eastAsia="pl-PL"/>
        </w:rPr>
        <w:t>przepisy dotyczące opiekunów, tj. pracowników opiekujących się krewnymi wymagającymi znacznego wsparcia z poważnych względów medycznych. Przepisy te regulują także opiekę nad osobą zamieszkującą z pracownikiem w tym samym gospodarstwie domowym.</w:t>
      </w:r>
      <w:r w:rsidR="007F5264" w:rsidRPr="007F5264">
        <w:rPr>
          <w:rFonts w:ascii="Tahoma" w:eastAsia="Times New Roman" w:hAnsi="Tahoma" w:cs="Tahoma"/>
          <w:sz w:val="24"/>
          <w:szCs w:val="24"/>
          <w:lang w:eastAsia="pl-PL"/>
        </w:rPr>
        <w:t xml:space="preserve"> </w:t>
      </w:r>
      <w:r w:rsidRPr="00A714F3">
        <w:rPr>
          <w:rFonts w:ascii="Tahoma" w:eastAsia="Times New Roman" w:hAnsi="Tahoma" w:cs="Tahoma"/>
          <w:sz w:val="24"/>
          <w:szCs w:val="24"/>
          <w:lang w:eastAsia="pl-PL"/>
        </w:rPr>
        <w:t>Każdy opiekun ma prawo do urlopu w wymiarze pięciu dni roboczych w roku.</w:t>
      </w:r>
    </w:p>
    <w:p w14:paraId="213BC0A2" w14:textId="72B6DD6A" w:rsidR="00A714F3" w:rsidRPr="00A714F3" w:rsidRDefault="007F5264" w:rsidP="007F5264">
      <w:pPr>
        <w:spacing w:after="0" w:line="360" w:lineRule="auto"/>
        <w:jc w:val="both"/>
        <w:rPr>
          <w:rFonts w:ascii="Tahoma" w:eastAsia="Times New Roman" w:hAnsi="Tahoma" w:cs="Tahoma"/>
          <w:sz w:val="24"/>
          <w:szCs w:val="24"/>
          <w:lang w:eastAsia="pl-PL"/>
        </w:rPr>
      </w:pPr>
      <w:r w:rsidRPr="007F5264">
        <w:rPr>
          <w:rFonts w:ascii="Tahoma" w:eastAsia="Times New Roman" w:hAnsi="Tahoma" w:cs="Tahoma"/>
          <w:sz w:val="24"/>
          <w:szCs w:val="24"/>
          <w:lang w:eastAsia="pl-PL"/>
        </w:rPr>
        <w:lastRenderedPageBreak/>
        <w:t>W kontekście elastycznej organizacji pracy Parlament Europejski i Rada postanowiły, że p</w:t>
      </w:r>
      <w:r w:rsidR="00A714F3" w:rsidRPr="00A714F3">
        <w:rPr>
          <w:rFonts w:ascii="Tahoma" w:eastAsia="Times New Roman" w:hAnsi="Tahoma" w:cs="Tahoma"/>
          <w:sz w:val="24"/>
          <w:szCs w:val="24"/>
          <w:lang w:eastAsia="pl-PL"/>
        </w:rPr>
        <w:t>racownicy posiadający dzieci do określonego wieku, co najmniej do ośmiu lat, oraz opiekunowie mogą występować z wnioskiem o elastyczną organizację pracy w celu sprawowania opieki.</w:t>
      </w:r>
      <w:r w:rsidRPr="007F5264">
        <w:rPr>
          <w:rFonts w:ascii="Tahoma" w:eastAsia="Times New Roman" w:hAnsi="Tahoma" w:cs="Tahoma"/>
          <w:sz w:val="24"/>
          <w:szCs w:val="24"/>
          <w:lang w:eastAsia="pl-PL"/>
        </w:rPr>
        <w:t xml:space="preserve"> </w:t>
      </w:r>
      <w:r w:rsidR="00A714F3" w:rsidRPr="00A714F3">
        <w:rPr>
          <w:rFonts w:ascii="Tahoma" w:eastAsia="Times New Roman" w:hAnsi="Tahoma" w:cs="Tahoma"/>
          <w:sz w:val="24"/>
          <w:szCs w:val="24"/>
          <w:lang w:eastAsia="pl-PL"/>
        </w:rPr>
        <w:t>Taka organizacja pracy obejmuje wykorzystanie pracy zdalnej, elastycznych rozkładów czasu pracy lub zmniejszenie wymiaru czasu pracy.</w:t>
      </w:r>
      <w:r w:rsidRPr="007F5264">
        <w:rPr>
          <w:rFonts w:ascii="Tahoma" w:eastAsia="Times New Roman" w:hAnsi="Tahoma" w:cs="Tahoma"/>
          <w:sz w:val="24"/>
          <w:szCs w:val="24"/>
          <w:lang w:eastAsia="pl-PL"/>
        </w:rPr>
        <w:t xml:space="preserve"> </w:t>
      </w:r>
      <w:r w:rsidR="00A714F3" w:rsidRPr="00A714F3">
        <w:rPr>
          <w:rFonts w:ascii="Tahoma" w:eastAsia="Times New Roman" w:hAnsi="Tahoma" w:cs="Tahoma"/>
          <w:sz w:val="24"/>
          <w:szCs w:val="24"/>
          <w:lang w:eastAsia="pl-PL"/>
        </w:rPr>
        <w:t>Pracodawcy rozpatrują te wnioski w rozsądnym terminie i przedstawiają uzasadnienie odmowy ich pozytywnego rozpatrzenia lub odroczenia takiej organizacji pracy.</w:t>
      </w:r>
      <w:r w:rsidRPr="007F5264">
        <w:rPr>
          <w:rFonts w:ascii="Tahoma" w:eastAsia="Times New Roman" w:hAnsi="Tahoma" w:cs="Tahoma"/>
          <w:sz w:val="24"/>
          <w:szCs w:val="24"/>
          <w:lang w:eastAsia="pl-PL"/>
        </w:rPr>
        <w:t xml:space="preserve"> </w:t>
      </w:r>
      <w:r w:rsidR="00A714F3" w:rsidRPr="00A714F3">
        <w:rPr>
          <w:rFonts w:ascii="Tahoma" w:eastAsia="Times New Roman" w:hAnsi="Tahoma" w:cs="Tahoma"/>
          <w:sz w:val="24"/>
          <w:szCs w:val="24"/>
          <w:lang w:eastAsia="pl-PL"/>
        </w:rPr>
        <w:t>Państwa UE mogą uzależnić przyznanie prawa do występowania z wnioskiem o elastyczną organizację pracy od wcześniejszego okresu pracy lub stażu pracy. Nie mogą one przekroczyć sześciu miesięcy.</w:t>
      </w:r>
    </w:p>
    <w:p w14:paraId="7E4A2DCF" w14:textId="77777777" w:rsidR="007F5264" w:rsidRPr="007F5264" w:rsidRDefault="00A714F3" w:rsidP="00563CDB">
      <w:pPr>
        <w:spacing w:after="0" w:line="360" w:lineRule="auto"/>
        <w:ind w:firstLine="708"/>
        <w:jc w:val="both"/>
        <w:rPr>
          <w:rFonts w:ascii="Tahoma" w:eastAsia="Times New Roman" w:hAnsi="Tahoma" w:cs="Tahoma"/>
          <w:sz w:val="24"/>
          <w:szCs w:val="24"/>
          <w:lang w:eastAsia="pl-PL"/>
        </w:rPr>
      </w:pPr>
      <w:r w:rsidRPr="00A714F3">
        <w:rPr>
          <w:rFonts w:ascii="Tahoma" w:eastAsia="Times New Roman" w:hAnsi="Tahoma" w:cs="Tahoma"/>
          <w:sz w:val="24"/>
          <w:szCs w:val="24"/>
          <w:lang w:eastAsia="pl-PL"/>
        </w:rPr>
        <w:t xml:space="preserve">Państwa </w:t>
      </w:r>
      <w:r w:rsidR="007F5264" w:rsidRPr="007F5264">
        <w:rPr>
          <w:rFonts w:ascii="Tahoma" w:eastAsia="Times New Roman" w:hAnsi="Tahoma" w:cs="Tahoma"/>
          <w:sz w:val="24"/>
          <w:szCs w:val="24"/>
          <w:lang w:eastAsia="pl-PL"/>
        </w:rPr>
        <w:t xml:space="preserve">Unii Europejskiej zostały zobowiązane do </w:t>
      </w:r>
      <w:r w:rsidRPr="00A714F3">
        <w:rPr>
          <w:rFonts w:ascii="Tahoma" w:eastAsia="Times New Roman" w:hAnsi="Tahoma" w:cs="Tahoma"/>
          <w:sz w:val="24"/>
          <w:szCs w:val="24"/>
          <w:lang w:eastAsia="pl-PL"/>
        </w:rPr>
        <w:t>wprowadz</w:t>
      </w:r>
      <w:r w:rsidR="007F5264" w:rsidRPr="007F5264">
        <w:rPr>
          <w:rFonts w:ascii="Tahoma" w:eastAsia="Times New Roman" w:hAnsi="Tahoma" w:cs="Tahoma"/>
          <w:sz w:val="24"/>
          <w:szCs w:val="24"/>
          <w:lang w:eastAsia="pl-PL"/>
        </w:rPr>
        <w:t>enia</w:t>
      </w:r>
      <w:r w:rsidRPr="00A714F3">
        <w:rPr>
          <w:rFonts w:ascii="Tahoma" w:eastAsia="Times New Roman" w:hAnsi="Tahoma" w:cs="Tahoma"/>
          <w:sz w:val="24"/>
          <w:szCs w:val="24"/>
          <w:lang w:eastAsia="pl-PL"/>
        </w:rPr>
        <w:t xml:space="preserve"> przepis</w:t>
      </w:r>
      <w:r w:rsidR="007F5264" w:rsidRPr="007F5264">
        <w:rPr>
          <w:rFonts w:ascii="Tahoma" w:eastAsia="Times New Roman" w:hAnsi="Tahoma" w:cs="Tahoma"/>
          <w:sz w:val="24"/>
          <w:szCs w:val="24"/>
          <w:lang w:eastAsia="pl-PL"/>
        </w:rPr>
        <w:t xml:space="preserve">ów </w:t>
      </w:r>
      <w:r w:rsidRPr="00A714F3">
        <w:rPr>
          <w:rFonts w:ascii="Tahoma" w:eastAsia="Times New Roman" w:hAnsi="Tahoma" w:cs="Tahoma"/>
          <w:sz w:val="24"/>
          <w:szCs w:val="24"/>
          <w:lang w:eastAsia="pl-PL"/>
        </w:rPr>
        <w:t>w celu zapewnienia, aby</w:t>
      </w:r>
      <w:r w:rsidR="007F5264" w:rsidRPr="007F5264">
        <w:rPr>
          <w:rFonts w:ascii="Tahoma" w:eastAsia="Times New Roman" w:hAnsi="Tahoma" w:cs="Tahoma"/>
          <w:sz w:val="24"/>
          <w:szCs w:val="24"/>
          <w:lang w:eastAsia="pl-PL"/>
        </w:rPr>
        <w:t xml:space="preserve"> p</w:t>
      </w:r>
      <w:r w:rsidRPr="00A714F3">
        <w:rPr>
          <w:rFonts w:ascii="Tahoma" w:eastAsia="Times New Roman" w:hAnsi="Tahoma" w:cs="Tahoma"/>
          <w:sz w:val="24"/>
          <w:szCs w:val="24"/>
          <w:lang w:eastAsia="pl-PL"/>
        </w:rPr>
        <w:t>racownicy byli chronieni przed dyskryminacją i zwalnianiem z powodu wystąpienia przez nich z wnioskiem o urlop ze względów rodzinnych lub o elastyczną organizację pracy albo z powodu skorzystania z takiego urlopu lub z takiej organizacji pracy</w:t>
      </w:r>
      <w:r w:rsidR="007F5264" w:rsidRPr="007F5264">
        <w:rPr>
          <w:rFonts w:ascii="Tahoma" w:eastAsia="Times New Roman" w:hAnsi="Tahoma" w:cs="Tahoma"/>
          <w:sz w:val="24"/>
          <w:szCs w:val="24"/>
          <w:lang w:eastAsia="pl-PL"/>
        </w:rPr>
        <w:t xml:space="preserve">. Ponadto </w:t>
      </w:r>
      <w:r w:rsidRPr="00A714F3">
        <w:rPr>
          <w:rFonts w:ascii="Tahoma" w:eastAsia="Times New Roman" w:hAnsi="Tahoma" w:cs="Tahoma"/>
          <w:sz w:val="24"/>
          <w:szCs w:val="24"/>
          <w:lang w:eastAsia="pl-PL"/>
        </w:rPr>
        <w:t>pracownicy, którzy uważają, że zostali zwolnieni z powodu skorzystania z takiego prawa,</w:t>
      </w:r>
      <w:r w:rsidR="007F5264" w:rsidRPr="007F5264">
        <w:rPr>
          <w:rFonts w:ascii="Tahoma" w:eastAsia="Times New Roman" w:hAnsi="Tahoma" w:cs="Tahoma"/>
          <w:sz w:val="24"/>
          <w:szCs w:val="24"/>
          <w:lang w:eastAsia="pl-PL"/>
        </w:rPr>
        <w:t xml:space="preserve"> powinni mieć możliwość</w:t>
      </w:r>
      <w:r w:rsidRPr="00A714F3">
        <w:rPr>
          <w:rFonts w:ascii="Tahoma" w:eastAsia="Times New Roman" w:hAnsi="Tahoma" w:cs="Tahoma"/>
          <w:sz w:val="24"/>
          <w:szCs w:val="24"/>
          <w:lang w:eastAsia="pl-PL"/>
        </w:rPr>
        <w:t xml:space="preserve"> zwr</w:t>
      </w:r>
      <w:r w:rsidR="007F5264" w:rsidRPr="007F5264">
        <w:rPr>
          <w:rFonts w:ascii="Tahoma" w:eastAsia="Times New Roman" w:hAnsi="Tahoma" w:cs="Tahoma"/>
          <w:sz w:val="24"/>
          <w:szCs w:val="24"/>
          <w:lang w:eastAsia="pl-PL"/>
        </w:rPr>
        <w:t xml:space="preserve">ócenia się </w:t>
      </w:r>
      <w:r w:rsidRPr="00A714F3">
        <w:rPr>
          <w:rFonts w:ascii="Tahoma" w:eastAsia="Times New Roman" w:hAnsi="Tahoma" w:cs="Tahoma"/>
          <w:sz w:val="24"/>
          <w:szCs w:val="24"/>
          <w:lang w:eastAsia="pl-PL"/>
        </w:rPr>
        <w:t>do pracodawcy o przedstawienie należycie uzasadnionych powodów zwolnienia,</w:t>
      </w:r>
      <w:r w:rsidR="007F5264" w:rsidRPr="007F5264">
        <w:rPr>
          <w:rFonts w:ascii="Tahoma" w:eastAsia="Times New Roman" w:hAnsi="Tahoma" w:cs="Tahoma"/>
          <w:sz w:val="24"/>
          <w:szCs w:val="24"/>
          <w:lang w:eastAsia="pl-PL"/>
        </w:rPr>
        <w:t xml:space="preserve"> a </w:t>
      </w:r>
      <w:r w:rsidRPr="00A714F3">
        <w:rPr>
          <w:rFonts w:ascii="Tahoma" w:eastAsia="Times New Roman" w:hAnsi="Tahoma" w:cs="Tahoma"/>
          <w:sz w:val="24"/>
          <w:szCs w:val="24"/>
          <w:lang w:eastAsia="pl-PL"/>
        </w:rPr>
        <w:t xml:space="preserve">prawa nabyte lub nabywane przez pracowników w dniu, w którym rozpoczął się urlop, </w:t>
      </w:r>
      <w:r w:rsidR="007F5264" w:rsidRPr="007F5264">
        <w:rPr>
          <w:rFonts w:ascii="Tahoma" w:eastAsia="Times New Roman" w:hAnsi="Tahoma" w:cs="Tahoma"/>
          <w:sz w:val="24"/>
          <w:szCs w:val="24"/>
          <w:lang w:eastAsia="pl-PL"/>
        </w:rPr>
        <w:t>zostaną</w:t>
      </w:r>
      <w:r w:rsidRPr="00A714F3">
        <w:rPr>
          <w:rFonts w:ascii="Tahoma" w:eastAsia="Times New Roman" w:hAnsi="Tahoma" w:cs="Tahoma"/>
          <w:sz w:val="24"/>
          <w:szCs w:val="24"/>
          <w:lang w:eastAsia="pl-PL"/>
        </w:rPr>
        <w:t xml:space="preserve"> zachowane po zakończeniu tego urlopu, a pracownicy mieli prawo do powrotu na dotychczasowe stanowiska.</w:t>
      </w:r>
    </w:p>
    <w:p w14:paraId="648A251A" w14:textId="1498157D" w:rsidR="00A714F3" w:rsidRPr="007F5264" w:rsidRDefault="00A714F3" w:rsidP="007F5264">
      <w:pPr>
        <w:spacing w:after="0" w:line="360" w:lineRule="auto"/>
        <w:ind w:firstLine="708"/>
        <w:jc w:val="both"/>
        <w:rPr>
          <w:rFonts w:ascii="Tahoma" w:eastAsia="Times New Roman" w:hAnsi="Tahoma" w:cs="Tahoma"/>
          <w:bCs/>
          <w:sz w:val="24"/>
          <w:szCs w:val="24"/>
        </w:rPr>
      </w:pPr>
      <w:r w:rsidRPr="00A714F3">
        <w:rPr>
          <w:rFonts w:ascii="Tahoma" w:eastAsia="Times New Roman" w:hAnsi="Tahoma" w:cs="Tahoma"/>
          <w:sz w:val="24"/>
          <w:szCs w:val="24"/>
          <w:lang w:eastAsia="pl-PL"/>
        </w:rPr>
        <w:t>Dyrektywa</w:t>
      </w:r>
      <w:r w:rsidR="007F5264" w:rsidRPr="007F5264">
        <w:rPr>
          <w:rFonts w:ascii="Tahoma" w:eastAsia="Times New Roman" w:hAnsi="Tahoma" w:cs="Tahoma"/>
          <w:sz w:val="24"/>
          <w:szCs w:val="24"/>
          <w:lang w:eastAsia="pl-PL"/>
        </w:rPr>
        <w:t xml:space="preserve"> 2019/1158</w:t>
      </w:r>
      <w:r w:rsidRPr="00A714F3">
        <w:rPr>
          <w:rFonts w:ascii="Tahoma" w:eastAsia="Times New Roman" w:hAnsi="Tahoma" w:cs="Tahoma"/>
          <w:sz w:val="24"/>
          <w:szCs w:val="24"/>
          <w:lang w:eastAsia="pl-PL"/>
        </w:rPr>
        <w:t xml:space="preserve"> uchyla </w:t>
      </w:r>
      <w:r w:rsidR="007F5264" w:rsidRPr="007F5264">
        <w:rPr>
          <w:rFonts w:ascii="Tahoma" w:eastAsia="Times New Roman" w:hAnsi="Tahoma" w:cs="Tahoma"/>
          <w:sz w:val="24"/>
          <w:szCs w:val="24"/>
          <w:lang w:eastAsia="pl-PL"/>
        </w:rPr>
        <w:t>dyrektywę Rady 2010/18/UE z dnia 8 marca 2010 r. w sprawie wdrożenia zmienionego porozumienia ramowego dotyczącego urlopu rodzicielskiego zawartego przez BUSINESSEUROPE, UEAPME, CEEP i ETUC oraz uchylająca dyrektywę 96/34/WE (Dz.U. L 68 z 18.3.2010, s. 13–20).</w:t>
      </w:r>
    </w:p>
    <w:p w14:paraId="0151F109" w14:textId="34F8AC6B" w:rsidR="00687492" w:rsidRDefault="00687492" w:rsidP="00687492">
      <w:pPr>
        <w:spacing w:line="360" w:lineRule="auto"/>
        <w:ind w:firstLine="708"/>
        <w:jc w:val="both"/>
        <w:rPr>
          <w:rFonts w:ascii="Tahoma" w:eastAsia="Times New Roman" w:hAnsi="Tahoma" w:cs="Tahoma"/>
          <w:bCs/>
          <w:sz w:val="24"/>
          <w:szCs w:val="24"/>
        </w:rPr>
      </w:pPr>
      <w:r>
        <w:rPr>
          <w:rFonts w:ascii="Tahoma" w:eastAsia="Times New Roman" w:hAnsi="Tahoma" w:cs="Tahoma"/>
          <w:bCs/>
          <w:sz w:val="24"/>
          <w:szCs w:val="24"/>
        </w:rPr>
        <w:t>Jak wskazują Parlament Europejski i Rada w motywach Dyrektywy 2019/1158: „</w:t>
      </w:r>
      <w:r w:rsidRPr="00687492">
        <w:rPr>
          <w:rFonts w:ascii="Tahoma" w:eastAsia="Times New Roman" w:hAnsi="Tahoma" w:cs="Tahoma"/>
          <w:bCs/>
          <w:sz w:val="24"/>
          <w:szCs w:val="24"/>
        </w:rPr>
        <w:t xml:space="preserve">Równowaga między życiem zawodowym a prywatnym wciąż jednak jest dużym wyzwaniem dla wielu rodziców i pracowników pełniących obowiązki opiekuńcze, w szczególności z uwagi na coraz większą powszechność wydłużonych godzin pracy oraz zmiennych rozkładów pracy, co ma negatywny wpływ na zatrudnienie kobiet. Znaczącym czynnikiem wpływającym na niedostateczną reprezentację kobiet na rynku pracy jest trudność w godzeniu obowiązków zawodowych i rodzinnych. Kobiety, które mają dzieci, zwykle poświęcają mniej godzin na pracę zarobkową, a więcej czasu na </w:t>
      </w:r>
      <w:r w:rsidRPr="00687492">
        <w:rPr>
          <w:rFonts w:ascii="Tahoma" w:eastAsia="Times New Roman" w:hAnsi="Tahoma" w:cs="Tahoma"/>
          <w:bCs/>
          <w:sz w:val="24"/>
          <w:szCs w:val="24"/>
        </w:rPr>
        <w:lastRenderedPageBreak/>
        <w:t>wypełnianie nieodpłatnych obowiązków opiekuńczych. Fakt posiadania chorego lub niesamodzielnego krewnego również okazuje się mieć negatywny wpływ na zatrudnienie kobiet i powoduje, że niektóre z nich zupełnie wycofują się z rynku pracy.</w:t>
      </w:r>
      <w:r w:rsidR="006F629C">
        <w:rPr>
          <w:rFonts w:ascii="Tahoma" w:eastAsia="Times New Roman" w:hAnsi="Tahoma" w:cs="Tahoma"/>
          <w:bCs/>
          <w:sz w:val="24"/>
          <w:szCs w:val="24"/>
        </w:rPr>
        <w:t xml:space="preserve">” Proponowana przez projektodawców i projektodawczynie ustawa ma na celu rozwiązanie przytoczonych problemów. </w:t>
      </w:r>
    </w:p>
    <w:p w14:paraId="505D0EFD" w14:textId="6594EAC0" w:rsidR="006F629C" w:rsidRDefault="006F629C" w:rsidP="006F629C">
      <w:pPr>
        <w:spacing w:line="360" w:lineRule="auto"/>
        <w:ind w:firstLine="708"/>
        <w:jc w:val="both"/>
        <w:rPr>
          <w:rFonts w:ascii="Tahoma" w:eastAsia="Times New Roman" w:hAnsi="Tahoma" w:cs="Tahoma"/>
          <w:bCs/>
          <w:sz w:val="24"/>
          <w:szCs w:val="24"/>
        </w:rPr>
      </w:pPr>
      <w:r>
        <w:rPr>
          <w:rFonts w:ascii="Tahoma" w:eastAsia="Times New Roman" w:hAnsi="Tahoma" w:cs="Tahoma"/>
          <w:bCs/>
          <w:sz w:val="24"/>
          <w:szCs w:val="24"/>
        </w:rPr>
        <w:t>Ustawodawca w</w:t>
      </w:r>
      <w:r w:rsidRPr="006F629C">
        <w:rPr>
          <w:rFonts w:ascii="Tahoma" w:eastAsia="Times New Roman" w:hAnsi="Tahoma" w:cs="Tahoma"/>
          <w:bCs/>
          <w:sz w:val="24"/>
          <w:szCs w:val="24"/>
        </w:rPr>
        <w:t>drażając niniejszą dyrektywę powi</w:t>
      </w:r>
      <w:r>
        <w:rPr>
          <w:rFonts w:ascii="Tahoma" w:eastAsia="Times New Roman" w:hAnsi="Tahoma" w:cs="Tahoma"/>
          <w:bCs/>
          <w:sz w:val="24"/>
          <w:szCs w:val="24"/>
        </w:rPr>
        <w:t xml:space="preserve">nien </w:t>
      </w:r>
      <w:r w:rsidRPr="006F629C">
        <w:rPr>
          <w:rFonts w:ascii="Tahoma" w:eastAsia="Times New Roman" w:hAnsi="Tahoma" w:cs="Tahoma"/>
          <w:bCs/>
          <w:sz w:val="24"/>
          <w:szCs w:val="24"/>
        </w:rPr>
        <w:t>wziąć pod uwagę fakt, że równe korzystanie z urlopów ze względów rodzinnych przez kobiety i mężczyzn zależy również od innych odpowiednich środków, takich jak zapewnianie dostępnych i przystępnych cenowo usług w zakresie opieki nad dziećmi i opieki długoterminowej, które mają kluczowe znaczenie dla umożliwienia rodzicom i innym osobom pełniącym obowiązki opiekuńcze wejścia na rynek pracy, pozostania na nim lub powrotu na ten rynek. Usunięcie ekonomicznych czynników zniechęcających może również skłaniać drugich żywicieli rodziny, których większość stanowią kobiety, do pełnego uczestnictwa w rynku pracy.</w:t>
      </w:r>
    </w:p>
    <w:p w14:paraId="1CFEA1D1" w14:textId="77777777" w:rsidR="00A714F3" w:rsidRPr="006F629C" w:rsidRDefault="00A714F3" w:rsidP="006F629C">
      <w:pPr>
        <w:spacing w:line="360" w:lineRule="auto"/>
        <w:ind w:firstLine="708"/>
        <w:jc w:val="both"/>
        <w:rPr>
          <w:rFonts w:ascii="Tahoma" w:eastAsia="Times New Roman" w:hAnsi="Tahoma" w:cs="Tahoma"/>
          <w:bCs/>
          <w:sz w:val="24"/>
          <w:szCs w:val="24"/>
        </w:rPr>
      </w:pPr>
    </w:p>
    <w:p w14:paraId="5968449B" w14:textId="39CE97FE" w:rsidR="008F5F8D" w:rsidRDefault="008F5F8D" w:rsidP="008F5F8D">
      <w:pPr>
        <w:numPr>
          <w:ilvl w:val="0"/>
          <w:numId w:val="2"/>
        </w:numPr>
        <w:spacing w:after="0" w:line="360" w:lineRule="auto"/>
        <w:ind w:right="20"/>
        <w:jc w:val="both"/>
        <w:rPr>
          <w:rFonts w:ascii="Tahoma" w:eastAsia="Times New Roman" w:hAnsi="Tahoma" w:cs="Tahoma"/>
          <w:b/>
          <w:bCs/>
          <w:sz w:val="24"/>
          <w:szCs w:val="24"/>
        </w:rPr>
      </w:pPr>
      <w:r w:rsidRPr="00754822">
        <w:rPr>
          <w:rFonts w:ascii="Tahoma" w:eastAsia="Times New Roman" w:hAnsi="Tahoma" w:cs="Tahoma"/>
          <w:b/>
          <w:bCs/>
          <w:sz w:val="24"/>
          <w:szCs w:val="24"/>
        </w:rPr>
        <w:t>Różnice między dotychczasowym a projektowanym stanem prawnym</w:t>
      </w:r>
    </w:p>
    <w:p w14:paraId="45A9B3BB" w14:textId="77777777" w:rsidR="008F5F8D" w:rsidRPr="00754822" w:rsidRDefault="008F5F8D" w:rsidP="008F5F8D">
      <w:pPr>
        <w:spacing w:after="0" w:line="360" w:lineRule="auto"/>
        <w:ind w:left="720" w:right="20"/>
        <w:jc w:val="both"/>
        <w:rPr>
          <w:rFonts w:ascii="Tahoma" w:eastAsia="Times New Roman" w:hAnsi="Tahoma" w:cs="Tahoma"/>
          <w:b/>
          <w:bCs/>
          <w:sz w:val="24"/>
          <w:szCs w:val="24"/>
        </w:rPr>
      </w:pPr>
    </w:p>
    <w:p w14:paraId="3E5E78A1" w14:textId="2ED9ED97" w:rsidR="00D7516A" w:rsidRPr="008F5F8D" w:rsidRDefault="00563CDB" w:rsidP="008F5F8D">
      <w:pPr>
        <w:spacing w:line="360" w:lineRule="auto"/>
        <w:ind w:firstLine="708"/>
        <w:jc w:val="both"/>
        <w:rPr>
          <w:rFonts w:ascii="Tahoma" w:eastAsia="Times New Roman" w:hAnsi="Tahoma" w:cs="Tahoma"/>
          <w:bCs/>
          <w:sz w:val="24"/>
          <w:szCs w:val="24"/>
        </w:rPr>
      </w:pPr>
      <w:r>
        <w:rPr>
          <w:rFonts w:ascii="Tahoma" w:eastAsia="Times New Roman" w:hAnsi="Tahoma" w:cs="Tahoma"/>
          <w:bCs/>
          <w:sz w:val="24"/>
          <w:szCs w:val="24"/>
        </w:rPr>
        <w:t xml:space="preserve">W art. 1 proponuje się zmiany w </w:t>
      </w:r>
      <w:r w:rsidRPr="00E61860">
        <w:rPr>
          <w:rFonts w:ascii="Tahoma" w:eastAsia="Times New Roman" w:hAnsi="Tahoma" w:cs="Tahoma"/>
          <w:bCs/>
          <w:sz w:val="24"/>
          <w:szCs w:val="24"/>
        </w:rPr>
        <w:t>ustawie z dnia 26 czerwca 1974 r. Kodeks pracy (Dz.  U.  z  2020  r. poz. 1320)</w:t>
      </w:r>
      <w:r>
        <w:rPr>
          <w:rFonts w:ascii="Tahoma" w:eastAsia="Times New Roman" w:hAnsi="Tahoma" w:cs="Tahoma"/>
          <w:bCs/>
          <w:sz w:val="24"/>
          <w:szCs w:val="24"/>
        </w:rPr>
        <w:t>.</w:t>
      </w:r>
      <w:r w:rsidRPr="00E61860">
        <w:rPr>
          <w:rFonts w:ascii="Tahoma" w:eastAsia="Times New Roman" w:hAnsi="Tahoma" w:cs="Tahoma"/>
          <w:bCs/>
          <w:sz w:val="24"/>
          <w:szCs w:val="24"/>
        </w:rPr>
        <w:t xml:space="preserve"> </w:t>
      </w:r>
      <w:r w:rsidR="00F10B37" w:rsidRPr="008F5F8D">
        <w:rPr>
          <w:rFonts w:ascii="Tahoma" w:eastAsia="Times New Roman" w:hAnsi="Tahoma" w:cs="Tahoma"/>
          <w:bCs/>
          <w:sz w:val="24"/>
          <w:szCs w:val="24"/>
        </w:rPr>
        <w:t xml:space="preserve">W </w:t>
      </w:r>
      <w:r>
        <w:rPr>
          <w:rFonts w:ascii="Tahoma" w:eastAsia="Times New Roman" w:hAnsi="Tahoma" w:cs="Tahoma"/>
          <w:bCs/>
          <w:sz w:val="24"/>
          <w:szCs w:val="24"/>
        </w:rPr>
        <w:t xml:space="preserve">zmienianym </w:t>
      </w:r>
      <w:r w:rsidR="00F10B37" w:rsidRPr="008F5F8D">
        <w:rPr>
          <w:rFonts w:ascii="Tahoma" w:eastAsia="Times New Roman" w:hAnsi="Tahoma" w:cs="Tahoma"/>
          <w:bCs/>
          <w:sz w:val="24"/>
          <w:szCs w:val="24"/>
        </w:rPr>
        <w:t>art. 142</w:t>
      </w:r>
      <w:r w:rsidR="006C3A1C" w:rsidRPr="008F5F8D">
        <w:rPr>
          <w:rFonts w:ascii="Tahoma" w:eastAsia="Times New Roman" w:hAnsi="Tahoma" w:cs="Tahoma"/>
          <w:bCs/>
          <w:sz w:val="24"/>
          <w:szCs w:val="24"/>
          <w:vertAlign w:val="superscript"/>
        </w:rPr>
        <w:t>1</w:t>
      </w:r>
      <w:r w:rsidR="00F10B37" w:rsidRPr="008F5F8D">
        <w:rPr>
          <w:rFonts w:ascii="Tahoma" w:eastAsia="Times New Roman" w:hAnsi="Tahoma" w:cs="Tahoma"/>
          <w:bCs/>
          <w:sz w:val="24"/>
          <w:szCs w:val="24"/>
        </w:rPr>
        <w:t xml:space="preserve"> § 1 pkt 3</w:t>
      </w:r>
      <w:r w:rsidR="006C3A1C" w:rsidRPr="008F5F8D">
        <w:rPr>
          <w:rFonts w:ascii="Tahoma" w:eastAsia="Times New Roman" w:hAnsi="Tahoma" w:cs="Tahoma"/>
          <w:bCs/>
          <w:sz w:val="24"/>
          <w:szCs w:val="24"/>
        </w:rPr>
        <w:t xml:space="preserve"> dodaje się lit c z odpowiednią zmianą lit. poprzedzających. W dodawanej literze uwzględnia się rodziców </w:t>
      </w:r>
      <w:r w:rsidR="00F10B37" w:rsidRPr="008F5F8D">
        <w:rPr>
          <w:rFonts w:ascii="Tahoma" w:eastAsia="Times New Roman" w:hAnsi="Tahoma" w:cs="Tahoma"/>
          <w:bCs/>
          <w:sz w:val="24"/>
          <w:szCs w:val="24"/>
        </w:rPr>
        <w:t>dziec</w:t>
      </w:r>
      <w:r w:rsidR="006C3A1C" w:rsidRPr="008F5F8D">
        <w:rPr>
          <w:rFonts w:ascii="Tahoma" w:eastAsia="Times New Roman" w:hAnsi="Tahoma" w:cs="Tahoma"/>
          <w:bCs/>
          <w:sz w:val="24"/>
          <w:szCs w:val="24"/>
        </w:rPr>
        <w:t>i</w:t>
      </w:r>
      <w:r w:rsidR="00F10B37" w:rsidRPr="008F5F8D">
        <w:rPr>
          <w:rFonts w:ascii="Tahoma" w:eastAsia="Times New Roman" w:hAnsi="Tahoma" w:cs="Tahoma"/>
          <w:bCs/>
          <w:sz w:val="24"/>
          <w:szCs w:val="24"/>
        </w:rPr>
        <w:t xml:space="preserve"> do ukończenia przez nie 6 roku życia</w:t>
      </w:r>
      <w:r w:rsidR="006C3A1C" w:rsidRPr="008F5F8D">
        <w:rPr>
          <w:rFonts w:ascii="Tahoma" w:eastAsia="Times New Roman" w:hAnsi="Tahoma" w:cs="Tahoma"/>
          <w:bCs/>
          <w:sz w:val="24"/>
          <w:szCs w:val="24"/>
        </w:rPr>
        <w:t xml:space="preserve">. Dzięki tej regulacji rodzice będą mogli wykonywać pracę w systemie przerywanego czasu pracy, indywidualnego rozkładu czasu pracy lub zadaniowego czasu pracy. Elastyczne </w:t>
      </w:r>
      <w:r w:rsidR="008F5F8D" w:rsidRPr="008F5F8D">
        <w:rPr>
          <w:rFonts w:ascii="Tahoma" w:eastAsia="Times New Roman" w:hAnsi="Tahoma" w:cs="Tahoma"/>
          <w:bCs/>
          <w:sz w:val="24"/>
          <w:szCs w:val="24"/>
        </w:rPr>
        <w:t>formy wykonywania pracy dla wszystkich rodziców dzieci poniżej wieku szkolnego usprawni sprawowanie opieki.</w:t>
      </w:r>
    </w:p>
    <w:p w14:paraId="7D27AE6D" w14:textId="33DB15EC" w:rsidR="008F5F8D" w:rsidRPr="008F5F8D" w:rsidRDefault="008F5F8D" w:rsidP="008F5F8D">
      <w:pPr>
        <w:spacing w:line="360" w:lineRule="auto"/>
        <w:ind w:firstLine="708"/>
        <w:jc w:val="both"/>
        <w:rPr>
          <w:rFonts w:ascii="Tahoma" w:eastAsia="Times New Roman" w:hAnsi="Tahoma" w:cs="Tahoma"/>
          <w:sz w:val="24"/>
          <w:szCs w:val="24"/>
        </w:rPr>
      </w:pPr>
      <w:r>
        <w:rPr>
          <w:rStyle w:val="alb"/>
          <w:rFonts w:ascii="Tahoma" w:hAnsi="Tahoma" w:cs="Tahoma"/>
          <w:sz w:val="24"/>
          <w:szCs w:val="24"/>
        </w:rPr>
        <w:t>W a</w:t>
      </w:r>
      <w:r w:rsidRPr="008F5F8D">
        <w:rPr>
          <w:rStyle w:val="alb"/>
          <w:rFonts w:ascii="Tahoma" w:hAnsi="Tahoma" w:cs="Tahoma"/>
          <w:sz w:val="24"/>
          <w:szCs w:val="24"/>
        </w:rPr>
        <w:t>rt.  182</w:t>
      </w:r>
      <w:r w:rsidRPr="008F5F8D">
        <w:rPr>
          <w:rStyle w:val="alb"/>
          <w:rFonts w:ascii="Tahoma" w:hAnsi="Tahoma" w:cs="Tahoma"/>
          <w:sz w:val="24"/>
          <w:szCs w:val="24"/>
          <w:vertAlign w:val="superscript"/>
        </w:rPr>
        <w:t>1c</w:t>
      </w:r>
      <w:r w:rsidRPr="008F5F8D">
        <w:rPr>
          <w:rFonts w:ascii="Tahoma" w:eastAsia="Times New Roman" w:hAnsi="Tahoma" w:cs="Tahoma"/>
          <w:sz w:val="24"/>
          <w:szCs w:val="24"/>
        </w:rPr>
        <w:t xml:space="preserve"> </w:t>
      </w:r>
      <w:r w:rsidRPr="008F5F8D">
        <w:rPr>
          <w:rStyle w:val="alb"/>
          <w:rFonts w:ascii="Tahoma" w:hAnsi="Tahoma" w:cs="Tahoma"/>
          <w:sz w:val="24"/>
          <w:szCs w:val="24"/>
        </w:rPr>
        <w:t>§  4</w:t>
      </w:r>
      <w:r w:rsidRPr="008F5F8D">
        <w:rPr>
          <w:rFonts w:ascii="Tahoma" w:eastAsia="Times New Roman" w:hAnsi="Tahoma" w:cs="Tahoma"/>
          <w:sz w:val="24"/>
          <w:szCs w:val="24"/>
        </w:rPr>
        <w:t xml:space="preserve">  pkt 1 proponuje się skreślenie możliwości skrócenia pierwszej części urlopu rodzicielskiego do 6 tygodni w przypadku urodzenia jednego dziecka przy jednym porodzie. W takim przypadku stosowane będą przepisy ogólne o 8-tygodniowym urlopie w pierwszej części. </w:t>
      </w:r>
    </w:p>
    <w:p w14:paraId="29624FE0" w14:textId="66752F76" w:rsidR="00D7516A" w:rsidRPr="008F5F8D" w:rsidRDefault="00D7516A" w:rsidP="008F5F8D">
      <w:pPr>
        <w:spacing w:line="360" w:lineRule="auto"/>
        <w:ind w:firstLine="708"/>
        <w:jc w:val="both"/>
        <w:rPr>
          <w:rFonts w:ascii="Tahoma" w:eastAsia="Times New Roman" w:hAnsi="Tahoma" w:cs="Tahoma"/>
          <w:sz w:val="24"/>
          <w:szCs w:val="24"/>
          <w:lang w:eastAsia="pl-PL"/>
        </w:rPr>
      </w:pPr>
      <w:r w:rsidRPr="008F5F8D">
        <w:rPr>
          <w:rFonts w:ascii="Tahoma" w:hAnsi="Tahoma" w:cs="Tahoma"/>
          <w:sz w:val="24"/>
          <w:szCs w:val="24"/>
        </w:rPr>
        <w:lastRenderedPageBreak/>
        <w:t xml:space="preserve">W </w:t>
      </w:r>
      <w:r w:rsidRPr="008F5F8D">
        <w:rPr>
          <w:rFonts w:ascii="Tahoma" w:eastAsia="Times New Roman" w:hAnsi="Tahoma" w:cs="Tahoma"/>
          <w:sz w:val="24"/>
          <w:szCs w:val="24"/>
          <w:lang w:eastAsia="pl-PL"/>
        </w:rPr>
        <w:t>art. 182</w:t>
      </w:r>
      <w:r w:rsidRPr="008F5F8D">
        <w:rPr>
          <w:rFonts w:ascii="Tahoma" w:eastAsia="Times New Roman" w:hAnsi="Tahoma" w:cs="Tahoma"/>
          <w:sz w:val="24"/>
          <w:szCs w:val="24"/>
          <w:vertAlign w:val="superscript"/>
          <w:lang w:eastAsia="pl-PL"/>
        </w:rPr>
        <w:t>3</w:t>
      </w:r>
      <w:r w:rsidRPr="008F5F8D">
        <w:rPr>
          <w:rFonts w:ascii="Tahoma" w:eastAsia="Times New Roman" w:hAnsi="Tahoma" w:cs="Tahoma"/>
          <w:sz w:val="24"/>
          <w:szCs w:val="24"/>
          <w:lang w:eastAsia="pl-PL"/>
        </w:rPr>
        <w:t> § 1 proponuje się ustalić bezwzględne prawo ojca wychowującego dziecko do urlopu ojcowskiego w wymiarze 2 tygodni. Dotychczasowe brzmienie przepisu ustalało ten okres jako górną granicę, co mogło być odczytywane jako możliwość skrócenia wymiaru tego rodzaju urlopu.</w:t>
      </w:r>
    </w:p>
    <w:p w14:paraId="25B0E8A1" w14:textId="680729EF" w:rsidR="00D7516A" w:rsidRPr="008F5F8D" w:rsidRDefault="00D7516A" w:rsidP="008F5F8D">
      <w:pPr>
        <w:spacing w:line="360" w:lineRule="auto"/>
        <w:ind w:firstLine="708"/>
        <w:jc w:val="both"/>
        <w:rPr>
          <w:rFonts w:ascii="Tahoma" w:hAnsi="Tahoma" w:cs="Tahoma"/>
          <w:sz w:val="24"/>
          <w:szCs w:val="24"/>
        </w:rPr>
      </w:pPr>
      <w:r w:rsidRPr="008F5F8D">
        <w:rPr>
          <w:rFonts w:ascii="Tahoma" w:hAnsi="Tahoma" w:cs="Tahoma"/>
          <w:sz w:val="24"/>
          <w:szCs w:val="24"/>
        </w:rPr>
        <w:t xml:space="preserve">W art. 188 zwiększa się </w:t>
      </w:r>
      <w:r w:rsidR="00695715" w:rsidRPr="008F5F8D">
        <w:rPr>
          <w:rFonts w:ascii="Tahoma" w:hAnsi="Tahoma" w:cs="Tahoma"/>
          <w:sz w:val="24"/>
          <w:szCs w:val="24"/>
        </w:rPr>
        <w:t xml:space="preserve">wymiar zwolnienia od pracy z zachowaniem prawa do wynagrodzenia dla pracowników wychowujących dziecko z 2 do 5 dni w roku kalendarzowym (co odpowiada liczbie 40 godzin). </w:t>
      </w:r>
    </w:p>
    <w:p w14:paraId="47D66EAB" w14:textId="629B579C" w:rsidR="00695715" w:rsidRPr="008F5F8D" w:rsidRDefault="00695715" w:rsidP="008F5F8D">
      <w:pPr>
        <w:spacing w:line="360" w:lineRule="auto"/>
        <w:ind w:firstLine="708"/>
        <w:jc w:val="both"/>
        <w:rPr>
          <w:rFonts w:ascii="Tahoma" w:hAnsi="Tahoma" w:cs="Tahoma"/>
          <w:sz w:val="24"/>
          <w:szCs w:val="24"/>
        </w:rPr>
      </w:pPr>
      <w:r w:rsidRPr="008F5F8D">
        <w:rPr>
          <w:rFonts w:ascii="Tahoma" w:hAnsi="Tahoma" w:cs="Tahoma"/>
          <w:sz w:val="24"/>
          <w:szCs w:val="24"/>
        </w:rPr>
        <w:t>Zmiana art.  298</w:t>
      </w:r>
      <w:r w:rsidRPr="008F5F8D">
        <w:rPr>
          <w:rFonts w:ascii="Tahoma" w:hAnsi="Tahoma" w:cs="Tahoma"/>
          <w:sz w:val="24"/>
          <w:szCs w:val="24"/>
          <w:vertAlign w:val="superscript"/>
        </w:rPr>
        <w:t xml:space="preserve">2 </w:t>
      </w:r>
      <w:r w:rsidRPr="008F5F8D">
        <w:rPr>
          <w:rFonts w:ascii="Tahoma" w:hAnsi="Tahoma" w:cs="Tahoma"/>
          <w:sz w:val="24"/>
          <w:szCs w:val="24"/>
        </w:rPr>
        <w:t>stanowi dookreślenie przepisu o przysługujących pracownikowi zwolnieniach od pracy z zachowaniem prawa do wynagrodzenia. Dodaje się instrukcję dla ministra właściwego do spraw pracy do wydania rozporządzenia w sprawie usprawiedliwiania nieobecności w pracy oraz  zakres przysługujących pracownikom zwolnień od pracy, a także przypadków, w których za czas nieobecności lub zwolnienia pracownik zachowuje prawo do wynagrodzenia.</w:t>
      </w:r>
      <w:r w:rsidRPr="008F5F8D">
        <w:rPr>
          <w:rFonts w:ascii="Tahoma" w:eastAsia="Times New Roman" w:hAnsi="Tahoma" w:cs="Tahoma"/>
          <w:bCs/>
          <w:sz w:val="24"/>
          <w:szCs w:val="32"/>
        </w:rPr>
        <w:t xml:space="preserve"> Minister będzie miał na względzie</w:t>
      </w:r>
      <w:r w:rsidR="00BB7BFB">
        <w:rPr>
          <w:rFonts w:ascii="Tahoma" w:eastAsia="Times New Roman" w:hAnsi="Tahoma" w:cs="Tahoma"/>
          <w:bCs/>
          <w:sz w:val="24"/>
          <w:szCs w:val="32"/>
        </w:rPr>
        <w:t xml:space="preserve"> </w:t>
      </w:r>
      <w:r w:rsidRPr="008F5F8D">
        <w:rPr>
          <w:rFonts w:ascii="Tahoma" w:eastAsia="Times New Roman" w:hAnsi="Tahoma" w:cs="Tahoma"/>
          <w:bCs/>
          <w:sz w:val="24"/>
          <w:szCs w:val="32"/>
        </w:rPr>
        <w:t xml:space="preserve">przypadki </w:t>
      </w:r>
      <w:r w:rsidRPr="008F5F8D">
        <w:rPr>
          <w:rFonts w:ascii="Tahoma" w:eastAsia="Times New Roman" w:hAnsi="Tahoma" w:cs="Tahoma"/>
          <w:sz w:val="24"/>
          <w:szCs w:val="24"/>
        </w:rPr>
        <w:t>pilnych spraw</w:t>
      </w:r>
      <w:r w:rsidR="00BB7BFB">
        <w:rPr>
          <w:rFonts w:ascii="Tahoma" w:eastAsia="Times New Roman" w:hAnsi="Tahoma" w:cs="Tahoma"/>
          <w:sz w:val="24"/>
          <w:szCs w:val="24"/>
        </w:rPr>
        <w:t xml:space="preserve"> </w:t>
      </w:r>
      <w:r w:rsidRPr="008F5F8D">
        <w:rPr>
          <w:rFonts w:ascii="Tahoma" w:eastAsia="Times New Roman" w:hAnsi="Tahoma" w:cs="Tahoma"/>
          <w:sz w:val="24"/>
          <w:szCs w:val="24"/>
        </w:rPr>
        <w:t>rodzinnych</w:t>
      </w:r>
      <w:r w:rsidR="00BB7BFB">
        <w:rPr>
          <w:rFonts w:ascii="Tahoma" w:eastAsia="Times New Roman" w:hAnsi="Tahoma" w:cs="Tahoma"/>
          <w:sz w:val="24"/>
          <w:szCs w:val="24"/>
        </w:rPr>
        <w:t xml:space="preserve"> </w:t>
      </w:r>
      <w:r w:rsidRPr="008F5F8D">
        <w:rPr>
          <w:rFonts w:ascii="Tahoma" w:eastAsia="Times New Roman" w:hAnsi="Tahoma" w:cs="Tahoma"/>
          <w:sz w:val="24"/>
          <w:szCs w:val="24"/>
        </w:rPr>
        <w:t>spowodowanych</w:t>
      </w:r>
      <w:r w:rsidR="00BB7BFB">
        <w:rPr>
          <w:rFonts w:ascii="Tahoma" w:eastAsia="Times New Roman" w:hAnsi="Tahoma" w:cs="Tahoma"/>
          <w:sz w:val="24"/>
          <w:szCs w:val="24"/>
        </w:rPr>
        <w:t xml:space="preserve"> </w:t>
      </w:r>
      <w:r w:rsidRPr="008F5F8D">
        <w:rPr>
          <w:rFonts w:ascii="Tahoma" w:eastAsia="Times New Roman" w:hAnsi="Tahoma" w:cs="Tahoma"/>
          <w:sz w:val="24"/>
          <w:szCs w:val="24"/>
        </w:rPr>
        <w:t>chorobą</w:t>
      </w:r>
      <w:r w:rsidR="00BB7BFB">
        <w:rPr>
          <w:rFonts w:ascii="Tahoma" w:eastAsia="Times New Roman" w:hAnsi="Tahoma" w:cs="Tahoma"/>
          <w:sz w:val="24"/>
          <w:szCs w:val="24"/>
        </w:rPr>
        <w:t xml:space="preserve"> </w:t>
      </w:r>
      <w:r w:rsidRPr="008F5F8D">
        <w:rPr>
          <w:rFonts w:ascii="Tahoma" w:eastAsia="Times New Roman" w:hAnsi="Tahoma" w:cs="Tahoma"/>
          <w:sz w:val="24"/>
          <w:szCs w:val="24"/>
        </w:rPr>
        <w:t>lub wypadkiem oraz inn</w:t>
      </w:r>
      <w:r w:rsidR="00BB7BFB">
        <w:rPr>
          <w:rFonts w:ascii="Tahoma" w:eastAsia="Times New Roman" w:hAnsi="Tahoma" w:cs="Tahoma"/>
          <w:sz w:val="24"/>
          <w:szCs w:val="24"/>
        </w:rPr>
        <w:t>e</w:t>
      </w:r>
      <w:r w:rsidRPr="008F5F8D">
        <w:rPr>
          <w:rFonts w:ascii="Tahoma" w:eastAsia="Times New Roman" w:hAnsi="Tahoma" w:cs="Tahoma"/>
          <w:sz w:val="24"/>
          <w:szCs w:val="24"/>
        </w:rPr>
        <w:t xml:space="preserve"> zdarze</w:t>
      </w:r>
      <w:r w:rsidR="00BB7BFB">
        <w:rPr>
          <w:rFonts w:ascii="Tahoma" w:eastAsia="Times New Roman" w:hAnsi="Tahoma" w:cs="Tahoma"/>
          <w:sz w:val="24"/>
          <w:szCs w:val="24"/>
        </w:rPr>
        <w:t>nia</w:t>
      </w:r>
      <w:r w:rsidRPr="008F5F8D">
        <w:rPr>
          <w:rFonts w:ascii="Tahoma" w:eastAsia="Times New Roman" w:hAnsi="Tahoma" w:cs="Tahoma"/>
          <w:sz w:val="24"/>
          <w:szCs w:val="24"/>
        </w:rPr>
        <w:t>, do których doszło wskutek działania siły wyższej. Siła wyższa jest znana z doktryny prawa cywilnego i oznacza zdarzenie o charakterze przypadkowym lub naturalnym, nie do uniknięcia, na które dany podmiot nie ma wpływu.</w:t>
      </w:r>
    </w:p>
    <w:p w14:paraId="3BA38F3A" w14:textId="51585E7B" w:rsidR="00695715" w:rsidRPr="000639B5" w:rsidRDefault="00563CDB">
      <w:pPr>
        <w:rPr>
          <w:rFonts w:ascii="Tahoma" w:hAnsi="Tahoma" w:cs="Tahoma"/>
          <w:sz w:val="24"/>
          <w:szCs w:val="24"/>
        </w:rPr>
      </w:pPr>
      <w:r w:rsidRPr="000639B5">
        <w:rPr>
          <w:rFonts w:ascii="Tahoma" w:hAnsi="Tahoma" w:cs="Tahoma"/>
        </w:rPr>
        <w:tab/>
      </w:r>
      <w:r w:rsidRPr="000639B5">
        <w:rPr>
          <w:rFonts w:ascii="Tahoma" w:hAnsi="Tahoma" w:cs="Tahoma"/>
          <w:sz w:val="24"/>
          <w:szCs w:val="24"/>
        </w:rPr>
        <w:t xml:space="preserve"> W art. 2 proponuje się, aby ustawa weszła w życie z dniem 1 stycznia 2022 r.</w:t>
      </w:r>
    </w:p>
    <w:p w14:paraId="4757B66C" w14:textId="462D82AE" w:rsidR="008E1324" w:rsidRDefault="008E1324"/>
    <w:p w14:paraId="1F1ACCDD" w14:textId="77777777" w:rsidR="005D26EA" w:rsidRPr="00505EE9" w:rsidRDefault="005D26EA" w:rsidP="005D26EA">
      <w:pPr>
        <w:pBdr>
          <w:top w:val="nil"/>
          <w:left w:val="nil"/>
          <w:bottom w:val="nil"/>
          <w:right w:val="nil"/>
          <w:between w:val="nil"/>
        </w:pBdr>
        <w:spacing w:line="360" w:lineRule="auto"/>
        <w:jc w:val="both"/>
        <w:rPr>
          <w:rFonts w:ascii="Tahoma" w:hAnsi="Tahoma" w:cs="Tahoma"/>
          <w:color w:val="000000"/>
          <w:sz w:val="24"/>
          <w:szCs w:val="24"/>
        </w:rPr>
      </w:pPr>
      <w:r w:rsidRPr="00505EE9">
        <w:rPr>
          <w:rFonts w:ascii="Tahoma" w:hAnsi="Tahoma" w:cs="Tahoma"/>
          <w:b/>
          <w:sz w:val="24"/>
          <w:szCs w:val="24"/>
        </w:rPr>
        <w:t>3</w:t>
      </w:r>
      <w:r w:rsidRPr="00505EE9">
        <w:rPr>
          <w:rFonts w:ascii="Tahoma" w:hAnsi="Tahoma" w:cs="Tahoma"/>
          <w:b/>
          <w:color w:val="000000"/>
          <w:sz w:val="24"/>
          <w:szCs w:val="24"/>
        </w:rPr>
        <w:t>. Przewidywane skutki (skutki społeczne, gospodarcze, finansowe i prawne)</w:t>
      </w:r>
    </w:p>
    <w:p w14:paraId="30BD408A" w14:textId="140DA46D" w:rsidR="005D26EA" w:rsidRDefault="005D26EA" w:rsidP="00EC1C61">
      <w:pPr>
        <w:pBdr>
          <w:top w:val="nil"/>
          <w:left w:val="nil"/>
          <w:bottom w:val="nil"/>
          <w:right w:val="nil"/>
          <w:between w:val="nil"/>
        </w:pBdr>
        <w:spacing w:line="360" w:lineRule="auto"/>
        <w:ind w:firstLine="720"/>
        <w:jc w:val="both"/>
        <w:rPr>
          <w:rFonts w:ascii="Tahoma" w:hAnsi="Tahoma" w:cs="Tahoma"/>
          <w:color w:val="000000"/>
          <w:sz w:val="24"/>
          <w:szCs w:val="24"/>
        </w:rPr>
      </w:pPr>
      <w:r w:rsidRPr="00505EE9">
        <w:rPr>
          <w:rFonts w:ascii="Tahoma" w:hAnsi="Tahoma" w:cs="Tahoma"/>
          <w:color w:val="000000"/>
          <w:sz w:val="24"/>
          <w:szCs w:val="24"/>
        </w:rPr>
        <w:t xml:space="preserve">Projektowana zmiana będzie miała pozytywny wpływ na rynek pracy. </w:t>
      </w:r>
      <w:r w:rsidR="000639B5">
        <w:rPr>
          <w:rFonts w:ascii="Tahoma" w:hAnsi="Tahoma" w:cs="Tahoma"/>
          <w:color w:val="000000"/>
          <w:sz w:val="24"/>
          <w:szCs w:val="24"/>
        </w:rPr>
        <w:t xml:space="preserve">Proponowane przepisy zwiększą </w:t>
      </w:r>
      <w:r w:rsidR="000639B5" w:rsidRPr="000639B5">
        <w:rPr>
          <w:rFonts w:ascii="Tahoma" w:hAnsi="Tahoma" w:cs="Tahoma"/>
          <w:color w:val="000000"/>
          <w:sz w:val="24"/>
          <w:szCs w:val="24"/>
        </w:rPr>
        <w:t xml:space="preserve">możliwości pozostania na rynku pracy </w:t>
      </w:r>
      <w:r w:rsidR="000639B5">
        <w:rPr>
          <w:rFonts w:ascii="Tahoma" w:hAnsi="Tahoma" w:cs="Tahoma"/>
          <w:color w:val="000000"/>
          <w:sz w:val="24"/>
          <w:szCs w:val="24"/>
        </w:rPr>
        <w:t xml:space="preserve">dla </w:t>
      </w:r>
      <w:r w:rsidR="000639B5" w:rsidRPr="000639B5">
        <w:rPr>
          <w:rFonts w:ascii="Tahoma" w:hAnsi="Tahoma" w:cs="Tahoma"/>
          <w:color w:val="000000"/>
          <w:sz w:val="24"/>
          <w:szCs w:val="24"/>
        </w:rPr>
        <w:t>mężczyzn i kobiet pełniący</w:t>
      </w:r>
      <w:r w:rsidR="000639B5">
        <w:rPr>
          <w:rFonts w:ascii="Tahoma" w:hAnsi="Tahoma" w:cs="Tahoma"/>
          <w:color w:val="000000"/>
          <w:sz w:val="24"/>
          <w:szCs w:val="24"/>
        </w:rPr>
        <w:t>ch</w:t>
      </w:r>
      <w:r w:rsidR="000639B5" w:rsidRPr="000639B5">
        <w:rPr>
          <w:rFonts w:ascii="Tahoma" w:hAnsi="Tahoma" w:cs="Tahoma"/>
          <w:color w:val="000000"/>
          <w:sz w:val="24"/>
          <w:szCs w:val="24"/>
        </w:rPr>
        <w:t xml:space="preserve"> obowiązki opiekuńcze</w:t>
      </w:r>
      <w:r w:rsidR="000639B5">
        <w:rPr>
          <w:rFonts w:ascii="Tahoma" w:hAnsi="Tahoma" w:cs="Tahoma"/>
          <w:color w:val="000000"/>
          <w:sz w:val="24"/>
          <w:szCs w:val="24"/>
        </w:rPr>
        <w:t xml:space="preserve">. </w:t>
      </w:r>
      <w:r w:rsidR="00EC1C61">
        <w:rPr>
          <w:rFonts w:ascii="Tahoma" w:hAnsi="Tahoma" w:cs="Tahoma"/>
          <w:color w:val="000000"/>
          <w:sz w:val="24"/>
          <w:szCs w:val="24"/>
        </w:rPr>
        <w:t>Zmiany te pozwolą również na</w:t>
      </w:r>
      <w:r w:rsidR="00C44269">
        <w:rPr>
          <w:rFonts w:ascii="Tahoma" w:hAnsi="Tahoma" w:cs="Tahoma"/>
          <w:color w:val="000000"/>
          <w:sz w:val="24"/>
          <w:szCs w:val="24"/>
        </w:rPr>
        <w:t xml:space="preserve"> łatwiejsze</w:t>
      </w:r>
      <w:r w:rsidR="00EC1C61">
        <w:rPr>
          <w:rFonts w:ascii="Tahoma" w:hAnsi="Tahoma" w:cs="Tahoma"/>
          <w:color w:val="000000"/>
          <w:sz w:val="24"/>
          <w:szCs w:val="24"/>
        </w:rPr>
        <w:t xml:space="preserve"> </w:t>
      </w:r>
      <w:r w:rsidR="00C44269">
        <w:rPr>
          <w:rFonts w:ascii="Tahoma" w:hAnsi="Tahoma" w:cs="Tahoma"/>
          <w:color w:val="000000"/>
          <w:sz w:val="24"/>
          <w:szCs w:val="24"/>
        </w:rPr>
        <w:t>godzenie obowiązków zawodowych i opiekuńczych</w:t>
      </w:r>
      <w:r w:rsidR="00030215">
        <w:rPr>
          <w:rFonts w:ascii="Tahoma" w:hAnsi="Tahoma" w:cs="Tahoma"/>
          <w:color w:val="000000"/>
          <w:sz w:val="24"/>
          <w:szCs w:val="24"/>
        </w:rPr>
        <w:t xml:space="preserve"> oraz opiekę nad dzieckiem w czasie choroby lub wystąpienia siły wyższej innego rodzaju.</w:t>
      </w:r>
    </w:p>
    <w:p w14:paraId="4465776E" w14:textId="77777777" w:rsidR="00EC1C61" w:rsidRPr="00505EE9" w:rsidRDefault="00EC1C61" w:rsidP="00EC1C61">
      <w:pPr>
        <w:pBdr>
          <w:top w:val="nil"/>
          <w:left w:val="nil"/>
          <w:bottom w:val="nil"/>
          <w:right w:val="nil"/>
          <w:between w:val="nil"/>
        </w:pBdr>
        <w:spacing w:line="360" w:lineRule="auto"/>
        <w:ind w:firstLine="720"/>
        <w:jc w:val="both"/>
        <w:rPr>
          <w:rFonts w:ascii="Tahoma" w:hAnsi="Tahoma" w:cs="Tahoma"/>
          <w:color w:val="000000"/>
          <w:sz w:val="24"/>
          <w:szCs w:val="24"/>
        </w:rPr>
      </w:pPr>
    </w:p>
    <w:p w14:paraId="6761B576" w14:textId="77777777" w:rsidR="005D26EA" w:rsidRPr="00505EE9" w:rsidRDefault="005D26EA" w:rsidP="005D26EA">
      <w:pPr>
        <w:pBdr>
          <w:top w:val="nil"/>
          <w:left w:val="nil"/>
          <w:bottom w:val="nil"/>
          <w:right w:val="nil"/>
          <w:between w:val="nil"/>
        </w:pBdr>
        <w:spacing w:line="360" w:lineRule="auto"/>
        <w:jc w:val="both"/>
        <w:rPr>
          <w:rFonts w:ascii="Tahoma" w:hAnsi="Tahoma" w:cs="Tahoma"/>
          <w:color w:val="000000"/>
          <w:sz w:val="24"/>
          <w:szCs w:val="24"/>
        </w:rPr>
      </w:pPr>
      <w:r w:rsidRPr="00505EE9">
        <w:rPr>
          <w:rFonts w:ascii="Tahoma" w:hAnsi="Tahoma" w:cs="Tahoma"/>
          <w:b/>
          <w:sz w:val="24"/>
          <w:szCs w:val="24"/>
        </w:rPr>
        <w:t>4</w:t>
      </w:r>
      <w:r w:rsidRPr="00505EE9">
        <w:rPr>
          <w:rFonts w:ascii="Tahoma" w:hAnsi="Tahoma" w:cs="Tahoma"/>
          <w:b/>
          <w:color w:val="000000"/>
          <w:sz w:val="24"/>
          <w:szCs w:val="24"/>
        </w:rPr>
        <w:t>. Źródła finansowania</w:t>
      </w:r>
    </w:p>
    <w:p w14:paraId="5C143962" w14:textId="5A5C0241" w:rsidR="005D26EA" w:rsidRDefault="00030215" w:rsidP="005D26EA">
      <w:pPr>
        <w:pBdr>
          <w:top w:val="nil"/>
          <w:left w:val="nil"/>
          <w:bottom w:val="nil"/>
          <w:right w:val="nil"/>
          <w:between w:val="nil"/>
        </w:pBdr>
        <w:spacing w:line="360" w:lineRule="auto"/>
        <w:jc w:val="both"/>
        <w:rPr>
          <w:rFonts w:ascii="Tahoma" w:hAnsi="Tahoma" w:cs="Tahoma"/>
          <w:color w:val="000000"/>
          <w:sz w:val="24"/>
          <w:szCs w:val="24"/>
        </w:rPr>
      </w:pPr>
      <w:r>
        <w:rPr>
          <w:rFonts w:ascii="Tahoma" w:hAnsi="Tahoma" w:cs="Tahoma"/>
          <w:color w:val="000000"/>
          <w:sz w:val="24"/>
          <w:szCs w:val="24"/>
        </w:rPr>
        <w:lastRenderedPageBreak/>
        <w:tab/>
        <w:t xml:space="preserve">Dodatkowe koszty związane z wprowadzonymi zmianami szacuje się na ok. 2,5 mld zł i poniesione zostaną z Funduszu Ubezpieczeń Społecznych. </w:t>
      </w:r>
      <w:r w:rsidR="00063749">
        <w:rPr>
          <w:rFonts w:ascii="Tahoma" w:hAnsi="Tahoma" w:cs="Tahoma"/>
          <w:color w:val="000000"/>
          <w:sz w:val="24"/>
          <w:szCs w:val="24"/>
        </w:rPr>
        <w:t xml:space="preserve">Zwiększenie zatrudnienia o 1 pproc., będące skutkiem wejścia w życie ustawy, będzie równoznaczne ze zwiększeniem wpływów ze składki na ubezpieczenie chorobowe o ok. 270 mln zł rocznie. Ostateczny koszt wejścia w życie niniejszej ustawy może być niższy niż 2 mld zł rocznie. </w:t>
      </w:r>
    </w:p>
    <w:p w14:paraId="4859FC65" w14:textId="77777777" w:rsidR="00063749" w:rsidRDefault="00063749" w:rsidP="005D26EA">
      <w:pPr>
        <w:pBdr>
          <w:top w:val="nil"/>
          <w:left w:val="nil"/>
          <w:bottom w:val="nil"/>
          <w:right w:val="nil"/>
          <w:between w:val="nil"/>
        </w:pBdr>
        <w:spacing w:line="360" w:lineRule="auto"/>
        <w:jc w:val="both"/>
        <w:rPr>
          <w:rFonts w:ascii="Tahoma" w:hAnsi="Tahoma" w:cs="Tahoma"/>
          <w:b/>
          <w:sz w:val="24"/>
          <w:szCs w:val="24"/>
        </w:rPr>
      </w:pPr>
    </w:p>
    <w:p w14:paraId="0EEA4962" w14:textId="46D73005" w:rsidR="005D26EA" w:rsidRPr="00505EE9" w:rsidRDefault="005D26EA" w:rsidP="005D26EA">
      <w:pPr>
        <w:pBdr>
          <w:top w:val="nil"/>
          <w:left w:val="nil"/>
          <w:bottom w:val="nil"/>
          <w:right w:val="nil"/>
          <w:between w:val="nil"/>
        </w:pBdr>
        <w:spacing w:line="360" w:lineRule="auto"/>
        <w:jc w:val="both"/>
        <w:rPr>
          <w:rFonts w:ascii="Tahoma" w:hAnsi="Tahoma" w:cs="Tahoma"/>
          <w:color w:val="000000"/>
          <w:sz w:val="24"/>
          <w:szCs w:val="24"/>
        </w:rPr>
      </w:pPr>
      <w:r w:rsidRPr="00505EE9">
        <w:rPr>
          <w:rFonts w:ascii="Tahoma" w:hAnsi="Tahoma" w:cs="Tahoma"/>
          <w:b/>
          <w:sz w:val="24"/>
          <w:szCs w:val="24"/>
        </w:rPr>
        <w:t>5</w:t>
      </w:r>
      <w:r w:rsidRPr="00505EE9">
        <w:rPr>
          <w:rFonts w:ascii="Tahoma" w:hAnsi="Tahoma" w:cs="Tahoma"/>
          <w:b/>
          <w:color w:val="000000"/>
          <w:sz w:val="24"/>
          <w:szCs w:val="24"/>
        </w:rPr>
        <w:t>. Założenia podstawowych aktów wykonawczych</w:t>
      </w:r>
    </w:p>
    <w:p w14:paraId="5BF5B74C" w14:textId="43998E0E" w:rsidR="001C5A30" w:rsidRPr="001C5A30" w:rsidRDefault="005D26EA" w:rsidP="00063749">
      <w:pPr>
        <w:spacing w:after="0" w:line="360" w:lineRule="auto"/>
        <w:ind w:firstLine="709"/>
        <w:jc w:val="both"/>
        <w:rPr>
          <w:rFonts w:ascii="Tahoma" w:hAnsi="Tahoma" w:cs="Tahoma"/>
          <w:sz w:val="24"/>
          <w:szCs w:val="24"/>
        </w:rPr>
      </w:pPr>
      <w:r w:rsidRPr="00505EE9">
        <w:rPr>
          <w:rFonts w:ascii="Tahoma" w:hAnsi="Tahoma" w:cs="Tahoma"/>
          <w:color w:val="000000"/>
          <w:sz w:val="24"/>
          <w:szCs w:val="24"/>
        </w:rPr>
        <w:t>Projekt nie przewiduje upoważnień do wydawania aktów wykonawczych.</w:t>
      </w:r>
      <w:r w:rsidR="001C5A30">
        <w:rPr>
          <w:rFonts w:ascii="Tahoma" w:hAnsi="Tahoma" w:cs="Tahoma"/>
          <w:color w:val="000000"/>
          <w:sz w:val="24"/>
          <w:szCs w:val="24"/>
        </w:rPr>
        <w:t xml:space="preserve"> W zmienianym </w:t>
      </w:r>
      <w:r w:rsidR="001C5A30">
        <w:rPr>
          <w:rFonts w:ascii="Tahoma" w:hAnsi="Tahoma" w:cs="Tahoma"/>
          <w:sz w:val="24"/>
          <w:szCs w:val="24"/>
        </w:rPr>
        <w:t>a</w:t>
      </w:r>
      <w:r w:rsidR="001C5A30" w:rsidRPr="00E61860">
        <w:rPr>
          <w:rFonts w:ascii="Tahoma" w:hAnsi="Tahoma" w:cs="Tahoma"/>
          <w:sz w:val="24"/>
          <w:szCs w:val="24"/>
        </w:rPr>
        <w:t>rt. 298</w:t>
      </w:r>
      <w:r w:rsidR="001C5A30" w:rsidRPr="00E61860">
        <w:rPr>
          <w:rFonts w:ascii="Tahoma" w:hAnsi="Tahoma" w:cs="Tahoma"/>
          <w:sz w:val="24"/>
          <w:szCs w:val="24"/>
          <w:vertAlign w:val="superscript"/>
        </w:rPr>
        <w:t xml:space="preserve">2 </w:t>
      </w:r>
      <w:r w:rsidR="001C5A30">
        <w:rPr>
          <w:rFonts w:ascii="Tahoma" w:hAnsi="Tahoma" w:cs="Tahoma"/>
          <w:sz w:val="24"/>
          <w:szCs w:val="24"/>
        </w:rPr>
        <w:t>Kodeksu pracy</w:t>
      </w:r>
      <w:r w:rsidR="001C5A30" w:rsidRPr="00E61860">
        <w:rPr>
          <w:rFonts w:ascii="Tahoma" w:hAnsi="Tahoma" w:cs="Tahoma"/>
          <w:sz w:val="24"/>
          <w:szCs w:val="24"/>
        </w:rPr>
        <w:t xml:space="preserve"> </w:t>
      </w:r>
      <w:r w:rsidR="001C5A30">
        <w:rPr>
          <w:rFonts w:ascii="Tahoma" w:hAnsi="Tahoma" w:cs="Tahoma"/>
          <w:sz w:val="24"/>
          <w:szCs w:val="24"/>
        </w:rPr>
        <w:t>dodaje się dyspozycje dla m</w:t>
      </w:r>
      <w:r w:rsidR="001C5A30" w:rsidRPr="00E61860">
        <w:rPr>
          <w:rFonts w:ascii="Tahoma" w:eastAsia="Times New Roman" w:hAnsi="Tahoma" w:cs="Tahoma"/>
          <w:bCs/>
          <w:sz w:val="24"/>
          <w:szCs w:val="24"/>
        </w:rPr>
        <w:t>inister właściwy do spraw pracy</w:t>
      </w:r>
      <w:r w:rsidR="001C5A30">
        <w:rPr>
          <w:rFonts w:ascii="Tahoma" w:eastAsia="Times New Roman" w:hAnsi="Tahoma" w:cs="Tahoma"/>
          <w:bCs/>
          <w:sz w:val="24"/>
          <w:szCs w:val="24"/>
        </w:rPr>
        <w:t xml:space="preserve"> w zakresie</w:t>
      </w:r>
      <w:r w:rsidR="001C5A30" w:rsidRPr="00E61860">
        <w:rPr>
          <w:rFonts w:ascii="Tahoma" w:eastAsia="Times New Roman" w:hAnsi="Tahoma" w:cs="Tahoma"/>
          <w:bCs/>
          <w:sz w:val="24"/>
          <w:szCs w:val="24"/>
        </w:rPr>
        <w:t xml:space="preserve"> wyda</w:t>
      </w:r>
      <w:r w:rsidR="001C5A30">
        <w:rPr>
          <w:rFonts w:ascii="Tahoma" w:eastAsia="Times New Roman" w:hAnsi="Tahoma" w:cs="Tahoma"/>
          <w:bCs/>
          <w:sz w:val="24"/>
          <w:szCs w:val="24"/>
        </w:rPr>
        <w:t>nia</w:t>
      </w:r>
      <w:r w:rsidR="001C5A30" w:rsidRPr="00E61860">
        <w:rPr>
          <w:rFonts w:ascii="Tahoma" w:eastAsia="Times New Roman" w:hAnsi="Tahoma" w:cs="Tahoma"/>
          <w:bCs/>
          <w:sz w:val="24"/>
          <w:szCs w:val="24"/>
        </w:rPr>
        <w:t xml:space="preserve"> rozporządzenie</w:t>
      </w:r>
      <w:r w:rsidR="001C5A30">
        <w:rPr>
          <w:rFonts w:ascii="Tahoma" w:eastAsia="Times New Roman" w:hAnsi="Tahoma" w:cs="Tahoma"/>
          <w:bCs/>
          <w:sz w:val="24"/>
          <w:szCs w:val="24"/>
        </w:rPr>
        <w:t xml:space="preserve"> w sprawie</w:t>
      </w:r>
      <w:r w:rsidR="001C5A30" w:rsidRPr="00E61860">
        <w:rPr>
          <w:rFonts w:ascii="Tahoma" w:hAnsi="Tahoma" w:cs="Tahoma"/>
          <w:sz w:val="24"/>
          <w:szCs w:val="24"/>
        </w:rPr>
        <w:t xml:space="preserve"> spos</w:t>
      </w:r>
      <w:r w:rsidR="001C5A30">
        <w:rPr>
          <w:rFonts w:ascii="Tahoma" w:hAnsi="Tahoma" w:cs="Tahoma"/>
          <w:sz w:val="24"/>
          <w:szCs w:val="24"/>
        </w:rPr>
        <w:t>obu</w:t>
      </w:r>
      <w:r w:rsidR="001C5A30" w:rsidRPr="00E61860">
        <w:rPr>
          <w:rFonts w:ascii="Tahoma" w:hAnsi="Tahoma" w:cs="Tahoma"/>
          <w:sz w:val="24"/>
          <w:szCs w:val="24"/>
        </w:rPr>
        <w:t xml:space="preserve"> usprawiedliwiania nieobecności w pracy oraz zakres</w:t>
      </w:r>
      <w:r w:rsidR="001C5A30">
        <w:rPr>
          <w:rFonts w:ascii="Tahoma" w:hAnsi="Tahoma" w:cs="Tahoma"/>
          <w:sz w:val="24"/>
          <w:szCs w:val="24"/>
        </w:rPr>
        <w:t>u</w:t>
      </w:r>
      <w:r w:rsidR="001C5A30" w:rsidRPr="00E61860">
        <w:rPr>
          <w:rFonts w:ascii="Tahoma" w:hAnsi="Tahoma" w:cs="Tahoma"/>
          <w:sz w:val="24"/>
          <w:szCs w:val="24"/>
        </w:rPr>
        <w:t xml:space="preserve"> przysługujących pracownikom zwolnień od pracy, a także przypadk</w:t>
      </w:r>
      <w:r w:rsidR="001C5A30">
        <w:rPr>
          <w:rFonts w:ascii="Tahoma" w:hAnsi="Tahoma" w:cs="Tahoma"/>
          <w:sz w:val="24"/>
          <w:szCs w:val="24"/>
        </w:rPr>
        <w:t>ów</w:t>
      </w:r>
      <w:r w:rsidR="001C5A30" w:rsidRPr="00E61860">
        <w:rPr>
          <w:rFonts w:ascii="Tahoma" w:hAnsi="Tahoma" w:cs="Tahoma"/>
          <w:sz w:val="24"/>
          <w:szCs w:val="24"/>
        </w:rPr>
        <w:t>, w których za czas nieobecności lub zwolnienia pracownik zachowuje prawo do wynagrodzenia</w:t>
      </w:r>
      <w:r w:rsidR="001C5A30">
        <w:rPr>
          <w:rFonts w:ascii="Tahoma" w:hAnsi="Tahoma" w:cs="Tahoma"/>
          <w:sz w:val="24"/>
          <w:szCs w:val="24"/>
        </w:rPr>
        <w:t xml:space="preserve">. Dotychczas ustawodawca nie przewidywał takiej dyspozycji, co było niezgodne nie tylko w przepisami Dyrektywy 2019/1158, ale również zasadami legislacji.  Zgodnie z ust. 2 cytowanego przepisu Minister </w:t>
      </w:r>
      <w:r w:rsidR="001C5A30" w:rsidRPr="00E61860">
        <w:rPr>
          <w:rFonts w:ascii="Tahoma" w:eastAsia="Times New Roman" w:hAnsi="Tahoma" w:cs="Tahoma"/>
          <w:bCs/>
          <w:sz w:val="24"/>
          <w:szCs w:val="24"/>
        </w:rPr>
        <w:t>będzie miał na względzie przypadki p</w:t>
      </w:r>
      <w:r w:rsidR="001C5A30" w:rsidRPr="00E61860">
        <w:rPr>
          <w:rFonts w:ascii="Tahoma" w:eastAsia="Times New Roman" w:hAnsi="Tahoma" w:cs="Tahoma"/>
          <w:sz w:val="24"/>
          <w:szCs w:val="24"/>
        </w:rPr>
        <w:t>ilnych spraw rodzinnych spowodowanych chorobą lub wypadkiem oraz innych zdarzeń, do których doszło wskutek działania siły wyższej</w:t>
      </w:r>
      <w:r w:rsidR="001C5A30">
        <w:rPr>
          <w:rFonts w:ascii="Tahoma" w:eastAsia="Times New Roman" w:hAnsi="Tahoma" w:cs="Tahoma"/>
          <w:sz w:val="24"/>
          <w:szCs w:val="24"/>
        </w:rPr>
        <w:t>.</w:t>
      </w:r>
    </w:p>
    <w:p w14:paraId="4D0DF3D7" w14:textId="7C85C46F" w:rsidR="005D26EA" w:rsidRPr="00505EE9" w:rsidRDefault="005D26EA" w:rsidP="005D26EA">
      <w:pPr>
        <w:pBdr>
          <w:top w:val="nil"/>
          <w:left w:val="nil"/>
          <w:bottom w:val="nil"/>
          <w:right w:val="nil"/>
          <w:between w:val="nil"/>
        </w:pBdr>
        <w:spacing w:line="360" w:lineRule="auto"/>
        <w:ind w:firstLine="720"/>
        <w:jc w:val="both"/>
        <w:rPr>
          <w:rFonts w:ascii="Tahoma" w:hAnsi="Tahoma" w:cs="Tahoma"/>
          <w:color w:val="000000"/>
          <w:sz w:val="24"/>
          <w:szCs w:val="24"/>
        </w:rPr>
      </w:pPr>
    </w:p>
    <w:p w14:paraId="46317969" w14:textId="77777777" w:rsidR="005D26EA" w:rsidRPr="00505EE9" w:rsidRDefault="005D26EA" w:rsidP="005D26EA">
      <w:pPr>
        <w:pBdr>
          <w:top w:val="nil"/>
          <w:left w:val="nil"/>
          <w:bottom w:val="nil"/>
          <w:right w:val="nil"/>
          <w:between w:val="nil"/>
        </w:pBdr>
        <w:spacing w:line="360" w:lineRule="auto"/>
        <w:jc w:val="both"/>
        <w:rPr>
          <w:rFonts w:ascii="Tahoma" w:hAnsi="Tahoma" w:cs="Tahoma"/>
          <w:color w:val="000000"/>
          <w:sz w:val="24"/>
          <w:szCs w:val="24"/>
        </w:rPr>
      </w:pPr>
      <w:r w:rsidRPr="00505EE9">
        <w:rPr>
          <w:rFonts w:ascii="Tahoma" w:hAnsi="Tahoma" w:cs="Tahoma"/>
          <w:b/>
          <w:sz w:val="24"/>
          <w:szCs w:val="24"/>
        </w:rPr>
        <w:t>6</w:t>
      </w:r>
      <w:r w:rsidRPr="00505EE9">
        <w:rPr>
          <w:rFonts w:ascii="Tahoma" w:hAnsi="Tahoma" w:cs="Tahoma"/>
          <w:b/>
          <w:color w:val="000000"/>
          <w:sz w:val="24"/>
          <w:szCs w:val="24"/>
        </w:rPr>
        <w:t>. Oświadczenie o zgodności projektu ustawy z prawem Unii Europejskiej albo oświadczenie, że przedmiot projektowanej regulacji nie jest objęty prawem Unii Europejskiej</w:t>
      </w:r>
    </w:p>
    <w:p w14:paraId="730B93D3" w14:textId="3F347A98" w:rsidR="005D26EA" w:rsidRDefault="005D26EA" w:rsidP="005D26EA">
      <w:pPr>
        <w:pBdr>
          <w:top w:val="nil"/>
          <w:left w:val="nil"/>
          <w:bottom w:val="nil"/>
          <w:right w:val="nil"/>
          <w:between w:val="nil"/>
        </w:pBdr>
        <w:spacing w:line="360" w:lineRule="auto"/>
        <w:ind w:firstLine="720"/>
        <w:jc w:val="both"/>
        <w:rPr>
          <w:rFonts w:ascii="Tahoma" w:eastAsia="Times New Roman" w:hAnsi="Tahoma" w:cs="Tahoma"/>
          <w:bCs/>
          <w:sz w:val="24"/>
          <w:szCs w:val="24"/>
        </w:rPr>
      </w:pPr>
      <w:r w:rsidRPr="00505EE9">
        <w:rPr>
          <w:rFonts w:ascii="Tahoma" w:hAnsi="Tahoma" w:cs="Tahoma"/>
          <w:color w:val="000000"/>
          <w:sz w:val="24"/>
          <w:szCs w:val="24"/>
        </w:rPr>
        <w:t>Projektowana regulacja jest zgodna z prawem Unii Europejskiej</w:t>
      </w:r>
      <w:r w:rsidR="00063749">
        <w:rPr>
          <w:rFonts w:ascii="Tahoma" w:hAnsi="Tahoma" w:cs="Tahoma"/>
          <w:color w:val="000000"/>
          <w:sz w:val="24"/>
          <w:szCs w:val="24"/>
        </w:rPr>
        <w:t xml:space="preserve"> i stanowi </w:t>
      </w:r>
      <w:r w:rsidR="00063749" w:rsidRPr="005B2B59">
        <w:rPr>
          <w:rFonts w:ascii="Tahoma" w:eastAsia="Times New Roman" w:hAnsi="Tahoma" w:cs="Tahoma"/>
          <w:bCs/>
          <w:sz w:val="24"/>
          <w:szCs w:val="24"/>
        </w:rPr>
        <w:t>transpozycj</w:t>
      </w:r>
      <w:r w:rsidR="00063749">
        <w:rPr>
          <w:rFonts w:ascii="Tahoma" w:eastAsia="Times New Roman" w:hAnsi="Tahoma" w:cs="Tahoma"/>
          <w:bCs/>
          <w:sz w:val="24"/>
          <w:szCs w:val="24"/>
        </w:rPr>
        <w:t xml:space="preserve">ę </w:t>
      </w:r>
      <w:r w:rsidR="00063749" w:rsidRPr="005B2B59">
        <w:rPr>
          <w:rFonts w:ascii="Tahoma" w:eastAsia="Times New Roman" w:hAnsi="Tahoma" w:cs="Tahoma"/>
          <w:bCs/>
          <w:sz w:val="24"/>
          <w:szCs w:val="24"/>
        </w:rPr>
        <w:t>dyrektywy Parlamentu Europejskiego i Rady (UE) 2019/1158 z dnia 20 czerwca 2019 r. w sprawie równowagi między życiem zawodowym a prywatnym rodziców i opiekunów oraz uchylająca dyrektywę Rady 2010/18/UE</w:t>
      </w:r>
      <w:r w:rsidR="00063749">
        <w:rPr>
          <w:rFonts w:ascii="Tahoma" w:eastAsia="Times New Roman" w:hAnsi="Tahoma" w:cs="Tahoma"/>
          <w:bCs/>
          <w:sz w:val="24"/>
          <w:szCs w:val="24"/>
        </w:rPr>
        <w:t>.</w:t>
      </w:r>
    </w:p>
    <w:p w14:paraId="1F83E08B" w14:textId="214A0319" w:rsidR="00063749" w:rsidRDefault="00063749" w:rsidP="00063749">
      <w:pPr>
        <w:pBdr>
          <w:top w:val="nil"/>
          <w:left w:val="nil"/>
          <w:bottom w:val="nil"/>
          <w:right w:val="nil"/>
          <w:between w:val="nil"/>
        </w:pBdr>
        <w:spacing w:line="360" w:lineRule="auto"/>
        <w:jc w:val="both"/>
        <w:rPr>
          <w:rFonts w:ascii="Tahoma" w:eastAsia="Times New Roman" w:hAnsi="Tahoma" w:cs="Tahoma"/>
          <w:bCs/>
          <w:sz w:val="24"/>
          <w:szCs w:val="24"/>
        </w:rPr>
      </w:pPr>
    </w:p>
    <w:p w14:paraId="2F659E50" w14:textId="01D76DA1" w:rsidR="00063749" w:rsidRDefault="00063749" w:rsidP="00063749">
      <w:pPr>
        <w:pBdr>
          <w:top w:val="nil"/>
          <w:left w:val="nil"/>
          <w:bottom w:val="nil"/>
          <w:right w:val="nil"/>
          <w:between w:val="nil"/>
        </w:pBdr>
        <w:spacing w:line="360" w:lineRule="auto"/>
        <w:jc w:val="both"/>
        <w:rPr>
          <w:rFonts w:ascii="Tahoma" w:eastAsia="Times New Roman" w:hAnsi="Tahoma" w:cs="Tahoma"/>
          <w:b/>
          <w:sz w:val="24"/>
          <w:szCs w:val="24"/>
        </w:rPr>
      </w:pPr>
      <w:r w:rsidRPr="00063749">
        <w:rPr>
          <w:rFonts w:ascii="Tahoma" w:eastAsia="Times New Roman" w:hAnsi="Tahoma" w:cs="Tahoma"/>
          <w:b/>
          <w:sz w:val="24"/>
          <w:szCs w:val="24"/>
        </w:rPr>
        <w:t>7. Oświadczenie o zgodności z Konstytucją RP</w:t>
      </w:r>
    </w:p>
    <w:p w14:paraId="40955CEE" w14:textId="61AD6E51" w:rsidR="00063749" w:rsidRPr="00063749" w:rsidRDefault="00063749" w:rsidP="00063749">
      <w:pPr>
        <w:pBdr>
          <w:top w:val="nil"/>
          <w:left w:val="nil"/>
          <w:bottom w:val="nil"/>
          <w:right w:val="nil"/>
          <w:between w:val="nil"/>
        </w:pBdr>
        <w:spacing w:line="360" w:lineRule="auto"/>
        <w:jc w:val="both"/>
        <w:rPr>
          <w:rFonts w:ascii="Tahoma" w:hAnsi="Tahoma" w:cs="Tahoma"/>
          <w:bCs/>
          <w:color w:val="000000"/>
          <w:sz w:val="24"/>
          <w:szCs w:val="24"/>
        </w:rPr>
      </w:pPr>
      <w:r w:rsidRPr="00063749">
        <w:rPr>
          <w:rFonts w:ascii="Tahoma" w:eastAsia="Times New Roman" w:hAnsi="Tahoma" w:cs="Tahoma"/>
          <w:bCs/>
          <w:sz w:val="24"/>
          <w:szCs w:val="24"/>
        </w:rPr>
        <w:lastRenderedPageBreak/>
        <w:tab/>
        <w:t>W ocenie projektodawców przedstawiany projekt ustawy jest zgodny z Konstytucją RP.</w:t>
      </w:r>
    </w:p>
    <w:p w14:paraId="1E32E7F6" w14:textId="77777777" w:rsidR="005D26EA" w:rsidRPr="00505EE9" w:rsidRDefault="005D26EA" w:rsidP="005D26EA">
      <w:pPr>
        <w:pBdr>
          <w:top w:val="nil"/>
          <w:left w:val="nil"/>
          <w:bottom w:val="nil"/>
          <w:right w:val="nil"/>
          <w:between w:val="nil"/>
        </w:pBdr>
        <w:spacing w:line="360" w:lineRule="auto"/>
        <w:ind w:firstLine="720"/>
        <w:jc w:val="both"/>
        <w:rPr>
          <w:rFonts w:ascii="Tahoma" w:hAnsi="Tahoma" w:cs="Tahoma"/>
          <w:sz w:val="24"/>
          <w:szCs w:val="24"/>
        </w:rPr>
      </w:pPr>
    </w:p>
    <w:p w14:paraId="21F987D5" w14:textId="764DAB08" w:rsidR="005D26EA" w:rsidRPr="00505EE9" w:rsidRDefault="00063749" w:rsidP="005D26EA">
      <w:pPr>
        <w:pBdr>
          <w:top w:val="nil"/>
          <w:left w:val="nil"/>
          <w:bottom w:val="nil"/>
          <w:right w:val="nil"/>
          <w:between w:val="nil"/>
        </w:pBdr>
        <w:spacing w:line="360" w:lineRule="auto"/>
        <w:jc w:val="both"/>
        <w:rPr>
          <w:rFonts w:ascii="Tahoma" w:hAnsi="Tahoma" w:cs="Tahoma"/>
          <w:b/>
          <w:sz w:val="24"/>
          <w:szCs w:val="24"/>
        </w:rPr>
      </w:pPr>
      <w:r>
        <w:rPr>
          <w:rFonts w:ascii="Tahoma" w:hAnsi="Tahoma" w:cs="Tahoma"/>
          <w:b/>
          <w:sz w:val="24"/>
          <w:szCs w:val="24"/>
        </w:rPr>
        <w:t>8</w:t>
      </w:r>
      <w:r w:rsidR="005D26EA" w:rsidRPr="00505EE9">
        <w:rPr>
          <w:rFonts w:ascii="Tahoma" w:hAnsi="Tahoma" w:cs="Tahoma"/>
          <w:b/>
          <w:sz w:val="24"/>
          <w:szCs w:val="24"/>
        </w:rPr>
        <w:t>. Konsultacje społeczne</w:t>
      </w:r>
    </w:p>
    <w:p w14:paraId="7CDCCA72" w14:textId="158E8723" w:rsidR="005D26EA" w:rsidRPr="00505EE9" w:rsidRDefault="00063749" w:rsidP="005D26EA">
      <w:pPr>
        <w:pBdr>
          <w:top w:val="nil"/>
          <w:left w:val="nil"/>
          <w:bottom w:val="nil"/>
          <w:right w:val="nil"/>
          <w:between w:val="nil"/>
        </w:pBdr>
        <w:spacing w:line="360" w:lineRule="auto"/>
        <w:ind w:firstLine="720"/>
        <w:jc w:val="both"/>
        <w:rPr>
          <w:rFonts w:ascii="Tahoma" w:hAnsi="Tahoma" w:cs="Tahoma"/>
          <w:sz w:val="24"/>
          <w:szCs w:val="24"/>
        </w:rPr>
      </w:pPr>
      <w:r>
        <w:rPr>
          <w:rFonts w:ascii="Tahoma" w:hAnsi="Tahoma" w:cs="Tahoma"/>
          <w:sz w:val="24"/>
          <w:szCs w:val="24"/>
        </w:rPr>
        <w:t>N</w:t>
      </w:r>
      <w:r w:rsidR="005D26EA" w:rsidRPr="00505EE9">
        <w:rPr>
          <w:rFonts w:ascii="Tahoma" w:hAnsi="Tahoma" w:cs="Tahoma"/>
          <w:sz w:val="24"/>
          <w:szCs w:val="24"/>
        </w:rPr>
        <w:t>ie przeprowadzono formalnych konsultacji społecznych</w:t>
      </w:r>
      <w:r>
        <w:rPr>
          <w:rFonts w:ascii="Tahoma" w:hAnsi="Tahoma" w:cs="Tahoma"/>
          <w:sz w:val="24"/>
          <w:szCs w:val="24"/>
        </w:rPr>
        <w:t xml:space="preserve"> projektu.</w:t>
      </w:r>
    </w:p>
    <w:p w14:paraId="01BD93EB" w14:textId="77777777" w:rsidR="008E1324" w:rsidRDefault="008E1324">
      <w:pPr>
        <w:sectPr w:rsidR="008E1324">
          <w:footerReference w:type="default" r:id="rId8"/>
          <w:pgSz w:w="11906" w:h="16838"/>
          <w:pgMar w:top="1417" w:right="1417" w:bottom="1417" w:left="1417" w:header="708" w:footer="708" w:gutter="0"/>
          <w:cols w:space="708"/>
          <w:docGrid w:linePitch="360"/>
        </w:sectPr>
      </w:pPr>
      <w:bookmarkStart w:id="0" w:name="_GoBack"/>
      <w:bookmarkEnd w:id="0"/>
    </w:p>
    <w:p w14:paraId="1A3B7EA0" w14:textId="11DF6CF4" w:rsidR="008E1324" w:rsidRDefault="008E1324" w:rsidP="00290CEA">
      <w:pPr>
        <w:spacing w:line="0" w:lineRule="atLeast"/>
        <w:ind w:right="280"/>
        <w:jc w:val="center"/>
        <w:rPr>
          <w:rFonts w:ascii="Times New Roman" w:eastAsia="Times New Roman" w:hAnsi="Times New Roman"/>
          <w:b/>
          <w:sz w:val="18"/>
          <w:u w:val="single"/>
        </w:rPr>
      </w:pPr>
    </w:p>
    <w:sectPr w:rsidR="008E1324" w:rsidSect="008E132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33A5A" w14:textId="77777777" w:rsidR="0015293C" w:rsidRDefault="0015293C" w:rsidP="00E61860">
      <w:pPr>
        <w:spacing w:after="0" w:line="240" w:lineRule="auto"/>
      </w:pPr>
      <w:r>
        <w:separator/>
      </w:r>
    </w:p>
  </w:endnote>
  <w:endnote w:type="continuationSeparator" w:id="0">
    <w:p w14:paraId="3CE763B7" w14:textId="77777777" w:rsidR="0015293C" w:rsidRDefault="0015293C" w:rsidP="00E61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515330"/>
      <w:docPartObj>
        <w:docPartGallery w:val="Page Numbers (Bottom of Page)"/>
        <w:docPartUnique/>
      </w:docPartObj>
    </w:sdtPr>
    <w:sdtEndPr/>
    <w:sdtContent>
      <w:p w14:paraId="471296C0" w14:textId="53F0A657" w:rsidR="00192FCA" w:rsidRDefault="00192FCA">
        <w:pPr>
          <w:pStyle w:val="Stopka"/>
          <w:jc w:val="right"/>
        </w:pPr>
        <w:r>
          <w:fldChar w:fldCharType="begin"/>
        </w:r>
        <w:r>
          <w:instrText>PAGE   \* MERGEFORMAT</w:instrText>
        </w:r>
        <w:r>
          <w:fldChar w:fldCharType="separate"/>
        </w:r>
        <w:r w:rsidR="00290CEA">
          <w:rPr>
            <w:noProof/>
          </w:rPr>
          <w:t>8</w:t>
        </w:r>
        <w:r>
          <w:fldChar w:fldCharType="end"/>
        </w:r>
      </w:p>
    </w:sdtContent>
  </w:sdt>
  <w:p w14:paraId="5A044529" w14:textId="77777777" w:rsidR="00192FCA" w:rsidRDefault="00192FC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76D48" w14:textId="77777777" w:rsidR="0015293C" w:rsidRDefault="0015293C" w:rsidP="00E61860">
      <w:pPr>
        <w:spacing w:after="0" w:line="240" w:lineRule="auto"/>
      </w:pPr>
      <w:r>
        <w:separator/>
      </w:r>
    </w:p>
  </w:footnote>
  <w:footnote w:type="continuationSeparator" w:id="0">
    <w:p w14:paraId="6DA9ADDB" w14:textId="77777777" w:rsidR="0015293C" w:rsidRDefault="0015293C" w:rsidP="00E618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90E9C"/>
    <w:multiLevelType w:val="hybridMultilevel"/>
    <w:tmpl w:val="CA1897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AD361B"/>
    <w:multiLevelType w:val="multilevel"/>
    <w:tmpl w:val="E4FA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A5692"/>
    <w:multiLevelType w:val="multilevel"/>
    <w:tmpl w:val="C7D8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015358"/>
    <w:multiLevelType w:val="multilevel"/>
    <w:tmpl w:val="2052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36D19"/>
    <w:multiLevelType w:val="multilevel"/>
    <w:tmpl w:val="5BFE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61CAC"/>
    <w:multiLevelType w:val="multilevel"/>
    <w:tmpl w:val="54C4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D40C88"/>
    <w:multiLevelType w:val="multilevel"/>
    <w:tmpl w:val="EF0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7E729D"/>
    <w:multiLevelType w:val="multilevel"/>
    <w:tmpl w:val="9C40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973F5"/>
    <w:multiLevelType w:val="hybridMultilevel"/>
    <w:tmpl w:val="60BEE0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BD574B6"/>
    <w:multiLevelType w:val="multilevel"/>
    <w:tmpl w:val="7784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CC6A03"/>
    <w:multiLevelType w:val="hybridMultilevel"/>
    <w:tmpl w:val="1D12A2B0"/>
    <w:lvl w:ilvl="0" w:tplc="02EC7EA6">
      <w:start w:val="1"/>
      <w:numFmt w:val="decimal"/>
      <w:lvlText w:val="%1."/>
      <w:lvlJc w:val="left"/>
      <w:pPr>
        <w:ind w:left="366" w:hanging="360"/>
      </w:pPr>
      <w:rPr>
        <w:rFonts w:hint="default"/>
      </w:rPr>
    </w:lvl>
    <w:lvl w:ilvl="1" w:tplc="04150019" w:tentative="1">
      <w:start w:val="1"/>
      <w:numFmt w:val="lowerLetter"/>
      <w:lvlText w:val="%2."/>
      <w:lvlJc w:val="left"/>
      <w:pPr>
        <w:ind w:left="1086" w:hanging="360"/>
      </w:pPr>
    </w:lvl>
    <w:lvl w:ilvl="2" w:tplc="0415001B" w:tentative="1">
      <w:start w:val="1"/>
      <w:numFmt w:val="lowerRoman"/>
      <w:lvlText w:val="%3."/>
      <w:lvlJc w:val="right"/>
      <w:pPr>
        <w:ind w:left="1806" w:hanging="180"/>
      </w:pPr>
    </w:lvl>
    <w:lvl w:ilvl="3" w:tplc="0415000F" w:tentative="1">
      <w:start w:val="1"/>
      <w:numFmt w:val="decimal"/>
      <w:lvlText w:val="%4."/>
      <w:lvlJc w:val="left"/>
      <w:pPr>
        <w:ind w:left="2526" w:hanging="360"/>
      </w:pPr>
    </w:lvl>
    <w:lvl w:ilvl="4" w:tplc="04150019" w:tentative="1">
      <w:start w:val="1"/>
      <w:numFmt w:val="lowerLetter"/>
      <w:lvlText w:val="%5."/>
      <w:lvlJc w:val="left"/>
      <w:pPr>
        <w:ind w:left="3246" w:hanging="360"/>
      </w:pPr>
    </w:lvl>
    <w:lvl w:ilvl="5" w:tplc="0415001B" w:tentative="1">
      <w:start w:val="1"/>
      <w:numFmt w:val="lowerRoman"/>
      <w:lvlText w:val="%6."/>
      <w:lvlJc w:val="right"/>
      <w:pPr>
        <w:ind w:left="3966" w:hanging="180"/>
      </w:pPr>
    </w:lvl>
    <w:lvl w:ilvl="6" w:tplc="0415000F" w:tentative="1">
      <w:start w:val="1"/>
      <w:numFmt w:val="decimal"/>
      <w:lvlText w:val="%7."/>
      <w:lvlJc w:val="left"/>
      <w:pPr>
        <w:ind w:left="4686" w:hanging="360"/>
      </w:pPr>
    </w:lvl>
    <w:lvl w:ilvl="7" w:tplc="04150019" w:tentative="1">
      <w:start w:val="1"/>
      <w:numFmt w:val="lowerLetter"/>
      <w:lvlText w:val="%8."/>
      <w:lvlJc w:val="left"/>
      <w:pPr>
        <w:ind w:left="5406" w:hanging="360"/>
      </w:pPr>
    </w:lvl>
    <w:lvl w:ilvl="8" w:tplc="0415001B" w:tentative="1">
      <w:start w:val="1"/>
      <w:numFmt w:val="lowerRoman"/>
      <w:lvlText w:val="%9."/>
      <w:lvlJc w:val="right"/>
      <w:pPr>
        <w:ind w:left="6126" w:hanging="180"/>
      </w:pPr>
    </w:lvl>
  </w:abstractNum>
  <w:num w:numId="1">
    <w:abstractNumId w:val="8"/>
  </w:num>
  <w:num w:numId="2">
    <w:abstractNumId w:val="0"/>
  </w:num>
  <w:num w:numId="3">
    <w:abstractNumId w:val="10"/>
  </w:num>
  <w:num w:numId="4">
    <w:abstractNumId w:val="5"/>
  </w:num>
  <w:num w:numId="5">
    <w:abstractNumId w:val="3"/>
  </w:num>
  <w:num w:numId="6">
    <w:abstractNumId w:val="7"/>
  </w:num>
  <w:num w:numId="7">
    <w:abstractNumId w:val="6"/>
  </w:num>
  <w:num w:numId="8">
    <w:abstractNumId w:val="9"/>
  </w:num>
  <w:num w:numId="9">
    <w:abstractNumId w:val="4"/>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324"/>
    <w:rsid w:val="00030215"/>
    <w:rsid w:val="00063749"/>
    <w:rsid w:val="000639B5"/>
    <w:rsid w:val="00071E1F"/>
    <w:rsid w:val="000A1366"/>
    <w:rsid w:val="00132B56"/>
    <w:rsid w:val="0015293C"/>
    <w:rsid w:val="00192FCA"/>
    <w:rsid w:val="00195C9F"/>
    <w:rsid w:val="001B1B64"/>
    <w:rsid w:val="001C5A30"/>
    <w:rsid w:val="001D606A"/>
    <w:rsid w:val="001E3F76"/>
    <w:rsid w:val="002348F6"/>
    <w:rsid w:val="00290CEA"/>
    <w:rsid w:val="002D7307"/>
    <w:rsid w:val="002F2A53"/>
    <w:rsid w:val="0036790C"/>
    <w:rsid w:val="00401260"/>
    <w:rsid w:val="00471BA5"/>
    <w:rsid w:val="004E72AF"/>
    <w:rsid w:val="00563CDB"/>
    <w:rsid w:val="0058064D"/>
    <w:rsid w:val="005B2B59"/>
    <w:rsid w:val="005D26EA"/>
    <w:rsid w:val="0066435D"/>
    <w:rsid w:val="00687492"/>
    <w:rsid w:val="00695715"/>
    <w:rsid w:val="006C3A1C"/>
    <w:rsid w:val="006F629C"/>
    <w:rsid w:val="00702C85"/>
    <w:rsid w:val="00712167"/>
    <w:rsid w:val="007E51B2"/>
    <w:rsid w:val="007F5264"/>
    <w:rsid w:val="00800044"/>
    <w:rsid w:val="008B767A"/>
    <w:rsid w:val="008E1324"/>
    <w:rsid w:val="008F5F8D"/>
    <w:rsid w:val="009776BE"/>
    <w:rsid w:val="009B358B"/>
    <w:rsid w:val="009D1D00"/>
    <w:rsid w:val="009E0292"/>
    <w:rsid w:val="00A714F3"/>
    <w:rsid w:val="00AB2E55"/>
    <w:rsid w:val="00BB7BFB"/>
    <w:rsid w:val="00C2455F"/>
    <w:rsid w:val="00C44269"/>
    <w:rsid w:val="00C55D26"/>
    <w:rsid w:val="00C81678"/>
    <w:rsid w:val="00CA649E"/>
    <w:rsid w:val="00CE0278"/>
    <w:rsid w:val="00D7516A"/>
    <w:rsid w:val="00E61860"/>
    <w:rsid w:val="00EB0316"/>
    <w:rsid w:val="00EC1C61"/>
    <w:rsid w:val="00EE3FB9"/>
    <w:rsid w:val="00F10B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4D61D"/>
  <w15:chartTrackingRefBased/>
  <w15:docId w15:val="{775585C2-5A80-4C77-8E4D-2B64F684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7516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E1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E1324"/>
    <w:pPr>
      <w:ind w:left="720"/>
      <w:contextualSpacing/>
    </w:pPr>
  </w:style>
  <w:style w:type="character" w:customStyle="1" w:styleId="alb">
    <w:name w:val="a_lb"/>
    <w:basedOn w:val="Domylnaczcionkaakapitu"/>
    <w:rsid w:val="001B1B64"/>
  </w:style>
  <w:style w:type="character" w:customStyle="1" w:styleId="alb-s">
    <w:name w:val="a_lb-s"/>
    <w:basedOn w:val="Domylnaczcionkaakapitu"/>
    <w:rsid w:val="001B1B64"/>
  </w:style>
  <w:style w:type="paragraph" w:customStyle="1" w:styleId="Normalny1">
    <w:name w:val="Normalny1"/>
    <w:basedOn w:val="Normalny"/>
    <w:rsid w:val="00AB2E5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E6186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61860"/>
    <w:rPr>
      <w:sz w:val="20"/>
      <w:szCs w:val="20"/>
    </w:rPr>
  </w:style>
  <w:style w:type="character" w:styleId="Odwoanieprzypisudolnego">
    <w:name w:val="footnote reference"/>
    <w:basedOn w:val="Domylnaczcionkaakapitu"/>
    <w:uiPriority w:val="99"/>
    <w:semiHidden/>
    <w:unhideWhenUsed/>
    <w:rsid w:val="00E61860"/>
    <w:rPr>
      <w:vertAlign w:val="superscript"/>
    </w:rPr>
  </w:style>
  <w:style w:type="paragraph" w:customStyle="1" w:styleId="ti-chapter">
    <w:name w:val="ti-chapter"/>
    <w:basedOn w:val="Normalny"/>
    <w:rsid w:val="00A714F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714F3"/>
    <w:rPr>
      <w:color w:val="0000FF"/>
      <w:u w:val="single"/>
    </w:rPr>
  </w:style>
  <w:style w:type="character" w:customStyle="1" w:styleId="bold">
    <w:name w:val="bold"/>
    <w:basedOn w:val="Domylnaczcionkaakapitu"/>
    <w:rsid w:val="00A714F3"/>
  </w:style>
  <w:style w:type="paragraph" w:customStyle="1" w:styleId="Normalny2">
    <w:name w:val="Normalny2"/>
    <w:basedOn w:val="Normalny"/>
    <w:rsid w:val="00A714F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3">
    <w:name w:val="Normalny3"/>
    <w:basedOn w:val="Normalny"/>
    <w:rsid w:val="00192FC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uper">
    <w:name w:val="super"/>
    <w:basedOn w:val="Domylnaczcionkaakapitu"/>
    <w:rsid w:val="00192FCA"/>
  </w:style>
  <w:style w:type="paragraph" w:customStyle="1" w:styleId="ti-art">
    <w:name w:val="ti-art"/>
    <w:basedOn w:val="Normalny"/>
    <w:rsid w:val="00192FC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ti-art">
    <w:name w:val="sti-art"/>
    <w:basedOn w:val="Normalny"/>
    <w:rsid w:val="00192FC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192F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2FCA"/>
  </w:style>
  <w:style w:type="paragraph" w:styleId="Stopka">
    <w:name w:val="footer"/>
    <w:basedOn w:val="Normalny"/>
    <w:link w:val="StopkaZnak"/>
    <w:uiPriority w:val="99"/>
    <w:unhideWhenUsed/>
    <w:rsid w:val="00192F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2FCA"/>
  </w:style>
  <w:style w:type="paragraph" w:styleId="Tekstdymka">
    <w:name w:val="Balloon Text"/>
    <w:basedOn w:val="Normalny"/>
    <w:link w:val="TekstdymkaZnak"/>
    <w:uiPriority w:val="99"/>
    <w:semiHidden/>
    <w:unhideWhenUsed/>
    <w:rsid w:val="009776B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776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1177">
      <w:bodyDiv w:val="1"/>
      <w:marLeft w:val="0"/>
      <w:marRight w:val="0"/>
      <w:marTop w:val="0"/>
      <w:marBottom w:val="0"/>
      <w:divBdr>
        <w:top w:val="none" w:sz="0" w:space="0" w:color="auto"/>
        <w:left w:val="none" w:sz="0" w:space="0" w:color="auto"/>
        <w:bottom w:val="none" w:sz="0" w:space="0" w:color="auto"/>
        <w:right w:val="none" w:sz="0" w:space="0" w:color="auto"/>
      </w:divBdr>
      <w:divsChild>
        <w:div w:id="1027222397">
          <w:marLeft w:val="0"/>
          <w:marRight w:val="0"/>
          <w:marTop w:val="0"/>
          <w:marBottom w:val="0"/>
          <w:divBdr>
            <w:top w:val="none" w:sz="0" w:space="0" w:color="auto"/>
            <w:left w:val="none" w:sz="0" w:space="0" w:color="auto"/>
            <w:bottom w:val="none" w:sz="0" w:space="0" w:color="auto"/>
            <w:right w:val="none" w:sz="0" w:space="0" w:color="auto"/>
          </w:divBdr>
        </w:div>
      </w:divsChild>
    </w:div>
    <w:div w:id="207225998">
      <w:bodyDiv w:val="1"/>
      <w:marLeft w:val="0"/>
      <w:marRight w:val="0"/>
      <w:marTop w:val="0"/>
      <w:marBottom w:val="0"/>
      <w:divBdr>
        <w:top w:val="none" w:sz="0" w:space="0" w:color="auto"/>
        <w:left w:val="none" w:sz="0" w:space="0" w:color="auto"/>
        <w:bottom w:val="none" w:sz="0" w:space="0" w:color="auto"/>
        <w:right w:val="none" w:sz="0" w:space="0" w:color="auto"/>
      </w:divBdr>
      <w:divsChild>
        <w:div w:id="126945412">
          <w:marLeft w:val="0"/>
          <w:marRight w:val="0"/>
          <w:marTop w:val="0"/>
          <w:marBottom w:val="0"/>
          <w:divBdr>
            <w:top w:val="none" w:sz="0" w:space="0" w:color="auto"/>
            <w:left w:val="none" w:sz="0" w:space="0" w:color="auto"/>
            <w:bottom w:val="none" w:sz="0" w:space="0" w:color="auto"/>
            <w:right w:val="none" w:sz="0" w:space="0" w:color="auto"/>
          </w:divBdr>
        </w:div>
        <w:div w:id="771629874">
          <w:marLeft w:val="0"/>
          <w:marRight w:val="0"/>
          <w:marTop w:val="0"/>
          <w:marBottom w:val="0"/>
          <w:divBdr>
            <w:top w:val="none" w:sz="0" w:space="0" w:color="auto"/>
            <w:left w:val="none" w:sz="0" w:space="0" w:color="auto"/>
            <w:bottom w:val="none" w:sz="0" w:space="0" w:color="auto"/>
            <w:right w:val="none" w:sz="0" w:space="0" w:color="auto"/>
          </w:divBdr>
        </w:div>
        <w:div w:id="1468743421">
          <w:marLeft w:val="0"/>
          <w:marRight w:val="0"/>
          <w:marTop w:val="0"/>
          <w:marBottom w:val="0"/>
          <w:divBdr>
            <w:top w:val="none" w:sz="0" w:space="0" w:color="auto"/>
            <w:left w:val="none" w:sz="0" w:space="0" w:color="auto"/>
            <w:bottom w:val="none" w:sz="0" w:space="0" w:color="auto"/>
            <w:right w:val="none" w:sz="0" w:space="0" w:color="auto"/>
          </w:divBdr>
        </w:div>
      </w:divsChild>
    </w:div>
    <w:div w:id="693271600">
      <w:bodyDiv w:val="1"/>
      <w:marLeft w:val="0"/>
      <w:marRight w:val="0"/>
      <w:marTop w:val="0"/>
      <w:marBottom w:val="0"/>
      <w:divBdr>
        <w:top w:val="none" w:sz="0" w:space="0" w:color="auto"/>
        <w:left w:val="none" w:sz="0" w:space="0" w:color="auto"/>
        <w:bottom w:val="none" w:sz="0" w:space="0" w:color="auto"/>
        <w:right w:val="none" w:sz="0" w:space="0" w:color="auto"/>
      </w:divBdr>
      <w:divsChild>
        <w:div w:id="1543054840">
          <w:marLeft w:val="0"/>
          <w:marRight w:val="0"/>
          <w:marTop w:val="0"/>
          <w:marBottom w:val="0"/>
          <w:divBdr>
            <w:top w:val="none" w:sz="0" w:space="0" w:color="auto"/>
            <w:left w:val="none" w:sz="0" w:space="0" w:color="auto"/>
            <w:bottom w:val="none" w:sz="0" w:space="0" w:color="auto"/>
            <w:right w:val="none" w:sz="0" w:space="0" w:color="auto"/>
          </w:divBdr>
        </w:div>
        <w:div w:id="463079399">
          <w:marLeft w:val="0"/>
          <w:marRight w:val="0"/>
          <w:marTop w:val="0"/>
          <w:marBottom w:val="0"/>
          <w:divBdr>
            <w:top w:val="none" w:sz="0" w:space="0" w:color="auto"/>
            <w:left w:val="none" w:sz="0" w:space="0" w:color="auto"/>
            <w:bottom w:val="none" w:sz="0" w:space="0" w:color="auto"/>
            <w:right w:val="none" w:sz="0" w:space="0" w:color="auto"/>
          </w:divBdr>
        </w:div>
      </w:divsChild>
    </w:div>
    <w:div w:id="697463856">
      <w:bodyDiv w:val="1"/>
      <w:marLeft w:val="0"/>
      <w:marRight w:val="0"/>
      <w:marTop w:val="0"/>
      <w:marBottom w:val="0"/>
      <w:divBdr>
        <w:top w:val="none" w:sz="0" w:space="0" w:color="auto"/>
        <w:left w:val="none" w:sz="0" w:space="0" w:color="auto"/>
        <w:bottom w:val="none" w:sz="0" w:space="0" w:color="auto"/>
        <w:right w:val="none" w:sz="0" w:space="0" w:color="auto"/>
      </w:divBdr>
      <w:divsChild>
        <w:div w:id="689720472">
          <w:marLeft w:val="0"/>
          <w:marRight w:val="0"/>
          <w:marTop w:val="0"/>
          <w:marBottom w:val="0"/>
          <w:divBdr>
            <w:top w:val="none" w:sz="0" w:space="0" w:color="auto"/>
            <w:left w:val="none" w:sz="0" w:space="0" w:color="auto"/>
            <w:bottom w:val="none" w:sz="0" w:space="0" w:color="auto"/>
            <w:right w:val="none" w:sz="0" w:space="0" w:color="auto"/>
          </w:divBdr>
        </w:div>
        <w:div w:id="180970728">
          <w:marLeft w:val="0"/>
          <w:marRight w:val="0"/>
          <w:marTop w:val="0"/>
          <w:marBottom w:val="0"/>
          <w:divBdr>
            <w:top w:val="none" w:sz="0" w:space="0" w:color="auto"/>
            <w:left w:val="none" w:sz="0" w:space="0" w:color="auto"/>
            <w:bottom w:val="none" w:sz="0" w:space="0" w:color="auto"/>
            <w:right w:val="none" w:sz="0" w:space="0" w:color="auto"/>
          </w:divBdr>
        </w:div>
        <w:div w:id="1264193175">
          <w:marLeft w:val="0"/>
          <w:marRight w:val="0"/>
          <w:marTop w:val="0"/>
          <w:marBottom w:val="0"/>
          <w:divBdr>
            <w:top w:val="none" w:sz="0" w:space="0" w:color="auto"/>
            <w:left w:val="none" w:sz="0" w:space="0" w:color="auto"/>
            <w:bottom w:val="none" w:sz="0" w:space="0" w:color="auto"/>
            <w:right w:val="none" w:sz="0" w:space="0" w:color="auto"/>
          </w:divBdr>
        </w:div>
        <w:div w:id="862671475">
          <w:marLeft w:val="0"/>
          <w:marRight w:val="0"/>
          <w:marTop w:val="0"/>
          <w:marBottom w:val="0"/>
          <w:divBdr>
            <w:top w:val="none" w:sz="0" w:space="0" w:color="auto"/>
            <w:left w:val="none" w:sz="0" w:space="0" w:color="auto"/>
            <w:bottom w:val="none" w:sz="0" w:space="0" w:color="auto"/>
            <w:right w:val="none" w:sz="0" w:space="0" w:color="auto"/>
          </w:divBdr>
        </w:div>
      </w:divsChild>
    </w:div>
    <w:div w:id="1201480426">
      <w:bodyDiv w:val="1"/>
      <w:marLeft w:val="0"/>
      <w:marRight w:val="0"/>
      <w:marTop w:val="0"/>
      <w:marBottom w:val="0"/>
      <w:divBdr>
        <w:top w:val="none" w:sz="0" w:space="0" w:color="auto"/>
        <w:left w:val="none" w:sz="0" w:space="0" w:color="auto"/>
        <w:bottom w:val="none" w:sz="0" w:space="0" w:color="auto"/>
        <w:right w:val="none" w:sz="0" w:space="0" w:color="auto"/>
      </w:divBdr>
    </w:div>
    <w:div w:id="1253246068">
      <w:bodyDiv w:val="1"/>
      <w:marLeft w:val="0"/>
      <w:marRight w:val="0"/>
      <w:marTop w:val="0"/>
      <w:marBottom w:val="0"/>
      <w:divBdr>
        <w:top w:val="none" w:sz="0" w:space="0" w:color="auto"/>
        <w:left w:val="none" w:sz="0" w:space="0" w:color="auto"/>
        <w:bottom w:val="none" w:sz="0" w:space="0" w:color="auto"/>
        <w:right w:val="none" w:sz="0" w:space="0" w:color="auto"/>
      </w:divBdr>
      <w:divsChild>
        <w:div w:id="1510412464">
          <w:marLeft w:val="0"/>
          <w:marRight w:val="0"/>
          <w:marTop w:val="0"/>
          <w:marBottom w:val="0"/>
          <w:divBdr>
            <w:top w:val="none" w:sz="0" w:space="0" w:color="auto"/>
            <w:left w:val="none" w:sz="0" w:space="0" w:color="auto"/>
            <w:bottom w:val="none" w:sz="0" w:space="0" w:color="auto"/>
            <w:right w:val="none" w:sz="0" w:space="0" w:color="auto"/>
          </w:divBdr>
        </w:div>
        <w:div w:id="852692818">
          <w:marLeft w:val="0"/>
          <w:marRight w:val="0"/>
          <w:marTop w:val="0"/>
          <w:marBottom w:val="0"/>
          <w:divBdr>
            <w:top w:val="none" w:sz="0" w:space="0" w:color="auto"/>
            <w:left w:val="none" w:sz="0" w:space="0" w:color="auto"/>
            <w:bottom w:val="none" w:sz="0" w:space="0" w:color="auto"/>
            <w:right w:val="none" w:sz="0" w:space="0" w:color="auto"/>
          </w:divBdr>
        </w:div>
      </w:divsChild>
    </w:div>
    <w:div w:id="1633902655">
      <w:bodyDiv w:val="1"/>
      <w:marLeft w:val="0"/>
      <w:marRight w:val="0"/>
      <w:marTop w:val="0"/>
      <w:marBottom w:val="0"/>
      <w:divBdr>
        <w:top w:val="none" w:sz="0" w:space="0" w:color="auto"/>
        <w:left w:val="none" w:sz="0" w:space="0" w:color="auto"/>
        <w:bottom w:val="none" w:sz="0" w:space="0" w:color="auto"/>
        <w:right w:val="none" w:sz="0" w:space="0" w:color="auto"/>
      </w:divBdr>
      <w:divsChild>
        <w:div w:id="489247910">
          <w:marLeft w:val="0"/>
          <w:marRight w:val="0"/>
          <w:marTop w:val="0"/>
          <w:marBottom w:val="0"/>
          <w:divBdr>
            <w:top w:val="none" w:sz="0" w:space="0" w:color="auto"/>
            <w:left w:val="none" w:sz="0" w:space="0" w:color="auto"/>
            <w:bottom w:val="none" w:sz="0" w:space="0" w:color="auto"/>
            <w:right w:val="none" w:sz="0" w:space="0" w:color="auto"/>
          </w:divBdr>
          <w:divsChild>
            <w:div w:id="2009670564">
              <w:marLeft w:val="0"/>
              <w:marRight w:val="0"/>
              <w:marTop w:val="0"/>
              <w:marBottom w:val="0"/>
              <w:divBdr>
                <w:top w:val="none" w:sz="0" w:space="0" w:color="auto"/>
                <w:left w:val="none" w:sz="0" w:space="0" w:color="auto"/>
                <w:bottom w:val="none" w:sz="0" w:space="0" w:color="auto"/>
                <w:right w:val="none" w:sz="0" w:space="0" w:color="auto"/>
              </w:divBdr>
            </w:div>
            <w:div w:id="1294560912">
              <w:marLeft w:val="0"/>
              <w:marRight w:val="0"/>
              <w:marTop w:val="0"/>
              <w:marBottom w:val="0"/>
              <w:divBdr>
                <w:top w:val="none" w:sz="0" w:space="0" w:color="auto"/>
                <w:left w:val="none" w:sz="0" w:space="0" w:color="auto"/>
                <w:bottom w:val="none" w:sz="0" w:space="0" w:color="auto"/>
                <w:right w:val="none" w:sz="0" w:space="0" w:color="auto"/>
              </w:divBdr>
            </w:div>
            <w:div w:id="842552683">
              <w:marLeft w:val="0"/>
              <w:marRight w:val="0"/>
              <w:marTop w:val="0"/>
              <w:marBottom w:val="0"/>
              <w:divBdr>
                <w:top w:val="none" w:sz="0" w:space="0" w:color="auto"/>
                <w:left w:val="none" w:sz="0" w:space="0" w:color="auto"/>
                <w:bottom w:val="none" w:sz="0" w:space="0" w:color="auto"/>
                <w:right w:val="none" w:sz="0" w:space="0" w:color="auto"/>
              </w:divBdr>
            </w:div>
          </w:divsChild>
        </w:div>
        <w:div w:id="414133969">
          <w:marLeft w:val="0"/>
          <w:marRight w:val="0"/>
          <w:marTop w:val="0"/>
          <w:marBottom w:val="0"/>
          <w:divBdr>
            <w:top w:val="none" w:sz="0" w:space="0" w:color="auto"/>
            <w:left w:val="none" w:sz="0" w:space="0" w:color="auto"/>
            <w:bottom w:val="none" w:sz="0" w:space="0" w:color="auto"/>
            <w:right w:val="none" w:sz="0" w:space="0" w:color="auto"/>
          </w:divBdr>
        </w:div>
        <w:div w:id="1582107936">
          <w:marLeft w:val="0"/>
          <w:marRight w:val="0"/>
          <w:marTop w:val="0"/>
          <w:marBottom w:val="0"/>
          <w:divBdr>
            <w:top w:val="none" w:sz="0" w:space="0" w:color="auto"/>
            <w:left w:val="none" w:sz="0" w:space="0" w:color="auto"/>
            <w:bottom w:val="none" w:sz="0" w:space="0" w:color="auto"/>
            <w:right w:val="none" w:sz="0" w:space="0" w:color="auto"/>
          </w:divBdr>
          <w:divsChild>
            <w:div w:id="487670551">
              <w:marLeft w:val="0"/>
              <w:marRight w:val="0"/>
              <w:marTop w:val="0"/>
              <w:marBottom w:val="0"/>
              <w:divBdr>
                <w:top w:val="none" w:sz="0" w:space="0" w:color="auto"/>
                <w:left w:val="none" w:sz="0" w:space="0" w:color="auto"/>
                <w:bottom w:val="none" w:sz="0" w:space="0" w:color="auto"/>
                <w:right w:val="none" w:sz="0" w:space="0" w:color="auto"/>
              </w:divBdr>
            </w:div>
            <w:div w:id="1729574940">
              <w:marLeft w:val="0"/>
              <w:marRight w:val="0"/>
              <w:marTop w:val="0"/>
              <w:marBottom w:val="0"/>
              <w:divBdr>
                <w:top w:val="none" w:sz="0" w:space="0" w:color="auto"/>
                <w:left w:val="none" w:sz="0" w:space="0" w:color="auto"/>
                <w:bottom w:val="none" w:sz="0" w:space="0" w:color="auto"/>
                <w:right w:val="none" w:sz="0" w:space="0" w:color="auto"/>
              </w:divBdr>
            </w:div>
            <w:div w:id="375469423">
              <w:marLeft w:val="0"/>
              <w:marRight w:val="0"/>
              <w:marTop w:val="0"/>
              <w:marBottom w:val="0"/>
              <w:divBdr>
                <w:top w:val="none" w:sz="0" w:space="0" w:color="auto"/>
                <w:left w:val="none" w:sz="0" w:space="0" w:color="auto"/>
                <w:bottom w:val="none" w:sz="0" w:space="0" w:color="auto"/>
                <w:right w:val="none" w:sz="0" w:space="0" w:color="auto"/>
              </w:divBdr>
            </w:div>
            <w:div w:id="2061436120">
              <w:marLeft w:val="0"/>
              <w:marRight w:val="0"/>
              <w:marTop w:val="0"/>
              <w:marBottom w:val="0"/>
              <w:divBdr>
                <w:top w:val="none" w:sz="0" w:space="0" w:color="auto"/>
                <w:left w:val="none" w:sz="0" w:space="0" w:color="auto"/>
                <w:bottom w:val="none" w:sz="0" w:space="0" w:color="auto"/>
                <w:right w:val="none" w:sz="0" w:space="0" w:color="auto"/>
              </w:divBdr>
            </w:div>
            <w:div w:id="1799372186">
              <w:marLeft w:val="0"/>
              <w:marRight w:val="0"/>
              <w:marTop w:val="0"/>
              <w:marBottom w:val="0"/>
              <w:divBdr>
                <w:top w:val="none" w:sz="0" w:space="0" w:color="auto"/>
                <w:left w:val="none" w:sz="0" w:space="0" w:color="auto"/>
                <w:bottom w:val="none" w:sz="0" w:space="0" w:color="auto"/>
                <w:right w:val="none" w:sz="0" w:space="0" w:color="auto"/>
              </w:divBdr>
            </w:div>
            <w:div w:id="1587613356">
              <w:marLeft w:val="0"/>
              <w:marRight w:val="0"/>
              <w:marTop w:val="0"/>
              <w:marBottom w:val="0"/>
              <w:divBdr>
                <w:top w:val="none" w:sz="0" w:space="0" w:color="auto"/>
                <w:left w:val="none" w:sz="0" w:space="0" w:color="auto"/>
                <w:bottom w:val="none" w:sz="0" w:space="0" w:color="auto"/>
                <w:right w:val="none" w:sz="0" w:space="0" w:color="auto"/>
              </w:divBdr>
            </w:div>
          </w:divsChild>
        </w:div>
        <w:div w:id="414742882">
          <w:marLeft w:val="0"/>
          <w:marRight w:val="0"/>
          <w:marTop w:val="0"/>
          <w:marBottom w:val="0"/>
          <w:divBdr>
            <w:top w:val="none" w:sz="0" w:space="0" w:color="auto"/>
            <w:left w:val="none" w:sz="0" w:space="0" w:color="auto"/>
            <w:bottom w:val="none" w:sz="0" w:space="0" w:color="auto"/>
            <w:right w:val="none" w:sz="0" w:space="0" w:color="auto"/>
          </w:divBdr>
        </w:div>
        <w:div w:id="1540045679">
          <w:marLeft w:val="0"/>
          <w:marRight w:val="0"/>
          <w:marTop w:val="0"/>
          <w:marBottom w:val="0"/>
          <w:divBdr>
            <w:top w:val="none" w:sz="0" w:space="0" w:color="auto"/>
            <w:left w:val="none" w:sz="0" w:space="0" w:color="auto"/>
            <w:bottom w:val="none" w:sz="0" w:space="0" w:color="auto"/>
            <w:right w:val="none" w:sz="0" w:space="0" w:color="auto"/>
          </w:divBdr>
        </w:div>
        <w:div w:id="486822937">
          <w:marLeft w:val="0"/>
          <w:marRight w:val="0"/>
          <w:marTop w:val="0"/>
          <w:marBottom w:val="0"/>
          <w:divBdr>
            <w:top w:val="none" w:sz="0" w:space="0" w:color="auto"/>
            <w:left w:val="none" w:sz="0" w:space="0" w:color="auto"/>
            <w:bottom w:val="none" w:sz="0" w:space="0" w:color="auto"/>
            <w:right w:val="none" w:sz="0" w:space="0" w:color="auto"/>
          </w:divBdr>
        </w:div>
      </w:divsChild>
    </w:div>
    <w:div w:id="1804158314">
      <w:bodyDiv w:val="1"/>
      <w:marLeft w:val="0"/>
      <w:marRight w:val="0"/>
      <w:marTop w:val="0"/>
      <w:marBottom w:val="0"/>
      <w:divBdr>
        <w:top w:val="none" w:sz="0" w:space="0" w:color="auto"/>
        <w:left w:val="none" w:sz="0" w:space="0" w:color="auto"/>
        <w:bottom w:val="none" w:sz="0" w:space="0" w:color="auto"/>
        <w:right w:val="none" w:sz="0" w:space="0" w:color="auto"/>
      </w:divBdr>
      <w:divsChild>
        <w:div w:id="1555660121">
          <w:marLeft w:val="0"/>
          <w:marRight w:val="0"/>
          <w:marTop w:val="0"/>
          <w:marBottom w:val="0"/>
          <w:divBdr>
            <w:top w:val="none" w:sz="0" w:space="0" w:color="auto"/>
            <w:left w:val="none" w:sz="0" w:space="0" w:color="auto"/>
            <w:bottom w:val="none" w:sz="0" w:space="0" w:color="auto"/>
            <w:right w:val="none" w:sz="0" w:space="0" w:color="auto"/>
          </w:divBdr>
        </w:div>
        <w:div w:id="1539049883">
          <w:marLeft w:val="0"/>
          <w:marRight w:val="0"/>
          <w:marTop w:val="0"/>
          <w:marBottom w:val="0"/>
          <w:divBdr>
            <w:top w:val="none" w:sz="0" w:space="0" w:color="auto"/>
            <w:left w:val="none" w:sz="0" w:space="0" w:color="auto"/>
            <w:bottom w:val="none" w:sz="0" w:space="0" w:color="auto"/>
            <w:right w:val="none" w:sz="0" w:space="0" w:color="auto"/>
          </w:divBdr>
        </w:div>
        <w:div w:id="353846532">
          <w:marLeft w:val="0"/>
          <w:marRight w:val="0"/>
          <w:marTop w:val="0"/>
          <w:marBottom w:val="0"/>
          <w:divBdr>
            <w:top w:val="none" w:sz="0" w:space="0" w:color="auto"/>
            <w:left w:val="none" w:sz="0" w:space="0" w:color="auto"/>
            <w:bottom w:val="none" w:sz="0" w:space="0" w:color="auto"/>
            <w:right w:val="none" w:sz="0" w:space="0" w:color="auto"/>
          </w:divBdr>
        </w:div>
        <w:div w:id="1062021095">
          <w:marLeft w:val="0"/>
          <w:marRight w:val="0"/>
          <w:marTop w:val="0"/>
          <w:marBottom w:val="0"/>
          <w:divBdr>
            <w:top w:val="none" w:sz="0" w:space="0" w:color="auto"/>
            <w:left w:val="none" w:sz="0" w:space="0" w:color="auto"/>
            <w:bottom w:val="none" w:sz="0" w:space="0" w:color="auto"/>
            <w:right w:val="none" w:sz="0" w:space="0" w:color="auto"/>
          </w:divBdr>
        </w:div>
        <w:div w:id="1473907179">
          <w:marLeft w:val="0"/>
          <w:marRight w:val="0"/>
          <w:marTop w:val="0"/>
          <w:marBottom w:val="0"/>
          <w:divBdr>
            <w:top w:val="none" w:sz="0" w:space="0" w:color="auto"/>
            <w:left w:val="none" w:sz="0" w:space="0" w:color="auto"/>
            <w:bottom w:val="none" w:sz="0" w:space="0" w:color="auto"/>
            <w:right w:val="none" w:sz="0" w:space="0" w:color="auto"/>
          </w:divBdr>
        </w:div>
        <w:div w:id="2022660138">
          <w:marLeft w:val="0"/>
          <w:marRight w:val="0"/>
          <w:marTop w:val="0"/>
          <w:marBottom w:val="0"/>
          <w:divBdr>
            <w:top w:val="none" w:sz="0" w:space="0" w:color="auto"/>
            <w:left w:val="none" w:sz="0" w:space="0" w:color="auto"/>
            <w:bottom w:val="none" w:sz="0" w:space="0" w:color="auto"/>
            <w:right w:val="none" w:sz="0" w:space="0" w:color="auto"/>
          </w:divBdr>
        </w:div>
      </w:divsChild>
    </w:div>
    <w:div w:id="201079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E35EA-0D64-4D30-9664-792A01F20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2492</TotalTime>
  <Pages>8</Pages>
  <Words>1752</Words>
  <Characters>10518</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Standerski</dc:creator>
  <cp:keywords/>
  <dc:description/>
  <cp:lastModifiedBy>Grzegorz Molesztak</cp:lastModifiedBy>
  <cp:revision>18</cp:revision>
  <cp:lastPrinted>2021-05-31T07:17:00Z</cp:lastPrinted>
  <dcterms:created xsi:type="dcterms:W3CDTF">2021-05-12T05:44:00Z</dcterms:created>
  <dcterms:modified xsi:type="dcterms:W3CDTF">2021-06-23T09:07:00Z</dcterms:modified>
</cp:coreProperties>
</file>