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1EAF" w:rsidRPr="00FA71D9" w:rsidRDefault="001C1EAF" w:rsidP="00FA71D9">
      <w:pPr>
        <w:pStyle w:val="Bezodstpw"/>
        <w:spacing w:line="360" w:lineRule="auto"/>
        <w:jc w:val="center"/>
        <w:rPr>
          <w:rFonts w:ascii="Tahoma" w:hAnsi="Tahoma" w:cs="Tahoma"/>
          <w:b/>
          <w:sz w:val="24"/>
          <w:szCs w:val="24"/>
        </w:rPr>
      </w:pPr>
      <w:bookmarkStart w:id="0" w:name="_GoBack"/>
      <w:bookmarkEnd w:id="0"/>
      <w:r w:rsidRPr="00FA71D9">
        <w:rPr>
          <w:rFonts w:ascii="Tahoma" w:hAnsi="Tahoma" w:cs="Tahoma"/>
          <w:b/>
          <w:sz w:val="24"/>
          <w:szCs w:val="24"/>
        </w:rPr>
        <w:t>Uzasadnienie</w:t>
      </w:r>
    </w:p>
    <w:p w:rsidR="001C1EAF" w:rsidRPr="00FA71D9" w:rsidRDefault="001C1EAF" w:rsidP="00FA71D9">
      <w:pPr>
        <w:pStyle w:val="Bezodstpw"/>
        <w:spacing w:line="360" w:lineRule="auto"/>
        <w:jc w:val="both"/>
        <w:rPr>
          <w:rFonts w:ascii="Tahoma" w:hAnsi="Tahoma" w:cs="Tahoma"/>
          <w:sz w:val="24"/>
          <w:szCs w:val="24"/>
        </w:rPr>
      </w:pPr>
    </w:p>
    <w:p w:rsidR="001C1EAF" w:rsidRDefault="001C1EAF" w:rsidP="00FA71D9">
      <w:pPr>
        <w:pStyle w:val="Bezodstpw"/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FA71D9">
        <w:rPr>
          <w:rFonts w:ascii="Tahoma" w:hAnsi="Tahoma" w:cs="Tahoma"/>
          <w:sz w:val="24"/>
          <w:szCs w:val="24"/>
        </w:rPr>
        <w:t>Projekt ustawy włącza do stabilizującej r</w:t>
      </w:r>
      <w:r w:rsidR="00FA71D9">
        <w:rPr>
          <w:rFonts w:ascii="Tahoma" w:hAnsi="Tahoma" w:cs="Tahoma"/>
          <w:sz w:val="24"/>
          <w:szCs w:val="24"/>
        </w:rPr>
        <w:t>eguły wydatkowej (określonej w art. 112aa u</w:t>
      </w:r>
      <w:r w:rsidRPr="00FA71D9">
        <w:rPr>
          <w:rFonts w:ascii="Tahoma" w:hAnsi="Tahoma" w:cs="Tahoma"/>
          <w:sz w:val="24"/>
          <w:szCs w:val="24"/>
        </w:rPr>
        <w:t>stawy o finansach publicznych) wydatki dokonywane z Solidarnościowego Funduszu Wsparcia Osób Niepełnosprawnych z tytułów</w:t>
      </w:r>
      <w:r w:rsidR="00FA71D9">
        <w:rPr>
          <w:rFonts w:ascii="Tahoma" w:hAnsi="Tahoma" w:cs="Tahoma"/>
          <w:sz w:val="24"/>
          <w:szCs w:val="24"/>
        </w:rPr>
        <w:t>, innych niż określone w a</w:t>
      </w:r>
      <w:r w:rsidRPr="00FA71D9">
        <w:rPr>
          <w:rFonts w:ascii="Tahoma" w:hAnsi="Tahoma" w:cs="Tahoma"/>
          <w:sz w:val="24"/>
          <w:szCs w:val="24"/>
        </w:rPr>
        <w:t>rt. 6, 6a i 6b</w:t>
      </w:r>
      <w:r w:rsidR="00FA71D9">
        <w:rPr>
          <w:rFonts w:ascii="Tahoma" w:hAnsi="Tahoma" w:cs="Tahoma"/>
          <w:sz w:val="24"/>
          <w:szCs w:val="24"/>
        </w:rPr>
        <w:t xml:space="preserve"> u</w:t>
      </w:r>
      <w:r w:rsidR="00D733D6" w:rsidRPr="00FA71D9">
        <w:rPr>
          <w:rFonts w:ascii="Tahoma" w:hAnsi="Tahoma" w:cs="Tahoma"/>
          <w:sz w:val="24"/>
          <w:szCs w:val="24"/>
        </w:rPr>
        <w:t>stawy z dnia 23 października 2018 r. o Solidarnościowym Funduszu Wsparcia Osób Niepełnosprawnych</w:t>
      </w:r>
      <w:r w:rsidRPr="00FA71D9">
        <w:rPr>
          <w:rFonts w:ascii="Tahoma" w:hAnsi="Tahoma" w:cs="Tahoma"/>
          <w:sz w:val="24"/>
          <w:szCs w:val="24"/>
        </w:rPr>
        <w:t xml:space="preserve">. </w:t>
      </w:r>
      <w:r w:rsidR="00E864EF" w:rsidRPr="00FA71D9">
        <w:rPr>
          <w:rFonts w:ascii="Tahoma" w:hAnsi="Tahoma" w:cs="Tahoma"/>
          <w:sz w:val="24"/>
          <w:szCs w:val="24"/>
        </w:rPr>
        <w:t>Kwota w</w:t>
      </w:r>
      <w:r w:rsidR="00F41D24" w:rsidRPr="00FA71D9">
        <w:rPr>
          <w:rFonts w:ascii="Tahoma" w:hAnsi="Tahoma" w:cs="Tahoma"/>
          <w:sz w:val="24"/>
          <w:szCs w:val="24"/>
        </w:rPr>
        <w:t>ydatk</w:t>
      </w:r>
      <w:r w:rsidR="00E864EF" w:rsidRPr="00FA71D9">
        <w:rPr>
          <w:rFonts w:ascii="Tahoma" w:hAnsi="Tahoma" w:cs="Tahoma"/>
          <w:sz w:val="24"/>
          <w:szCs w:val="24"/>
        </w:rPr>
        <w:t>ów</w:t>
      </w:r>
      <w:r w:rsidR="00F41D24" w:rsidRPr="00FA71D9">
        <w:rPr>
          <w:rFonts w:ascii="Tahoma" w:hAnsi="Tahoma" w:cs="Tahoma"/>
          <w:sz w:val="24"/>
          <w:szCs w:val="24"/>
        </w:rPr>
        <w:t xml:space="preserve"> </w:t>
      </w:r>
      <w:r w:rsidR="002B3A87" w:rsidRPr="00FA71D9">
        <w:rPr>
          <w:rFonts w:ascii="Tahoma" w:hAnsi="Tahoma" w:cs="Tahoma"/>
          <w:sz w:val="24"/>
          <w:szCs w:val="24"/>
        </w:rPr>
        <w:t>na inne cel</w:t>
      </w:r>
      <w:r w:rsidR="00E864EF" w:rsidRPr="00FA71D9">
        <w:rPr>
          <w:rFonts w:ascii="Tahoma" w:hAnsi="Tahoma" w:cs="Tahoma"/>
          <w:sz w:val="24"/>
          <w:szCs w:val="24"/>
        </w:rPr>
        <w:t>e</w:t>
      </w:r>
      <w:r w:rsidR="00FA71D9">
        <w:rPr>
          <w:rFonts w:ascii="Tahoma" w:hAnsi="Tahoma" w:cs="Tahoma"/>
          <w:sz w:val="24"/>
          <w:szCs w:val="24"/>
        </w:rPr>
        <w:t xml:space="preserve"> niż określone w a</w:t>
      </w:r>
      <w:r w:rsidR="002B3A87" w:rsidRPr="00FA71D9">
        <w:rPr>
          <w:rFonts w:ascii="Tahoma" w:hAnsi="Tahoma" w:cs="Tahoma"/>
          <w:sz w:val="24"/>
          <w:szCs w:val="24"/>
        </w:rPr>
        <w:t>rt. 6, 6a, 6b</w:t>
      </w:r>
      <w:r w:rsidR="0074149D" w:rsidRPr="00FA71D9">
        <w:rPr>
          <w:rFonts w:ascii="Tahoma" w:hAnsi="Tahoma" w:cs="Tahoma"/>
          <w:sz w:val="24"/>
          <w:szCs w:val="24"/>
        </w:rPr>
        <w:t xml:space="preserve"> (</w:t>
      </w:r>
      <w:r w:rsidR="002B3A87" w:rsidRPr="00FA71D9">
        <w:rPr>
          <w:rFonts w:ascii="Tahoma" w:hAnsi="Tahoma" w:cs="Tahoma"/>
          <w:sz w:val="24"/>
          <w:szCs w:val="24"/>
        </w:rPr>
        <w:t xml:space="preserve">jak na przykład wypłata </w:t>
      </w:r>
      <w:r w:rsidR="00CB32C5" w:rsidRPr="00FA71D9">
        <w:rPr>
          <w:rFonts w:ascii="Tahoma" w:hAnsi="Tahoma" w:cs="Tahoma"/>
          <w:sz w:val="24"/>
          <w:szCs w:val="24"/>
        </w:rPr>
        <w:t>dodatkowych emerytur</w:t>
      </w:r>
      <w:r w:rsidR="0074149D" w:rsidRPr="00FA71D9">
        <w:rPr>
          <w:rFonts w:ascii="Tahoma" w:hAnsi="Tahoma" w:cs="Tahoma"/>
          <w:sz w:val="24"/>
          <w:szCs w:val="24"/>
        </w:rPr>
        <w:t>)</w:t>
      </w:r>
      <w:r w:rsidR="00E864EF" w:rsidRPr="00FA71D9">
        <w:rPr>
          <w:rFonts w:ascii="Tahoma" w:hAnsi="Tahoma" w:cs="Tahoma"/>
          <w:sz w:val="24"/>
          <w:szCs w:val="24"/>
        </w:rPr>
        <w:t xml:space="preserve"> </w:t>
      </w:r>
      <w:r w:rsidR="0074149D" w:rsidRPr="00FA71D9">
        <w:rPr>
          <w:rFonts w:ascii="Tahoma" w:hAnsi="Tahoma" w:cs="Tahoma"/>
          <w:sz w:val="24"/>
          <w:szCs w:val="24"/>
        </w:rPr>
        <w:t xml:space="preserve">dokonana w danym roku, </w:t>
      </w:r>
      <w:r w:rsidR="00E864EF" w:rsidRPr="00FA71D9">
        <w:rPr>
          <w:rFonts w:ascii="Tahoma" w:hAnsi="Tahoma" w:cs="Tahoma"/>
          <w:sz w:val="24"/>
          <w:szCs w:val="24"/>
        </w:rPr>
        <w:t xml:space="preserve">będzie obniżała limit wydatków </w:t>
      </w:r>
      <w:r w:rsidR="0074149D" w:rsidRPr="00FA71D9">
        <w:rPr>
          <w:rFonts w:ascii="Tahoma" w:hAnsi="Tahoma" w:cs="Tahoma"/>
          <w:sz w:val="24"/>
          <w:szCs w:val="24"/>
        </w:rPr>
        <w:t xml:space="preserve">na rok następny. </w:t>
      </w:r>
      <w:r w:rsidRPr="00FA71D9">
        <w:rPr>
          <w:rFonts w:ascii="Tahoma" w:hAnsi="Tahoma" w:cs="Tahoma"/>
          <w:sz w:val="24"/>
          <w:szCs w:val="24"/>
        </w:rPr>
        <w:t>Proponowana zmiana ma na celu zapobieżenie omijani</w:t>
      </w:r>
      <w:r w:rsidR="00D733D6" w:rsidRPr="00FA71D9">
        <w:rPr>
          <w:rFonts w:ascii="Tahoma" w:hAnsi="Tahoma" w:cs="Tahoma"/>
          <w:sz w:val="24"/>
          <w:szCs w:val="24"/>
        </w:rPr>
        <w:t>u</w:t>
      </w:r>
      <w:r w:rsidRPr="00FA71D9">
        <w:rPr>
          <w:rFonts w:ascii="Tahoma" w:hAnsi="Tahoma" w:cs="Tahoma"/>
          <w:sz w:val="24"/>
          <w:szCs w:val="24"/>
        </w:rPr>
        <w:t xml:space="preserve"> stabilizującej reguły wydatkowej przez przesuwanie </w:t>
      </w:r>
      <w:r w:rsidR="0074149D" w:rsidRPr="00FA71D9">
        <w:rPr>
          <w:rFonts w:ascii="Tahoma" w:hAnsi="Tahoma" w:cs="Tahoma"/>
          <w:sz w:val="24"/>
          <w:szCs w:val="24"/>
        </w:rPr>
        <w:t xml:space="preserve">różnych kategorii </w:t>
      </w:r>
      <w:r w:rsidR="00D733D6" w:rsidRPr="00FA71D9">
        <w:rPr>
          <w:rFonts w:ascii="Tahoma" w:hAnsi="Tahoma" w:cs="Tahoma"/>
          <w:sz w:val="24"/>
          <w:szCs w:val="24"/>
        </w:rPr>
        <w:t xml:space="preserve">bieżących </w:t>
      </w:r>
      <w:r w:rsidRPr="00FA71D9">
        <w:rPr>
          <w:rFonts w:ascii="Tahoma" w:hAnsi="Tahoma" w:cs="Tahoma"/>
          <w:sz w:val="24"/>
          <w:szCs w:val="24"/>
        </w:rPr>
        <w:t xml:space="preserve">wydatków budżetowych do </w:t>
      </w:r>
      <w:r w:rsidR="00D733D6" w:rsidRPr="00FA71D9">
        <w:rPr>
          <w:rFonts w:ascii="Tahoma" w:hAnsi="Tahoma" w:cs="Tahoma"/>
          <w:sz w:val="24"/>
          <w:szCs w:val="24"/>
        </w:rPr>
        <w:t xml:space="preserve">instytucji publicznych nieobjętych działaniem SRW, i w ten sposób ma przyczynić się do wzmocnienia dyscypliny finansów publicznych. </w:t>
      </w:r>
    </w:p>
    <w:p w:rsidR="00193D06" w:rsidRDefault="00193D06" w:rsidP="00FA71D9">
      <w:pPr>
        <w:pStyle w:val="Bezodstpw"/>
        <w:spacing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Wejście w życie projektu ustawy nie będzie powodowało skutków finansowych dla budżetu państwa oraz jednostek samorządu terytorialnego. </w:t>
      </w:r>
    </w:p>
    <w:p w:rsidR="00FA71D9" w:rsidRPr="00FA71D9" w:rsidRDefault="00FA71D9" w:rsidP="00FA71D9">
      <w:pPr>
        <w:pStyle w:val="Bezodstpw"/>
        <w:spacing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Przedmiot projektu ustawy nie jest objęty prawem UE </w:t>
      </w:r>
    </w:p>
    <w:sectPr w:rsidR="00FA71D9" w:rsidRPr="00FA71D9" w:rsidSect="00AE15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126"/>
    <w:rsid w:val="00061126"/>
    <w:rsid w:val="00193D06"/>
    <w:rsid w:val="001C1EAF"/>
    <w:rsid w:val="002B3A87"/>
    <w:rsid w:val="005666DE"/>
    <w:rsid w:val="0074149D"/>
    <w:rsid w:val="00835A09"/>
    <w:rsid w:val="00AE15C0"/>
    <w:rsid w:val="00C222A4"/>
    <w:rsid w:val="00CB32C5"/>
    <w:rsid w:val="00CE2FF5"/>
    <w:rsid w:val="00D733D6"/>
    <w:rsid w:val="00E13FC5"/>
    <w:rsid w:val="00E864EF"/>
    <w:rsid w:val="00F41D24"/>
    <w:rsid w:val="00FA7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B6C37D-BBAC-459E-97FB-CF60EB709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E15C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6112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Dariusz Rosati</dc:creator>
  <cp:lastModifiedBy>Grzegorz Molesztak</cp:lastModifiedBy>
  <cp:revision>3</cp:revision>
  <dcterms:created xsi:type="dcterms:W3CDTF">2019-12-13T12:17:00Z</dcterms:created>
  <dcterms:modified xsi:type="dcterms:W3CDTF">2020-01-08T10:19:00Z</dcterms:modified>
</cp:coreProperties>
</file>