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8311C74" w14:textId="51BE62B6" w:rsidR="00070864" w:rsidRPr="007E5AB0" w:rsidRDefault="00070864" w:rsidP="00070864">
      <w:pPr>
        <w:spacing w:after="0" w:line="360" w:lineRule="auto"/>
        <w:ind w:firstLine="708"/>
        <w:jc w:val="center"/>
        <w:rPr>
          <w:rFonts w:ascii="Tahoma" w:hAnsi="Tahoma" w:cs="Tahoma"/>
          <w:b/>
          <w:bCs/>
          <w:sz w:val="24"/>
          <w:szCs w:val="24"/>
        </w:rPr>
      </w:pPr>
      <w:r w:rsidRPr="007E5AB0">
        <w:rPr>
          <w:rFonts w:ascii="Tahoma" w:hAnsi="Tahoma" w:cs="Tahoma"/>
          <w:b/>
          <w:bCs/>
          <w:sz w:val="24"/>
          <w:szCs w:val="24"/>
        </w:rPr>
        <w:t>UZASADNIENIE</w:t>
      </w:r>
    </w:p>
    <w:p w14:paraId="4533FF6D" w14:textId="76DACC97" w:rsidR="00070864" w:rsidRPr="007E5AB0" w:rsidRDefault="00070864" w:rsidP="00070864">
      <w:pPr>
        <w:spacing w:after="0" w:line="360" w:lineRule="auto"/>
        <w:ind w:firstLine="708"/>
        <w:jc w:val="center"/>
        <w:rPr>
          <w:rFonts w:ascii="Tahoma" w:hAnsi="Tahoma" w:cs="Tahoma"/>
          <w:b/>
          <w:bCs/>
          <w:sz w:val="24"/>
          <w:szCs w:val="24"/>
        </w:rPr>
      </w:pPr>
    </w:p>
    <w:p w14:paraId="45F02F3B" w14:textId="4BFB56A6" w:rsidR="003007E8" w:rsidRPr="007E5AB0" w:rsidRDefault="00070864" w:rsidP="005867F4">
      <w:pPr>
        <w:pStyle w:val="NormalnyWeb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rFonts w:ascii="Tahoma" w:hAnsi="Tahoma" w:cs="Tahoma"/>
          <w:b/>
          <w:bCs/>
          <w:color w:val="000000"/>
        </w:rPr>
      </w:pPr>
      <w:r w:rsidRPr="007E5AB0">
        <w:rPr>
          <w:rFonts w:ascii="Tahoma" w:hAnsi="Tahoma" w:cs="Tahoma"/>
          <w:b/>
          <w:bCs/>
          <w:color w:val="000000"/>
        </w:rPr>
        <w:t>1. Cel i potrzeba wydania ustawy oraz rzeczywisty stan w dziedzinie, która ma być unormowana</w:t>
      </w:r>
    </w:p>
    <w:p w14:paraId="0437F5C0" w14:textId="7C8FF29E" w:rsidR="00F47011" w:rsidRPr="007E5AB0" w:rsidRDefault="00F47011" w:rsidP="005867F4">
      <w:pPr>
        <w:pStyle w:val="NormalnyWeb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rFonts w:ascii="Tahoma" w:hAnsi="Tahoma" w:cs="Tahoma"/>
          <w:b/>
          <w:bCs/>
          <w:color w:val="000000"/>
        </w:rPr>
      </w:pPr>
    </w:p>
    <w:p w14:paraId="58FC1628" w14:textId="6A4FE762" w:rsidR="00C9444F" w:rsidRPr="007E5AB0" w:rsidRDefault="000B16D5" w:rsidP="007E2CD5">
      <w:pPr>
        <w:pStyle w:val="NormalnyWeb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rFonts w:ascii="Tahoma" w:hAnsi="Tahoma" w:cs="Tahoma"/>
        </w:rPr>
      </w:pPr>
      <w:r w:rsidRPr="007E5AB0">
        <w:rPr>
          <w:rFonts w:ascii="Tahoma" w:hAnsi="Tahoma" w:cs="Tahoma"/>
        </w:rPr>
        <w:t>Zgodnie z art. 75 ust. 1 Konstytucji władze publiczne prowadzą politykę sprzyjającą zaspokojeniu potrzeb mieszkaniowych obywateli, w szczególności przeciwdziałają bezdomności, wspierają rozwój budownictwa socjalnego oraz popierają działania obywateli zmierzające do uzyskania własnego mieszkania. Z przepisu tego wynika po stronie wszystkich władz publicznych nakaz podejmowania działań, których celem jest umożliwienie jak największej liczbie obywateli nabycia tytułu prawnego do mieszkania i faktycznego w nim zamieszkania oraz maksymalne ograniczenie przypadków, gdy dochodzić będzie</w:t>
      </w:r>
      <w:r w:rsidR="008D59A1" w:rsidRPr="007E5AB0">
        <w:rPr>
          <w:rFonts w:ascii="Tahoma" w:hAnsi="Tahoma" w:cs="Tahoma"/>
        </w:rPr>
        <w:t xml:space="preserve"> do</w:t>
      </w:r>
      <w:r w:rsidRPr="007E5AB0">
        <w:rPr>
          <w:rFonts w:ascii="Tahoma" w:hAnsi="Tahoma" w:cs="Tahoma"/>
        </w:rPr>
        <w:t xml:space="preserve"> utraty </w:t>
      </w:r>
      <w:r w:rsidR="008D59A1" w:rsidRPr="007E5AB0">
        <w:rPr>
          <w:rFonts w:ascii="Tahoma" w:hAnsi="Tahoma" w:cs="Tahoma"/>
        </w:rPr>
        <w:t xml:space="preserve">przez nich </w:t>
      </w:r>
      <w:r w:rsidRPr="007E5AB0">
        <w:rPr>
          <w:rFonts w:ascii="Tahoma" w:hAnsi="Tahoma" w:cs="Tahoma"/>
        </w:rPr>
        <w:t>takiego tytułu lub pozbawienia</w:t>
      </w:r>
      <w:r w:rsidR="008D59A1" w:rsidRPr="007E5AB0">
        <w:rPr>
          <w:rFonts w:ascii="Tahoma" w:hAnsi="Tahoma" w:cs="Tahoma"/>
        </w:rPr>
        <w:t xml:space="preserve"> ich</w:t>
      </w:r>
      <w:r w:rsidRPr="007E5AB0">
        <w:rPr>
          <w:rFonts w:ascii="Tahoma" w:hAnsi="Tahoma" w:cs="Tahoma"/>
        </w:rPr>
        <w:t xml:space="preserve"> </w:t>
      </w:r>
      <w:r w:rsidR="008D59A1" w:rsidRPr="007E5AB0">
        <w:rPr>
          <w:rFonts w:ascii="Tahoma" w:hAnsi="Tahoma" w:cs="Tahoma"/>
        </w:rPr>
        <w:t xml:space="preserve">już uzyskanej </w:t>
      </w:r>
      <w:r w:rsidRPr="007E5AB0">
        <w:rPr>
          <w:rFonts w:ascii="Tahoma" w:hAnsi="Tahoma" w:cs="Tahoma"/>
        </w:rPr>
        <w:t>faktycznej możliwości</w:t>
      </w:r>
      <w:r w:rsidR="008D59A1" w:rsidRPr="007E5AB0">
        <w:rPr>
          <w:rFonts w:ascii="Tahoma" w:hAnsi="Tahoma" w:cs="Tahoma"/>
        </w:rPr>
        <w:t xml:space="preserve"> zaspokojenia swoich potrzeb mieszkaniowych.</w:t>
      </w:r>
      <w:r w:rsidR="0005666A" w:rsidRPr="007E5AB0">
        <w:rPr>
          <w:rFonts w:ascii="Tahoma" w:hAnsi="Tahoma" w:cs="Tahoma"/>
        </w:rPr>
        <w:t xml:space="preserve"> Nakaz ten nabiera szczególnego znaczenia w odniesieniu do władzy ustawodawczej. Jest ona bowiem odpowiedzialna za tworzenie instrumentów prawnych umożliwiających innym władzom, w tym w szczególności władzy wykonawczej podejmowanie działań zmierzających do zaspokojenia potrzeb mieszkaniowych obywateli. </w:t>
      </w:r>
      <w:r w:rsidR="00DA64DC" w:rsidRPr="007E5AB0">
        <w:rPr>
          <w:rFonts w:ascii="Tahoma" w:hAnsi="Tahoma" w:cs="Tahoma"/>
        </w:rPr>
        <w:t>Kluczowe jest więc stworzenie jak najszerszego wachlarza rozwiązań prawnych, które władza wykonawcza</w:t>
      </w:r>
      <w:r w:rsidR="00FA0137" w:rsidRPr="007E5AB0">
        <w:rPr>
          <w:rFonts w:ascii="Tahoma" w:hAnsi="Tahoma" w:cs="Tahoma"/>
        </w:rPr>
        <w:t>, w tym jednostki samorządu terytorialnego,</w:t>
      </w:r>
      <w:r w:rsidR="00DA64DC" w:rsidRPr="007E5AB0">
        <w:rPr>
          <w:rFonts w:ascii="Tahoma" w:hAnsi="Tahoma" w:cs="Tahoma"/>
        </w:rPr>
        <w:t xml:space="preserve"> będzie mogła stosować w tym celu. </w:t>
      </w:r>
    </w:p>
    <w:p w14:paraId="14B881FF" w14:textId="3F44646D" w:rsidR="00C9444F" w:rsidRPr="007E5AB0" w:rsidRDefault="007E2CD5" w:rsidP="00C9444F">
      <w:pPr>
        <w:pStyle w:val="NormalnyWeb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rFonts w:ascii="Tahoma" w:hAnsi="Tahoma" w:cs="Tahoma"/>
        </w:rPr>
      </w:pPr>
      <w:r w:rsidRPr="007E5AB0">
        <w:rPr>
          <w:rFonts w:ascii="Tahoma" w:hAnsi="Tahoma" w:cs="Tahoma"/>
        </w:rPr>
        <w:t>Ciężar w zaspokajaniu potrzeb mieszkaniowych obywateli spoczywa przede wszystkim na gminach. Zgodnie z art. 4 ust. 1 ustawy z 21 czerwca 2001 r. o ochronie praw lokatorów, mieszkaniowym zasobie gminy i o zmianie Kodeksu cywilnego (Dz. U. z 2018 r. poz. 1234, 1496</w:t>
      </w:r>
      <w:r w:rsidR="0099431E" w:rsidRPr="007E5AB0">
        <w:rPr>
          <w:rFonts w:ascii="Tahoma" w:hAnsi="Tahoma" w:cs="Tahoma"/>
        </w:rPr>
        <w:t>, dalej: ustawa o ochronie praw lokatorów</w:t>
      </w:r>
      <w:r w:rsidRPr="007E5AB0">
        <w:rPr>
          <w:rFonts w:ascii="Tahoma" w:hAnsi="Tahoma" w:cs="Tahoma"/>
        </w:rPr>
        <w:t xml:space="preserve">) tworzenie warunków do zaspokajania potrzeb mieszkaniowych wspólnoty samorządowej należy do zadań własnych gminy. </w:t>
      </w:r>
      <w:r w:rsidR="0099431E" w:rsidRPr="007E5AB0">
        <w:rPr>
          <w:rFonts w:ascii="Tahoma" w:hAnsi="Tahoma" w:cs="Tahoma"/>
        </w:rPr>
        <w:t xml:space="preserve">Podstawowym instrumentem, którym mogą posługiwać się w tym zakresie gminy, jest dzisiaj tworzenie i posiadanie zasobu mieszkaniowego (art. 20 ust. 1 ustawy o ochronie praw lokatorów). Tymczasem, jak można sądzić, instrument ten, biorąc pod uwagę ekonomiczne uwarunkowania posługiwania się nim, w wielu gminach nie jest stosowany albo jego stosowanie w niewielkim stopniu przyczynia się do zaspokojenia potrzeb mieszkaniowych mieszkańców. </w:t>
      </w:r>
      <w:r w:rsidR="00A11A2C" w:rsidRPr="007E5AB0">
        <w:rPr>
          <w:rFonts w:ascii="Tahoma" w:hAnsi="Tahoma" w:cs="Tahoma"/>
        </w:rPr>
        <w:t xml:space="preserve">Z tego powodu </w:t>
      </w:r>
      <w:r w:rsidR="00A11A2C" w:rsidRPr="007E5AB0">
        <w:rPr>
          <w:rFonts w:ascii="Tahoma" w:hAnsi="Tahoma" w:cs="Tahoma"/>
        </w:rPr>
        <w:lastRenderedPageBreak/>
        <w:t>w</w:t>
      </w:r>
      <w:r w:rsidR="0099431E" w:rsidRPr="007E5AB0">
        <w:rPr>
          <w:rFonts w:ascii="Tahoma" w:hAnsi="Tahoma" w:cs="Tahoma"/>
        </w:rPr>
        <w:t xml:space="preserve"> ocenie projektodawców </w:t>
      </w:r>
      <w:r w:rsidR="00A11A2C" w:rsidRPr="007E5AB0">
        <w:rPr>
          <w:rFonts w:ascii="Tahoma" w:hAnsi="Tahoma" w:cs="Tahoma"/>
        </w:rPr>
        <w:t>należy poszerzyć katalog rozwiązań z tego zakresu, którymi mogą posługiwać się organy gminy</w:t>
      </w:r>
      <w:r w:rsidR="00C9444F" w:rsidRPr="007E5AB0">
        <w:rPr>
          <w:rFonts w:ascii="Tahoma" w:hAnsi="Tahoma" w:cs="Tahoma"/>
        </w:rPr>
        <w:t>, uwzględniając przy tym uwarunkowania lokalne, które mają wpływ na stopień zaspokojenia potrzeb mieszkaniowych na danym terenie, oraz możliwości wydatkowe danej gminy.</w:t>
      </w:r>
      <w:r w:rsidR="00A11A2C" w:rsidRPr="007E5AB0">
        <w:rPr>
          <w:rFonts w:ascii="Tahoma" w:hAnsi="Tahoma" w:cs="Tahoma"/>
        </w:rPr>
        <w:t xml:space="preserve"> Celowi temu odpowiada projektowana ustawa. Wprowadza ona bowiem nowe, nieprzewidziane w dotychczasowym stanie prawnym formy wsparcia przez zainteresowane tym gminy swoich mieszkańców w zaspokajaniu ich potrzeb mieszkaniowych. Są to dodatki mieszkaniowe przyznawane bez względu na kryterium dochodowe, a na podstawie wieku i sytuacji osobistej. W ocenie projektodawców </w:t>
      </w:r>
      <w:r w:rsidR="00C9444F" w:rsidRPr="007E5AB0">
        <w:rPr>
          <w:rFonts w:ascii="Tahoma" w:hAnsi="Tahoma" w:cs="Tahoma"/>
        </w:rPr>
        <w:t xml:space="preserve">umożliwią one uzyskanie samodzielnego mieszkania grupie, która mierzy się z największymi problemami w tym zakresie: ludziom młodym, do 30. roku życia. </w:t>
      </w:r>
    </w:p>
    <w:p w14:paraId="126B90AA" w14:textId="77777777" w:rsidR="00C9444F" w:rsidRPr="007E5AB0" w:rsidRDefault="00C9444F" w:rsidP="00A4750C">
      <w:pPr>
        <w:pStyle w:val="NormalnyWeb"/>
        <w:shd w:val="clear" w:color="auto" w:fill="FFFFFF"/>
        <w:spacing w:before="0" w:beforeAutospacing="0" w:after="0" w:afterAutospacing="0" w:line="360" w:lineRule="auto"/>
        <w:ind w:firstLine="708"/>
        <w:rPr>
          <w:rFonts w:ascii="Tahoma" w:hAnsi="Tahoma" w:cs="Tahoma"/>
        </w:rPr>
      </w:pPr>
    </w:p>
    <w:p w14:paraId="4EBD063F" w14:textId="4CD13F05" w:rsidR="00A138DC" w:rsidRPr="007E5AB0" w:rsidRDefault="00070864" w:rsidP="00A4750C">
      <w:pPr>
        <w:pStyle w:val="NormalnyWeb"/>
        <w:shd w:val="clear" w:color="auto" w:fill="FFFFFF"/>
        <w:spacing w:before="0" w:beforeAutospacing="0" w:after="0" w:afterAutospacing="0" w:line="360" w:lineRule="auto"/>
        <w:ind w:firstLine="708"/>
        <w:rPr>
          <w:rFonts w:ascii="Tahoma" w:hAnsi="Tahoma" w:cs="Tahoma"/>
          <w:b/>
          <w:bCs/>
          <w:color w:val="000000"/>
        </w:rPr>
      </w:pPr>
      <w:r w:rsidRPr="007E5AB0">
        <w:rPr>
          <w:rFonts w:ascii="Tahoma" w:hAnsi="Tahoma" w:cs="Tahoma"/>
          <w:b/>
          <w:bCs/>
          <w:color w:val="000000"/>
        </w:rPr>
        <w:t>2. Różnice między dotychczasowym a projektowanym stanem prawnym</w:t>
      </w:r>
    </w:p>
    <w:p w14:paraId="755EAC0D" w14:textId="77777777" w:rsidR="00F47011" w:rsidRPr="007E5AB0" w:rsidRDefault="00F47011" w:rsidP="00A4750C">
      <w:pPr>
        <w:pStyle w:val="NormalnyWeb"/>
        <w:shd w:val="clear" w:color="auto" w:fill="FFFFFF"/>
        <w:spacing w:before="0" w:beforeAutospacing="0" w:after="0" w:afterAutospacing="0" w:line="360" w:lineRule="auto"/>
        <w:ind w:firstLine="708"/>
        <w:rPr>
          <w:rFonts w:ascii="Tahoma" w:hAnsi="Tahoma" w:cs="Tahoma"/>
          <w:b/>
          <w:bCs/>
          <w:color w:val="000000"/>
        </w:rPr>
      </w:pPr>
    </w:p>
    <w:p w14:paraId="2750B3F9" w14:textId="35E8EB16" w:rsidR="00A4750C" w:rsidRPr="007E5AB0" w:rsidRDefault="003F347F" w:rsidP="00A4750C">
      <w:pPr>
        <w:pStyle w:val="NormalnyWeb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rFonts w:ascii="Tahoma" w:hAnsi="Tahoma" w:cs="Tahoma"/>
        </w:rPr>
      </w:pPr>
      <w:r w:rsidRPr="007E5AB0">
        <w:rPr>
          <w:rFonts w:ascii="Tahoma" w:hAnsi="Tahoma" w:cs="Tahoma"/>
          <w:color w:val="000000"/>
        </w:rPr>
        <w:t>W obowiązującym stanie prawnym zgodnie z art. 3 ust. 1</w:t>
      </w:r>
      <w:r w:rsidR="00423C40" w:rsidRPr="007E5AB0">
        <w:rPr>
          <w:rFonts w:ascii="Tahoma" w:hAnsi="Tahoma" w:cs="Tahoma"/>
          <w:color w:val="000000"/>
        </w:rPr>
        <w:t xml:space="preserve"> ustawy o dodatkach mieszkaniowych przysługują one</w:t>
      </w:r>
      <w:r w:rsidRPr="007E5AB0">
        <w:rPr>
          <w:rFonts w:ascii="Tahoma" w:hAnsi="Tahoma" w:cs="Tahoma"/>
          <w:color w:val="000000"/>
        </w:rPr>
        <w:t xml:space="preserve">, jeśli </w:t>
      </w:r>
      <w:r w:rsidR="00FE4C5C" w:rsidRPr="007E5AB0">
        <w:rPr>
          <w:rFonts w:ascii="Tahoma" w:hAnsi="Tahoma" w:cs="Tahoma"/>
        </w:rPr>
        <w:t xml:space="preserve">miesięczny </w:t>
      </w:r>
      <w:r w:rsidR="00FE4C5C" w:rsidRPr="007E5AB0">
        <w:rPr>
          <w:rFonts w:ascii="Tahoma" w:hAnsi="Tahoma" w:cs="Tahoma"/>
          <w:color w:val="000000"/>
        </w:rPr>
        <w:t xml:space="preserve">dochód </w:t>
      </w:r>
      <w:r w:rsidR="00FE4C5C" w:rsidRPr="007E5AB0">
        <w:rPr>
          <w:rFonts w:ascii="Tahoma" w:hAnsi="Tahoma" w:cs="Tahoma"/>
        </w:rPr>
        <w:t xml:space="preserve">przypadający na jednego członka gospodarstwa domowego strony nie przekroczył w gospodarstwie jednoosobowym – 40%, a w gospodarstwie wieloosobowym – 30% przeciętnego wynagrodzenia w gospodarce narodowej. </w:t>
      </w:r>
    </w:p>
    <w:p w14:paraId="415549EF" w14:textId="63F58498" w:rsidR="000436C3" w:rsidRPr="007E5AB0" w:rsidRDefault="00B550A5" w:rsidP="00A16755">
      <w:pPr>
        <w:pStyle w:val="NormalnyWeb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rFonts w:ascii="Tahoma" w:hAnsi="Tahoma" w:cs="Tahoma"/>
        </w:rPr>
      </w:pPr>
      <w:r w:rsidRPr="007E5AB0">
        <w:rPr>
          <w:rFonts w:ascii="Tahoma" w:hAnsi="Tahoma" w:cs="Tahoma"/>
        </w:rPr>
        <w:t xml:space="preserve">Projekt przewiduje </w:t>
      </w:r>
      <w:r w:rsidR="00236DA9" w:rsidRPr="007E5AB0">
        <w:rPr>
          <w:rFonts w:ascii="Tahoma" w:hAnsi="Tahoma" w:cs="Tahoma"/>
        </w:rPr>
        <w:t>dwa</w:t>
      </w:r>
      <w:r w:rsidRPr="007E5AB0">
        <w:rPr>
          <w:rFonts w:ascii="Tahoma" w:hAnsi="Tahoma" w:cs="Tahoma"/>
        </w:rPr>
        <w:t xml:space="preserve"> rozwiązania uzupełniające tę regulację. </w:t>
      </w:r>
      <w:r w:rsidR="00DD31FC" w:rsidRPr="007E5AB0">
        <w:rPr>
          <w:rFonts w:ascii="Tahoma" w:hAnsi="Tahoma" w:cs="Tahoma"/>
        </w:rPr>
        <w:t>Po pierwsze, rada gminy może podwyższyć maksymalny średni miesięczny dochód przypadający na jednego członka gospodarstwa domowego, którego nieprzekroczenie stanowi przesłankę przyznania dodatku mieszkaniowego.</w:t>
      </w:r>
      <w:r w:rsidR="00FA0137" w:rsidRPr="007E5AB0">
        <w:rPr>
          <w:rFonts w:ascii="Tahoma" w:hAnsi="Tahoma" w:cs="Tahoma"/>
        </w:rPr>
        <w:t xml:space="preserve"> </w:t>
      </w:r>
      <w:r w:rsidR="00A4750C" w:rsidRPr="007E5AB0">
        <w:rPr>
          <w:rFonts w:ascii="Tahoma" w:hAnsi="Tahoma" w:cs="Tahoma"/>
        </w:rPr>
        <w:t xml:space="preserve">Umożliwia to dostosowanie kręgu uprawnionych do dodatku mieszkaniowego do sytuacji ekonomicznej w danej gminie, w tym w szczególności wysokości zarobków i kosztów utrzymania, które w poszczególnych częściach kraju są zróżnicowane. </w:t>
      </w:r>
    </w:p>
    <w:p w14:paraId="630EE337" w14:textId="79AEC098" w:rsidR="00236DA9" w:rsidRPr="007E5AB0" w:rsidRDefault="00DD31FC" w:rsidP="000B0D57">
      <w:pPr>
        <w:pStyle w:val="NormalnyWeb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rFonts w:ascii="Tahoma" w:hAnsi="Tahoma" w:cs="Tahoma"/>
          <w:color w:val="000000"/>
        </w:rPr>
      </w:pPr>
      <w:r w:rsidRPr="007E5AB0">
        <w:rPr>
          <w:rFonts w:ascii="Tahoma" w:hAnsi="Tahoma" w:cs="Tahoma"/>
        </w:rPr>
        <w:t xml:space="preserve">Po drugie, rada gminy może ustalić, że dodatek mieszkaniowy będzie przysługiwał </w:t>
      </w:r>
      <w:r w:rsidR="00A4750C" w:rsidRPr="007E5AB0">
        <w:rPr>
          <w:rFonts w:ascii="Tahoma" w:hAnsi="Tahoma" w:cs="Tahoma"/>
        </w:rPr>
        <w:t>bez względu na kryterium dochodowe, ale wyłącznie na podstawie przesłanki wieku oraz sytuacji osobistej. W świetle projektu dodatek mieszkaniowy będzie mógł zostać przyznany osobom, które nie ukończyły 30</w:t>
      </w:r>
      <w:r w:rsidR="00FA0137" w:rsidRPr="007E5AB0">
        <w:rPr>
          <w:rFonts w:ascii="Tahoma" w:hAnsi="Tahoma" w:cs="Tahoma"/>
        </w:rPr>
        <w:t xml:space="preserve"> lat</w:t>
      </w:r>
      <w:r w:rsidR="00A4750C" w:rsidRPr="007E5AB0">
        <w:rPr>
          <w:rFonts w:ascii="Tahoma" w:hAnsi="Tahoma" w:cs="Tahoma"/>
        </w:rPr>
        <w:t xml:space="preserve"> oraz prowadzą jednoosobowe gospodarstwo domowe, gospodarstwo domowe wspólnie z małżonkiem </w:t>
      </w:r>
      <w:r w:rsidR="00A4750C" w:rsidRPr="007E5AB0">
        <w:rPr>
          <w:rFonts w:ascii="Tahoma" w:hAnsi="Tahoma" w:cs="Tahoma"/>
        </w:rPr>
        <w:lastRenderedPageBreak/>
        <w:t xml:space="preserve">bądź z osobą, z którą pozostają we wspólnym pożyciu lub mieszkają z dzieckiem, nad którym sprawują opiekę. Rada gminy będzie mogła ustalić, że dodatek mieszkaniowy przysługuje wszystkim tym grupom albo jedynie niektórym z nich. </w:t>
      </w:r>
      <w:r w:rsidR="00EC1A2C" w:rsidRPr="007E5AB0">
        <w:rPr>
          <w:rFonts w:ascii="Tahoma" w:hAnsi="Tahoma" w:cs="Tahoma"/>
        </w:rPr>
        <w:t xml:space="preserve">Skorzystanie przez radę gminy z tej kompetencji przyczyni się do rozwiązania szeregu problemów społecznych bezpośrednio lub pośrednio związanych z niezaspokojeniem potrzeb mieszkaniowych młodych dorosłych. Mowa tu w szczególności o późnym wieku opuszczania domu rodzinnego, niskiej dzietności, późnym podejmowaniu decyzji o rodzicielstwie czy </w:t>
      </w:r>
      <w:r w:rsidR="00EC1A2C" w:rsidRPr="007E5AB0">
        <w:rPr>
          <w:rFonts w:ascii="Tahoma" w:hAnsi="Tahoma" w:cs="Tahoma"/>
          <w:color w:val="000000"/>
        </w:rPr>
        <w:t>depopulacj</w:t>
      </w:r>
      <w:r w:rsidR="00FA0137" w:rsidRPr="007E5AB0">
        <w:rPr>
          <w:rFonts w:ascii="Tahoma" w:hAnsi="Tahoma" w:cs="Tahoma"/>
          <w:color w:val="000000"/>
        </w:rPr>
        <w:t>i</w:t>
      </w:r>
      <w:r w:rsidR="00EC1A2C" w:rsidRPr="007E5AB0">
        <w:rPr>
          <w:rFonts w:ascii="Tahoma" w:hAnsi="Tahoma" w:cs="Tahoma"/>
          <w:color w:val="000000"/>
        </w:rPr>
        <w:t xml:space="preserve"> małych i średnich miast na rzecz dużych.</w:t>
      </w:r>
      <w:r w:rsidR="00573DE6" w:rsidRPr="007E5AB0">
        <w:rPr>
          <w:rFonts w:ascii="Tahoma" w:hAnsi="Tahoma" w:cs="Tahoma"/>
          <w:color w:val="000000"/>
        </w:rPr>
        <w:t xml:space="preserve"> </w:t>
      </w:r>
      <w:r w:rsidR="00F017EF" w:rsidRPr="007E5AB0">
        <w:rPr>
          <w:rFonts w:ascii="Tahoma" w:hAnsi="Tahoma" w:cs="Tahoma"/>
          <w:color w:val="000000"/>
        </w:rPr>
        <w:t xml:space="preserve">Projekt uwzględnia, że liczba osób zainteresowanych takim wsparciem może być znaczna, a jego udzielenie wszystkim z nich – przekraczać możliwości finansowe danej gminy. </w:t>
      </w:r>
      <w:r w:rsidR="00452B73" w:rsidRPr="007E5AB0">
        <w:rPr>
          <w:rFonts w:ascii="Tahoma" w:hAnsi="Tahoma" w:cs="Tahoma"/>
          <w:color w:val="000000"/>
        </w:rPr>
        <w:t>Z tego powodu projekt przewiduje</w:t>
      </w:r>
      <w:r w:rsidR="00E442B7" w:rsidRPr="007E5AB0">
        <w:rPr>
          <w:rFonts w:ascii="Tahoma" w:hAnsi="Tahoma" w:cs="Tahoma"/>
          <w:color w:val="000000"/>
        </w:rPr>
        <w:t xml:space="preserve"> </w:t>
      </w:r>
      <w:r w:rsidR="00452B73" w:rsidRPr="007E5AB0">
        <w:rPr>
          <w:rFonts w:ascii="Tahoma" w:hAnsi="Tahoma" w:cs="Tahoma"/>
          <w:color w:val="000000"/>
        </w:rPr>
        <w:t xml:space="preserve">po stronie rady gminy kompetencję do </w:t>
      </w:r>
      <w:r w:rsidR="00E442B7" w:rsidRPr="007E5AB0">
        <w:rPr>
          <w:rFonts w:ascii="Tahoma" w:hAnsi="Tahoma" w:cs="Tahoma"/>
          <w:color w:val="000000"/>
        </w:rPr>
        <w:t xml:space="preserve">określenia liczby osób, którym może być w danym roku przyznany dodatek mieszkaniowy bez względu na kryterium dochodowe, oraz do wskazania </w:t>
      </w:r>
      <w:r w:rsidR="00FA0137" w:rsidRPr="007E5AB0">
        <w:rPr>
          <w:rFonts w:ascii="Tahoma" w:hAnsi="Tahoma" w:cs="Tahoma"/>
          <w:color w:val="000000"/>
        </w:rPr>
        <w:t xml:space="preserve">w takim przypadku </w:t>
      </w:r>
      <w:r w:rsidR="00E442B7" w:rsidRPr="007E5AB0">
        <w:rPr>
          <w:rFonts w:ascii="Tahoma" w:hAnsi="Tahoma" w:cs="Tahoma"/>
          <w:color w:val="000000"/>
        </w:rPr>
        <w:t>kryteriów pierwszeństwa w jego przyznaniu.</w:t>
      </w:r>
      <w:r w:rsidR="00FD7507" w:rsidRPr="007E5AB0">
        <w:rPr>
          <w:rFonts w:ascii="Tahoma" w:hAnsi="Tahoma" w:cs="Tahoma"/>
          <w:color w:val="000000"/>
        </w:rPr>
        <w:t xml:space="preserve"> </w:t>
      </w:r>
    </w:p>
    <w:p w14:paraId="1795046E" w14:textId="0BFE39C9" w:rsidR="000A7726" w:rsidRPr="007E5AB0" w:rsidRDefault="000436C3" w:rsidP="000A7726">
      <w:pPr>
        <w:pStyle w:val="NormalnyWeb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rFonts w:ascii="Tahoma" w:hAnsi="Tahoma" w:cs="Tahoma"/>
        </w:rPr>
      </w:pPr>
      <w:r w:rsidRPr="007E5AB0">
        <w:rPr>
          <w:rFonts w:ascii="Tahoma" w:hAnsi="Tahoma" w:cs="Tahoma"/>
          <w:color w:val="000000"/>
        </w:rPr>
        <w:t xml:space="preserve">Aktualnie </w:t>
      </w:r>
      <w:r w:rsidRPr="007E5AB0">
        <w:rPr>
          <w:rFonts w:ascii="Tahoma" w:hAnsi="Tahoma" w:cs="Tahoma"/>
        </w:rPr>
        <w:t>dodatek mieszkaniowy przyznaje się na okres 6 miesięcy, licząc od pierwszego dnia miesiąca następującego po dniu złożenia wniosku</w:t>
      </w:r>
      <w:r w:rsidR="00233A9C" w:rsidRPr="007E5AB0">
        <w:rPr>
          <w:rFonts w:ascii="Tahoma" w:hAnsi="Tahoma" w:cs="Tahoma"/>
        </w:rPr>
        <w:t xml:space="preserve"> (</w:t>
      </w:r>
      <w:r w:rsidR="00233A9C" w:rsidRPr="007E5AB0">
        <w:rPr>
          <w:rFonts w:ascii="Tahoma" w:hAnsi="Tahoma" w:cs="Tahoma"/>
          <w:color w:val="000000"/>
        </w:rPr>
        <w:t>art. 6 ust. 5 ustawy o dodatkach mieszkaniowych)</w:t>
      </w:r>
      <w:r w:rsidRPr="007E5AB0">
        <w:rPr>
          <w:rFonts w:ascii="Tahoma" w:hAnsi="Tahoma" w:cs="Tahoma"/>
        </w:rPr>
        <w:t>. Projekt przewiduje, że regulacja ta nie będzie obowiązywać w stosunku do dodatków mieszkaniowych przyznawanych bez względu na kryterium dochodowe, według kryterium wieku i sytuacji osobistej. W tych przypadkach dodatek mieszkaniowy będzie przysługiwał na okres dwóch lat, licząc od pierwszego dnia miesiąca następującego po dniu złożenia wniosku, ale nie dłużej niż do ukończenia przez wnioskodawcę 30</w:t>
      </w:r>
      <w:r w:rsidR="00FA0137" w:rsidRPr="007E5AB0">
        <w:rPr>
          <w:rFonts w:ascii="Tahoma" w:hAnsi="Tahoma" w:cs="Tahoma"/>
        </w:rPr>
        <w:t xml:space="preserve"> lat</w:t>
      </w:r>
      <w:r w:rsidRPr="007E5AB0">
        <w:rPr>
          <w:rFonts w:ascii="Tahoma" w:hAnsi="Tahoma" w:cs="Tahoma"/>
        </w:rPr>
        <w:t xml:space="preserve">. </w:t>
      </w:r>
      <w:r w:rsidR="009C6C65" w:rsidRPr="007E5AB0">
        <w:rPr>
          <w:rFonts w:ascii="Tahoma" w:hAnsi="Tahoma" w:cs="Tahoma"/>
        </w:rPr>
        <w:t>W świetle projektu temu samemu wnioskodawcy w tych sytuacjach dodatek mieszkaniowy może zostać przyznany tylko dwukrotnie. Oznacza to, że taki dodatek będzie przysługiwał nie dłużej niż 4 lata. Jest to uzasadnione funkcją tego świadczenia. Ma ono bowiem w założeniu ułatwiać proces usamodzielni</w:t>
      </w:r>
      <w:r w:rsidR="000A7726" w:rsidRPr="007E5AB0">
        <w:rPr>
          <w:rFonts w:ascii="Tahoma" w:hAnsi="Tahoma" w:cs="Tahoma"/>
        </w:rPr>
        <w:t>a</w:t>
      </w:r>
      <w:r w:rsidR="009C6C65" w:rsidRPr="007E5AB0">
        <w:rPr>
          <w:rFonts w:ascii="Tahoma" w:hAnsi="Tahoma" w:cs="Tahoma"/>
        </w:rPr>
        <w:t>nia się młodych dorosłych</w:t>
      </w:r>
      <w:r w:rsidR="000A7726" w:rsidRPr="007E5AB0">
        <w:rPr>
          <w:rFonts w:ascii="Tahoma" w:hAnsi="Tahoma" w:cs="Tahoma"/>
        </w:rPr>
        <w:t xml:space="preserve">, który siłą rzeczy jest ograniczony w czasie. </w:t>
      </w:r>
    </w:p>
    <w:p w14:paraId="38A6243F" w14:textId="1416D1EF" w:rsidR="001A12E9" w:rsidRPr="007E5AB0" w:rsidRDefault="00236DA9" w:rsidP="000A7726">
      <w:pPr>
        <w:pStyle w:val="NormalnyWeb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rFonts w:ascii="Tahoma" w:hAnsi="Tahoma" w:cs="Tahoma"/>
        </w:rPr>
      </w:pPr>
      <w:r w:rsidRPr="007E5AB0">
        <w:rPr>
          <w:rFonts w:ascii="Tahoma" w:hAnsi="Tahoma" w:cs="Tahoma"/>
          <w:color w:val="000000"/>
        </w:rPr>
        <w:t xml:space="preserve">W obowiązującym stanie prawnym wysokość dodatku mieszkaniowego </w:t>
      </w:r>
      <w:r w:rsidR="001A12E9" w:rsidRPr="007E5AB0">
        <w:rPr>
          <w:rFonts w:ascii="Tahoma" w:hAnsi="Tahoma" w:cs="Tahoma"/>
        </w:rPr>
        <w:t>stanowi różnicę między wydatkami wnioskodawcy z tytułu świadczeń okresowych ponoszonych przez gospodarstwo domowe w związku z zajmowaniem lokalu mieszkalnego</w:t>
      </w:r>
      <w:r w:rsidR="00110BA7" w:rsidRPr="007E5AB0">
        <w:rPr>
          <w:rFonts w:ascii="Tahoma" w:hAnsi="Tahoma" w:cs="Tahoma"/>
        </w:rPr>
        <w:t xml:space="preserve"> przypadającymi na jego normatywną powierzchnię użytkową a kwotą wydatków poniesionych przez osobę ubiegającą się o dodatek mieszkaniowy w wysokości stanowiącej od 10% do 15%</w:t>
      </w:r>
      <w:r w:rsidR="004717A0" w:rsidRPr="007E5AB0">
        <w:rPr>
          <w:rFonts w:ascii="Tahoma" w:hAnsi="Tahoma" w:cs="Tahoma"/>
        </w:rPr>
        <w:t xml:space="preserve"> dochodów gospodarstwa domowego</w:t>
      </w:r>
      <w:r w:rsidR="008A1376" w:rsidRPr="007E5AB0">
        <w:rPr>
          <w:rFonts w:ascii="Tahoma" w:hAnsi="Tahoma" w:cs="Tahoma"/>
        </w:rPr>
        <w:t xml:space="preserve"> (</w:t>
      </w:r>
      <w:r w:rsidR="008A1376" w:rsidRPr="007E5AB0">
        <w:rPr>
          <w:rFonts w:ascii="Tahoma" w:hAnsi="Tahoma" w:cs="Tahoma"/>
          <w:color w:val="000000"/>
        </w:rPr>
        <w:t xml:space="preserve">art. </w:t>
      </w:r>
      <w:r w:rsidR="009C6C65" w:rsidRPr="007E5AB0">
        <w:rPr>
          <w:rFonts w:ascii="Tahoma" w:hAnsi="Tahoma" w:cs="Tahoma"/>
          <w:color w:val="000000"/>
        </w:rPr>
        <w:t xml:space="preserve">6 ust. 1 </w:t>
      </w:r>
      <w:r w:rsidR="008A1376" w:rsidRPr="007E5AB0">
        <w:rPr>
          <w:rFonts w:ascii="Tahoma" w:hAnsi="Tahoma" w:cs="Tahoma"/>
          <w:color w:val="000000"/>
        </w:rPr>
        <w:t xml:space="preserve">ustawy </w:t>
      </w:r>
      <w:r w:rsidR="008A1376" w:rsidRPr="007E5AB0">
        <w:rPr>
          <w:rFonts w:ascii="Tahoma" w:hAnsi="Tahoma" w:cs="Tahoma"/>
          <w:color w:val="000000"/>
        </w:rPr>
        <w:lastRenderedPageBreak/>
        <w:t>o dodatkach mieszkaniowych)</w:t>
      </w:r>
      <w:r w:rsidR="008A1376" w:rsidRPr="007E5AB0">
        <w:rPr>
          <w:rFonts w:ascii="Tahoma" w:hAnsi="Tahoma" w:cs="Tahoma"/>
        </w:rPr>
        <w:t>.</w:t>
      </w:r>
      <w:r w:rsidR="009C6C65" w:rsidRPr="007E5AB0">
        <w:rPr>
          <w:rFonts w:ascii="Tahoma" w:hAnsi="Tahoma" w:cs="Tahoma"/>
        </w:rPr>
        <w:t xml:space="preserve"> </w:t>
      </w:r>
      <w:r w:rsidR="004717A0" w:rsidRPr="007E5AB0">
        <w:rPr>
          <w:rFonts w:ascii="Tahoma" w:hAnsi="Tahoma" w:cs="Tahoma"/>
        </w:rPr>
        <w:t>Oznacza to, że im wyższ</w:t>
      </w:r>
      <w:r w:rsidR="00FA0137" w:rsidRPr="007E5AB0">
        <w:rPr>
          <w:rFonts w:ascii="Tahoma" w:hAnsi="Tahoma" w:cs="Tahoma"/>
        </w:rPr>
        <w:t>y</w:t>
      </w:r>
      <w:r w:rsidR="004717A0" w:rsidRPr="007E5AB0">
        <w:rPr>
          <w:rFonts w:ascii="Tahoma" w:hAnsi="Tahoma" w:cs="Tahoma"/>
        </w:rPr>
        <w:t xml:space="preserve"> jest </w:t>
      </w:r>
      <w:r w:rsidR="001F1C1A" w:rsidRPr="007E5AB0">
        <w:rPr>
          <w:rFonts w:ascii="Tahoma" w:hAnsi="Tahoma" w:cs="Tahoma"/>
        </w:rPr>
        <w:t>procent</w:t>
      </w:r>
      <w:r w:rsidR="004717A0" w:rsidRPr="007E5AB0">
        <w:rPr>
          <w:rFonts w:ascii="Tahoma" w:hAnsi="Tahoma" w:cs="Tahoma"/>
        </w:rPr>
        <w:t xml:space="preserve"> dochodów gospodarstwa domowego uwzględnianych przez ustalaniu </w:t>
      </w:r>
      <w:r w:rsidR="001F1C1A" w:rsidRPr="007E5AB0">
        <w:rPr>
          <w:rFonts w:ascii="Tahoma" w:hAnsi="Tahoma" w:cs="Tahoma"/>
        </w:rPr>
        <w:t>wysokości</w:t>
      </w:r>
      <w:r w:rsidR="004717A0" w:rsidRPr="007E5AB0">
        <w:rPr>
          <w:rFonts w:ascii="Tahoma" w:hAnsi="Tahoma" w:cs="Tahoma"/>
        </w:rPr>
        <w:t xml:space="preserve"> dodatku mieszkaniowego</w:t>
      </w:r>
      <w:r w:rsidR="001F1C1A" w:rsidRPr="007E5AB0">
        <w:rPr>
          <w:rFonts w:ascii="Tahoma" w:hAnsi="Tahoma" w:cs="Tahoma"/>
        </w:rPr>
        <w:t>, tym jego kwota jest niższa. Z tego powodu projekt ustawy przewiduje po stronie rady gminy kompetencję do obniżenia kwoty wydatków poniesionych przez wnioskodawcę, która stanowi okoliczność uwzględnianą przy ustalaniu wysokości dodatku mieszkaniowego. W ten sposób rada gminy może doprowadzić do jej podwyższenia. Tym samym rada gminy dzięki projektowanemu rozwiązaniu będzie mogła zwiększyć kwoty dodatku mieszkaniowego</w:t>
      </w:r>
      <w:r w:rsidR="000436C3" w:rsidRPr="007E5AB0">
        <w:rPr>
          <w:rFonts w:ascii="Tahoma" w:hAnsi="Tahoma" w:cs="Tahoma"/>
        </w:rPr>
        <w:t>, które przysługują mieszkańcom w danej gminie. Umożliwi to dostosowanie kręgu uprawnionych do dodatku mieszkaniowego do sytuacji ekonomicznej w danej gminie, w tym w szczególności wysokości zarobków i kosztów utrzymania, które w poszczególnych częściach kraju są zróżnicowane</w:t>
      </w:r>
    </w:p>
    <w:p w14:paraId="30730324" w14:textId="206533DD" w:rsidR="003F347F" w:rsidRPr="007E5AB0" w:rsidRDefault="00DD31FC" w:rsidP="00423C40">
      <w:pPr>
        <w:pStyle w:val="NormalnyWeb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rFonts w:ascii="Tahoma" w:hAnsi="Tahoma" w:cs="Tahoma"/>
        </w:rPr>
      </w:pPr>
      <w:r w:rsidRPr="007E5AB0">
        <w:rPr>
          <w:rFonts w:ascii="Tahoma" w:hAnsi="Tahoma" w:cs="Tahoma"/>
        </w:rPr>
        <w:t>W</w:t>
      </w:r>
      <w:r w:rsidR="00C539D4" w:rsidRPr="007E5AB0">
        <w:rPr>
          <w:rFonts w:ascii="Tahoma" w:hAnsi="Tahoma" w:cs="Tahoma"/>
        </w:rPr>
        <w:t xml:space="preserve">prowadzenie </w:t>
      </w:r>
      <w:r w:rsidRPr="007E5AB0">
        <w:rPr>
          <w:rFonts w:ascii="Tahoma" w:hAnsi="Tahoma" w:cs="Tahoma"/>
        </w:rPr>
        <w:t xml:space="preserve">tych rozwiązań </w:t>
      </w:r>
      <w:r w:rsidR="00C539D4" w:rsidRPr="007E5AB0">
        <w:rPr>
          <w:rFonts w:ascii="Tahoma" w:hAnsi="Tahoma" w:cs="Tahoma"/>
        </w:rPr>
        <w:t xml:space="preserve">zostało </w:t>
      </w:r>
      <w:r w:rsidRPr="007E5AB0">
        <w:rPr>
          <w:rFonts w:ascii="Tahoma" w:hAnsi="Tahoma" w:cs="Tahoma"/>
        </w:rPr>
        <w:t xml:space="preserve">pozostawione </w:t>
      </w:r>
      <w:r w:rsidR="00C539D4" w:rsidRPr="007E5AB0">
        <w:rPr>
          <w:rFonts w:ascii="Tahoma" w:hAnsi="Tahoma" w:cs="Tahoma"/>
        </w:rPr>
        <w:t xml:space="preserve">uznaniu politycznemu </w:t>
      </w:r>
      <w:r w:rsidRPr="007E5AB0">
        <w:rPr>
          <w:rFonts w:ascii="Tahoma" w:hAnsi="Tahoma" w:cs="Tahoma"/>
        </w:rPr>
        <w:t>poszczególnych rad gmin</w:t>
      </w:r>
      <w:r w:rsidR="00C539D4" w:rsidRPr="007E5AB0">
        <w:rPr>
          <w:rFonts w:ascii="Tahoma" w:hAnsi="Tahoma" w:cs="Tahoma"/>
        </w:rPr>
        <w:t xml:space="preserve">. Umożliwia to uwzględnienie w tym zakresie warunków lokalnych, w tym w szczególności </w:t>
      </w:r>
      <w:r w:rsidR="00AC740C" w:rsidRPr="007E5AB0">
        <w:rPr>
          <w:rFonts w:ascii="Tahoma" w:hAnsi="Tahoma" w:cs="Tahoma"/>
        </w:rPr>
        <w:t xml:space="preserve">stopnia zaspokojenia potrzeb mieszkaniowych </w:t>
      </w:r>
      <w:r w:rsidR="008657BE" w:rsidRPr="007E5AB0">
        <w:rPr>
          <w:rFonts w:ascii="Tahoma" w:hAnsi="Tahoma" w:cs="Tahoma"/>
        </w:rPr>
        <w:t>w gminie</w:t>
      </w:r>
      <w:r w:rsidRPr="007E5AB0">
        <w:rPr>
          <w:rFonts w:ascii="Tahoma" w:hAnsi="Tahoma" w:cs="Tahoma"/>
        </w:rPr>
        <w:t xml:space="preserve">, </w:t>
      </w:r>
      <w:r w:rsidR="008657BE" w:rsidRPr="007E5AB0">
        <w:rPr>
          <w:rFonts w:ascii="Tahoma" w:hAnsi="Tahoma" w:cs="Tahoma"/>
        </w:rPr>
        <w:t>panującej w niej sytuacji demograficznej i ekonomicznej</w:t>
      </w:r>
      <w:r w:rsidRPr="007E5AB0">
        <w:rPr>
          <w:rFonts w:ascii="Tahoma" w:hAnsi="Tahoma" w:cs="Tahoma"/>
        </w:rPr>
        <w:t xml:space="preserve"> oraz możliwości wydatkowych budżetu gminy</w:t>
      </w:r>
      <w:r w:rsidR="008657BE" w:rsidRPr="007E5AB0">
        <w:rPr>
          <w:rFonts w:ascii="Tahoma" w:hAnsi="Tahoma" w:cs="Tahoma"/>
        </w:rPr>
        <w:t xml:space="preserve">. </w:t>
      </w:r>
      <w:r w:rsidRPr="007E5AB0">
        <w:rPr>
          <w:rFonts w:ascii="Tahoma" w:hAnsi="Tahoma" w:cs="Tahoma"/>
        </w:rPr>
        <w:t xml:space="preserve">Taki zabieg służy też zwiększeniu zakresu samodzielności zadaniowo-kompetencyjnej gmin. </w:t>
      </w:r>
    </w:p>
    <w:p w14:paraId="457E4C2E" w14:textId="289C713A" w:rsidR="000A7726" w:rsidRPr="007E5AB0" w:rsidRDefault="000A7726" w:rsidP="00423C40">
      <w:pPr>
        <w:pStyle w:val="NormalnyWeb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rFonts w:ascii="Tahoma" w:hAnsi="Tahoma" w:cs="Tahoma"/>
          <w:color w:val="000000"/>
        </w:rPr>
      </w:pPr>
      <w:r w:rsidRPr="007E5AB0">
        <w:rPr>
          <w:rFonts w:ascii="Tahoma" w:hAnsi="Tahoma" w:cs="Tahoma"/>
        </w:rPr>
        <w:t xml:space="preserve">Projekt przewiduje także kilka zmian proceduralnych, które służą dostosowaniu różnych elementów postępowania poprzedzającego wydanie decyzji w sprawie dodatku mieszkaniowego, do nowych przesłanek przyznania tego świadczenia. Mowa tu o projektowanych zmianach w art. 7 ustawy o dodatkach mieszkaniowych (dodawany ust. 1ca, nowe brzmienie ust. 1 oraz ust. 15). </w:t>
      </w:r>
    </w:p>
    <w:p w14:paraId="591928A1" w14:textId="77777777" w:rsidR="00070864" w:rsidRPr="007E5AB0" w:rsidRDefault="00070864" w:rsidP="00070864">
      <w:pPr>
        <w:pStyle w:val="NormalnyWeb"/>
        <w:shd w:val="clear" w:color="auto" w:fill="FFFFFF"/>
        <w:spacing w:before="0" w:beforeAutospacing="0" w:after="0" w:afterAutospacing="0" w:line="360" w:lineRule="auto"/>
        <w:rPr>
          <w:rFonts w:ascii="Tahoma" w:hAnsi="Tahoma" w:cs="Tahoma"/>
          <w:color w:val="000000"/>
        </w:rPr>
      </w:pPr>
    </w:p>
    <w:p w14:paraId="35388BEB" w14:textId="2DB443BB" w:rsidR="00070864" w:rsidRPr="007E5AB0" w:rsidRDefault="00070864" w:rsidP="00070864">
      <w:pPr>
        <w:pStyle w:val="NormalnyWeb"/>
        <w:shd w:val="clear" w:color="auto" w:fill="FFFFFF"/>
        <w:spacing w:before="0" w:beforeAutospacing="0" w:after="0" w:afterAutospacing="0" w:line="360" w:lineRule="auto"/>
        <w:ind w:firstLine="708"/>
        <w:rPr>
          <w:rFonts w:ascii="Tahoma" w:hAnsi="Tahoma" w:cs="Tahoma"/>
          <w:b/>
          <w:bCs/>
          <w:color w:val="000000"/>
        </w:rPr>
      </w:pPr>
      <w:r w:rsidRPr="007E5AB0">
        <w:rPr>
          <w:rFonts w:ascii="Tahoma" w:hAnsi="Tahoma" w:cs="Tahoma"/>
          <w:b/>
          <w:bCs/>
          <w:color w:val="000000"/>
        </w:rPr>
        <w:t>3. Przewidywane skutki społeczne, gospodarcze, finansowe i prawne</w:t>
      </w:r>
    </w:p>
    <w:p w14:paraId="77973439" w14:textId="77777777" w:rsidR="00F47011" w:rsidRPr="007E5AB0" w:rsidRDefault="00F47011" w:rsidP="00070864">
      <w:pPr>
        <w:pStyle w:val="NormalnyWeb"/>
        <w:shd w:val="clear" w:color="auto" w:fill="FFFFFF"/>
        <w:spacing w:before="0" w:beforeAutospacing="0" w:after="0" w:afterAutospacing="0" w:line="360" w:lineRule="auto"/>
        <w:ind w:firstLine="708"/>
        <w:rPr>
          <w:rFonts w:ascii="Tahoma" w:hAnsi="Tahoma" w:cs="Tahoma"/>
          <w:b/>
          <w:bCs/>
          <w:color w:val="000000"/>
        </w:rPr>
      </w:pPr>
    </w:p>
    <w:p w14:paraId="6C33375A" w14:textId="3D2B4146" w:rsidR="00111082" w:rsidRPr="007E5AB0" w:rsidRDefault="00B91FED" w:rsidP="00B91FED">
      <w:pPr>
        <w:pStyle w:val="NormalnyWeb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rFonts w:ascii="Tahoma" w:hAnsi="Tahoma" w:cs="Tahoma"/>
          <w:color w:val="000000"/>
        </w:rPr>
      </w:pPr>
      <w:r w:rsidRPr="007E5AB0">
        <w:rPr>
          <w:rFonts w:ascii="Tahoma" w:hAnsi="Tahoma" w:cs="Tahoma"/>
          <w:color w:val="000000"/>
        </w:rPr>
        <w:t>Wejście w życie projektowanej ustawy wywoła pożądane skutki społeczne. Zwiększy ono bowiem możliwości zaspokajania potrzeb mieszkaniowych obywateli i poszerzy warunki uzyskania przez nich własnego mieszkania. Są to cele, których wspieranie jest z mocy art. 75 ust. 1 Konstytucji obow</w:t>
      </w:r>
      <w:r w:rsidR="00E74D42" w:rsidRPr="007E5AB0">
        <w:rPr>
          <w:rFonts w:ascii="Tahoma" w:hAnsi="Tahoma" w:cs="Tahoma"/>
          <w:color w:val="000000"/>
        </w:rPr>
        <w:t xml:space="preserve">iązkiem władz publicznych. Można się też spodziewać, że dzięki ułatwieniu zaspokojenia potrzeb mieszkaniowych rozwiązane zostaną inne, związane z nim problemy społeczne, jak późny wiek </w:t>
      </w:r>
      <w:r w:rsidR="00E74D42" w:rsidRPr="007E5AB0">
        <w:rPr>
          <w:rFonts w:ascii="Tahoma" w:hAnsi="Tahoma" w:cs="Tahoma"/>
          <w:color w:val="000000"/>
        </w:rPr>
        <w:lastRenderedPageBreak/>
        <w:t xml:space="preserve">osiągnięcia samodzielności ekonomicznej przez młodych dorosłych, niska dzietność, późniejszy wiek podejmowania decyzji o rodzicielstwie czy depopulacja małych i średnich miast na rzecz dużych. </w:t>
      </w:r>
    </w:p>
    <w:p w14:paraId="2D107ADC" w14:textId="5780387D" w:rsidR="00111082" w:rsidRPr="007E5AB0" w:rsidRDefault="00111082" w:rsidP="00111082">
      <w:pPr>
        <w:pStyle w:val="NormalnyWeb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rFonts w:ascii="Tahoma" w:hAnsi="Tahoma" w:cs="Tahoma"/>
          <w:color w:val="000000"/>
        </w:rPr>
      </w:pPr>
      <w:r w:rsidRPr="007E5AB0">
        <w:rPr>
          <w:rFonts w:ascii="Tahoma" w:hAnsi="Tahoma" w:cs="Tahoma"/>
          <w:color w:val="000000"/>
        </w:rPr>
        <w:t xml:space="preserve">Projektowana ustawa korzystnie wpłynie na zwiększenie popytu na najem i sprzedaż lokali. Jednocześnie wywrze podobny skutek w odniesieniu do dóbr i usług o charakterze konsumpcyjnym. </w:t>
      </w:r>
      <w:r w:rsidR="00B91FED" w:rsidRPr="007E5AB0">
        <w:rPr>
          <w:rFonts w:ascii="Tahoma" w:hAnsi="Tahoma" w:cs="Tahoma"/>
          <w:color w:val="000000"/>
        </w:rPr>
        <w:t>Beneficjenci</w:t>
      </w:r>
      <w:r w:rsidRPr="007E5AB0">
        <w:rPr>
          <w:rFonts w:ascii="Tahoma" w:hAnsi="Tahoma" w:cs="Tahoma"/>
          <w:color w:val="000000"/>
        </w:rPr>
        <w:t xml:space="preserve"> dodatku mieszkaniowego </w:t>
      </w:r>
      <w:r w:rsidR="00B91FED" w:rsidRPr="007E5AB0">
        <w:rPr>
          <w:rFonts w:ascii="Tahoma" w:hAnsi="Tahoma" w:cs="Tahoma"/>
          <w:color w:val="000000"/>
        </w:rPr>
        <w:t xml:space="preserve">na podstawie projektowanych rozwiązań będą mogli przeznaczyć na nie bowiem środki finansowe, które do tej pory przeznaczali na wydatki związane z zajmowaniem lokali. </w:t>
      </w:r>
    </w:p>
    <w:p w14:paraId="5795E89F" w14:textId="3F73EF19" w:rsidR="00903B7C" w:rsidRPr="007E5AB0" w:rsidRDefault="00903B7C" w:rsidP="00903B7C">
      <w:pPr>
        <w:pStyle w:val="NormalnyWeb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rFonts w:ascii="Tahoma" w:hAnsi="Tahoma" w:cs="Tahoma"/>
          <w:color w:val="000000"/>
        </w:rPr>
      </w:pPr>
      <w:r w:rsidRPr="007E5AB0">
        <w:rPr>
          <w:rFonts w:ascii="Tahoma" w:hAnsi="Tahoma" w:cs="Tahoma"/>
          <w:color w:val="000000"/>
        </w:rPr>
        <w:t>Zgodnie z 9a ustawy o dodatkach mieszkaniowych ich wypłata jest zadaniem własnym gminy. Oznacza to, że wzrost wydatków z tego tytułu obciąża w każdym przypadku budżet gminy. Rozwiązania przewidziane projektowaną ustawą mogą przyczynić się do wzrostu wydatków poszczególnych gmin na wypłatę dodatków mieszkaniowych. Mają one jednak – zarówno co do ich wprowadzenia, jak i zakresu – charakter fakultatywny. Oznacza to, że o tym, czy w danej gminie rozszerzony zostanie krąg osób uprawnionych do dodatku mieszkaniowego lub zwiększona zostanie jego wysokość</w:t>
      </w:r>
      <w:r w:rsidR="00FA0137" w:rsidRPr="007E5AB0">
        <w:rPr>
          <w:rFonts w:ascii="Tahoma" w:hAnsi="Tahoma" w:cs="Tahoma"/>
          <w:color w:val="000000"/>
        </w:rPr>
        <w:t>,</w:t>
      </w:r>
      <w:r w:rsidRPr="007E5AB0">
        <w:rPr>
          <w:rFonts w:ascii="Tahoma" w:hAnsi="Tahoma" w:cs="Tahoma"/>
          <w:color w:val="000000"/>
        </w:rPr>
        <w:t xml:space="preserve"> rozstrzygać będzie na zasadzie wyłączności rada gminy. Z tego powodu nie jest możliwe przeprowadzenie szacunku skutków finansowych projektowanych rozwiązań. W założeniu bowiem niektóre gminy nie skorzystają w ogóle z upoważnień przewidzianych projektem, niektóre z nich uczynią to w części, a niektóre – w całości. W tych zaś ewentualny wzrost wydatków z tytułu wypłat dodatków mieszkaniowych będzie uzależniony od liczby osób uprawnionych do nich, na którą z kolei bezpośrednio ma wpływ m.in. sytuacja demograficzna i mieszkaniowa w gminie. </w:t>
      </w:r>
    </w:p>
    <w:p w14:paraId="1ABF554F" w14:textId="77777777" w:rsidR="00070864" w:rsidRPr="007E5AB0" w:rsidRDefault="00070864" w:rsidP="00070864">
      <w:pPr>
        <w:pStyle w:val="NormalnyWeb"/>
        <w:shd w:val="clear" w:color="auto" w:fill="FFFFFF"/>
        <w:spacing w:before="0" w:beforeAutospacing="0" w:after="0" w:afterAutospacing="0" w:line="360" w:lineRule="auto"/>
        <w:rPr>
          <w:rFonts w:ascii="Tahoma" w:hAnsi="Tahoma" w:cs="Tahoma"/>
          <w:b/>
          <w:bCs/>
          <w:color w:val="000000"/>
        </w:rPr>
      </w:pPr>
    </w:p>
    <w:p w14:paraId="393874B1" w14:textId="1B9B2E66" w:rsidR="00070864" w:rsidRPr="007E5AB0" w:rsidRDefault="00070864" w:rsidP="00070864">
      <w:pPr>
        <w:pStyle w:val="NormalnyWeb"/>
        <w:shd w:val="clear" w:color="auto" w:fill="FFFFFF"/>
        <w:spacing w:before="0" w:beforeAutospacing="0" w:after="0" w:afterAutospacing="0" w:line="360" w:lineRule="auto"/>
        <w:ind w:firstLine="708"/>
        <w:rPr>
          <w:rFonts w:ascii="Tahoma" w:hAnsi="Tahoma" w:cs="Tahoma"/>
          <w:b/>
          <w:bCs/>
          <w:color w:val="000000"/>
        </w:rPr>
      </w:pPr>
      <w:r w:rsidRPr="007E5AB0">
        <w:rPr>
          <w:rFonts w:ascii="Tahoma" w:hAnsi="Tahoma" w:cs="Tahoma"/>
          <w:b/>
          <w:bCs/>
          <w:color w:val="000000"/>
        </w:rPr>
        <w:t>4. Źródła finansowania</w:t>
      </w:r>
    </w:p>
    <w:p w14:paraId="2B4FC138" w14:textId="77777777" w:rsidR="00F47011" w:rsidRPr="007E5AB0" w:rsidRDefault="00F47011" w:rsidP="00070864">
      <w:pPr>
        <w:pStyle w:val="NormalnyWeb"/>
        <w:shd w:val="clear" w:color="auto" w:fill="FFFFFF"/>
        <w:spacing w:before="0" w:beforeAutospacing="0" w:after="0" w:afterAutospacing="0" w:line="360" w:lineRule="auto"/>
        <w:ind w:firstLine="708"/>
        <w:rPr>
          <w:rFonts w:ascii="Tahoma" w:hAnsi="Tahoma" w:cs="Tahoma"/>
          <w:b/>
          <w:bCs/>
          <w:color w:val="000000"/>
        </w:rPr>
      </w:pPr>
    </w:p>
    <w:p w14:paraId="332A0F9E" w14:textId="1DC27D45" w:rsidR="00903B7C" w:rsidRPr="007E5AB0" w:rsidRDefault="00903B7C" w:rsidP="00903B7C">
      <w:pPr>
        <w:pStyle w:val="NormalnyWeb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rFonts w:ascii="Tahoma" w:hAnsi="Tahoma" w:cs="Tahoma"/>
          <w:b/>
          <w:bCs/>
          <w:color w:val="000000"/>
        </w:rPr>
      </w:pPr>
      <w:r w:rsidRPr="007E5AB0">
        <w:rPr>
          <w:rFonts w:ascii="Tahoma" w:hAnsi="Tahoma" w:cs="Tahoma"/>
          <w:color w:val="000000"/>
        </w:rPr>
        <w:t>Zgodnie z 9a ustawy o dodatkach mieszkaniowych ich wypłata jest zadaniem własnym gminy. Oznacza to, że wzrost wydatków z tego tytułu obciąża w każdym przypadku budżet gminy.</w:t>
      </w:r>
      <w:r w:rsidR="00D33ABB" w:rsidRPr="007E5AB0">
        <w:rPr>
          <w:rFonts w:ascii="Tahoma" w:hAnsi="Tahoma" w:cs="Tahoma"/>
          <w:color w:val="000000"/>
        </w:rPr>
        <w:t xml:space="preserve"> Źródłem finansowania rozwiązań przewidzianych projektem będą więc budżety gmin, które skorzystają z upoważnień przewidzianych projektem i rozszerzą krąg osób uprawnionych do dodatków mieszkaniowych lub zwiększą ich wysokość. </w:t>
      </w:r>
    </w:p>
    <w:p w14:paraId="50BBDD1F" w14:textId="54D7FC5D" w:rsidR="003007E8" w:rsidRPr="007E5AB0" w:rsidRDefault="003007E8" w:rsidP="00070864">
      <w:pPr>
        <w:pStyle w:val="NormalnyWeb"/>
        <w:shd w:val="clear" w:color="auto" w:fill="FFFFFF"/>
        <w:spacing w:before="0" w:beforeAutospacing="0" w:after="0" w:afterAutospacing="0" w:line="360" w:lineRule="auto"/>
        <w:ind w:firstLine="708"/>
        <w:rPr>
          <w:rFonts w:ascii="Tahoma" w:hAnsi="Tahoma" w:cs="Tahoma"/>
          <w:b/>
          <w:bCs/>
          <w:color w:val="000000"/>
        </w:rPr>
      </w:pPr>
    </w:p>
    <w:p w14:paraId="1CF5453C" w14:textId="047F62B5" w:rsidR="00070864" w:rsidRPr="007E5AB0" w:rsidRDefault="00070864" w:rsidP="00070864">
      <w:pPr>
        <w:pStyle w:val="NormalnyWeb"/>
        <w:shd w:val="clear" w:color="auto" w:fill="FFFFFF"/>
        <w:spacing w:before="0" w:beforeAutospacing="0" w:after="0" w:afterAutospacing="0" w:line="360" w:lineRule="auto"/>
        <w:ind w:firstLine="708"/>
        <w:rPr>
          <w:rFonts w:ascii="Tahoma" w:hAnsi="Tahoma" w:cs="Tahoma"/>
          <w:b/>
          <w:bCs/>
          <w:color w:val="000000"/>
        </w:rPr>
      </w:pPr>
      <w:r w:rsidRPr="007E5AB0">
        <w:rPr>
          <w:rFonts w:ascii="Tahoma" w:hAnsi="Tahoma" w:cs="Tahoma"/>
          <w:b/>
          <w:bCs/>
          <w:color w:val="000000"/>
        </w:rPr>
        <w:lastRenderedPageBreak/>
        <w:t>5. Założenia podstawowych aktów wykonawczych</w:t>
      </w:r>
    </w:p>
    <w:p w14:paraId="25FA6357" w14:textId="77777777" w:rsidR="00F47011" w:rsidRPr="007E5AB0" w:rsidRDefault="00F47011" w:rsidP="00070864">
      <w:pPr>
        <w:pStyle w:val="NormalnyWeb"/>
        <w:shd w:val="clear" w:color="auto" w:fill="FFFFFF"/>
        <w:spacing w:before="0" w:beforeAutospacing="0" w:after="0" w:afterAutospacing="0" w:line="360" w:lineRule="auto"/>
        <w:ind w:firstLine="708"/>
        <w:rPr>
          <w:rFonts w:ascii="Tahoma" w:hAnsi="Tahoma" w:cs="Tahoma"/>
          <w:b/>
          <w:bCs/>
          <w:color w:val="000000"/>
        </w:rPr>
      </w:pPr>
    </w:p>
    <w:p w14:paraId="75A04AA7" w14:textId="5DA875A9" w:rsidR="00070864" w:rsidRPr="007E5AB0" w:rsidRDefault="005867F4" w:rsidP="002F0095">
      <w:pPr>
        <w:pStyle w:val="NormalnyWeb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rFonts w:ascii="Tahoma" w:hAnsi="Tahoma" w:cs="Tahoma"/>
        </w:rPr>
      </w:pPr>
      <w:r w:rsidRPr="007E5AB0">
        <w:rPr>
          <w:rFonts w:ascii="Tahoma" w:hAnsi="Tahoma" w:cs="Tahoma"/>
          <w:color w:val="000000"/>
        </w:rPr>
        <w:t xml:space="preserve">Projekt nie przewiduje nowych upoważnień do wydawania aktów wykonawczych. Zawiera on jedynie upoważnienia do wydawania aktów prawa miejscowego, które są wprawdzie wydawane na podstawie ustawy, ale nie w celu jej wykonania. Projektowana ustawa zawiera jednak zmianę jednego przepisu upoważniającego do wydania rozporządzenia. Projekt przewiduje rozszerzenie </w:t>
      </w:r>
      <w:r w:rsidR="00B01774" w:rsidRPr="007E5AB0">
        <w:rPr>
          <w:rFonts w:ascii="Tahoma" w:hAnsi="Tahoma" w:cs="Tahoma"/>
          <w:color w:val="000000"/>
        </w:rPr>
        <w:t xml:space="preserve">katalogu wytycznych co do treści rozporządzenia wydawanego na podstawie art. 7 ust. 15 ustawy o dodatkach mieszkaniowych, tj. określającego </w:t>
      </w:r>
      <w:r w:rsidR="00B01774" w:rsidRPr="007E5AB0">
        <w:rPr>
          <w:rFonts w:ascii="Tahoma" w:hAnsi="Tahoma" w:cs="Tahoma"/>
        </w:rPr>
        <w:t xml:space="preserve">sposób przeprowadzania wywiadu środowiskowego, w tym wzór kwestionariusza wywiadu, wzór oświadczenia o stanie majątkowym wnioskodawcy i innych członków gospodarstwa domowego oraz wzór legitymacji pracownika upoważnionego do przeprowadzenia wywiadu. W obowiązującym stanie prawnym wytyczne obejmują czytelność danych zawartych we wzorach. Projekt przewiduje dodatkowo </w:t>
      </w:r>
      <w:r w:rsidR="002F0095" w:rsidRPr="007E5AB0">
        <w:rPr>
          <w:rFonts w:ascii="Tahoma" w:hAnsi="Tahoma" w:cs="Tahoma"/>
        </w:rPr>
        <w:t xml:space="preserve">jako wytyczną </w:t>
      </w:r>
      <w:r w:rsidR="00B01774" w:rsidRPr="007E5AB0">
        <w:rPr>
          <w:rFonts w:ascii="Tahoma" w:hAnsi="Tahoma" w:cs="Tahoma"/>
        </w:rPr>
        <w:t xml:space="preserve">potrzebę zróżnicowania przedmiotu wywiadu środowiskowego w zależności od przesłanek przyznania dodatku mieszkaniowego. Rozwiązanie to jest konsekwencją treści art. 3 ust. 1b ustawy o dodatkach mieszkaniowych w projektowanym brzmieniu. </w:t>
      </w:r>
      <w:r w:rsidR="00745CE6" w:rsidRPr="007E5AB0">
        <w:rPr>
          <w:rFonts w:ascii="Tahoma" w:hAnsi="Tahoma" w:cs="Tahoma"/>
        </w:rPr>
        <w:t>Przewiduje on bowiem odrębne, niewystępujące w dotychczasowym stanie prawnym przesłanki nabycia prawa do dodatku mieszkaniowego</w:t>
      </w:r>
      <w:r w:rsidR="00114DC1" w:rsidRPr="007E5AB0">
        <w:rPr>
          <w:rFonts w:ascii="Tahoma" w:hAnsi="Tahoma" w:cs="Tahoma"/>
        </w:rPr>
        <w:t xml:space="preserve">. Odnoszą się one do wieku, sytuacji rodzinnej i osobistej osoby uprawnionej. </w:t>
      </w:r>
      <w:r w:rsidR="002F0095" w:rsidRPr="007E5AB0">
        <w:rPr>
          <w:rFonts w:ascii="Tahoma" w:hAnsi="Tahoma" w:cs="Tahoma"/>
        </w:rPr>
        <w:t xml:space="preserve">W tym stanie rzeczy rozporządzenie wydane na podstawie art. 3 ust. 1b ustawy o dodatkach mieszkaniowych powinno przewidywać jako przedmiot wywiadu środowiskowego także sytuację rodzinną i osobistą strony. Wzór kwestionariusza wywiadu środowiskowego powinien zaś obejmować wyłącznie – jeśli dotyczy strony ubiegającej się o dodatek mieszkaniowy na podstawie art. 3 ust. 1b ustawy o dodatkach mieszkaniowych – dane identyfikacyjne strony oraz informacje dotyczące jej wieku, sytuacji rodzinnej i osobistej w zakresie przesłanek wymienionych przez ten przepis. </w:t>
      </w:r>
    </w:p>
    <w:p w14:paraId="0B899E21" w14:textId="77777777" w:rsidR="005867F4" w:rsidRPr="007E5AB0" w:rsidRDefault="005867F4" w:rsidP="00B01774">
      <w:pPr>
        <w:pStyle w:val="NormalnyWeb"/>
        <w:shd w:val="clear" w:color="auto" w:fill="FFFFFF"/>
        <w:spacing w:before="0" w:beforeAutospacing="0" w:after="0" w:afterAutospacing="0" w:line="360" w:lineRule="auto"/>
        <w:rPr>
          <w:rFonts w:ascii="Tahoma" w:hAnsi="Tahoma" w:cs="Tahoma"/>
          <w:b/>
          <w:bCs/>
          <w:color w:val="000000"/>
        </w:rPr>
      </w:pPr>
    </w:p>
    <w:p w14:paraId="215CCD26" w14:textId="52C9E8FA" w:rsidR="00070864" w:rsidRPr="007E5AB0" w:rsidRDefault="00070864" w:rsidP="00070864">
      <w:pPr>
        <w:spacing w:after="0" w:line="360" w:lineRule="auto"/>
        <w:ind w:firstLine="708"/>
        <w:jc w:val="both"/>
        <w:rPr>
          <w:rFonts w:ascii="Tahoma" w:hAnsi="Tahoma" w:cs="Tahoma"/>
          <w:b/>
          <w:bCs/>
          <w:sz w:val="24"/>
          <w:szCs w:val="24"/>
        </w:rPr>
      </w:pPr>
      <w:r w:rsidRPr="007E5AB0">
        <w:rPr>
          <w:rFonts w:ascii="Tahoma" w:hAnsi="Tahoma" w:cs="Tahoma"/>
          <w:b/>
          <w:bCs/>
          <w:sz w:val="24"/>
          <w:szCs w:val="24"/>
        </w:rPr>
        <w:t>6. Wpływ na działalność mikroprzedsiębiorców oraz małych i średnich przedsiębiorców</w:t>
      </w:r>
    </w:p>
    <w:p w14:paraId="26FB8E9F" w14:textId="77777777" w:rsidR="00F47011" w:rsidRPr="007E5AB0" w:rsidRDefault="00F47011" w:rsidP="00070864">
      <w:pPr>
        <w:spacing w:after="0" w:line="360" w:lineRule="auto"/>
        <w:ind w:firstLine="708"/>
        <w:jc w:val="both"/>
        <w:rPr>
          <w:rFonts w:ascii="Tahoma" w:hAnsi="Tahoma" w:cs="Tahoma"/>
          <w:b/>
          <w:bCs/>
          <w:sz w:val="24"/>
          <w:szCs w:val="24"/>
        </w:rPr>
      </w:pPr>
    </w:p>
    <w:p w14:paraId="2CFEB79F" w14:textId="22B6BD99" w:rsidR="005867F4" w:rsidRPr="007E5AB0" w:rsidRDefault="005867F4" w:rsidP="00070864">
      <w:pPr>
        <w:spacing w:after="0" w:line="360" w:lineRule="auto"/>
        <w:ind w:firstLine="708"/>
        <w:jc w:val="both"/>
        <w:rPr>
          <w:rFonts w:ascii="Tahoma" w:hAnsi="Tahoma" w:cs="Tahoma"/>
          <w:sz w:val="24"/>
          <w:szCs w:val="24"/>
        </w:rPr>
      </w:pPr>
      <w:r w:rsidRPr="007E5AB0">
        <w:rPr>
          <w:rFonts w:ascii="Tahoma" w:hAnsi="Tahoma" w:cs="Tahoma"/>
          <w:sz w:val="24"/>
          <w:szCs w:val="24"/>
        </w:rPr>
        <w:lastRenderedPageBreak/>
        <w:t xml:space="preserve">Rozwiązania przewidziane projektem mogą wpłynąć na wzrost popytu na </w:t>
      </w:r>
      <w:r w:rsidR="00111082" w:rsidRPr="007E5AB0">
        <w:rPr>
          <w:rFonts w:ascii="Tahoma" w:hAnsi="Tahoma" w:cs="Tahoma"/>
          <w:sz w:val="24"/>
          <w:szCs w:val="24"/>
        </w:rPr>
        <w:t xml:space="preserve">najem oraz sprzedaż lokali. Umowy te mogą być zawierane w ramach działalności gospodarczej, w tym – mikroprzedsiębiorców, małych i średnich przedsiębiorców. Z tego powodu rozwiązania te będą miały korzystny wpływ na ich działalność. Projektowana ustawa nie wiąże się przy tym ze zwiększeniem zakresu obowiązków administracyjnych tych przedsiębiorców. </w:t>
      </w:r>
    </w:p>
    <w:p w14:paraId="5752DB4A" w14:textId="77777777" w:rsidR="00070864" w:rsidRPr="007E5AB0" w:rsidRDefault="00070864" w:rsidP="00070864">
      <w:pPr>
        <w:spacing w:after="0" w:line="360" w:lineRule="auto"/>
        <w:jc w:val="both"/>
        <w:rPr>
          <w:rFonts w:ascii="Tahoma" w:hAnsi="Tahoma" w:cs="Tahoma"/>
          <w:b/>
          <w:bCs/>
          <w:sz w:val="24"/>
          <w:szCs w:val="24"/>
        </w:rPr>
      </w:pPr>
    </w:p>
    <w:p w14:paraId="20B37ED4" w14:textId="6D7FBAD6" w:rsidR="00070864" w:rsidRPr="007E5AB0" w:rsidRDefault="00070864" w:rsidP="00070864">
      <w:pPr>
        <w:pStyle w:val="NormalnyWeb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rFonts w:ascii="Tahoma" w:hAnsi="Tahoma" w:cs="Tahoma"/>
          <w:b/>
          <w:bCs/>
          <w:color w:val="000000"/>
        </w:rPr>
      </w:pPr>
      <w:r w:rsidRPr="007E5AB0">
        <w:rPr>
          <w:rFonts w:ascii="Tahoma" w:hAnsi="Tahoma" w:cs="Tahoma"/>
          <w:b/>
          <w:bCs/>
          <w:color w:val="000000"/>
        </w:rPr>
        <w:t>7. Oświadczenie o zgodności projektu ustawy z prawem Unii Europejskiej albo oświadczenie, że przedmiot projektowanej regulacji nie jest objęty prawem Unii Europejskiej</w:t>
      </w:r>
      <w:r w:rsidR="000A7639">
        <w:rPr>
          <w:rFonts w:ascii="Tahoma" w:hAnsi="Tahoma" w:cs="Tahoma"/>
          <w:b/>
          <w:bCs/>
          <w:color w:val="000000"/>
        </w:rPr>
        <w:t xml:space="preserve"> </w:t>
      </w:r>
    </w:p>
    <w:p w14:paraId="45AB2C29" w14:textId="77777777" w:rsidR="00F47011" w:rsidRPr="007E5AB0" w:rsidRDefault="00F47011" w:rsidP="00070864">
      <w:pPr>
        <w:pStyle w:val="NormalnyWeb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rFonts w:ascii="Tahoma" w:hAnsi="Tahoma" w:cs="Tahoma"/>
          <w:b/>
          <w:bCs/>
          <w:color w:val="000000"/>
        </w:rPr>
      </w:pPr>
    </w:p>
    <w:p w14:paraId="21153DD2" w14:textId="77777777" w:rsidR="00070864" w:rsidRPr="007E5AB0" w:rsidRDefault="00070864" w:rsidP="00070864">
      <w:pPr>
        <w:pStyle w:val="NormalnyWeb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rFonts w:ascii="Tahoma" w:hAnsi="Tahoma" w:cs="Tahoma"/>
          <w:color w:val="000000"/>
        </w:rPr>
      </w:pPr>
      <w:r w:rsidRPr="007E5AB0">
        <w:rPr>
          <w:rFonts w:ascii="Tahoma" w:hAnsi="Tahoma" w:cs="Tahoma"/>
          <w:color w:val="000000"/>
        </w:rPr>
        <w:t>Projektowana ustawa nie jest objęta prawem Unii Europejskiej.</w:t>
      </w:r>
    </w:p>
    <w:p w14:paraId="46F15A9C" w14:textId="77777777" w:rsidR="00070864" w:rsidRPr="007E5AB0" w:rsidRDefault="00070864" w:rsidP="00070864">
      <w:pPr>
        <w:pStyle w:val="NormalnyWeb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rFonts w:ascii="Tahoma" w:hAnsi="Tahoma" w:cs="Tahoma"/>
          <w:b/>
          <w:bCs/>
          <w:color w:val="000000"/>
        </w:rPr>
      </w:pPr>
    </w:p>
    <w:p w14:paraId="342DEACA" w14:textId="11C1D32E" w:rsidR="00070864" w:rsidRPr="007E5AB0" w:rsidRDefault="00070864" w:rsidP="00070864">
      <w:pPr>
        <w:pStyle w:val="NormalnyWeb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rFonts w:ascii="Tahoma" w:hAnsi="Tahoma" w:cs="Tahoma"/>
          <w:b/>
          <w:bCs/>
          <w:color w:val="000000"/>
        </w:rPr>
      </w:pPr>
      <w:r w:rsidRPr="007E5AB0">
        <w:rPr>
          <w:rFonts w:ascii="Tahoma" w:hAnsi="Tahoma" w:cs="Tahoma"/>
          <w:b/>
          <w:bCs/>
          <w:color w:val="000000"/>
        </w:rPr>
        <w:t>8. Konsultacje społeczne</w:t>
      </w:r>
    </w:p>
    <w:p w14:paraId="53CF45A1" w14:textId="77777777" w:rsidR="00F47011" w:rsidRPr="007E5AB0" w:rsidRDefault="00F47011" w:rsidP="00070864">
      <w:pPr>
        <w:pStyle w:val="NormalnyWeb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rFonts w:ascii="Tahoma" w:hAnsi="Tahoma" w:cs="Tahoma"/>
          <w:b/>
          <w:bCs/>
          <w:color w:val="000000"/>
        </w:rPr>
      </w:pPr>
    </w:p>
    <w:p w14:paraId="42E7AE72" w14:textId="47BF22F9" w:rsidR="00070864" w:rsidRPr="007E5AB0" w:rsidRDefault="00070864" w:rsidP="00070864">
      <w:pPr>
        <w:pStyle w:val="NormalnyWeb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rFonts w:ascii="Tahoma" w:hAnsi="Tahoma" w:cs="Tahoma"/>
          <w:color w:val="000000"/>
        </w:rPr>
      </w:pPr>
      <w:r w:rsidRPr="007E5AB0">
        <w:rPr>
          <w:rFonts w:ascii="Tahoma" w:hAnsi="Tahoma" w:cs="Tahoma"/>
          <w:color w:val="000000"/>
        </w:rPr>
        <w:t xml:space="preserve">Projekt nie był poddany konsultacjom społecznym, ale uwzględnia uwagi przekazane przez zainteresowane środowiska. </w:t>
      </w:r>
    </w:p>
    <w:p w14:paraId="0AAD8C9E" w14:textId="3EF83AED" w:rsidR="00A16755" w:rsidRPr="007E5AB0" w:rsidRDefault="00A16755" w:rsidP="00070864">
      <w:pPr>
        <w:pStyle w:val="NormalnyWeb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rFonts w:ascii="Tahoma" w:hAnsi="Tahoma" w:cs="Tahoma"/>
          <w:color w:val="000000"/>
        </w:rPr>
      </w:pPr>
    </w:p>
    <w:p w14:paraId="492641FB" w14:textId="77777777" w:rsidR="00A16755" w:rsidRPr="007E5AB0" w:rsidRDefault="00A16755" w:rsidP="00070864">
      <w:pPr>
        <w:pStyle w:val="NormalnyWeb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rFonts w:ascii="Tahoma" w:hAnsi="Tahoma" w:cs="Tahoma"/>
          <w:b/>
          <w:bCs/>
          <w:color w:val="000000"/>
        </w:rPr>
        <w:sectPr w:rsidR="00A16755" w:rsidRPr="007E5AB0">
          <w:footerReference w:type="default" r:id="rId7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  <w:bookmarkStart w:id="0" w:name="_GoBack"/>
      <w:bookmarkEnd w:id="0"/>
    </w:p>
    <w:p w14:paraId="53F97269" w14:textId="577546B4" w:rsidR="00A16755" w:rsidRPr="007E5AB0" w:rsidRDefault="00A16755" w:rsidP="002F0B8D">
      <w:pPr>
        <w:spacing w:after="0" w:line="360" w:lineRule="auto"/>
        <w:jc w:val="center"/>
        <w:rPr>
          <w:rFonts w:ascii="Tahoma" w:hAnsi="Tahoma" w:cs="Tahoma"/>
          <w:b/>
          <w:bCs/>
          <w:color w:val="000000"/>
        </w:rPr>
      </w:pPr>
    </w:p>
    <w:sectPr w:rsidR="00A16755" w:rsidRPr="007E5AB0" w:rsidSect="00781ADB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D5B58CD" w14:textId="77777777" w:rsidR="007B584E" w:rsidRDefault="007B584E" w:rsidP="00DA64DC">
      <w:pPr>
        <w:spacing w:after="0" w:line="240" w:lineRule="auto"/>
      </w:pPr>
      <w:r>
        <w:separator/>
      </w:r>
    </w:p>
  </w:endnote>
  <w:endnote w:type="continuationSeparator" w:id="0">
    <w:p w14:paraId="48798E85" w14:textId="77777777" w:rsidR="007B584E" w:rsidRDefault="007B584E" w:rsidP="00DA64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56246831"/>
      <w:docPartObj>
        <w:docPartGallery w:val="Page Numbers (Bottom of Page)"/>
        <w:docPartUnique/>
      </w:docPartObj>
    </w:sdtPr>
    <w:sdtEndPr/>
    <w:sdtContent>
      <w:p w14:paraId="661EF736" w14:textId="0C1EC9B4" w:rsidR="007E5AB0" w:rsidRDefault="007E5AB0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F0B8D">
          <w:rPr>
            <w:noProof/>
          </w:rPr>
          <w:t>8</w:t>
        </w:r>
        <w:r>
          <w:fldChar w:fldCharType="end"/>
        </w:r>
      </w:p>
    </w:sdtContent>
  </w:sdt>
  <w:p w14:paraId="75C3C171" w14:textId="77777777" w:rsidR="007E5AB0" w:rsidRDefault="007E5AB0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C6FAE4C" w14:textId="77777777" w:rsidR="007B584E" w:rsidRDefault="007B584E" w:rsidP="00DA64DC">
      <w:pPr>
        <w:spacing w:after="0" w:line="240" w:lineRule="auto"/>
      </w:pPr>
      <w:r>
        <w:separator/>
      </w:r>
    </w:p>
  </w:footnote>
  <w:footnote w:type="continuationSeparator" w:id="0">
    <w:p w14:paraId="0BE246AC" w14:textId="77777777" w:rsidR="007B584E" w:rsidRDefault="007B584E" w:rsidP="00DA64D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1178E0"/>
    <w:multiLevelType w:val="multilevel"/>
    <w:tmpl w:val="18AE1C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05CE"/>
    <w:rsid w:val="000039B6"/>
    <w:rsid w:val="000436C3"/>
    <w:rsid w:val="0005666A"/>
    <w:rsid w:val="00057B5E"/>
    <w:rsid w:val="00070864"/>
    <w:rsid w:val="000A7639"/>
    <w:rsid w:val="000A7726"/>
    <w:rsid w:val="000B0D57"/>
    <w:rsid w:val="000B16D5"/>
    <w:rsid w:val="00110BA7"/>
    <w:rsid w:val="00111082"/>
    <w:rsid w:val="00114479"/>
    <w:rsid w:val="00114DC1"/>
    <w:rsid w:val="00137825"/>
    <w:rsid w:val="001A12E9"/>
    <w:rsid w:val="001C2F85"/>
    <w:rsid w:val="001D504A"/>
    <w:rsid w:val="001F1C1A"/>
    <w:rsid w:val="0020771A"/>
    <w:rsid w:val="00217F7B"/>
    <w:rsid w:val="00233A9C"/>
    <w:rsid w:val="00236DA9"/>
    <w:rsid w:val="002A17C7"/>
    <w:rsid w:val="002F0095"/>
    <w:rsid w:val="002F0B8D"/>
    <w:rsid w:val="003007E8"/>
    <w:rsid w:val="003150AD"/>
    <w:rsid w:val="00387005"/>
    <w:rsid w:val="003F347F"/>
    <w:rsid w:val="00403EB5"/>
    <w:rsid w:val="00423C40"/>
    <w:rsid w:val="0042743D"/>
    <w:rsid w:val="004500BA"/>
    <w:rsid w:val="00452B73"/>
    <w:rsid w:val="004717A0"/>
    <w:rsid w:val="00535F92"/>
    <w:rsid w:val="00573DE6"/>
    <w:rsid w:val="005867F4"/>
    <w:rsid w:val="005D576C"/>
    <w:rsid w:val="005F17E8"/>
    <w:rsid w:val="005F2C50"/>
    <w:rsid w:val="005F2E25"/>
    <w:rsid w:val="00663305"/>
    <w:rsid w:val="006B40B5"/>
    <w:rsid w:val="006D3EF0"/>
    <w:rsid w:val="00704CE5"/>
    <w:rsid w:val="00745CE6"/>
    <w:rsid w:val="00780119"/>
    <w:rsid w:val="007B584E"/>
    <w:rsid w:val="007E2CD5"/>
    <w:rsid w:val="007E5AB0"/>
    <w:rsid w:val="008657BE"/>
    <w:rsid w:val="008A1376"/>
    <w:rsid w:val="008D59A1"/>
    <w:rsid w:val="00903B7C"/>
    <w:rsid w:val="009164F7"/>
    <w:rsid w:val="00962DA6"/>
    <w:rsid w:val="0099431E"/>
    <w:rsid w:val="009A6202"/>
    <w:rsid w:val="009A6899"/>
    <w:rsid w:val="009C6C65"/>
    <w:rsid w:val="009E6526"/>
    <w:rsid w:val="009F73FC"/>
    <w:rsid w:val="00A11A2C"/>
    <w:rsid w:val="00A138DC"/>
    <w:rsid w:val="00A16755"/>
    <w:rsid w:val="00A4750C"/>
    <w:rsid w:val="00AA05CE"/>
    <w:rsid w:val="00AC740C"/>
    <w:rsid w:val="00B01774"/>
    <w:rsid w:val="00B03F3C"/>
    <w:rsid w:val="00B550A5"/>
    <w:rsid w:val="00B91FED"/>
    <w:rsid w:val="00BB6D57"/>
    <w:rsid w:val="00BE3D58"/>
    <w:rsid w:val="00C539D4"/>
    <w:rsid w:val="00C87724"/>
    <w:rsid w:val="00C9444F"/>
    <w:rsid w:val="00D33ABB"/>
    <w:rsid w:val="00D858B3"/>
    <w:rsid w:val="00DA64DC"/>
    <w:rsid w:val="00DC10AD"/>
    <w:rsid w:val="00DD31FC"/>
    <w:rsid w:val="00E442B7"/>
    <w:rsid w:val="00E74D42"/>
    <w:rsid w:val="00EC1A2C"/>
    <w:rsid w:val="00ED0043"/>
    <w:rsid w:val="00ED4285"/>
    <w:rsid w:val="00ED70D5"/>
    <w:rsid w:val="00EE37AA"/>
    <w:rsid w:val="00EF1782"/>
    <w:rsid w:val="00F017EF"/>
    <w:rsid w:val="00F41D4D"/>
    <w:rsid w:val="00F47011"/>
    <w:rsid w:val="00FA0137"/>
    <w:rsid w:val="00FD7507"/>
    <w:rsid w:val="00FE4C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96E765"/>
  <w15:chartTrackingRefBased/>
  <w15:docId w15:val="{5EABD938-9C07-4A51-8B20-DD8446E168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0708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0B16D5"/>
    <w:rPr>
      <w:color w:val="0000FF"/>
      <w:u w:val="singl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A64DC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A64DC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DA64DC"/>
    <w:rPr>
      <w:vertAlign w:val="superscript"/>
    </w:rPr>
  </w:style>
  <w:style w:type="table" w:styleId="Tabela-Siatka">
    <w:name w:val="Table Grid"/>
    <w:basedOn w:val="Standardowy"/>
    <w:uiPriority w:val="39"/>
    <w:rsid w:val="00A167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7E5AB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E5AB0"/>
  </w:style>
  <w:style w:type="paragraph" w:styleId="Stopka">
    <w:name w:val="footer"/>
    <w:basedOn w:val="Normalny"/>
    <w:link w:val="StopkaZnak"/>
    <w:uiPriority w:val="99"/>
    <w:unhideWhenUsed/>
    <w:rsid w:val="007E5AB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E5A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545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24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6755955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1976</Words>
  <Characters>11860</Characters>
  <Application>Microsoft Office Word</Application>
  <DocSecurity>0</DocSecurity>
  <Lines>98</Lines>
  <Paragraphs>27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Sebastian Gajewski</dc:creator>
  <cp:keywords/>
  <dc:description/>
  <cp:lastModifiedBy>Grzegorz Molesztak</cp:lastModifiedBy>
  <cp:revision>5</cp:revision>
  <dcterms:created xsi:type="dcterms:W3CDTF">2021-06-08T13:49:00Z</dcterms:created>
  <dcterms:modified xsi:type="dcterms:W3CDTF">2021-06-23T09:29:00Z</dcterms:modified>
</cp:coreProperties>
</file>