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F83" w:rsidRDefault="00EB6F83" w:rsidP="00362AFF">
      <w:pPr>
        <w:pStyle w:val="OZNRODZAKTUtznustawalubrozporzdzenieiorganwydajcy"/>
      </w:pPr>
      <w:bookmarkStart w:id="0" w:name="_GoBack"/>
      <w:bookmarkEnd w:id="0"/>
      <w:r>
        <w:t>uzasadnienie</w:t>
      </w:r>
    </w:p>
    <w:p w:rsidR="00EB6F83" w:rsidRDefault="00EB6F83" w:rsidP="006B0FCA">
      <w:pPr>
        <w:pStyle w:val="ARTartustawynprozporzdzenia"/>
      </w:pPr>
    </w:p>
    <w:p w:rsidR="00EB6F83" w:rsidRPr="008C38AD" w:rsidRDefault="00EB6F83" w:rsidP="008C38AD">
      <w:pPr>
        <w:pStyle w:val="ARTartustawynprozporzdzenia"/>
      </w:pPr>
      <w:r w:rsidRPr="008C38AD">
        <w:t>Ustawa w proponowanej wersji poszerza możliwości nieodpłatnego przekazania na rzecz jednostki samorządu terytorialnego nieruchomości wchodzących w skład Zasobu Własności Rolnej Skarbu Państwa</w:t>
      </w:r>
      <w:r>
        <w:t>, zwanego dalej „Zasobem”</w:t>
      </w:r>
      <w:r w:rsidRPr="008C38AD">
        <w:t xml:space="preserve">. Zachowano przy tym wymóg zgody właściwego ministra, co pozwoli zachować gwarancje zabezpieczenia interesu Skarbu Państwa. W obecnym stanie prawnym brak jest ustawowego upoważnienia dla </w:t>
      </w:r>
      <w:r>
        <w:t>Krajowego Ośrodka Wsparcia Rolnictwa</w:t>
      </w:r>
      <w:r w:rsidRPr="008C38AD">
        <w:t xml:space="preserve"> do takiej czynności, co uniemożliwia jej dokonanie. </w:t>
      </w:r>
    </w:p>
    <w:p w:rsidR="00EB6F83" w:rsidRPr="008C38AD" w:rsidRDefault="00EB6F83" w:rsidP="008C38AD">
      <w:pPr>
        <w:pStyle w:val="ARTartustawynprozporzdzenia"/>
      </w:pPr>
      <w:r>
        <w:t>Zakładanie</w:t>
      </w:r>
      <w:r w:rsidRPr="008C38AD">
        <w:t xml:space="preserve"> </w:t>
      </w:r>
      <w:r>
        <w:t>terenów zieleni</w:t>
      </w:r>
      <w:r w:rsidRPr="008C38AD">
        <w:t xml:space="preserve"> rozumianych</w:t>
      </w:r>
      <w:r>
        <w:t>,</w:t>
      </w:r>
      <w:r w:rsidRPr="008C38AD">
        <w:t xml:space="preserve"> </w:t>
      </w:r>
      <w:r>
        <w:t>zgodnie z ustawą z dnia 16 kwietnia 2004 r. o ochronie przyrody</w:t>
      </w:r>
      <w:r w:rsidRPr="008C38AD">
        <w:t xml:space="preserve">, </w:t>
      </w:r>
      <w:r>
        <w:t xml:space="preserve">jako </w:t>
      </w:r>
      <w:r w:rsidRPr="00D855D6">
        <w:t xml:space="preserve">tereny urządzone wraz z infrastrukturą techniczną i budynkami funkcjonalnie z nimi związanymi, pokryte roślinnością, pełniące funkcje publiczne, </w:t>
      </w:r>
      <w:r>
        <w:t>a w </w:t>
      </w:r>
      <w:r w:rsidRPr="00D855D6">
        <w:t>szczególności parki, zieleńce, promenady, bulwary, ogrody botaniczne, zoologiczne, jordanowskie i zabytkowe, cmentarze, zieleń towarzysząca drogom na terenie zabudowy, placom, zabytkowym fortyfikacjom, budynkom, składowiskom, lotniskom, dworcom kolejowym oraz obiektom przemysłowym</w:t>
      </w:r>
      <w:r>
        <w:t xml:space="preserve"> </w:t>
      </w:r>
      <w:r w:rsidRPr="008C38AD">
        <w:t xml:space="preserve">ma długą historię. </w:t>
      </w:r>
      <w:r>
        <w:t>Tereny zieleni</w:t>
      </w:r>
      <w:r w:rsidRPr="008C38AD">
        <w:t xml:space="preserve"> zlokalizowane szczególnie w miastach (choć zmiana ustawy nie ogranicza przekazania  nieruchomości tylko na rzecz terenów miejskich) </w:t>
      </w:r>
      <w:r>
        <w:t>są często namiastką lasu.</w:t>
      </w:r>
    </w:p>
    <w:p w:rsidR="00EB6F83" w:rsidRPr="008C38AD" w:rsidRDefault="00EB6F83" w:rsidP="008C38AD">
      <w:pPr>
        <w:pStyle w:val="ARTartustawynprozporzdzenia"/>
      </w:pPr>
      <w:r>
        <w:t xml:space="preserve">Tereny zieleni </w:t>
      </w:r>
      <w:r w:rsidRPr="008C38AD">
        <w:t xml:space="preserve">są też miejscem bytowania zwierząt, głównie ptaków i małych ssaków. </w:t>
      </w:r>
      <w:r>
        <w:t>Tereny zieleni, w szczególności p</w:t>
      </w:r>
      <w:r w:rsidRPr="008C38AD">
        <w:t>ark</w:t>
      </w:r>
      <w:r>
        <w:t>i,</w:t>
      </w:r>
      <w:r w:rsidRPr="008C38AD">
        <w:t xml:space="preserve"> ma</w:t>
      </w:r>
      <w:r>
        <w:t>ją</w:t>
      </w:r>
      <w:r w:rsidRPr="008C38AD">
        <w:t xml:space="preserve"> propagować kulturę, poszanowanie dla piękna przyrody, a także ed</w:t>
      </w:r>
      <w:r>
        <w:t xml:space="preserve">ukować w </w:t>
      </w:r>
      <w:r w:rsidRPr="008C38AD">
        <w:t xml:space="preserve">zakresie przyrody. Istotą </w:t>
      </w:r>
      <w:r>
        <w:t>terenu zieleni</w:t>
      </w:r>
      <w:r w:rsidRPr="008C38AD">
        <w:t xml:space="preserve"> jest również</w:t>
      </w:r>
      <w:r>
        <w:t xml:space="preserve"> dostęp do świeżego powietrza i </w:t>
      </w:r>
      <w:r w:rsidRPr="008C38AD">
        <w:t>pozbawionej zanieczyszczeń przestrzeni, w granicach  nowo</w:t>
      </w:r>
      <w:r>
        <w:t xml:space="preserve">czesnego miasta. Taki kontakt z </w:t>
      </w:r>
      <w:r w:rsidRPr="008C38AD">
        <w:t>naturą jest szczególnie ważny w okresach pandemii i w zwalczaniu jej negatywnych skutków, służąc zarówno odpoczynkowi, jak i aktywnemu uprawianiu sportów. Dlatego też należy podjąć wszelkie działania umożliwiające ich powstawanie i rozwój, czemu służyć ma zaproponowana nowelizac</w:t>
      </w:r>
      <w:r>
        <w:t xml:space="preserve">ja ustawy o </w:t>
      </w:r>
      <w:r w:rsidRPr="008C38AD">
        <w:t xml:space="preserve">gospodarowaniu nieruchomościami rolnymi Skarbu Państwa. </w:t>
      </w:r>
    </w:p>
    <w:p w:rsidR="00EB6F83" w:rsidRPr="008C38AD" w:rsidRDefault="00EB6F83" w:rsidP="008C38AD">
      <w:pPr>
        <w:pStyle w:val="ARTartustawynprozporzdzenia"/>
      </w:pPr>
      <w:r w:rsidRPr="008C38AD">
        <w:t xml:space="preserve">Z praktyki wiadomo, że w skład Zasobu wchodzą nieruchomości niezagospodarowane, leżące w pobliżu granic, czy na terenie miast, świetnie nadające się na </w:t>
      </w:r>
      <w:r>
        <w:t>zakładanie terenów zieleni</w:t>
      </w:r>
      <w:r w:rsidRPr="008C38AD">
        <w:t>. Z drugiej strony wiadomo, że same miasta cie</w:t>
      </w:r>
      <w:r>
        <w:t>r</w:t>
      </w:r>
      <w:r w:rsidRPr="008C38AD">
        <w:t>pią na brak takich terenów.</w:t>
      </w:r>
      <w:r>
        <w:t xml:space="preserve"> Zwłaszcza w </w:t>
      </w:r>
      <w:r w:rsidRPr="008C38AD">
        <w:t>dużych miastach występuje wysoki stopień urbanizacji, co jest efektem braku możliwości przekształcania gruntów pod tereny zielone. W większości polskich miast proporcje terenów zielonych do określonej liczby ludności znacząco odbiegają od oczekiwanych standardów.</w:t>
      </w:r>
    </w:p>
    <w:p w:rsidR="00EB6F83" w:rsidRPr="008C38AD" w:rsidRDefault="00EB6F83" w:rsidP="008C38AD">
      <w:pPr>
        <w:pStyle w:val="ARTartustawynprozporzdzenia"/>
      </w:pPr>
      <w:r w:rsidRPr="008C38AD">
        <w:lastRenderedPageBreak/>
        <w:t>Projekt niniejszej ustawy nie narzuca rozwiązań, nie czyni z nich aktywności obligatoryjnych, daje jedynie możliwość nieodpłatnego przekazania na rzecz jednostki samorządu terytorialnego nieruchomości</w:t>
      </w:r>
      <w:r>
        <w:t xml:space="preserve"> wchodzących w skład Zasobu, w </w:t>
      </w:r>
      <w:r w:rsidRPr="008C38AD">
        <w:t>sytuacji dobrze uzasadnionego wniosku. Istotne jest, że daje szansę na zaspokojenie istotnych potrzeb społeczności lokalnej.</w:t>
      </w:r>
    </w:p>
    <w:p w:rsidR="00EB6F83" w:rsidRDefault="00EB6F83" w:rsidP="008C38AD">
      <w:pPr>
        <w:pStyle w:val="ARTartustawynprozporzdzenia"/>
      </w:pPr>
      <w:r w:rsidRPr="008C38AD">
        <w:t xml:space="preserve">Uzyskanie nieruchomości przez jednostkę samorządu terytorialnego w sposób nieodpłatny umożliwi przeznaczenie zaoszczędzonych w ten sposób środków na zorganizowanie samego </w:t>
      </w:r>
      <w:r>
        <w:t>terenu zieleni</w:t>
      </w:r>
      <w:r w:rsidRPr="008C38AD">
        <w:t xml:space="preserve"> i wyposażenie go w niezbędną infrastrukturę. Ułatwi t</w:t>
      </w:r>
      <w:r>
        <w:t xml:space="preserve">ym samym realizację zadań tych </w:t>
      </w:r>
      <w:r w:rsidRPr="008C38AD">
        <w:t xml:space="preserve">jednostek, określonych np. w art. </w:t>
      </w:r>
      <w:r>
        <w:t>a</w:t>
      </w:r>
      <w:r w:rsidRPr="008C38AD">
        <w:t>rt.</w:t>
      </w:r>
      <w:r>
        <w:t xml:space="preserve"> 7. </w:t>
      </w:r>
      <w:r w:rsidRPr="008C38AD">
        <w:t>ust 1 pkt 1</w:t>
      </w:r>
      <w:r>
        <w:t xml:space="preserve"> </w:t>
      </w:r>
      <w:r w:rsidRPr="008C38AD">
        <w:t xml:space="preserve">i 12 ustawy </w:t>
      </w:r>
      <w:r w:rsidRPr="00BA23E6">
        <w:t>z</w:t>
      </w:r>
      <w:r>
        <w:t xml:space="preserve"> </w:t>
      </w:r>
      <w:r w:rsidRPr="00BA23E6">
        <w:t>dnia</w:t>
      </w:r>
      <w:r w:rsidRPr="008C38AD">
        <w:t xml:space="preserve"> 8 marca 1990 </w:t>
      </w:r>
      <w:r>
        <w:t xml:space="preserve">r. </w:t>
      </w:r>
      <w:r w:rsidRPr="008C38AD">
        <w:t>o samorządzie gminnym.</w:t>
      </w:r>
    </w:p>
    <w:p w:rsidR="00EB6F83" w:rsidRDefault="00EB6F83" w:rsidP="008C38AD">
      <w:pPr>
        <w:pStyle w:val="ARTartustawynprozporzdzenia"/>
      </w:pPr>
      <w:r>
        <w:t>Ponadto z uwagi na to, że proponowany przepis art. 24 ust. 6 pkt 1 lit. d ustawy o gospodarowaniu nieruchomościami rolnymi Skarbu Państwa będzie pierwszym przepisem w tej ustawie odwołującym się do ustawy z dnia 16 kwietnia 2004 r. o ochronie przyrody w art. 35 ust. 6a zmienianej ustawy należy dokonać zmiany wynikowej mającej na celu skreślenie metryczki ustawy o ochronie przyrody.</w:t>
      </w:r>
    </w:p>
    <w:p w:rsidR="00EB6F83" w:rsidRPr="008C38AD" w:rsidRDefault="00EB6F83" w:rsidP="008C38AD">
      <w:pPr>
        <w:pStyle w:val="ARTartustawynprozporzdzenia"/>
      </w:pPr>
      <w:r>
        <w:t xml:space="preserve">Zgodnie z art. 2 projektowanej ustawy wchodzi ona w życie po upływie 14 dni od dnia ogłoszenia. Zapewnia to minimalne </w:t>
      </w:r>
      <w:r w:rsidRPr="00E9372A">
        <w:rPr>
          <w:rStyle w:val="Kkursywa"/>
        </w:rPr>
        <w:t>vacatio legis</w:t>
      </w:r>
      <w:r>
        <w:t xml:space="preserve"> zgodnie z przepisami art. 4 ust. 1 ustawy z dnia 20 lipca 2000 r. o ogłaszaniu aktów normatywnych i niektórych innych aktów prawnych.</w:t>
      </w:r>
    </w:p>
    <w:p w:rsidR="00EB6F83" w:rsidRPr="008C38AD" w:rsidRDefault="00EB6F83" w:rsidP="008C38AD">
      <w:pPr>
        <w:pStyle w:val="ARTartustawynprozporzdzenia"/>
      </w:pPr>
      <w:r w:rsidRPr="008C38AD">
        <w:t>Projekt ustawy jest z zgodny z prawem Unii Europejskiej.</w:t>
      </w:r>
    </w:p>
    <w:p w:rsidR="00EB6F83" w:rsidRPr="008C38AD" w:rsidRDefault="00EB6F83" w:rsidP="008C38AD">
      <w:pPr>
        <w:pStyle w:val="ARTartustawynprozporzdzenia"/>
      </w:pPr>
      <w:r w:rsidRPr="008C38AD">
        <w:t>Projekt ustawy  nie będzie miał wpływu na sytuację ekonomiczną i społeczną rodziny, a</w:t>
      </w:r>
      <w:r>
        <w:t> </w:t>
      </w:r>
      <w:r w:rsidRPr="008C38AD">
        <w:t>także osób niepełnosprawnych oraz osób starszych.</w:t>
      </w:r>
    </w:p>
    <w:p w:rsidR="00EB6F83" w:rsidRPr="008C38AD" w:rsidRDefault="00EB6F83" w:rsidP="008C38AD">
      <w:pPr>
        <w:pStyle w:val="ARTartustawynprozporzdzenia"/>
      </w:pPr>
      <w:r w:rsidRPr="008C38AD">
        <w:t xml:space="preserve">Projektowana ustawa nie będzie miała bezpośredniego wpływu na rynek pracy. </w:t>
      </w:r>
    </w:p>
    <w:p w:rsidR="00EB6F83" w:rsidRPr="008C38AD" w:rsidRDefault="00EB6F83" w:rsidP="008C38AD">
      <w:pPr>
        <w:pStyle w:val="ARTartustawynprozporzdzenia"/>
      </w:pPr>
      <w:r w:rsidRPr="008C38AD">
        <w:t xml:space="preserve">Projekt ustawy nie zawiera przepisów technicznych i w związku z tym nie podlega notyfikacji w rozumieniu przepisów rozporządzenia Rady Ministrów z dnia 23 grudnia </w:t>
      </w:r>
      <w:r>
        <w:br/>
      </w:r>
      <w:r w:rsidRPr="008C38AD">
        <w:t>2002 r. w sprawie sposobu funkcjonowania krajowego systemu notyfikacji norm i aktów prawnych.</w:t>
      </w:r>
    </w:p>
    <w:p w:rsidR="00EB6F83" w:rsidRDefault="00EB6F83" w:rsidP="006B0FCA">
      <w:pPr>
        <w:pStyle w:val="ARTartustawynprozporzdzenia"/>
      </w:pPr>
      <w:r>
        <w:t>Oczekiwane skutki społeczne, gospodarcze i finansowe oraz wyniki konsultacji są przedstawione w Ocenie Skutków Regulacji. Nadesłane w ramach konsultacji opinie i uwagi zostały zamieszczone na senackiej stronie internetowej.</w:t>
      </w:r>
    </w:p>
    <w:p w:rsidR="00C70646" w:rsidRPr="001B342E" w:rsidRDefault="00C70646" w:rsidP="00C70646"/>
    <w:sectPr w:rsidR="00C70646" w:rsidRPr="001B342E" w:rsidSect="00EB6F83">
      <w:headerReference w:type="default" r:id="rId7"/>
      <w:headerReference w:type="first" r:id="rId8"/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459" w:rsidRDefault="00150459">
      <w:r>
        <w:separator/>
      </w:r>
    </w:p>
  </w:endnote>
  <w:endnote w:type="continuationSeparator" w:id="0">
    <w:p w:rsidR="00150459" w:rsidRDefault="00150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459" w:rsidRDefault="00150459">
      <w:r>
        <w:separator/>
      </w:r>
    </w:p>
  </w:footnote>
  <w:footnote w:type="continuationSeparator" w:id="0">
    <w:p w:rsidR="00150459" w:rsidRDefault="001504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EB6F83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D16A8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6F83" w:rsidRDefault="00EB6F8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1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29"/>
  </w:num>
  <w:num w:numId="42">
    <w:abstractNumId w:val="22"/>
  </w:num>
  <w:num w:numId="43">
    <w:abstractNumId w:val="36"/>
  </w:num>
  <w:num w:numId="44">
    <w:abstractNumId w:val="13"/>
  </w:num>
  <w:num w:numId="45">
    <w:abstractNumId w:val="30"/>
  </w:num>
  <w:num w:numId="4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03A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403A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0459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1F6622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5906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16A8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B6F83"/>
    <w:rsid w:val="00EC4CEB"/>
    <w:rsid w:val="00ED2072"/>
    <w:rsid w:val="00ED5553"/>
    <w:rsid w:val="00ED5E36"/>
    <w:rsid w:val="00ED6961"/>
    <w:rsid w:val="00EF0B96"/>
    <w:rsid w:val="00EF47AF"/>
    <w:rsid w:val="00F00B73"/>
    <w:rsid w:val="00F05998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60CFB91-07A0-47F2-9D78-18BDA2A4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403A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3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EB6F83"/>
    <w:rPr>
      <w:b/>
    </w:rPr>
  </w:style>
  <w:style w:type="character" w:customStyle="1" w:styleId="Kkursywa">
    <w:name w:val="_K_ – kursywa"/>
    <w:basedOn w:val="Domylnaczcionkaakapitu"/>
    <w:uiPriority w:val="1"/>
    <w:qFormat/>
    <w:rsid w:val="00EB6F83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3</TotalTime>
  <Pages>2</Pages>
  <Words>661</Words>
  <Characters>3971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4623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Adam O.</dc:creator>
  <cp:lastModifiedBy>Grzegorz Molesztak</cp:lastModifiedBy>
  <cp:revision>4</cp:revision>
  <cp:lastPrinted>2021-03-26T07:35:00Z</cp:lastPrinted>
  <dcterms:created xsi:type="dcterms:W3CDTF">2021-03-26T07:36:00Z</dcterms:created>
  <dcterms:modified xsi:type="dcterms:W3CDTF">2021-03-29T06:14:00Z</dcterms:modified>
</cp:coreProperties>
</file>