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F15" w:rsidRPr="001C2767" w:rsidRDefault="005D3F15" w:rsidP="00744574">
      <w:pPr>
        <w:pStyle w:val="ARTartustawynprozporzdzenia"/>
        <w:jc w:val="center"/>
        <w:rPr>
          <w:rStyle w:val="Ppogrubienie"/>
          <w:rFonts w:ascii="Times New Roman" w:hAnsi="Times New Roman" w:cs="Times New Roman"/>
          <w:b w:val="0"/>
          <w:szCs w:val="24"/>
        </w:rPr>
      </w:pPr>
      <w:r w:rsidRPr="001C2767">
        <w:rPr>
          <w:rStyle w:val="Ppogrubienie"/>
          <w:rFonts w:ascii="Times New Roman" w:hAnsi="Times New Roman" w:cs="Times New Roman"/>
          <w:b w:val="0"/>
          <w:szCs w:val="24"/>
        </w:rPr>
        <w:t>UZASADNIENIE</w:t>
      </w:r>
    </w:p>
    <w:p w:rsidR="005D3F15" w:rsidRPr="001C2767" w:rsidRDefault="005D3F15" w:rsidP="006A6376">
      <w:pPr>
        <w:pStyle w:val="NIEARTTEKSTtekstnieartykuowanynppodstprawnarozplubpreambua"/>
        <w:ind w:firstLine="0"/>
        <w:rPr>
          <w:rFonts w:ascii="Times New Roman" w:eastAsia="Times New Roman" w:hAnsi="Times New Roman" w:cs="Times New Roman"/>
          <w:b/>
          <w:szCs w:val="24"/>
        </w:rPr>
      </w:pPr>
      <w:r w:rsidRPr="001C2767">
        <w:rPr>
          <w:rFonts w:ascii="Times New Roman" w:eastAsia="Times New Roman" w:hAnsi="Times New Roman" w:cs="Times New Roman"/>
          <w:b/>
          <w:szCs w:val="24"/>
        </w:rPr>
        <w:t>I. Cel projektowanej regulacji.</w:t>
      </w:r>
    </w:p>
    <w:p w:rsidR="005D3F15" w:rsidRPr="006A6376" w:rsidRDefault="005D3F15" w:rsidP="001C2767">
      <w:pPr>
        <w:widowControl/>
        <w:spacing w:before="120"/>
        <w:jc w:val="both"/>
        <w:rPr>
          <w:rFonts w:eastAsia="Times New Roman" w:cs="Times New Roman"/>
          <w:szCs w:val="24"/>
        </w:rPr>
      </w:pPr>
      <w:r w:rsidRPr="006A6376">
        <w:rPr>
          <w:rFonts w:eastAsia="Times New Roman" w:cs="Times New Roman"/>
          <w:szCs w:val="24"/>
        </w:rPr>
        <w:t>Głównym celem projektu ustawy o otwartych danych i ponownym wykorzystywaniu informacji sektora publicznego, zwanego dalej „ustawą” lub „projektem ustawy”, jest implementacja dyrektywy Parlamentu Europejskiego i Rady (UE) 2019/1024 z dnia 20</w:t>
      </w:r>
      <w:r w:rsidR="001C2767">
        <w:rPr>
          <w:rFonts w:eastAsia="Times New Roman" w:cs="Times New Roman"/>
          <w:szCs w:val="24"/>
        </w:rPr>
        <w:t> </w:t>
      </w:r>
      <w:r w:rsidRPr="00744574">
        <w:rPr>
          <w:rFonts w:eastAsia="Times New Roman" w:cs="Times New Roman"/>
          <w:szCs w:val="24"/>
        </w:rPr>
        <w:t>czerwca 2019 r. w sprawie otwartych danych i ponownego wykorzystywania informacji sektora publicznego</w:t>
      </w:r>
      <w:r w:rsidRPr="006A6376">
        <w:rPr>
          <w:rFonts w:eastAsia="Times New Roman" w:cs="Times New Roman"/>
          <w:szCs w:val="24"/>
          <w:vertAlign w:val="superscript"/>
        </w:rPr>
        <w:footnoteReference w:id="1"/>
      </w:r>
      <w:r w:rsidRPr="006A6376">
        <w:rPr>
          <w:rFonts w:eastAsia="Times New Roman" w:cs="Times New Roman"/>
          <w:szCs w:val="24"/>
          <w:vertAlign w:val="superscript"/>
        </w:rPr>
        <w:t>)</w:t>
      </w:r>
      <w:r w:rsidRPr="006A6376">
        <w:rPr>
          <w:rFonts w:eastAsia="Times New Roman" w:cs="Times New Roman"/>
          <w:szCs w:val="24"/>
        </w:rPr>
        <w:t>. Projekt ustawy zakłada również wprowadzenie nowych rozwiązań wykraczających poza minimum wyznaczone dyrektywą, które usp</w:t>
      </w:r>
      <w:r w:rsidRPr="00744574">
        <w:rPr>
          <w:rFonts w:eastAsia="Times New Roman" w:cs="Times New Roman"/>
          <w:szCs w:val="24"/>
        </w:rPr>
        <w:t>rawnią ponowne wykorzystywanie danych. Celem zasadniczym projektowanych regulacji jest zwiększenie podaży otwartych danych, w tym zasobów informacji o istotnej wartości i potencjale do tworzenia nowych usług i produktów, a także stworzenie optymalnego otoczenia regulacyjnego dla efektywnego wykorzystywania informacji sektora publicznego w Polsce. Nowa ustawa zastąpi obecni</w:t>
      </w:r>
      <w:r w:rsidR="001C2767">
        <w:rPr>
          <w:rFonts w:eastAsia="Times New Roman" w:cs="Times New Roman"/>
          <w:szCs w:val="24"/>
        </w:rPr>
        <w:t>e obowiązującą ustawę z dnia 25 </w:t>
      </w:r>
      <w:r w:rsidRPr="00744574">
        <w:rPr>
          <w:rFonts w:eastAsia="Times New Roman" w:cs="Times New Roman"/>
          <w:szCs w:val="24"/>
        </w:rPr>
        <w:t>lutego 2016 r. o ponownym wykorzystywaniu informacji sektora publicznego</w:t>
      </w:r>
      <w:r w:rsidRPr="006A6376">
        <w:rPr>
          <w:rFonts w:eastAsia="Times New Roman" w:cs="Times New Roman"/>
          <w:szCs w:val="24"/>
          <w:vertAlign w:val="superscript"/>
        </w:rPr>
        <w:footnoteReference w:id="2"/>
      </w:r>
      <w:r w:rsidRPr="006A6376">
        <w:rPr>
          <w:rFonts w:eastAsia="Times New Roman" w:cs="Times New Roman"/>
          <w:szCs w:val="24"/>
          <w:vertAlign w:val="superscript"/>
        </w:rPr>
        <w:t>)</w:t>
      </w:r>
      <w:r w:rsidRPr="006A6376">
        <w:rPr>
          <w:rFonts w:eastAsia="Times New Roman" w:cs="Times New Roman"/>
          <w:szCs w:val="24"/>
        </w:rPr>
        <w:t>.</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Informacje sektora publicznego są ważnym materiałem wyjściowym dla produktów i usług związanych z zasobami cyfrowymi o dotychczas niewykorzystanym potencjale. Podmioty publiczne wytwarzają, gromadzą lub przechowują ogromną ilość informacji i treści, poczynając od danych statystycznych, gospodarczych lub środowiskowych, przez materiały archiwalne, po </w:t>
      </w:r>
      <w:proofErr w:type="spellStart"/>
      <w:r w:rsidRPr="00744574">
        <w:rPr>
          <w:rFonts w:eastAsia="Times New Roman" w:cs="Times New Roman"/>
          <w:szCs w:val="24"/>
        </w:rPr>
        <w:t>zdigitalizowane</w:t>
      </w:r>
      <w:proofErr w:type="spellEnd"/>
      <w:r w:rsidRPr="00744574">
        <w:rPr>
          <w:rFonts w:eastAsia="Times New Roman" w:cs="Times New Roman"/>
          <w:szCs w:val="24"/>
        </w:rPr>
        <w:t xml:space="preserve"> księgozbiory lub kolekcje dzieł sztuki. Wraz z rewolucją cyfrową istotnie wzrosła wartość tego rodzaju zasobów dla innowacyjnych produktów lub usług wykorzystujących takie dane. Instytucja ponownego wykorzystywania koncentruje się na wykorzystywaniu gospodarczej wartości informacji sektora publicznego, które służą jako materiał wyjściowych (surowiec) dla rozwoju nowych produktów i usług. Podczas gdy podmioty publiczne są twórcami, dysponentami i dostawcami oryginalnego materiału (danych), sektor prywatny odgrywa istotną rolę jako uczestnik i pośrednik procesu przetwarzania informacji między źródłem danych (podmiot publiczny), a końcowym użytkownikiem. Poza celami gospodarczymi związanymi z napędzaniem innowacji i kreatywności, które stymulują wzrost gospodarczy, możliwość ponownego wykorzystywania informacji wzmacnia również </w:t>
      </w:r>
      <w:r w:rsidRPr="00744574">
        <w:rPr>
          <w:rFonts w:eastAsia="Times New Roman" w:cs="Times New Roman"/>
          <w:szCs w:val="24"/>
        </w:rPr>
        <w:lastRenderedPageBreak/>
        <w:t>pozycję obywateli, wzmacniając tym samym demokrację uczestniczącą oraz promuje przejrzystą, odpowiedzialną i wydajniejszą administrację, funkcjonującą w sposób znacznie bardziej transparenty i efektywny.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Szczególnie istotne jest przy tym rozróżnienie pomiędzy realizacją prawa dostępu do informacji publicznej (</w:t>
      </w:r>
      <w:proofErr w:type="spellStart"/>
      <w:r w:rsidRPr="00744574">
        <w:rPr>
          <w:rFonts w:eastAsia="Times New Roman" w:cs="Times New Roman"/>
          <w:i/>
          <w:szCs w:val="24"/>
        </w:rPr>
        <w:t>access</w:t>
      </w:r>
      <w:proofErr w:type="spellEnd"/>
      <w:r w:rsidRPr="00744574">
        <w:rPr>
          <w:rFonts w:eastAsia="Times New Roman" w:cs="Times New Roman"/>
          <w:i/>
          <w:szCs w:val="24"/>
        </w:rPr>
        <w:t xml:space="preserve"> to public </w:t>
      </w:r>
      <w:proofErr w:type="spellStart"/>
      <w:r w:rsidRPr="00744574">
        <w:rPr>
          <w:rFonts w:eastAsia="Times New Roman" w:cs="Times New Roman"/>
          <w:i/>
          <w:szCs w:val="24"/>
        </w:rPr>
        <w:t>sector</w:t>
      </w:r>
      <w:proofErr w:type="spellEnd"/>
      <w:r w:rsidRPr="00744574">
        <w:rPr>
          <w:rFonts w:eastAsia="Times New Roman" w:cs="Times New Roman"/>
          <w:i/>
          <w:szCs w:val="24"/>
        </w:rPr>
        <w:t xml:space="preserve"> </w:t>
      </w:r>
      <w:proofErr w:type="spellStart"/>
      <w:r w:rsidRPr="00744574">
        <w:rPr>
          <w:rFonts w:eastAsia="Times New Roman" w:cs="Times New Roman"/>
          <w:i/>
          <w:szCs w:val="24"/>
        </w:rPr>
        <w:t>information</w:t>
      </w:r>
      <w:proofErr w:type="spellEnd"/>
      <w:r w:rsidRPr="00744574">
        <w:rPr>
          <w:rFonts w:eastAsia="Times New Roman" w:cs="Times New Roman"/>
          <w:szCs w:val="24"/>
        </w:rPr>
        <w:t>), regulowanego przez ustawę z dnia 6 września 2001 r. o dostępie do informacji publicznej</w:t>
      </w:r>
      <w:r w:rsidRPr="006A6376">
        <w:rPr>
          <w:rFonts w:eastAsia="Times New Roman" w:cs="Times New Roman"/>
          <w:szCs w:val="24"/>
          <w:vertAlign w:val="superscript"/>
        </w:rPr>
        <w:footnoteReference w:id="3"/>
      </w:r>
      <w:r w:rsidRPr="006A6376">
        <w:rPr>
          <w:rFonts w:eastAsia="Times New Roman" w:cs="Times New Roman"/>
          <w:szCs w:val="24"/>
          <w:vertAlign w:val="superscript"/>
        </w:rPr>
        <w:t>)</w:t>
      </w:r>
      <w:r w:rsidRPr="006A6376">
        <w:rPr>
          <w:rFonts w:eastAsia="Times New Roman" w:cs="Times New Roman"/>
          <w:szCs w:val="24"/>
        </w:rPr>
        <w:t>, a eksploatacją (ponownym wykorzystywaniem) informacji sektora publicznego (</w:t>
      </w:r>
      <w:r w:rsidRPr="006A6376">
        <w:rPr>
          <w:rFonts w:eastAsia="Times New Roman" w:cs="Times New Roman"/>
          <w:i/>
          <w:szCs w:val="24"/>
        </w:rPr>
        <w:t>re</w:t>
      </w:r>
      <w:r w:rsidRPr="006A6376">
        <w:rPr>
          <w:rFonts w:eastAsia="Times New Roman" w:cs="Times New Roman"/>
          <w:i/>
          <w:szCs w:val="24"/>
        </w:rPr>
        <w:noBreakHyphen/>
      </w:r>
      <w:proofErr w:type="spellStart"/>
      <w:r w:rsidRPr="006A6376">
        <w:rPr>
          <w:rFonts w:eastAsia="Times New Roman" w:cs="Times New Roman"/>
          <w:i/>
          <w:szCs w:val="24"/>
        </w:rPr>
        <w:t>use</w:t>
      </w:r>
      <w:proofErr w:type="spellEnd"/>
      <w:r w:rsidRPr="006A6376">
        <w:rPr>
          <w:rFonts w:eastAsia="Times New Roman" w:cs="Times New Roman"/>
          <w:i/>
          <w:szCs w:val="24"/>
        </w:rPr>
        <w:t xml:space="preserve"> of public </w:t>
      </w:r>
      <w:proofErr w:type="spellStart"/>
      <w:r w:rsidRPr="006A6376">
        <w:rPr>
          <w:rFonts w:eastAsia="Times New Roman" w:cs="Times New Roman"/>
          <w:i/>
          <w:szCs w:val="24"/>
        </w:rPr>
        <w:t>sector</w:t>
      </w:r>
      <w:proofErr w:type="spellEnd"/>
      <w:r w:rsidRPr="006A6376">
        <w:rPr>
          <w:rFonts w:eastAsia="Times New Roman" w:cs="Times New Roman"/>
          <w:i/>
          <w:szCs w:val="24"/>
        </w:rPr>
        <w:t xml:space="preserve"> </w:t>
      </w:r>
      <w:proofErr w:type="spellStart"/>
      <w:r w:rsidRPr="006A6376">
        <w:rPr>
          <w:rFonts w:eastAsia="Times New Roman" w:cs="Times New Roman"/>
          <w:i/>
          <w:szCs w:val="24"/>
        </w:rPr>
        <w:t>information</w:t>
      </w:r>
      <w:proofErr w:type="spellEnd"/>
      <w:r w:rsidRPr="00744574">
        <w:rPr>
          <w:rFonts w:eastAsia="Times New Roman" w:cs="Times New Roman"/>
          <w:szCs w:val="24"/>
        </w:rPr>
        <w:t>). Pojęcie informacji sektora publicznego jest przy tym szersze niż pojęcie informacji publicznej (szerzej na ten temat w uzasadnieniu do art. 2 pkt 8 projektu ustawy). Dostęp do informacji publicznej, określony w ustawie o dostępie do informacji publicznej stanowi implementację zasady jawności wyrażonej w art. 61 Konstytucji Rzeczypospolitej Polskiej</w:t>
      </w:r>
      <w:r w:rsidRPr="006A6376">
        <w:rPr>
          <w:rFonts w:eastAsia="Times New Roman" w:cs="Times New Roman"/>
          <w:szCs w:val="24"/>
          <w:vertAlign w:val="superscript"/>
        </w:rPr>
        <w:footnoteReference w:id="4"/>
      </w:r>
      <w:r w:rsidRPr="006A6376">
        <w:rPr>
          <w:rFonts w:eastAsia="Times New Roman" w:cs="Times New Roman"/>
          <w:szCs w:val="24"/>
          <w:vertAlign w:val="superscript"/>
        </w:rPr>
        <w:t>)</w:t>
      </w:r>
      <w:r w:rsidRPr="006A6376">
        <w:rPr>
          <w:rFonts w:eastAsia="Times New Roman" w:cs="Times New Roman"/>
          <w:szCs w:val="24"/>
        </w:rPr>
        <w:t>, a prawo do informacji jest uważane za jedno z podstawowych praw człowieka. Natomiast w</w:t>
      </w:r>
      <w:r w:rsidRPr="00744574">
        <w:rPr>
          <w:rFonts w:eastAsia="Times New Roman" w:cs="Times New Roman"/>
          <w:szCs w:val="24"/>
        </w:rPr>
        <w:t xml:space="preserve"> odniesieniu do ponownego wykorzystywania informacji sektora publicznego podkreśla się przede wszystkim jego gospodarczy i społeczny charakter związany z możliwością dalszego wykorzystywania (przetworzenia) informacji.</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Przyjęcie w czerwcu 2019 r. nowej dyrektywy w sprawie otwartych danych – dyrektywy 2019/1024/UE – stanowiło efekt, zainicjowanych przez Komisję Europejską, prac legislacyjnych podjętych w następstwie przeprowadzonego przeglądu dotychczasowych przepisów regulujących ponowne wykorzystywanie informacji sektora publicznego</w:t>
      </w:r>
      <w:r w:rsidRPr="006A6376">
        <w:rPr>
          <w:rFonts w:eastAsia="Times New Roman" w:cs="Times New Roman"/>
          <w:szCs w:val="24"/>
          <w:vertAlign w:val="superscript"/>
        </w:rPr>
        <w:footnoteReference w:id="5"/>
      </w:r>
      <w:r w:rsidRPr="006A6376">
        <w:rPr>
          <w:rFonts w:eastAsia="Times New Roman" w:cs="Times New Roman"/>
          <w:szCs w:val="24"/>
          <w:vertAlign w:val="superscript"/>
        </w:rPr>
        <w:t>)</w:t>
      </w:r>
      <w:r w:rsidRPr="006A6376">
        <w:rPr>
          <w:rFonts w:eastAsia="Times New Roman" w:cs="Times New Roman"/>
          <w:szCs w:val="24"/>
        </w:rPr>
        <w:t xml:space="preserve">. Jest to już trzecia wersja dyrektywy o ponownym wykorzystywaniu informacji sektora publicznego. </w:t>
      </w:r>
      <w:r w:rsidRPr="00744574">
        <w:rPr>
          <w:rFonts w:eastAsia="Times New Roman" w:cs="Times New Roman"/>
          <w:szCs w:val="24"/>
        </w:rPr>
        <w:t>Dyrektywą 2003/98/WE Parlamentu Europejskiego i Rady z dnia 17 listopada 2003 r. w sprawie ponownego wykorzystywania informacji sektora publicznego</w:t>
      </w:r>
      <w:r w:rsidRPr="006A6376">
        <w:rPr>
          <w:rFonts w:eastAsia="Times New Roman" w:cs="Times New Roman"/>
          <w:szCs w:val="24"/>
          <w:vertAlign w:val="superscript"/>
        </w:rPr>
        <w:footnoteReference w:id="6"/>
      </w:r>
      <w:r w:rsidRPr="006A6376">
        <w:rPr>
          <w:rFonts w:eastAsia="Times New Roman" w:cs="Times New Roman"/>
          <w:szCs w:val="24"/>
          <w:vertAlign w:val="superscript"/>
        </w:rPr>
        <w:t>)</w:t>
      </w:r>
      <w:r w:rsidRPr="006A6376">
        <w:rPr>
          <w:rFonts w:eastAsia="Times New Roman" w:cs="Times New Roman"/>
          <w:szCs w:val="24"/>
        </w:rPr>
        <w:t xml:space="preserve"> ustanowiono zestaw minimalnych przepisów określających ponowne wykorzystywanie dokumentów</w:t>
      </w:r>
      <w:r w:rsidRPr="006A6376">
        <w:rPr>
          <w:rFonts w:eastAsia="Times New Roman" w:cs="Times New Roman"/>
          <w:szCs w:val="24"/>
          <w:vertAlign w:val="superscript"/>
        </w:rPr>
        <w:footnoteReference w:id="7"/>
      </w:r>
      <w:r w:rsidRPr="006A6376">
        <w:rPr>
          <w:rFonts w:eastAsia="Times New Roman" w:cs="Times New Roman"/>
          <w:szCs w:val="24"/>
          <w:vertAlign w:val="superscript"/>
        </w:rPr>
        <w:t xml:space="preserve">) </w:t>
      </w:r>
      <w:r w:rsidRPr="006A6376">
        <w:rPr>
          <w:rFonts w:eastAsia="Times New Roman" w:cs="Times New Roman"/>
          <w:szCs w:val="24"/>
        </w:rPr>
        <w:t>będących w posiadaniu organów sektora publicznego państw członkowskich. Druga dyrektywa – dyrektywa Parlamentu Europejskiego i Rady 2013/37/UE z dnia 26</w:t>
      </w:r>
      <w:r w:rsidRPr="00744574">
        <w:rPr>
          <w:rFonts w:eastAsia="Times New Roman" w:cs="Times New Roman"/>
          <w:szCs w:val="24"/>
        </w:rPr>
        <w:t xml:space="preserve"> czerwca 2013 r. zmieniająca dyrektywę 2003/98/WE w sprawie </w:t>
      </w:r>
      <w:r w:rsidRPr="00744574">
        <w:rPr>
          <w:rFonts w:eastAsia="Times New Roman" w:cs="Times New Roman"/>
          <w:szCs w:val="24"/>
        </w:rPr>
        <w:lastRenderedPageBreak/>
        <w:t>ponownego wykorzystywania informacji sektora publicznego</w:t>
      </w:r>
      <w:r w:rsidRPr="006A6376">
        <w:rPr>
          <w:rFonts w:eastAsia="Times New Roman" w:cs="Times New Roman"/>
          <w:szCs w:val="24"/>
          <w:vertAlign w:val="superscript"/>
        </w:rPr>
        <w:footnoteReference w:id="8"/>
      </w:r>
      <w:r w:rsidRPr="006A6376">
        <w:rPr>
          <w:rFonts w:eastAsia="Times New Roman" w:cs="Times New Roman"/>
          <w:szCs w:val="24"/>
          <w:vertAlign w:val="superscript"/>
        </w:rPr>
        <w:t>)</w:t>
      </w:r>
      <w:r w:rsidRPr="006A6376">
        <w:rPr>
          <w:rFonts w:eastAsia="Times New Roman" w:cs="Times New Roman"/>
          <w:szCs w:val="24"/>
        </w:rPr>
        <w:t xml:space="preserve"> poszerzała zakres ponownego wykorzystania o zasoby bibliotek, archiwów i muzeów. Od czasu przyjęcia pierwszego zestawu przepisów dotyczących ponownego wykorzystywania informacji sekt</w:t>
      </w:r>
      <w:r w:rsidRPr="00744574">
        <w:rPr>
          <w:rFonts w:eastAsia="Times New Roman" w:cs="Times New Roman"/>
          <w:szCs w:val="24"/>
        </w:rPr>
        <w:t>ora publicznego ilość danych na świecie, w tym danych publicznych, gwałtownie wzrosła oraz generowane i gromadzone są nowe rodzaje informacji. Jednocześnie zmieniają się i rozwijają technologie wykorzystywane do analizy i przetwarzania danych, jak np. uczenie maszynowe, sztuczna inteligencja czy Internet rzeczy. Powoduje to wzrost liczby nowych usług i nowych zastosowań w oparciu o wykorzystywanie lub agregację danych. W motywie 10 preambuły dyrektywy 2019/1024/UE podkreślono, że przepisy pierwotnie przyjęte w 2003 r. i zmienione w 2013 r. nie dotrzymują już kroku tym szybkim zmianom, co grozi utratą możliwości gospodarczych i społecznych, jakie oferuje ponowne wykorzystywanie danych publicznych.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W związku z powyższym, przyjmując dyrektywę 2019/1024/UE, wskazano na konieczność zaktualizowania dotychczasowych ram ustawodawczych ponownego wykorzystywania informacji sektora publicznego w celu ich dostosowania do postępujących zmian w dziedzinie technologii cyfrowych oraz zapewnienia pełnego wykorzystania potencjału informacji sektora publicznego dla europejskiej gospodarki i europejskiego społeczeństwa. Zasadniczym celem zmian wprowadzonych w nowej dyrektywie jest przede wszystkim zwiększenie ilości danych dostępnych do ponownego wykorzystania z korzyścią dla innowacyjności gospodarki i jakości życia społeczeństwa, aby w większym stopniu wykorzystać potencjał informacji sektora publicznego.</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Główne elementy nowej dyrektywy opierają się na dotychczasowych przepisach i nie będą miały zasadniczego wpływu na procedurę i zasady udostępniania informacji sektora publicznego do ponownego wykorzystywania. Jednocześnie jednak w celu zwiększenia podaży wartościowych danych dostępnych do ponownego wykorzystania wyodrębniono spośród informacji sektora publicznego nowe kategorie danych, tj. dane o wysokiej wartości oraz dane dynamiczne. Dane dynamiczne zdefiniowane zostały w art. 2 pkt 8 dyrektywy 2019/1024/UE jako dokumenty w formie cyfrowej podlegające częstym aktualizacjom lub aktualizacjom w czasie rzeczywistym, w szczególności ze względu na ich zmienność lub szybką dezaktualizację (za takie dane zasadniczo uznano dane wygenerowane przez czujniki). Z kolei zgodnie z art. 2 pkt 10 dyrektywy zbiory danych </w:t>
      </w:r>
      <w:r w:rsidRPr="00744574">
        <w:rPr>
          <w:rFonts w:eastAsia="Times New Roman" w:cs="Times New Roman"/>
          <w:szCs w:val="24"/>
        </w:rPr>
        <w:lastRenderedPageBreak/>
        <w:t>o wysokiej wartości oznaczają dokumenty, których ponowne wykorzystywanie wiąże się z istotnymi korzyściami dla społeczeństwa, środowiska i gospodarki, w szczególności ze względu na ich przydatność do tworzenia usług i zastosowań o wartości dodanej oraz nowych godziwych miejsc pracy wysokiej jakości, a także ze względu na liczbę potencjalnych beneficjentów usług i zastosowań o wartości dodanej opartych na tych zbiorach danych. W odniesieniu do obu wyodrębnionych kategorii informacji sektora publicznego (danych dynamicznych oraz danych o wysokiej wartości) w dyrektywie 2019/1024/UE ustalano szczególne zasady udostępniania tego rodzaju zasobów do ponownego wykorzystywania, dotyczą one m.in. konieczności zapewnienia użytkownikom dostępu do takich danych za pośrednictwem odpowiednich środków technicznych (interfejs programistyczny aplikacji – API).</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Mając na uwadze konieczność zwiększenia ilości informacji sektora publicznego do ponownego wykorzystywania zakresem zastosowania dyrektywy 2019/1024/UE objęto ponadto dane, które dotychczas pozostawały poza regulacjami ponownego wykorzystywania, tj. dane pochodzące z przedsiębiorstw publicznych prowadzących działalność w wybranych sektorach gospodarki oraz określoną kategorię danych badawczych – danych badawczych spełniających wskazane w dyrektywie warunki.</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Dyrektywa 2003/98/WE, której zakres podmiotowy oparto na regulacjach dyrektyw unijnych dotyczących zamówień publicznych, znajdowała zastosowanie jedynie do dokumentów będących w posiadaniu organów sektora publicznego państw członkowskich (w tym podmiotów prawa publicznego), wyłączając tym samym z zakresu swojego stosowania przedsiębiorstwa publiczne</w:t>
      </w:r>
      <w:r w:rsidRPr="006A6376">
        <w:rPr>
          <w:rFonts w:eastAsia="Times New Roman" w:cs="Times New Roman"/>
          <w:szCs w:val="24"/>
          <w:vertAlign w:val="superscript"/>
        </w:rPr>
        <w:footnoteReference w:id="9"/>
      </w:r>
      <w:r w:rsidRPr="006A6376">
        <w:rPr>
          <w:rFonts w:eastAsia="Times New Roman" w:cs="Times New Roman"/>
          <w:szCs w:val="24"/>
          <w:vertAlign w:val="superscript"/>
        </w:rPr>
        <w:t>)</w:t>
      </w:r>
      <w:r w:rsidRPr="006A6376">
        <w:rPr>
          <w:rFonts w:eastAsia="Times New Roman" w:cs="Times New Roman"/>
          <w:szCs w:val="24"/>
        </w:rPr>
        <w:t>. Jednocześnie w motywie 24 preambuły dyrektywy 2019/1024/UE podkreślono, że państwa członkowskie często zlecają świadczenie usług w</w:t>
      </w:r>
      <w:r w:rsidRPr="00744574">
        <w:rPr>
          <w:rFonts w:eastAsia="Times New Roman" w:cs="Times New Roman"/>
          <w:szCs w:val="24"/>
        </w:rPr>
        <w:t xml:space="preserve"> interesie ogólnym podmiotom spoza sektora publicznego (innym niż organy sektora publicznego), zachowując jednocześnie wysoki stopień kontroli nad takimi podmiotami (przedsiębiorstwami publicznymi). Prowadzi to do niskiej dostępności do ponownego wykorzystywania dokumentów produkowanych przy realizacji usług świadczonych w interesie ogólnym w wielu obszarach, w szczególności w sektorach użyteczności publicznej. Taki stan rzeczy w znacznym stopniu zmniejsza również możliwość tworzenia usług transgranicznych opierających się na dokumentach będących w posiadaniu przedsiębiorstw publicznych, które świadczą usługi w interesie </w:t>
      </w:r>
      <w:r w:rsidRPr="00744574">
        <w:rPr>
          <w:rFonts w:eastAsia="Times New Roman" w:cs="Times New Roman"/>
          <w:szCs w:val="24"/>
        </w:rPr>
        <w:lastRenderedPageBreak/>
        <w:t>ogólnym. W celu zmiany takiego stanu rzeczy zakres zastosowania nowej dyrektywy poszerzono o dokumenty będące w posiadaniu przedsiębiorstw publicznych w rozumieniu art. 2 pkt 3 dyrektywy 2019/1024/UE, których definicja sformułowana została (podobnie jak w przypadku definicji organu sektora publicznego) w oparciu o przepisy prawa unijnego w zakresie zamówień publicznych.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Poprzednio obowiązująca dyrektywa (dyrektywa 2003/98/WE) wyłączała z zakresu swojego zastosowania również dokumenty znajdujące się w posiadaniu instytucji edukacyjnych i badawczych, w tym organizacji ustanowionych w celu przekazywania wyników badań, szkół i uniwersytetów, z wyłączeniem bibliotek uniwersyteckich (art. 1 ust. 2 lit. e dyrektywy 2003/98/WE). Prowadziło do istotnego ograniczenia możliwości ponownego wykorzystywania informacji sektora publicznego wytworzonych, czy też zgromadzonych w ramach działalności naukowo-badawczej organów sektora publicznego. Obecnie ilość generowanych danych badawczych rośnie w gwałtownym tempie, a możliwości ich ponownego wykorzystywania wykraczają poza środowisko naukowe. Aby umożliwić sprostanie rosnącym wyzwaniom społecznym i gospodarczym za niezwykle ważną i pilną kwestię uznano zapewnienie dostępu do tego rodzaju zasobów danych (pochodzących z różnych źródeł, jak również sektorów i dyscyplin) oraz możliwości syntezy i ponownego wykorzystywania takich danych. W związku z powyższym w odniesieniu do danych badawczych zdefiniowanych w art. 2 pkt 9 dyrektywy 2019/1024/UE jako dokumenty w formie cyfrowej, inne niż publikacje naukowe, które są gromadzone lub produkowane w ramach działalności badawczo</w:t>
      </w:r>
      <w:r w:rsidRPr="00744574">
        <w:rPr>
          <w:rFonts w:eastAsia="Times New Roman" w:cs="Times New Roman"/>
          <w:szCs w:val="24"/>
        </w:rPr>
        <w:softHyphen/>
      </w:r>
      <w:r w:rsidRPr="00744574">
        <w:rPr>
          <w:rFonts w:eastAsia="Times New Roman" w:cs="Times New Roman"/>
          <w:szCs w:val="24"/>
        </w:rPr>
        <w:noBreakHyphen/>
        <w:t>naukowej i są wykorzystywane jako dowody w procesie badawczym bądź też są powszechnie akceptowane w środowisku naukowym jako konieczne do weryfikacji poprawności ustaleń i wyników badań, zaproponowano objęcie określonej ich kategorii (danych badawczych spełniających określone warunki) zakresem regulacji ponownego wykorzystywania, na takich samych zasadach jak inne informacje sektora publicznego.</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Działania polegające na wyodrębnieniu spośród informacji sektora publicznego danych dynamicznych oraz danych o wysokiej wartości, a także poszerzenie zakresu regulacyjnego ponownego wykorzystywania informacji sektora publicznego o nowe kategorie danych, stanowią zasadniczą część zmian wprowadzonych w nowej dyrektywie. Zwiększenie ilości danych sektora publicznego dostępnych do ponownego wykorzystania, w tym zwiększenie podaży danych wartościowych, będzie miało szereg pozytywnych skutków dla innowacyjności gospodarki i jakości życia społeczeństwa. Jak </w:t>
      </w:r>
      <w:r w:rsidRPr="00744574">
        <w:rPr>
          <w:rFonts w:eastAsia="Times New Roman" w:cs="Times New Roman"/>
          <w:szCs w:val="24"/>
        </w:rPr>
        <w:lastRenderedPageBreak/>
        <w:t xml:space="preserve">już podkreślono, sektor publiczny posiada ogromne ilości cennych zasobów informacji w wielu obszarach, jak np. dane o mobilności, dane meteorologiczne, ekonomiczne czy finansowe, które mogą być następnie wykorzystywane do tworzenia nowych, innowacyjnych produktów i usług. </w:t>
      </w:r>
    </w:p>
    <w:p w:rsidR="005D3F15" w:rsidRPr="006A6376" w:rsidRDefault="005D3F15" w:rsidP="001C2767">
      <w:pPr>
        <w:widowControl/>
        <w:spacing w:before="120"/>
        <w:jc w:val="both"/>
        <w:rPr>
          <w:rFonts w:eastAsia="Calibri" w:cs="Times New Roman"/>
          <w:szCs w:val="24"/>
          <w:lang w:eastAsia="en-US"/>
        </w:rPr>
      </w:pPr>
      <w:r w:rsidRPr="00744574">
        <w:rPr>
          <w:rFonts w:eastAsia="Times New Roman" w:cs="Times New Roman"/>
          <w:szCs w:val="24"/>
        </w:rPr>
        <w:t xml:space="preserve">Dostosowanie polskich przepisów do wymogów dyrektywy 2019/1024/UE w obszarach wskazanych powyżej stanowi zasadniczy cel projektowanej ustawy. Jednocześnie jednak </w:t>
      </w:r>
      <w:r w:rsidRPr="00744574">
        <w:rPr>
          <w:rFonts w:eastAsia="Calibri" w:cs="Times New Roman"/>
          <w:szCs w:val="24"/>
          <w:lang w:eastAsia="en-US"/>
        </w:rPr>
        <w:t>planowane jest wprowadzenie w ustawie nowych rozwiązań wykraczających poza minimum wyznaczone dyrektywą. Celem nowych regulacji, stanowiących inicjatywę krajową, jest w głównej mierze usprawnienie ponownego wykorzystywania informacji sektora publicznego w Polsce oraz przyspieszenie procesu otwierania danych publicznych. W projekcie ustawy zaproponowano kompleksowe podejście do problematyki otwierania danych w myśl wyrażonej w dyrektywie 2019/1024/UE zasady „</w:t>
      </w:r>
      <w:r w:rsidRPr="00744574">
        <w:rPr>
          <w:rFonts w:eastAsia="Calibri" w:cs="Times New Roman"/>
          <w:i/>
          <w:szCs w:val="24"/>
          <w:lang w:eastAsia="en-US"/>
        </w:rPr>
        <w:t xml:space="preserve">as open as </w:t>
      </w:r>
      <w:proofErr w:type="spellStart"/>
      <w:r w:rsidRPr="00744574">
        <w:rPr>
          <w:rFonts w:eastAsia="Calibri" w:cs="Times New Roman"/>
          <w:i/>
          <w:szCs w:val="24"/>
          <w:lang w:eastAsia="en-US"/>
        </w:rPr>
        <w:t>possible</w:t>
      </w:r>
      <w:proofErr w:type="spellEnd"/>
      <w:r w:rsidRPr="00744574">
        <w:rPr>
          <w:rFonts w:eastAsia="Calibri" w:cs="Times New Roman"/>
          <w:i/>
          <w:szCs w:val="24"/>
          <w:lang w:eastAsia="en-US"/>
        </w:rPr>
        <w:t xml:space="preserve"> as </w:t>
      </w:r>
      <w:proofErr w:type="spellStart"/>
      <w:r w:rsidRPr="00744574">
        <w:rPr>
          <w:rFonts w:eastAsia="Calibri" w:cs="Times New Roman"/>
          <w:i/>
          <w:szCs w:val="24"/>
          <w:lang w:eastAsia="en-US"/>
        </w:rPr>
        <w:t>closed</w:t>
      </w:r>
      <w:proofErr w:type="spellEnd"/>
      <w:r w:rsidRPr="00744574">
        <w:rPr>
          <w:rFonts w:eastAsia="Calibri" w:cs="Times New Roman"/>
          <w:i/>
          <w:szCs w:val="24"/>
          <w:lang w:eastAsia="en-US"/>
        </w:rPr>
        <w:t xml:space="preserve"> as </w:t>
      </w:r>
      <w:proofErr w:type="spellStart"/>
      <w:r w:rsidRPr="00744574">
        <w:rPr>
          <w:rFonts w:eastAsia="Calibri" w:cs="Times New Roman"/>
          <w:i/>
          <w:szCs w:val="24"/>
          <w:lang w:eastAsia="en-US"/>
        </w:rPr>
        <w:t>necessary</w:t>
      </w:r>
      <w:proofErr w:type="spellEnd"/>
      <w:r w:rsidRPr="00744574">
        <w:rPr>
          <w:rFonts w:eastAsia="Calibri" w:cs="Times New Roman"/>
          <w:szCs w:val="24"/>
          <w:lang w:eastAsia="en-US"/>
        </w:rPr>
        <w:t>”. Projekt ustawy przewiduje podstawę prawną do dobrowolnego udostępniania, za pośrednictwem prowadzonego przez ministra właściwego do spraw informatyzacji portalu dane.gov.pl (pełniącego obecnie funkcję centralnego repozytorium informacji publicznej), zasobów informacji będących w posiadaniu podmiotów sektora prywatnego (np. przedsiębiorców, organizacji pozarządowych). Dodatkowo całość regulacji dotyczącej portalu dane.gov.pl, która znajduje się obecnie w ustawie o dostępie do informacji publicznej, zostanie zaktualizowana i przeniesiona do nowej ustawy. Celem projektu jest również włączenie do regulacji ustawowej wybranych instytucji i rozwiązań z powodzeniem wdrożonych i realizowanych przez Kancelarię Prezesa Rady Ministrów (wcześniej Ministerstwo Cyfryzacji) w ramach podejmowanych działań pozaustawowych prowadzonych na rzecz otwierania danych. Dotyczy to w szczególności rozwiązań opartych na doświadczeniach zebranych w okresie obowiązywania przyjętego w 2016 r. Programu Otwierania Danych Publicznych</w:t>
      </w:r>
      <w:r w:rsidRPr="006A6376">
        <w:rPr>
          <w:rFonts w:eastAsia="Calibri" w:cs="Times New Roman"/>
          <w:szCs w:val="24"/>
          <w:vertAlign w:val="superscript"/>
          <w:lang w:eastAsia="en-US"/>
        </w:rPr>
        <w:footnoteReference w:id="10"/>
      </w:r>
      <w:r w:rsidRPr="006A6376">
        <w:rPr>
          <w:rFonts w:eastAsia="Times New Roman" w:cs="Times New Roman"/>
          <w:szCs w:val="24"/>
          <w:vertAlign w:val="superscript"/>
        </w:rPr>
        <w:t>)</w:t>
      </w:r>
      <w:r w:rsidRPr="006A6376">
        <w:rPr>
          <w:rFonts w:eastAsia="Calibri" w:cs="Times New Roman"/>
          <w:szCs w:val="24"/>
          <w:lang w:eastAsia="en-US"/>
        </w:rPr>
        <w:t xml:space="preserve">, w </w:t>
      </w:r>
      <w:r w:rsidRPr="00744574">
        <w:rPr>
          <w:rFonts w:eastAsia="Calibri" w:cs="Times New Roman"/>
          <w:szCs w:val="24"/>
          <w:lang w:eastAsia="en-US"/>
        </w:rPr>
        <w:t>tym funkcjonowania sieci pełnomocników ds. otwartości danych, czy też opracowanych w ciągu ostatnich lat standardów otwartości danych</w:t>
      </w:r>
      <w:r w:rsidRPr="006A6376">
        <w:rPr>
          <w:rStyle w:val="Odwoanieprzypisudolnego"/>
          <w:rFonts w:eastAsia="Calibri"/>
          <w:szCs w:val="24"/>
          <w:lang w:eastAsia="en-US"/>
        </w:rPr>
        <w:footnoteReference w:id="11"/>
      </w:r>
      <w:r w:rsidRPr="006A6376">
        <w:rPr>
          <w:rFonts w:eastAsia="Calibri" w:cs="Times New Roman"/>
          <w:szCs w:val="24"/>
          <w:vertAlign w:val="superscript"/>
          <w:lang w:eastAsia="en-US"/>
        </w:rPr>
        <w:t>)</w:t>
      </w:r>
      <w:r w:rsidRPr="006A6376">
        <w:rPr>
          <w:rFonts w:eastAsia="Calibri" w:cs="Times New Roman"/>
          <w:szCs w:val="24"/>
          <w:lang w:eastAsia="en-US"/>
        </w:rPr>
        <w:t>.</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b/>
          <w:szCs w:val="24"/>
        </w:rPr>
        <w:t>II. Aktualny stan prawny.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Ramy prawne ponownego wykorzystywania informacji sektora publicznego w Polsce wyznacza obecnie ustawa z dnia 25 lutego 2016 r. o ponownym wykorzystywaniu </w:t>
      </w:r>
      <w:r w:rsidRPr="00744574">
        <w:rPr>
          <w:rFonts w:eastAsia="Times New Roman" w:cs="Times New Roman"/>
          <w:szCs w:val="24"/>
        </w:rPr>
        <w:lastRenderedPageBreak/>
        <w:t xml:space="preserve">informacji sektora publicznego, dokonująca w zakresie swojej regulacji </w:t>
      </w:r>
      <w:r w:rsidRPr="00744574">
        <w:rPr>
          <w:rFonts w:eastAsia="Calibri" w:cs="Times New Roman"/>
          <w:szCs w:val="24"/>
          <w:lang w:eastAsia="en-US"/>
        </w:rPr>
        <w:t>wdrożenia postanowień dyrektywy 2003/98/WE zmienionej dyrektywą 2013/37/UE.</w:t>
      </w:r>
    </w:p>
    <w:p w:rsidR="005D3F15" w:rsidRPr="006A6376"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Mając na uwadze rozwiązania zastosowane w dyrektywie 2003/98/WE, w ustawie z 2016 r. przyjęto bardzo szerokie pojęcie informacji sektora publicznego, przez którą rozumie się każdą utrwaloną treść będącą w posiadaniu podmiotów wskazanych w katalogu ustawowym (podmiotów zobowiązanych do udostępniania lub przekazywania informacji sektora publicznego)</w:t>
      </w:r>
      <w:r w:rsidRPr="006A6376">
        <w:rPr>
          <w:rFonts w:eastAsia="Calibri" w:cs="Times New Roman"/>
          <w:szCs w:val="24"/>
          <w:vertAlign w:val="superscript"/>
          <w:lang w:eastAsia="en-US"/>
        </w:rPr>
        <w:footnoteReference w:id="12"/>
      </w:r>
      <w:r w:rsidRPr="006A6376">
        <w:rPr>
          <w:rFonts w:eastAsia="Times New Roman" w:cs="Times New Roman"/>
          <w:szCs w:val="24"/>
          <w:vertAlign w:val="superscript"/>
        </w:rPr>
        <w:t>)</w:t>
      </w:r>
      <w:r w:rsidRPr="006A6376">
        <w:rPr>
          <w:rFonts w:eastAsia="Times New Roman" w:cs="Times New Roman"/>
          <w:szCs w:val="24"/>
        </w:rPr>
        <w:t>.</w:t>
      </w:r>
      <w:r w:rsidRPr="006A6376">
        <w:rPr>
          <w:rFonts w:eastAsia="Calibri" w:cs="Times New Roman"/>
          <w:szCs w:val="24"/>
          <w:lang w:eastAsia="en-US"/>
        </w:rPr>
        <w:t xml:space="preserve"> Przez </w:t>
      </w:r>
      <w:r w:rsidRPr="00744574">
        <w:rPr>
          <w:rFonts w:eastAsia="Calibri" w:cs="Times New Roman"/>
          <w:szCs w:val="24"/>
          <w:lang w:eastAsia="en-US"/>
        </w:rPr>
        <w:t>ponowne wykorzystywanie należy rozumieć wykorzystywanie przez osoby fizyczne, osoby prawne i jednostki organizacyjne nieposiadające osobowości prawnej, zwane dalej „użytkownikami”, informacji sektora publicznego, w celach komercyjnych lub niekomercyjnych innych niż pierwotny publiczny cel, dla którego informacja została wytworzona</w:t>
      </w:r>
      <w:r w:rsidRPr="006A6376">
        <w:rPr>
          <w:rFonts w:eastAsia="Calibri" w:cs="Times New Roman"/>
          <w:szCs w:val="24"/>
          <w:vertAlign w:val="superscript"/>
          <w:lang w:eastAsia="en-US"/>
        </w:rPr>
        <w:footnoteReference w:id="13"/>
      </w:r>
      <w:r w:rsidRPr="006A6376">
        <w:rPr>
          <w:rFonts w:eastAsia="Times New Roman" w:cs="Times New Roman"/>
          <w:szCs w:val="24"/>
          <w:vertAlign w:val="superscript"/>
        </w:rPr>
        <w:t>)</w:t>
      </w:r>
      <w:r w:rsidRPr="006A6376">
        <w:rPr>
          <w:rFonts w:eastAsia="Calibri" w:cs="Times New Roman"/>
          <w:szCs w:val="24"/>
          <w:lang w:eastAsia="en-US"/>
        </w:rPr>
        <w:t>.</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ustawie uregulowano zasady, tryb oraz warunki udostępniania i ponownego wykorzystywania informacji sektora publicznego, zasady ustalania opłat za ponowne wykorzystywanie oraz wprowadzono przepisy regulujące stosunek ustawy do innych aktów prawnych, w tym w szczególności przepisów ustawy o dostępie do informacji publicznej oraz przepisów o ochronie danych osobowych. Wprowadzone zostały dwa podstawowe tryby udostępniania danych do ponownego wykorzystywania: tryb </w:t>
      </w:r>
      <w:proofErr w:type="spellStart"/>
      <w:r w:rsidRPr="00744574">
        <w:rPr>
          <w:rFonts w:eastAsia="Calibri" w:cs="Times New Roman"/>
          <w:szCs w:val="24"/>
          <w:lang w:eastAsia="en-US"/>
        </w:rPr>
        <w:t>pozawnioskowy</w:t>
      </w:r>
      <w:proofErr w:type="spellEnd"/>
      <w:r w:rsidRPr="00744574">
        <w:rPr>
          <w:rFonts w:eastAsia="Calibri" w:cs="Times New Roman"/>
          <w:szCs w:val="24"/>
          <w:lang w:eastAsia="en-US"/>
        </w:rPr>
        <w:t xml:space="preserve"> (dane udostępniane w systemie teleinformatycznym) oraz wnioskowy (dane przekazywane na wniosek złożony przez zainteresowanego). Jednocześnie przekazywanie informacji sektora publicznego na wniosek zostało w możliwe największym stopniu odformalizowane – danych można żądać w dowolny sposób, a informacje (co do zasady) powinny zostać przekazane w ciągu 14 dni. W ramach rozwiązań ułatwiających ponowne wykorzystywanie, oprócz wprowadzenia dwóch podstawowych trybów udostępniania/przekazywania danych (</w:t>
      </w:r>
      <w:proofErr w:type="spellStart"/>
      <w:r w:rsidRPr="00744574">
        <w:rPr>
          <w:rFonts w:eastAsia="Calibri" w:cs="Times New Roman"/>
          <w:szCs w:val="24"/>
          <w:lang w:eastAsia="en-US"/>
        </w:rPr>
        <w:t>pozawnioskowego</w:t>
      </w:r>
      <w:proofErr w:type="spellEnd"/>
      <w:r w:rsidRPr="00744574">
        <w:rPr>
          <w:rFonts w:eastAsia="Calibri" w:cs="Times New Roman"/>
          <w:szCs w:val="24"/>
          <w:lang w:eastAsia="en-US"/>
        </w:rPr>
        <w:t xml:space="preserve"> i wnioskowego), umożliwiono również ponowne wykorzystywanie informacji sektora publicznego gromadzonych i przechowywanych w systemie teleinformatycznym podmiotu zobowiązanego przez okres nie dłuższy niż 12 miesięcy w sposób stały i bezpośredni w czasie rzeczywistym. Jest to rozwiązanie istotne dla informacji często </w:t>
      </w:r>
      <w:r w:rsidRPr="00744574">
        <w:rPr>
          <w:rFonts w:eastAsia="Calibri" w:cs="Times New Roman"/>
          <w:szCs w:val="24"/>
          <w:lang w:eastAsia="en-US"/>
        </w:rPr>
        <w:lastRenderedPageBreak/>
        <w:t>aktualizowanych, charakteryzujących się dużą dynamiką i zmiennością, których aktualność stanowi o rzeczywistym potencjale ponownego wykorzystywania.</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b/>
          <w:szCs w:val="24"/>
        </w:rPr>
        <w:t>III. Zakres projektowanej regulacji.</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szCs w:val="24"/>
        </w:rPr>
        <w:t>Główne elementy konstrukcyjne projektu ustawy oparte zostały na przepisach ustawy z 2016 r., przez co nie będą miały zasadniczego wpływu na procedurę ponownego wykorzystywania. W ustawie wprowadzonych zostanie jednak szereg nowych rozwiązań legislacyjnych.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Nowa ustawa dostosuje polskie przepisy do wymogów dyrektywy 2019/1024/UE. Planowane rozwiązania mają na celu zwiększenia podaży wartościowych danych publicznych do ponownego wykorzystywania, a także poszerzenie dotychczasowego zakresu regulacyjnego ponownego wykorzystywania o dane pochodzące z przedsiębiorstw publicznych w rozumieniu art. 2 pkt 3 dyrektywy 2019/1024/UE oraz o dane badawcze spełniające określone warunki. W projekcie ustawy zaproponowano nowe rozwiązania obejmujące następujące obszary:</w:t>
      </w:r>
    </w:p>
    <w:p w:rsidR="005D3F15" w:rsidRPr="00744574" w:rsidRDefault="005D3F15" w:rsidP="001C2767">
      <w:pPr>
        <w:widowControl/>
        <w:numPr>
          <w:ilvl w:val="0"/>
          <w:numId w:val="13"/>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Dane o wysokiej wartości/API</w:t>
      </w:r>
      <w:r w:rsidRPr="00744574">
        <w:rPr>
          <w:rFonts w:eastAsia="Calibri" w:cs="Times New Roman"/>
          <w:szCs w:val="24"/>
          <w:lang w:eastAsia="en-US"/>
        </w:rPr>
        <w:t xml:space="preserve">: </w:t>
      </w:r>
      <w:r w:rsidRPr="00744574">
        <w:rPr>
          <w:rFonts w:eastAsia="Calibri" w:cs="Times New Roman"/>
          <w:bCs/>
          <w:szCs w:val="24"/>
          <w:lang w:eastAsia="en-US"/>
        </w:rPr>
        <w:t>wprowadzenie kategorii danych o wysokiej wartości i zobligowanie podmiotów zobowiązanych do ich udostępniania do ponownego wykorzystywania co do zasady bezpłatnie, w formacie nadającym się do odczytu maszynowego, za pośrednictwem interfejsu programistycznego aplikacji (API), oraz, w odpowiednich przypadkach, do zbiorczego pobrania.</w:t>
      </w:r>
    </w:p>
    <w:p w:rsidR="005D3F15" w:rsidRPr="00744574" w:rsidRDefault="005D3F15" w:rsidP="001C2767">
      <w:pPr>
        <w:widowControl/>
        <w:numPr>
          <w:ilvl w:val="0"/>
          <w:numId w:val="13"/>
        </w:numPr>
        <w:autoSpaceDE/>
        <w:autoSpaceDN/>
        <w:adjustRightInd/>
        <w:spacing w:before="120"/>
        <w:contextualSpacing/>
        <w:jc w:val="both"/>
        <w:rPr>
          <w:rFonts w:eastAsia="Calibri" w:cs="Times New Roman"/>
          <w:b/>
          <w:szCs w:val="24"/>
          <w:lang w:eastAsia="en-US"/>
        </w:rPr>
      </w:pPr>
      <w:r w:rsidRPr="00744574">
        <w:rPr>
          <w:rFonts w:eastAsia="Calibri" w:cs="Times New Roman"/>
          <w:b/>
          <w:szCs w:val="24"/>
          <w:lang w:eastAsia="en-US"/>
        </w:rPr>
        <w:t>Dane dynamiczne/API</w:t>
      </w:r>
      <w:r w:rsidRPr="00744574">
        <w:rPr>
          <w:rFonts w:eastAsia="Calibri" w:cs="Times New Roman"/>
          <w:szCs w:val="24"/>
          <w:lang w:eastAsia="en-US"/>
        </w:rPr>
        <w:t>: wprowadzenie kategorii danych dynamicznych i zobligowanie podmiotów zobowiązanych do ich udostępniania do ponownego wykorzystywania natychmiast po ich zgromadzeniu, za pośrednictwem interfejsu programistycznego aplikacji (API), oraz, w odpowiednich przypadkach, do zbiorczego pobrania.</w:t>
      </w:r>
    </w:p>
    <w:p w:rsidR="005D3F15" w:rsidRPr="00744574" w:rsidRDefault="005D3F15" w:rsidP="001C2767">
      <w:pPr>
        <w:widowControl/>
        <w:numPr>
          <w:ilvl w:val="0"/>
          <w:numId w:val="13"/>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Dane badawcze</w:t>
      </w:r>
      <w:r w:rsidRPr="00744574">
        <w:rPr>
          <w:rFonts w:eastAsia="Calibri" w:cs="Times New Roman"/>
          <w:szCs w:val="24"/>
          <w:lang w:eastAsia="en-US"/>
        </w:rPr>
        <w:t xml:space="preserve">: objęcie zakresem ponownego wykorzystywania danych badawczych </w:t>
      </w:r>
      <w:r w:rsidRPr="00744574">
        <w:rPr>
          <w:rFonts w:eastAsia="Calibri" w:cs="Times New Roman"/>
          <w:bCs/>
          <w:szCs w:val="24"/>
          <w:lang w:eastAsia="en-US"/>
        </w:rPr>
        <w:t>jeżeli dane te zostały wytworzone lub zgromadzone w ramach działalności naukowej finansowanej ze środków publicznych i są już publicznie udostępniane w systemie teleinformatycznym podmiotu zobowiązanego, w szczególności w repozytorium instytucjonalnym lub tematycznym.</w:t>
      </w:r>
    </w:p>
    <w:p w:rsidR="005D3F15" w:rsidRPr="00744574" w:rsidRDefault="005D3F15" w:rsidP="001C2767">
      <w:pPr>
        <w:widowControl/>
        <w:numPr>
          <w:ilvl w:val="0"/>
          <w:numId w:val="13"/>
        </w:numPr>
        <w:autoSpaceDE/>
        <w:autoSpaceDN/>
        <w:adjustRightInd/>
        <w:spacing w:before="120"/>
        <w:ind w:left="714" w:hanging="357"/>
        <w:contextualSpacing/>
        <w:jc w:val="both"/>
        <w:rPr>
          <w:rFonts w:eastAsia="Calibri" w:cs="Times New Roman"/>
          <w:szCs w:val="24"/>
          <w:lang w:eastAsia="en-US"/>
        </w:rPr>
      </w:pPr>
      <w:r w:rsidRPr="00744574">
        <w:rPr>
          <w:rFonts w:eastAsia="Calibri" w:cs="Times New Roman"/>
          <w:b/>
          <w:bCs/>
          <w:szCs w:val="24"/>
          <w:lang w:eastAsia="en-US"/>
        </w:rPr>
        <w:t>Dane przedsiębiorstw publicznych</w:t>
      </w:r>
      <w:r w:rsidRPr="00744574">
        <w:rPr>
          <w:rFonts w:eastAsia="Calibri" w:cs="Times New Roman"/>
          <w:bCs/>
          <w:szCs w:val="24"/>
          <w:lang w:eastAsia="en-US"/>
        </w:rPr>
        <w:t xml:space="preserve">: objęcie zakresem ustawy danych będących w posiadaniu przedsiębiorstw publicznych w rozumieniu art. 2 pkt 3 dyrektywy 2019/1024/UE, prowadzących działalność w wybranych sektorach gospodarki, </w:t>
      </w:r>
      <w:r w:rsidRPr="00744574">
        <w:rPr>
          <w:rFonts w:eastAsia="Calibri" w:cs="Times New Roman"/>
          <w:bCs/>
          <w:szCs w:val="24"/>
          <w:lang w:eastAsia="en-US"/>
        </w:rPr>
        <w:lastRenderedPageBreak/>
        <w:t>przy jednoczesnym niewprowadzaniu ogólnego obowiązku udostępniania lub przekazywania przez takie podmioty informacji sektora publicznego do ponownego wykorzystywania.</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W projekcie ustawy przewidziano również wprowadzenie nowych rozwiązań wykraczających poza minimum wyznaczone dyrektywą, które usprawnią ponowne wykorzystywanie danych. W tym zakresie najważniejsze zmiany obejmą następujące obszary:</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Portal danych</w:t>
      </w:r>
      <w:r w:rsidRPr="00744574">
        <w:rPr>
          <w:rFonts w:eastAsia="Calibri" w:cs="Times New Roman"/>
          <w:szCs w:val="24"/>
          <w:lang w:eastAsia="en-US"/>
        </w:rPr>
        <w:t xml:space="preserve">: zaktualizowanie i przeniesienie do projektowanej ustawy regulacji dotyczącej centralnego repozytorium informacji publicznej (portalu dane.gov.pl) znajdującej się obecnie w ustawie o dostępie do informacji publicznej; zapewnienie możliwości podmiotom sektora prywatnego (np. przedsiębiorcom, organizacjom pozarządowym) dobrowolnego udostępniania w portalu dane.gov.pl zasobów informacji będących w ich posiadaniu. </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Program otwierania danych</w:t>
      </w:r>
      <w:r w:rsidRPr="00744574">
        <w:rPr>
          <w:rFonts w:eastAsia="Calibri" w:cs="Times New Roman"/>
          <w:szCs w:val="24"/>
          <w:lang w:eastAsia="en-US"/>
        </w:rPr>
        <w:t>: wprowadzenie upoważnienia ustawowego dla ministra właściwego ds. informatyzacji do opracowania Programu otwierania danych.</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Pełnomocnicy do spraw otwartości danych</w:t>
      </w:r>
      <w:r w:rsidRPr="00744574">
        <w:rPr>
          <w:rFonts w:eastAsia="Calibri" w:cs="Times New Roman"/>
          <w:szCs w:val="24"/>
          <w:lang w:eastAsia="en-US"/>
        </w:rPr>
        <w:t>: uregulowanie w ustawie statusu i zadań pełnomocników do spraw otwartości danych działających obecnie w wybranych instytucjach administracji rządowej (ministerstwa, KPRM, GUS); poszerzenie sieci pełnomocników do spraw otwartości danych poprzez umożliwienie ich powoływania w innych instytucjach, nie tylko rządowych.</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Standardy otwartości danych</w:t>
      </w:r>
      <w:r w:rsidRPr="00744574">
        <w:rPr>
          <w:rFonts w:eastAsia="Calibri" w:cs="Times New Roman"/>
          <w:szCs w:val="24"/>
          <w:lang w:eastAsia="en-US"/>
        </w:rPr>
        <w:t>: wprowadzenie do ustawy „filarów otwartości” zdefiniowanych w Standardzie prawnym otwartości danych oraz Programie otwierania danych publicznych z 2016 r.</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Kompleksowa struktura pojęciowa (słowniczek ustawowy)</w:t>
      </w:r>
      <w:r w:rsidRPr="00744574">
        <w:rPr>
          <w:rFonts w:eastAsia="Calibri" w:cs="Times New Roman"/>
          <w:szCs w:val="24"/>
          <w:lang w:eastAsia="en-US"/>
        </w:rPr>
        <w:t xml:space="preserve">: opracowanie i wprowadzenie słowniczka ustawowego, m.in.: otwarte dane, informacje sektora publicznego, ponowne wykorzystywanie, dane prywatne, portal danych, format otwarty, format przeznaczony do odczytu maszynowego, metadane, </w:t>
      </w:r>
      <w:proofErr w:type="spellStart"/>
      <w:r w:rsidRPr="00744574">
        <w:rPr>
          <w:rFonts w:eastAsia="Calibri" w:cs="Times New Roman"/>
          <w:szCs w:val="24"/>
          <w:lang w:eastAsia="en-US"/>
        </w:rPr>
        <w:t>anonimizacja</w:t>
      </w:r>
      <w:proofErr w:type="spellEnd"/>
      <w:r w:rsidRPr="00744574">
        <w:rPr>
          <w:rFonts w:eastAsia="Calibri" w:cs="Times New Roman"/>
          <w:szCs w:val="24"/>
          <w:lang w:eastAsia="en-US"/>
        </w:rPr>
        <w:t>, interfejs programistyczny aplikacji (API).</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Katalog zasad udostępniania i przekazywania informacji sektora publicznego</w:t>
      </w:r>
      <w:r w:rsidRPr="00744574">
        <w:rPr>
          <w:rFonts w:eastAsia="Calibri" w:cs="Times New Roman"/>
          <w:szCs w:val="24"/>
          <w:lang w:eastAsia="en-US"/>
        </w:rPr>
        <w:t xml:space="preserve">: poszerzenie katalogu zasad udostępniania i przekazywania informacji sektora publicznego, który obejmować będzie już zdefiniowane oraz nowo sformułowane zasady, takie jak np. zasada udostępniania (o ile jest to </w:t>
      </w:r>
      <w:r w:rsidRPr="00744574">
        <w:rPr>
          <w:rFonts w:eastAsia="Calibri" w:cs="Times New Roman"/>
          <w:szCs w:val="24"/>
          <w:lang w:eastAsia="en-US"/>
        </w:rPr>
        <w:lastRenderedPageBreak/>
        <w:t>możliwe) informacji sektora publicznego do ponownego wykorzystywania jako otwarte dane.</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 xml:space="preserve">Warunki ponownego wykorzystywania: </w:t>
      </w:r>
      <w:r w:rsidRPr="00744574">
        <w:rPr>
          <w:rFonts w:eastAsia="Calibri" w:cs="Times New Roman"/>
          <w:szCs w:val="24"/>
          <w:lang w:eastAsia="en-US"/>
        </w:rPr>
        <w:t>umożliwienie określania warunków ponownego wykorzystywania przez stosowanie standardowych otwartych licencji.</w:t>
      </w:r>
    </w:p>
    <w:p w:rsidR="005D3F15" w:rsidRPr="00744574" w:rsidRDefault="005D3F15" w:rsidP="001C2767">
      <w:pPr>
        <w:widowControl/>
        <w:numPr>
          <w:ilvl w:val="0"/>
          <w:numId w:val="14"/>
        </w:numPr>
        <w:autoSpaceDE/>
        <w:autoSpaceDN/>
        <w:adjustRightInd/>
        <w:spacing w:before="120"/>
        <w:contextualSpacing/>
        <w:jc w:val="both"/>
        <w:rPr>
          <w:rFonts w:eastAsia="Calibri" w:cs="Times New Roman"/>
          <w:szCs w:val="24"/>
          <w:lang w:eastAsia="en-US"/>
        </w:rPr>
      </w:pPr>
      <w:r w:rsidRPr="00744574">
        <w:rPr>
          <w:rFonts w:eastAsia="Calibri" w:cs="Times New Roman"/>
          <w:b/>
          <w:szCs w:val="24"/>
          <w:lang w:eastAsia="en-US"/>
        </w:rPr>
        <w:t>Kod źródłowy</w:t>
      </w:r>
      <w:r w:rsidRPr="00744574">
        <w:rPr>
          <w:rFonts w:eastAsia="Calibri" w:cs="Times New Roman"/>
          <w:szCs w:val="24"/>
          <w:lang w:eastAsia="en-US"/>
        </w:rPr>
        <w:t>: wprowadzenie możliwości fakultatywnego udostępniania do ponownego wykorzystywania kodu źródłowego programu komputerowego.</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b/>
          <w:szCs w:val="24"/>
        </w:rPr>
        <w:t>IV. Systematyka ustawy.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Systematyka ustawy w zasadniczej części oparta została na przepisach ustawy z 2016 r. Część nowych rozwiązań legislacyjnych wprowadzona została w ramach regulacji znajdujących się w rozdziałach dotychczasowej ustawy. Wprowadzono jednocześnie nowe rozdziały, w których zgrupowano regulacje dotyczące Programu otwierania danych, portalu danych, pełnomocników do spraw otwartości danych, a także przepisy szczególne dotyczące udostępniania do ponownego wykorzystywania danych o wysokiej wartości, danych dynamicznych oraz danych badawczych.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Przepisy ustawy pogrupowane zostały w następujące rozdziały:</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Przepisy ogólne.</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 xml:space="preserve">Zasady udostępniania i przekazywania informacji sektora publicznego w celu ponownego wykorzystywania. </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Warunki ponownego wykorzystywania.</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Zasady ustalania opłat za ponowne wykorzystywanie.</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Dane o wysokiej wartości, dane dynamiczne i dane badawcze.</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Program otwierania danych.</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Portal danych.</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Pełnomocnicy do spraw otwartości danych.</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Ponowne wykorzystywanie informacji sektora publicznego przekazywanych na wniosek.</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Zmiany w przepisach obowiązujących.</w:t>
      </w:r>
    </w:p>
    <w:p w:rsidR="005D3F15" w:rsidRPr="00744574" w:rsidRDefault="005D3F15" w:rsidP="001C2767">
      <w:pPr>
        <w:widowControl/>
        <w:numPr>
          <w:ilvl w:val="0"/>
          <w:numId w:val="15"/>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Przepisy przejściowe, dostosowujące i przepisy końcowe.</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b/>
          <w:szCs w:val="24"/>
        </w:rPr>
        <w:t>V. Szczegółowe regulacje.</w:t>
      </w:r>
    </w:p>
    <w:p w:rsidR="005D3F15" w:rsidRPr="00744574" w:rsidRDefault="005D3F15" w:rsidP="001C2767">
      <w:pPr>
        <w:widowControl/>
        <w:spacing w:before="120"/>
        <w:jc w:val="both"/>
        <w:rPr>
          <w:rFonts w:eastAsia="Times New Roman" w:cs="Times New Roman"/>
          <w:b/>
          <w:szCs w:val="24"/>
        </w:rPr>
      </w:pPr>
      <w:r w:rsidRPr="00744574">
        <w:rPr>
          <w:rFonts w:eastAsia="Times New Roman" w:cs="Times New Roman"/>
          <w:b/>
          <w:szCs w:val="24"/>
        </w:rPr>
        <w:t>Rozdział 1. Przepisy ogólne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Zakres przedmiotowy.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lastRenderedPageBreak/>
        <w:t>Zgodnie z art. 1 projektu ustawa określa zasady otwartości danych, zasady i tryb udostępniania i przekazywania informacji sektora publicznego w celu ponownego wykorzystywania oraz podmioty, które udostępniają lub przekazują te informacje (podmioty zobowiązane).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Słowniczek ustawowy.</w:t>
      </w:r>
    </w:p>
    <w:p w:rsidR="00744574" w:rsidRDefault="005D3F15" w:rsidP="001C2767">
      <w:pPr>
        <w:widowControl/>
        <w:spacing w:before="120"/>
        <w:jc w:val="both"/>
        <w:rPr>
          <w:rFonts w:eastAsia="Times New Roman" w:cs="Times New Roman"/>
          <w:bCs/>
          <w:szCs w:val="24"/>
        </w:rPr>
      </w:pPr>
      <w:r w:rsidRPr="00744574">
        <w:rPr>
          <w:rFonts w:eastAsia="Times New Roman" w:cs="Times New Roman"/>
          <w:szCs w:val="24"/>
        </w:rPr>
        <w:t>W art. 2 projektu ustawy wprowadzono słowniczek ustawowy, w którym zawarte zostały definicje sformułowane już na gruncie ustawy z 2016 r. oraz nowozdefiniowane pojęcia. Celem wprowadzenia do projektu ustawy słowniczka jest usystematyzowanie struktury pojęciowej regulacji ponownego wykorzystywania, uzupełnienia jej o nowe definicje oraz dostosowania niektórych z dotychczasowych pojęć do przepisów dyrektywy 2019/1024/UE.</w:t>
      </w:r>
    </w:p>
    <w:p w:rsidR="005D3F15" w:rsidRPr="00457233" w:rsidRDefault="005D3F15" w:rsidP="00CC47C5">
      <w:pPr>
        <w:pStyle w:val="Akapitzlist"/>
        <w:numPr>
          <w:ilvl w:val="0"/>
          <w:numId w:val="45"/>
        </w:numPr>
        <w:spacing w:before="120"/>
        <w:jc w:val="both"/>
        <w:rPr>
          <w:rFonts w:eastAsia="Times New Roman"/>
          <w:bCs/>
          <w:szCs w:val="24"/>
        </w:rPr>
      </w:pPr>
      <w:proofErr w:type="spellStart"/>
      <w:r w:rsidRPr="00CC47C5">
        <w:rPr>
          <w:rFonts w:ascii="Times New Roman" w:eastAsia="Times New Roman" w:hAnsi="Times New Roman"/>
          <w:bCs/>
          <w:sz w:val="24"/>
          <w:szCs w:val="24"/>
        </w:rPr>
        <w:t>Anonimizacja</w:t>
      </w:r>
      <w:proofErr w:type="spellEnd"/>
      <w:r w:rsidRPr="00CC47C5">
        <w:rPr>
          <w:rFonts w:ascii="Times New Roman" w:eastAsia="Times New Roman" w:hAnsi="Times New Roman"/>
          <w:bCs/>
          <w:sz w:val="24"/>
          <w:szCs w:val="24"/>
        </w:rPr>
        <w:t>.</w:t>
      </w:r>
    </w:p>
    <w:p w:rsidR="005D3F15" w:rsidRPr="006A6376" w:rsidRDefault="005D3F15" w:rsidP="001C2767">
      <w:pPr>
        <w:widowControl/>
        <w:spacing w:before="120"/>
        <w:ind w:left="360"/>
        <w:jc w:val="both"/>
        <w:rPr>
          <w:rFonts w:eastAsia="Times New Roman" w:cs="Times New Roman"/>
          <w:bCs/>
          <w:szCs w:val="24"/>
        </w:rPr>
      </w:pPr>
      <w:r w:rsidRPr="00744574">
        <w:rPr>
          <w:rFonts w:eastAsia="Times New Roman" w:cs="Times New Roman"/>
          <w:bCs/>
          <w:szCs w:val="24"/>
        </w:rPr>
        <w:t xml:space="preserve">Pod pojęciem </w:t>
      </w:r>
      <w:proofErr w:type="spellStart"/>
      <w:r w:rsidRPr="00744574">
        <w:rPr>
          <w:rFonts w:eastAsia="Times New Roman" w:cs="Times New Roman"/>
          <w:bCs/>
          <w:szCs w:val="24"/>
        </w:rPr>
        <w:t>anonimizacji</w:t>
      </w:r>
      <w:proofErr w:type="spellEnd"/>
      <w:r w:rsidRPr="00744574">
        <w:rPr>
          <w:rFonts w:eastAsia="Times New Roman" w:cs="Times New Roman"/>
          <w:bCs/>
          <w:szCs w:val="24"/>
        </w:rPr>
        <w:t xml:space="preserve"> zdefiniowanym w art. 2 pkt 1 projektu ustawy rozumie się proces zmiany informacji sektora publicznego w informacje anonimowe, które nie odnoszą się do zidentyfikowanej lub możliwej do zidentyfikowania osoby fizycznej, lub proces zmiany danych osobowych w dane anonimowe w taki sposób, że identyfikacja osoby, której dane dotyczą, nie jest lub już nie jest możliwa. Definicję ustawową oparto na art. 2 pkt 7 dyrektywy 2019/1024/UE zgodnie, z którym </w:t>
      </w:r>
      <w:proofErr w:type="spellStart"/>
      <w:r w:rsidRPr="00744574">
        <w:rPr>
          <w:rFonts w:eastAsia="Times New Roman" w:cs="Times New Roman"/>
          <w:bCs/>
          <w:szCs w:val="24"/>
        </w:rPr>
        <w:t>anonimizacja</w:t>
      </w:r>
      <w:proofErr w:type="spellEnd"/>
      <w:r w:rsidRPr="00744574">
        <w:rPr>
          <w:rFonts w:eastAsia="Times New Roman" w:cs="Times New Roman"/>
          <w:bCs/>
          <w:szCs w:val="24"/>
        </w:rPr>
        <w:t xml:space="preserve"> oznacza proces zmiany dokumentów w informacje anonimowe, które nie odnoszą się do zidentyfikowanej lub możliwej do zidentyfikowania osoby fizycznej, lub dane osobowe zanonimizowane w taki sposób, że identyfikacja osoby, której dane dotyczą, nie jest lub już nie jest możliwa</w:t>
      </w:r>
      <w:r w:rsidRPr="006A6376">
        <w:rPr>
          <w:rStyle w:val="Odwoanieprzypisudolnego"/>
          <w:rFonts w:eastAsia="Times New Roman"/>
          <w:bCs/>
          <w:szCs w:val="24"/>
        </w:rPr>
        <w:footnoteReference w:id="14"/>
      </w:r>
      <w:r w:rsidRPr="006A6376">
        <w:rPr>
          <w:rFonts w:eastAsia="Times New Roman" w:cs="Times New Roman"/>
          <w:bCs/>
          <w:szCs w:val="24"/>
          <w:vertAlign w:val="superscript"/>
        </w:rPr>
        <w:t>)</w:t>
      </w:r>
      <w:r w:rsidRPr="006A6376">
        <w:rPr>
          <w:rFonts w:eastAsia="Times New Roman" w:cs="Times New Roman"/>
          <w:bCs/>
          <w:szCs w:val="24"/>
        </w:rPr>
        <w:t>.</w:t>
      </w:r>
    </w:p>
    <w:p w:rsidR="005D3F15" w:rsidRPr="00744574" w:rsidRDefault="005D3F15" w:rsidP="001C2767">
      <w:pPr>
        <w:widowControl/>
        <w:spacing w:before="120"/>
        <w:ind w:left="360"/>
        <w:jc w:val="both"/>
        <w:rPr>
          <w:rFonts w:eastAsia="Times New Roman" w:cs="Times New Roman"/>
          <w:bCs/>
          <w:szCs w:val="24"/>
        </w:rPr>
      </w:pPr>
      <w:proofErr w:type="spellStart"/>
      <w:r w:rsidRPr="00744574">
        <w:rPr>
          <w:rFonts w:eastAsia="Times New Roman" w:cs="Times New Roman"/>
          <w:bCs/>
          <w:szCs w:val="24"/>
        </w:rPr>
        <w:t>Anonimizację</w:t>
      </w:r>
      <w:proofErr w:type="spellEnd"/>
      <w:r w:rsidRPr="00744574">
        <w:rPr>
          <w:rFonts w:eastAsia="Times New Roman" w:cs="Times New Roman"/>
          <w:bCs/>
          <w:szCs w:val="24"/>
        </w:rPr>
        <w:t xml:space="preserve"> danych należy przeprowadzić wówczas kiedy informacje sektora publicznego nie mogą być przekazane z uwagi na ograniczenie ze względu na ochronę danych osobowych (brak podstaw legalizujących przetwarzanie). W tym zakresie skorzystać można z opracowanego przez Ministerstwo Cyfryzacji Standardu bezpieczeństwa</w:t>
      </w:r>
      <w:r w:rsidRPr="006A6376">
        <w:rPr>
          <w:rStyle w:val="Odwoanieprzypisudolnego"/>
          <w:rFonts w:eastAsia="Times New Roman"/>
          <w:bCs/>
          <w:szCs w:val="24"/>
        </w:rPr>
        <w:footnoteReference w:id="15"/>
      </w:r>
      <w:r w:rsidRPr="006A6376">
        <w:rPr>
          <w:rFonts w:eastAsia="Times New Roman" w:cs="Times New Roman"/>
          <w:bCs/>
          <w:szCs w:val="24"/>
          <w:vertAlign w:val="superscript"/>
        </w:rPr>
        <w:t>)</w:t>
      </w:r>
      <w:r w:rsidRPr="006A6376">
        <w:rPr>
          <w:rFonts w:eastAsia="Times New Roman" w:cs="Times New Roman"/>
          <w:bCs/>
          <w:szCs w:val="24"/>
        </w:rPr>
        <w:t>, w którym zawarto zalecenia dotyczące bezpieczeństwa otwierania danyc</w:t>
      </w:r>
      <w:r w:rsidRPr="00744574">
        <w:rPr>
          <w:rFonts w:eastAsia="Times New Roman" w:cs="Times New Roman"/>
          <w:bCs/>
          <w:szCs w:val="24"/>
        </w:rPr>
        <w:t xml:space="preserve">h publicznych. Dokument ten służy zapewnieniu odpowiedniego poziomu </w:t>
      </w:r>
      <w:r w:rsidRPr="00744574">
        <w:rPr>
          <w:rFonts w:eastAsia="Times New Roman" w:cs="Times New Roman"/>
          <w:bCs/>
          <w:szCs w:val="24"/>
        </w:rPr>
        <w:lastRenderedPageBreak/>
        <w:t xml:space="preserve">bezpieczeństwa w procesach otwierania danych przez podmioty publiczne. Standard ten obejmuje m.in.: minimalne czynności dotyczące udostępniania danych do ponownego wykorzystywania, grupy danych podlegające nieograniczonemu ponownemu wykorzystywaniu, dane podlegające </w:t>
      </w:r>
      <w:proofErr w:type="spellStart"/>
      <w:r w:rsidRPr="00744574">
        <w:rPr>
          <w:rFonts w:eastAsia="Times New Roman" w:cs="Times New Roman"/>
          <w:bCs/>
          <w:szCs w:val="24"/>
        </w:rPr>
        <w:t>anonimizacji</w:t>
      </w:r>
      <w:proofErr w:type="spellEnd"/>
      <w:r w:rsidRPr="00744574">
        <w:rPr>
          <w:rFonts w:eastAsia="Times New Roman" w:cs="Times New Roman"/>
          <w:bCs/>
          <w:szCs w:val="24"/>
        </w:rPr>
        <w:t xml:space="preserve"> i </w:t>
      </w:r>
      <w:proofErr w:type="spellStart"/>
      <w:r w:rsidRPr="00744574">
        <w:rPr>
          <w:rFonts w:eastAsia="Times New Roman" w:cs="Times New Roman"/>
          <w:bCs/>
          <w:szCs w:val="24"/>
        </w:rPr>
        <w:t>pseudonimizacji</w:t>
      </w:r>
      <w:proofErr w:type="spellEnd"/>
      <w:r w:rsidRPr="00744574">
        <w:rPr>
          <w:rFonts w:eastAsia="Times New Roman" w:cs="Times New Roman"/>
          <w:bCs/>
          <w:szCs w:val="24"/>
        </w:rPr>
        <w:t xml:space="preserve"> oraz sposoby doboru technik. Standard bezpieczeństwa jest zalecany do stosowania w Programie otwierania danych na lata 2021–2027. Dodatkowo podmioty zobowiązane mogą stosować wytyczne dotyczące technik </w:t>
      </w:r>
      <w:proofErr w:type="spellStart"/>
      <w:r w:rsidRPr="00744574">
        <w:rPr>
          <w:rFonts w:eastAsia="Times New Roman" w:cs="Times New Roman"/>
          <w:bCs/>
          <w:szCs w:val="24"/>
        </w:rPr>
        <w:t>anonimizacji</w:t>
      </w:r>
      <w:proofErr w:type="spellEnd"/>
      <w:r w:rsidRPr="00744574">
        <w:rPr>
          <w:rFonts w:eastAsia="Times New Roman" w:cs="Times New Roman"/>
          <w:bCs/>
          <w:szCs w:val="24"/>
        </w:rPr>
        <w:t xml:space="preserve"> zawarte w Opinii Grupy Roboczej Art. 29 05/2014 z dnia 10 kwietnia 2014 r. w sprawie technik </w:t>
      </w:r>
      <w:proofErr w:type="spellStart"/>
      <w:r w:rsidRPr="00744574">
        <w:rPr>
          <w:rFonts w:eastAsia="Times New Roman" w:cs="Times New Roman"/>
          <w:bCs/>
          <w:szCs w:val="24"/>
        </w:rPr>
        <w:t>anonimizacji</w:t>
      </w:r>
      <w:proofErr w:type="spellEnd"/>
      <w:r w:rsidRPr="006A6376">
        <w:rPr>
          <w:rStyle w:val="Odwoanieprzypisudolnego"/>
          <w:rFonts w:eastAsia="Times New Roman"/>
          <w:bCs/>
          <w:szCs w:val="24"/>
        </w:rPr>
        <w:footnoteReference w:id="16"/>
      </w:r>
      <w:r w:rsidRPr="006A6376">
        <w:rPr>
          <w:rFonts w:eastAsia="Times New Roman" w:cs="Times New Roman"/>
          <w:bCs/>
          <w:szCs w:val="24"/>
          <w:vertAlign w:val="superscript"/>
        </w:rPr>
        <w:t>)</w:t>
      </w:r>
      <w:r w:rsidRPr="006A6376">
        <w:rPr>
          <w:rFonts w:eastAsia="Times New Roman" w:cs="Times New Roman"/>
          <w:bCs/>
          <w:szCs w:val="24"/>
        </w:rPr>
        <w:t>. Odmowa przekazania jakichkolwiek danych jest ostatecznością, np. wniosek obej</w:t>
      </w:r>
      <w:r w:rsidRPr="00744574">
        <w:rPr>
          <w:rFonts w:eastAsia="Times New Roman" w:cs="Times New Roman"/>
          <w:bCs/>
          <w:szCs w:val="24"/>
        </w:rPr>
        <w:t>muje przekazanie wyłącznie danych osobowych, wówczas depersonalizacja danych powoduje, że przekazanie danych jest bezcelowe, nie ma jakiejkolwiek wartości informacyjnej.</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Dane badawcze.</w:t>
      </w:r>
    </w:p>
    <w:p w:rsidR="005D3F15" w:rsidRPr="00744574" w:rsidRDefault="005D3F15" w:rsidP="001C2767">
      <w:pPr>
        <w:widowControl/>
        <w:spacing w:before="120"/>
        <w:ind w:left="360"/>
        <w:jc w:val="both"/>
        <w:rPr>
          <w:rFonts w:eastAsia="Times New Roman" w:cs="Times New Roman"/>
          <w:bCs/>
          <w:szCs w:val="24"/>
        </w:rPr>
      </w:pPr>
      <w:r w:rsidRPr="00744574">
        <w:rPr>
          <w:rFonts w:eastAsia="Times New Roman" w:cs="Times New Roman"/>
          <w:bCs/>
          <w:szCs w:val="24"/>
        </w:rPr>
        <w:t xml:space="preserve">Dane badawcze oznaczają informacje sektora publicznego utrwalone w postaci elektronicznej, inne niż publikacje naukowe, które zostały wytworzone lub zgromadzone w ramach działalności naukowej w rozumieniu art. 4 ustawy z dnia 20 lipca 2018 r. – Prawo o szkolnictwie wyższym i nauce (Dz. U. z 2021 r. poz. 478, z </w:t>
      </w:r>
      <w:proofErr w:type="spellStart"/>
      <w:r w:rsidRPr="00744574">
        <w:rPr>
          <w:rFonts w:eastAsia="Times New Roman" w:cs="Times New Roman"/>
          <w:bCs/>
          <w:szCs w:val="24"/>
        </w:rPr>
        <w:t>późn</w:t>
      </w:r>
      <w:proofErr w:type="spellEnd"/>
      <w:r w:rsidRPr="00744574">
        <w:rPr>
          <w:rFonts w:eastAsia="Times New Roman" w:cs="Times New Roman"/>
          <w:bCs/>
          <w:szCs w:val="24"/>
        </w:rPr>
        <w:t>. zm.) i są wykorzystywane jako dowody w procesie badawczym lub służą do weryfikacji poprawności ustaleń i wyników badań. Definicja danych badawczych zaproponowana w projekcie ustawy stanowi odzwierciedlenie definicji wprowadzonej na gruncie dyrektywy 2019/1024/UE. Zgodnie z art. 2 pkt 9 dyrektywy przez dane badawcze należy rozumieć dokumenty w formie cyfrowej, inne niż publikacje naukowe, które są gromadzone lub produkowane w ramach działalności badawczo-naukowej i są wykorzystywane jako dowody w procesie badawczym bądź też są powszechnie akceptowane w środowisku naukowym jako konieczne do weryfikacji poprawności ustaleń i wyników badań.</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Dane dynamiczne.</w:t>
      </w:r>
    </w:p>
    <w:p w:rsidR="005D3F15" w:rsidRPr="00744574" w:rsidRDefault="005D3F15" w:rsidP="001C2767">
      <w:pPr>
        <w:widowControl/>
        <w:spacing w:before="120"/>
        <w:ind w:left="360"/>
        <w:jc w:val="both"/>
        <w:rPr>
          <w:rFonts w:eastAsia="Times New Roman" w:cs="Times New Roman"/>
          <w:bCs/>
          <w:szCs w:val="24"/>
        </w:rPr>
      </w:pPr>
      <w:r w:rsidRPr="00744574">
        <w:rPr>
          <w:rFonts w:eastAsia="Times New Roman" w:cs="Times New Roman"/>
          <w:bCs/>
          <w:szCs w:val="24"/>
        </w:rPr>
        <w:t xml:space="preserve">Zgodnie z art. 2 pkt 3 projektu ustawy za dane dynamiczne uznaje się informacje sektora publicznego utrwalone w postaci elektronicznej podlegające częstym aktualizacjom lub aktualizacjom w czasie rzeczywistym, w tym ze względu na ich zmienność lub szybką dezaktualizację; w szczególności dane wygenerowane przez </w:t>
      </w:r>
      <w:r w:rsidRPr="00744574">
        <w:rPr>
          <w:rFonts w:eastAsia="Times New Roman" w:cs="Times New Roman"/>
          <w:bCs/>
          <w:szCs w:val="24"/>
        </w:rPr>
        <w:lastRenderedPageBreak/>
        <w:t>czujniki. W dyrektywie 2019/1024/UE dane dynamiczne zdefiniowane zostały jako dokumenty w formie cyfrowej podlegające częstym aktualizacjom lub aktualizacjom w czasie rzeczywistym, w szczególności ze względu na ich zmienność lub szybką dezaktualizację, a za dane takie zasadniczo uznano dane wygenerowane przez czujniki (art. 2 pkt 8 dyrektywy 2019/1024/UE).</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Dane o wysokiej wartości.</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Za dane o wysokiej wartości w rozumieniu ustawowym uznaje się informacje sektora publicznego, których ponowne wykorzystywanie wiąże się z istotnymi korzyściami dla społeczeństwa, środowiska i gospodarki, w szczególności ze względu na ich przydatność do tworzenia produktów, usług i zastosowań opartych na wykorzystywaniu tych danych. Definicja zawarta w art. 2 pkt 4 projektu ustawy stanowi implementację art. 2 pkt 10 dyrektywy 2019/1024/UE zgodnie, z którym cechy zbiorów danych o wysokiej wartości zawierają dokumenty, których ponowne wykorzystywanie wiąże się z istotnymi korzyściami dla społeczeństwa, środowiska i gospodarki, w szczególności ze względu na ich przydatność do tworzenia usług i zastosowań o wartości dodanej oraz nowych godziwych miejsc pracy wysokiej jakości, a także ze względu na liczbę potencjalnych beneficjentów usług i zastosowań o wartości dodanej opartych na tych zbiorach danych.</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Dane prywatne.</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Jako dane prywatne rozumie się każdą treść lub jej część, niezależnie od sposobu utrwalenia, w szczególności w postaci papierowej, elektronicznej, dźwiękowej, wizualnej lub audiowizualnej, będącą w posiadaniu podmiotu innego niż podmiot zobowiązany i przez niego wytworzoną, z wyjątkiem danych osobowych. Zgodnie z powyższym za dane prywatne w rozumieniu ustawowym uznaje się wszelkie treści będące w posiadaniu (i przez nie wytworzone) podmiotów innych niż te, które wymienione zostały w art. 3 projektu ustawy. W szczególności będą to zasoby danych znajdujące się w posiadaniu przedsiębiorców, czy też organizacji pozarządowych (i przez nich wytworzone).</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Format otwarty.</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 xml:space="preserve">Format otwarty zdefiniowano w art. 2 pkt 6 projektu ustawy jako format pliku, który jest niezależny od systemu oraz jest udostępniany bez żadnych ograniczeń, które utrudniałyby ponowne wykorzystywanie. Wskazana definicja ustawowa stanowi </w:t>
      </w:r>
      <w:r w:rsidRPr="00744574">
        <w:rPr>
          <w:rFonts w:eastAsia="Times New Roman" w:cs="Times New Roman"/>
          <w:bCs/>
          <w:szCs w:val="24"/>
        </w:rPr>
        <w:lastRenderedPageBreak/>
        <w:t>implementację art. 2 pkt 14 dyrektywy 2019/1024/UE. W szczególności za przykłady formatów otwartych można uznać formaty: CSV, ODS, JSON, XML, RDF, HTML, SHP, GML oraz KML.</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Innymi słowy format otwarty to format pliku:</w:t>
      </w:r>
    </w:p>
    <w:p w:rsidR="005D3F15" w:rsidRPr="00744574" w:rsidRDefault="005D3F15" w:rsidP="001C2767">
      <w:pPr>
        <w:widowControl/>
        <w:numPr>
          <w:ilvl w:val="0"/>
          <w:numId w:val="37"/>
        </w:numPr>
        <w:spacing w:before="120"/>
        <w:jc w:val="both"/>
        <w:rPr>
          <w:rFonts w:eastAsia="Times New Roman" w:cs="Times New Roman"/>
          <w:bCs/>
          <w:szCs w:val="24"/>
        </w:rPr>
      </w:pPr>
      <w:r w:rsidRPr="00744574">
        <w:rPr>
          <w:rFonts w:eastAsia="Times New Roman" w:cs="Times New Roman"/>
          <w:bCs/>
          <w:szCs w:val="24"/>
        </w:rPr>
        <w:t>którego specyfikacja powstała i jest utrzymywana w drodze procedury pozwalającej na uwzględnienie potrzeb każdego zainteresowanego,</w:t>
      </w:r>
    </w:p>
    <w:p w:rsidR="005D3F15" w:rsidRPr="00744574" w:rsidRDefault="005D3F15" w:rsidP="001C2767">
      <w:pPr>
        <w:widowControl/>
        <w:numPr>
          <w:ilvl w:val="0"/>
          <w:numId w:val="37"/>
        </w:numPr>
        <w:spacing w:before="120"/>
        <w:jc w:val="both"/>
        <w:rPr>
          <w:rFonts w:eastAsia="Times New Roman" w:cs="Times New Roman"/>
          <w:bCs/>
          <w:szCs w:val="24"/>
        </w:rPr>
      </w:pPr>
      <w:r w:rsidRPr="00744574">
        <w:rPr>
          <w:rFonts w:eastAsia="Times New Roman" w:cs="Times New Roman"/>
          <w:bCs/>
          <w:szCs w:val="24"/>
        </w:rPr>
        <w:t>którego wykorzystanie oraz wdrożenie nie wymaga korzystania z własnościowych narzędzi ani rozwiązań,</w:t>
      </w:r>
    </w:p>
    <w:p w:rsidR="005D3F15" w:rsidRPr="00744574" w:rsidRDefault="005D3F15" w:rsidP="001C2767">
      <w:pPr>
        <w:widowControl/>
        <w:numPr>
          <w:ilvl w:val="0"/>
          <w:numId w:val="37"/>
        </w:numPr>
        <w:spacing w:before="120"/>
        <w:ind w:left="714" w:hanging="357"/>
        <w:jc w:val="both"/>
        <w:rPr>
          <w:rFonts w:eastAsia="Times New Roman" w:cs="Times New Roman"/>
          <w:bCs/>
          <w:szCs w:val="24"/>
        </w:rPr>
      </w:pPr>
      <w:r w:rsidRPr="00744574">
        <w:rPr>
          <w:rFonts w:eastAsia="Times New Roman" w:cs="Times New Roman"/>
          <w:bCs/>
          <w:szCs w:val="24"/>
        </w:rPr>
        <w:t>dla którego istnieją kompletne implementacje pochodzące od niezależnych dostawców lub którego kompletna implementacja dostępna jest dla wszystkich bez ograniczeń technicznych lub prawnych.</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Format przeznaczony do odczytu maszynowego.</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Format przeznaczony do odczytu maszynowego zdefiniowano w projekcie ustawy jako format pliku ustrukturyzowany tak, aby programy komputerowe mogły zidentyfikować, rozpoznać i pozyskać określone dane i ich wewnętrzną strukturę. Art. 2 pkt 7 projektu ustawy implementuje definicję</w:t>
      </w:r>
      <w:r w:rsidRPr="00744574">
        <w:rPr>
          <w:rFonts w:eastAsia="Calibri" w:cs="Times New Roman"/>
          <w:szCs w:val="24"/>
          <w:lang w:eastAsia="en-US"/>
        </w:rPr>
        <w:t xml:space="preserve"> </w:t>
      </w:r>
      <w:r w:rsidRPr="00744574">
        <w:rPr>
          <w:rFonts w:eastAsia="Times New Roman" w:cs="Times New Roman"/>
          <w:bCs/>
          <w:szCs w:val="24"/>
        </w:rPr>
        <w:t>formatu nadającego się do odczytu maszynowego zawartą w art. 2 pkt 13 dyrektywy 2019/1024/UE.</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Informacja sektora publicznego.</w:t>
      </w:r>
    </w:p>
    <w:p w:rsidR="005D3F15" w:rsidRPr="006A6376" w:rsidRDefault="005D3F15" w:rsidP="001C2767">
      <w:pPr>
        <w:widowControl/>
        <w:spacing w:before="120"/>
        <w:ind w:left="357"/>
        <w:jc w:val="both"/>
        <w:rPr>
          <w:rFonts w:eastAsia="Times New Roman" w:cs="Times New Roman"/>
          <w:bCs/>
          <w:szCs w:val="24"/>
        </w:rPr>
      </w:pPr>
      <w:r w:rsidRPr="00744574">
        <w:rPr>
          <w:rFonts w:eastAsia="Times New Roman" w:cs="Times New Roman"/>
          <w:bCs/>
          <w:szCs w:val="24"/>
        </w:rPr>
        <w:t xml:space="preserve">Przez informację sektora publicznego rozumie się każdą treść lub jej część, niezależnie od sposobu utrwalenia, w szczególności w postaci papierowej, elektronicznej, dźwiękowej, wizualnej lub audiowizualnej, będącą w posiadaniu podmiotu zobowiązanego. Definicja informacji sektora publicznego wprowadzona w projekcie ustawy jest tożsama z tą przyjętą na gruncie ustawy z 2016 r. Pojęcie to należy odnieść do definicji „dokumentu” w rozumieniu art. 2 pkt 6 dyrektywy 2019/1024/UE, zgodnie z którym „dokument” oznacza dowolną treść lub dowolną część tej treści niezależnie od jej nośnika (papier lub forma elektroniczna lub zapis dźwiękowy, wizualny bądź audiowizualny). Pojęcie informacji sektora publicznego wyznacza zakres przedmiotowy ponownego wykorzystywania. Dla zakwalifikowania określonej informacji jako informacji sektora publicznego nie ma znaczenia jej treść. Istotne jest natomiast jej utrwalenie oraz fakt posiadania przez podmioty udostępniające lub przekazujące ją w celu ponownego wykorzystywania. Definicja </w:t>
      </w:r>
      <w:r w:rsidRPr="00744574">
        <w:rPr>
          <w:rFonts w:eastAsia="Times New Roman" w:cs="Times New Roman"/>
          <w:bCs/>
          <w:szCs w:val="24"/>
        </w:rPr>
        <w:lastRenderedPageBreak/>
        <w:t>informacji sektora publicznego jest szersza niż pojęcie informacji publicznej i zawiera w sobie informację publiczną oraz inne treści (wykraczające poza zakres pojęcia informacji publicznej), tj. np. zasoby bibliotek, archiwów i muzeów niebędących informacjami publicznymi oraz inne informacje niebędące zarówno informacją publiczną ani zasobem bibliotek, archiwów i muzeów</w:t>
      </w:r>
      <w:r w:rsidRPr="006A6376">
        <w:rPr>
          <w:rFonts w:eastAsia="Times New Roman" w:cs="Times New Roman"/>
          <w:bCs/>
          <w:szCs w:val="24"/>
          <w:vertAlign w:val="superscript"/>
        </w:rPr>
        <w:footnoteReference w:id="17"/>
      </w:r>
      <w:r w:rsidRPr="006A6376">
        <w:rPr>
          <w:rFonts w:eastAsia="Times New Roman" w:cs="Times New Roman"/>
          <w:szCs w:val="24"/>
          <w:vertAlign w:val="superscript"/>
        </w:rPr>
        <w:t>)</w:t>
      </w:r>
      <w:r w:rsidRPr="006A6376">
        <w:rPr>
          <w:rFonts w:eastAsia="Times New Roman" w:cs="Times New Roman"/>
          <w:bCs/>
          <w:szCs w:val="24"/>
        </w:rPr>
        <w:t>.</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Interfejs programistyczny aplikacji (API).</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Dla celów ustawowych zdefiniowano w projekcie pojęcie interfejsu programistycznego aplikacji, przez który rozumie się zbiór technicznych funkcji umożliwiających połączenie i wzajemną wymianę danych lub metadanych między programami komputerowymi lub systemami teleinformatycznymi. W przepisach ustawy posłużono się skrótem: API.</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Metadane.</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 xml:space="preserve">W projekcie ustawy zdefiniowane zostały również metadane, przez które rozumie się ustrukturyzowane informacje opisujące, tłumaczące, lokalizujące i ułatwiające odnalezienie, wykorzystanie innych informacji lub zarządzanie nimi. </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Otwarte dane.</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Pod pojęciem otwartych danych w projekcie ustawy rozumie się informacje sektora publicznego udostępniane lub przekazywane w postaci elektronicznej, bezwarunkowo lub z zastrzeżeniem warunków, o których mowa w rozdziale 3, kompletne, aktualne, w wersji źródłowej w otwartym i niezastrzeżonym formacie przeznaczonym do odczytu maszynowego, które są przeznaczone do bezpłatnego ponownego wykorzystywania na tych samych zasadach dla każdego użytkownika, bez konieczności potwierdzania tożsamości. Otwarte dane w rozumieniu ustawowym powinny zatem spełniać w zasadniczej części filary otwartości zdefiniowane w Programie otwierania danych publicznych z 2016 r. oraz w Standardzie prawnym otwartości danych. Dane spełniające filary otwartości, to dane:</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 xml:space="preserve">dostępne – dane udostępniane bez żadnych ograniczeń, szerokiemu gronu użytkowników, do dowolnych celów. Dane spełniające warunek dostępności powinny być dostępne dla każdego, domyślnie jawne (jawność danych może zostać ograniczona w drodze wyjątku i jedynie z uwagi na konieczności </w:t>
      </w:r>
      <w:r w:rsidRPr="00744574">
        <w:rPr>
          <w:rFonts w:eastAsia="Times New Roman" w:cs="Times New Roman"/>
          <w:bCs/>
          <w:szCs w:val="24"/>
        </w:rPr>
        <w:lastRenderedPageBreak/>
        <w:t>ochrony prawnie uzasadnionych interesów) oraz dostępne niezależnie od celu, jakiemu mają służyć (niezależnie od tego, do czego zostaną wtórnie wykorzystane przez użytkowników),</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upublicznione w wersji źródłowej – dane udostępniane w oryginalnej, niezmienionej i niezagregowanej formie (tzw. dane surowe, a nie np. w postaci analiz, podsumowań, skrótów czy streszczeń),</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 xml:space="preserve">kompletne – dane udostępniane w całości, bez wyłączania poszczególnych części danych i zgodne ze stanem faktycznym. Ewentualne wyłączenie niektórych informacji jest możliwe jedynie, kiedy wymagają tego przepisy prawa (np. część danych podlega </w:t>
      </w:r>
      <w:proofErr w:type="spellStart"/>
      <w:r w:rsidRPr="00744574">
        <w:rPr>
          <w:rFonts w:eastAsia="Times New Roman" w:cs="Times New Roman"/>
          <w:bCs/>
          <w:szCs w:val="24"/>
        </w:rPr>
        <w:t>anonimizacji</w:t>
      </w:r>
      <w:proofErr w:type="spellEnd"/>
      <w:r w:rsidRPr="00744574">
        <w:rPr>
          <w:rFonts w:eastAsia="Times New Roman" w:cs="Times New Roman"/>
          <w:bCs/>
          <w:szCs w:val="24"/>
        </w:rPr>
        <w:t xml:space="preserve"> ze względu na ochronę danych osobowych), a dysponent danych poinformuje o przyczynach wyłączenia,</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aktualne – dane udostępniane niezwłocznie po ich wytworzeniu lub pozyskaniu. Udostępnianie danych najnowszych i bieżąco aktualizowanych w terminach dostosowywanych do rodzaju danych i dynamiki ich zmian wraz z oznaczeniem daty udostępnienia danych, daty ostatniej aktualizacji danych oraz informacji o częstotliwości aktualizacji danych,</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odczytywalne maszynowo – dane udostępniane w formatach umożliwiających automatyczne odczytywanie przez przeglądarkę lub system komputerowy, tj. w formatach ułatwiających dostęp i pozwalających na bardziej zaawansowane analizy dużych ilości informacji (np. formaty XML, JSON, RDF, CSV),</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udostępnione niedyskryminująco – dane udostępniane każdemu bez konieczności rejestracji, posiadania konta internetowego, weryfikacji tożsamości poprzez podawanie hasła, loginu czy podpisywania jakichkolwiek umów. Zasada niedyskryminacji to również równe traktowanie użytkowników, a więc udostępnianie danych na tych samych warunkach i zasadach każdemu zainteresowanemu, tak na wniosek użytkownika, jak i udostępnianych przez systemy teleinformatyczne,</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dostępne bez ograniczeń licencyjnych – dane udostępniane bez ograniczeń uniemożliwiający ich pełne wykorzystywanie, tj. takie dane, które nie są przedmiotem praw autorskich, patentów, znaków towarowych lub tajemnicy handlowej i mogą być wykorzystywane w dowolnych celach bez konieczności ubiegania się o jakąkolwiek zgodę na ich używanie,</w:t>
      </w:r>
    </w:p>
    <w:p w:rsidR="005D3F15" w:rsidRPr="00744574" w:rsidRDefault="005D3F15" w:rsidP="001C2767">
      <w:pPr>
        <w:widowControl/>
        <w:numPr>
          <w:ilvl w:val="0"/>
          <w:numId w:val="16"/>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lastRenderedPageBreak/>
        <w:t>niezastrzeżone – dane udostępniane w formacie powszechnie stosowanym i otwartym (charakterystyka jest jawna i dobrze opisana), który nie jest kontrolowany przez żaden podmiot.</w:t>
      </w:r>
    </w:p>
    <w:p w:rsidR="005D3F15" w:rsidRPr="00744574" w:rsidRDefault="005D3F15" w:rsidP="00CC47C5">
      <w:pPr>
        <w:widowControl/>
        <w:numPr>
          <w:ilvl w:val="0"/>
          <w:numId w:val="45"/>
        </w:numPr>
        <w:autoSpaceDE/>
        <w:autoSpaceDN/>
        <w:adjustRightInd/>
        <w:spacing w:before="120"/>
        <w:jc w:val="both"/>
        <w:rPr>
          <w:rFonts w:eastAsia="Times New Roman" w:cs="Times New Roman"/>
          <w:bCs/>
          <w:szCs w:val="24"/>
        </w:rPr>
      </w:pPr>
      <w:r w:rsidRPr="00744574">
        <w:rPr>
          <w:rFonts w:eastAsia="Times New Roman" w:cs="Times New Roman"/>
          <w:bCs/>
          <w:szCs w:val="24"/>
        </w:rPr>
        <w:t>Ponowne wykorzystywanie.</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Przez ponowne wykorzystywanie rozumie się wykorzystywanie przez użytkowników informacji sektora publicznego w jakimkolwiek innym celu niż pierwotny publiczny cel, w jakim informacja została wytworzona, przetworzona, pozyskana lub zgromadzona, z wyjątkiem wymiany informacji sektora publicznego między podmiotami zobowiązanymi wyłącznie w celu realizacji zadań publicznych. Definicja ponownego wykorzystywania wskazana w art. 2 pkt 12 projektu ustawy stanowi implementację art. 2 pkt 11 dyrektyw 2019/1024/UE, zgodnie z którym ponowne wykorzystywanie oznacza wykorzystywanie przez osoby fizyczne lub podmioty prawne dokumentów będących w posiadaniu:</w:t>
      </w:r>
    </w:p>
    <w:p w:rsidR="005D3F15" w:rsidRPr="00744574" w:rsidRDefault="005D3F15" w:rsidP="001C2767">
      <w:pPr>
        <w:widowControl/>
        <w:numPr>
          <w:ilvl w:val="0"/>
          <w:numId w:val="17"/>
        </w:numPr>
        <w:autoSpaceDE/>
        <w:autoSpaceDN/>
        <w:adjustRightInd/>
        <w:spacing w:before="120"/>
        <w:ind w:left="1066" w:hanging="357"/>
        <w:jc w:val="both"/>
        <w:rPr>
          <w:rFonts w:eastAsia="Times New Roman" w:cs="Times New Roman"/>
          <w:bCs/>
          <w:szCs w:val="24"/>
        </w:rPr>
      </w:pPr>
      <w:r w:rsidRPr="00744574">
        <w:rPr>
          <w:rFonts w:eastAsia="Times New Roman" w:cs="Times New Roman"/>
          <w:bCs/>
          <w:szCs w:val="24"/>
        </w:rPr>
        <w:t>organów sektora publicznego, do celów komercyjnych lub niekomercyjnych innych niż ich pierwotne przeznaczenie w ramach zadań publicznych, dla którego to celu dokumenty te zostały wyprodukowane, z wyjątkiem wymiany dokumentów między organami sektora publicznego służącej wyłącznie wykonywaniu ich zadań publicznych lub</w:t>
      </w:r>
    </w:p>
    <w:p w:rsidR="005D3F15" w:rsidRPr="00744574" w:rsidRDefault="005D3F15" w:rsidP="001C2767">
      <w:pPr>
        <w:widowControl/>
        <w:numPr>
          <w:ilvl w:val="0"/>
          <w:numId w:val="17"/>
        </w:numPr>
        <w:autoSpaceDE/>
        <w:autoSpaceDN/>
        <w:adjustRightInd/>
        <w:spacing w:before="120"/>
        <w:ind w:left="1066" w:hanging="357"/>
        <w:jc w:val="both"/>
        <w:rPr>
          <w:rFonts w:eastAsia="Times New Roman" w:cs="Times New Roman"/>
          <w:bCs/>
          <w:szCs w:val="24"/>
        </w:rPr>
      </w:pPr>
      <w:r w:rsidRPr="00744574">
        <w:rPr>
          <w:rFonts w:eastAsia="Times New Roman" w:cs="Times New Roman"/>
          <w:bCs/>
          <w:szCs w:val="24"/>
        </w:rPr>
        <w:t>przedsiębiorstw publicznych, do celów komercyjnych lub niekomercyjnych innych niż ich pierwotne przeznaczenie w zakresie świadczenia usług w interesie ogólnym, dla którego to celu dokumenty te zostały wyprodukowane, z wyjątkiem wymiany dokumentów między przedsiębiorstwami publicznymi a organami sektora publicznego służącej wyłącznie wykonywaniu zadań publicznych organów sektora publicznego.</w:t>
      </w:r>
    </w:p>
    <w:p w:rsidR="005D3F15" w:rsidRPr="00744574" w:rsidRDefault="005D3F15" w:rsidP="00CC47C5">
      <w:pPr>
        <w:widowControl/>
        <w:numPr>
          <w:ilvl w:val="0"/>
          <w:numId w:val="45"/>
        </w:numPr>
        <w:autoSpaceDE/>
        <w:autoSpaceDN/>
        <w:adjustRightInd/>
        <w:spacing w:before="120"/>
        <w:jc w:val="both"/>
        <w:rPr>
          <w:rFonts w:eastAsia="Times New Roman" w:cs="Times New Roman"/>
          <w:bCs/>
          <w:szCs w:val="24"/>
        </w:rPr>
      </w:pPr>
      <w:r w:rsidRPr="00744574">
        <w:rPr>
          <w:rFonts w:eastAsia="Times New Roman" w:cs="Times New Roman"/>
          <w:bCs/>
          <w:szCs w:val="24"/>
        </w:rPr>
        <w:t>Portal danych.</w:t>
      </w:r>
    </w:p>
    <w:p w:rsidR="005D3F15" w:rsidRPr="006A6376"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 xml:space="preserve">W art. 2 pkt 13 projektu ustawy zdefiniowano portal danych, czyli prowadzony przez ministra właściwego do spraw informatyzacji, powszechnie dostępny system teleinformatyczny, służący do udostępniania informacji sektora publicznego w celu ponownego wykorzystywania oraz danych prywatnych do wykorzystywania. Portal danych zastąpi dotychczasowe centralne repozytorium informacji publicznej, którego regulacja wyodrębniona zostanie z ustawy o dostępie do informacji publicznej i </w:t>
      </w:r>
      <w:r w:rsidRPr="00744574">
        <w:rPr>
          <w:rFonts w:eastAsia="Times New Roman" w:cs="Times New Roman"/>
          <w:bCs/>
          <w:szCs w:val="24"/>
        </w:rPr>
        <w:lastRenderedPageBreak/>
        <w:t xml:space="preserve">przeniesiona do projektowanej ustawy. Funkcję portalu danych (tak jak dotychczas centralnego repozytorium) pełnić będzie portal </w:t>
      </w:r>
      <w:hyperlink r:id="rId7" w:history="1">
        <w:r w:rsidRPr="006A6376">
          <w:rPr>
            <w:rFonts w:eastAsia="Times New Roman" w:cs="Times New Roman"/>
            <w:bCs/>
            <w:szCs w:val="24"/>
          </w:rPr>
          <w:t>dane.gov.pl</w:t>
        </w:r>
      </w:hyperlink>
      <w:r w:rsidRPr="006A6376">
        <w:rPr>
          <w:rFonts w:eastAsia="Times New Roman" w:cs="Times New Roman"/>
          <w:bCs/>
          <w:szCs w:val="24"/>
        </w:rPr>
        <w:t>.</w:t>
      </w:r>
    </w:p>
    <w:p w:rsidR="005D3F15" w:rsidRPr="00744574" w:rsidRDefault="005D3F15" w:rsidP="00CC47C5">
      <w:pPr>
        <w:widowControl/>
        <w:numPr>
          <w:ilvl w:val="0"/>
          <w:numId w:val="45"/>
        </w:numPr>
        <w:autoSpaceDE/>
        <w:autoSpaceDN/>
        <w:adjustRightInd/>
        <w:spacing w:before="120"/>
        <w:contextualSpacing/>
        <w:jc w:val="both"/>
        <w:rPr>
          <w:rFonts w:eastAsia="Times New Roman" w:cs="Times New Roman"/>
          <w:bCs/>
          <w:szCs w:val="24"/>
        </w:rPr>
      </w:pPr>
      <w:r w:rsidRPr="00744574">
        <w:rPr>
          <w:rFonts w:eastAsia="Times New Roman" w:cs="Times New Roman"/>
          <w:bCs/>
          <w:szCs w:val="24"/>
        </w:rPr>
        <w:t>Użytkownik.</w:t>
      </w:r>
    </w:p>
    <w:p w:rsidR="005D3F15" w:rsidRPr="00744574" w:rsidRDefault="005D3F15" w:rsidP="001C2767">
      <w:pPr>
        <w:widowControl/>
        <w:spacing w:before="120"/>
        <w:ind w:left="340"/>
        <w:jc w:val="both"/>
        <w:rPr>
          <w:rFonts w:eastAsia="Times New Roman" w:cs="Times New Roman"/>
          <w:bCs/>
          <w:szCs w:val="24"/>
        </w:rPr>
      </w:pPr>
      <w:r w:rsidRPr="00744574">
        <w:rPr>
          <w:rFonts w:eastAsia="Times New Roman" w:cs="Times New Roman"/>
          <w:bCs/>
          <w:szCs w:val="24"/>
        </w:rPr>
        <w:t>Pod pojęciem użytkownika rozumie się osobę fizyczną, osobę prawną lub jednostkę organizacyjną nieposiadającą osobowości prawnej, która ponownie wykorzystuje informacje sektora publicznego lub wykorzystuje dane prywatne.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Zakres podmiotowy.</w:t>
      </w:r>
    </w:p>
    <w:p w:rsidR="005D3F15" w:rsidRPr="00744574" w:rsidRDefault="005D3F15" w:rsidP="001C2767">
      <w:pPr>
        <w:widowControl/>
        <w:spacing w:before="120"/>
        <w:jc w:val="both"/>
        <w:rPr>
          <w:rFonts w:eastAsia="Times New Roman" w:cs="Times New Roman"/>
          <w:szCs w:val="24"/>
          <w:u w:val="single"/>
        </w:rPr>
      </w:pPr>
      <w:r w:rsidRPr="00744574">
        <w:rPr>
          <w:rFonts w:eastAsia="Times New Roman" w:cs="Times New Roman"/>
          <w:szCs w:val="24"/>
        </w:rPr>
        <w:t>Projekt ustawy wyznacza zamknięty katalog podmiotów, które udostępniają lub przekazują informacje sektora publicznego w celu ich ponownego wykorzystywania, zwanych dalej „podmiotami zobowiązanymi”. Katalog ten odzwierciedla zakres podmiotowy dyrektywy 2019/1024/UE i w zasadniczej części (obejmującej podmioty wskazane w art. 3 pkt 1–4 projektu ustawy) jest tożsamy z katalogiem podmiotów zobowiązanych wyznaczonym przez ustawę z 2016 r. Różnice pomiędzy dotychczasowym stanem prawnym, a projektem ustawy dotyczą poszerzenia katalogu podmiotów zobowiązanych o nową kategorię podmiotów mieszczących się w zakresie definicji „przedsiębiorstwa publicznego” w rozumieniu art. 2 pkt 3 dyrektywy 2019/1024/UE.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Poszerzenie zakresu podmiotowego w projekcie ustawy podyktowane zostało objęciem regulacjami dyrektywy 2019/1024/UE dokumentów (informacji sektora publicznego) wytwarzanych przy realizacji usług świadczonych w interesie ogólnym przez przedsiębiorstwa publiczne:</w:t>
      </w:r>
    </w:p>
    <w:p w:rsidR="005D3F15" w:rsidRPr="006A6376" w:rsidRDefault="005D3F15" w:rsidP="001C2767">
      <w:pPr>
        <w:widowControl/>
        <w:numPr>
          <w:ilvl w:val="0"/>
          <w:numId w:val="28"/>
        </w:numPr>
        <w:autoSpaceDE/>
        <w:autoSpaceDN/>
        <w:adjustRightInd/>
        <w:spacing w:before="120"/>
        <w:contextualSpacing/>
        <w:jc w:val="both"/>
        <w:rPr>
          <w:rFonts w:eastAsia="Times New Roman" w:cs="Times New Roman"/>
          <w:szCs w:val="24"/>
        </w:rPr>
      </w:pPr>
      <w:r w:rsidRPr="00744574">
        <w:rPr>
          <w:rFonts w:eastAsia="Times New Roman" w:cs="Times New Roman"/>
          <w:szCs w:val="24"/>
        </w:rPr>
        <w:t>prowadzące jeden z rodzajów działalności, o których mowa w art. 8–14 dyrektywy Parlamentu Europejskiego i Rady</w:t>
      </w:r>
      <w:r w:rsidRPr="00744574">
        <w:rPr>
          <w:rFonts w:eastAsia="Calibri" w:cs="Times New Roman"/>
          <w:szCs w:val="24"/>
          <w:lang w:eastAsia="en-US"/>
        </w:rPr>
        <w:t xml:space="preserve"> </w:t>
      </w:r>
      <w:r w:rsidRPr="00744574">
        <w:rPr>
          <w:rFonts w:eastAsia="Times New Roman" w:cs="Times New Roman"/>
          <w:szCs w:val="24"/>
        </w:rPr>
        <w:t>z</w:t>
      </w:r>
      <w:r w:rsidRPr="00744574">
        <w:rPr>
          <w:rFonts w:eastAsia="Calibri" w:cs="Times New Roman"/>
          <w:szCs w:val="24"/>
          <w:lang w:eastAsia="en-US"/>
        </w:rPr>
        <w:t xml:space="preserve"> </w:t>
      </w:r>
      <w:r w:rsidRPr="00744574">
        <w:rPr>
          <w:rFonts w:eastAsia="Times New Roman" w:cs="Times New Roman"/>
          <w:szCs w:val="24"/>
        </w:rPr>
        <w:t>dnia 26 lutego 2014 r.</w:t>
      </w:r>
      <w:r w:rsidRPr="00744574">
        <w:rPr>
          <w:rFonts w:eastAsia="Calibri" w:cs="Times New Roman"/>
          <w:szCs w:val="24"/>
          <w:lang w:eastAsia="en-US"/>
        </w:rPr>
        <w:t xml:space="preserve"> </w:t>
      </w:r>
      <w:r w:rsidRPr="00744574">
        <w:rPr>
          <w:rFonts w:eastAsia="Times New Roman" w:cs="Times New Roman"/>
          <w:szCs w:val="24"/>
        </w:rPr>
        <w:t>2014/25/UE w sprawie udzielania zamówień przez podmioty działające w sektorach gospodarki wodnej, energetyki, transportu i usług pocztowych, uchylającej dyrektywę 2004/17/WE</w:t>
      </w:r>
      <w:r w:rsidRPr="006A6376">
        <w:rPr>
          <w:rFonts w:eastAsia="Times New Roman" w:cs="Times New Roman"/>
          <w:szCs w:val="24"/>
          <w:vertAlign w:val="superscript"/>
        </w:rPr>
        <w:footnoteReference w:id="18"/>
      </w:r>
      <w:r w:rsidRPr="006A6376">
        <w:rPr>
          <w:rFonts w:eastAsia="Times New Roman" w:cs="Times New Roman"/>
          <w:szCs w:val="24"/>
          <w:vertAlign w:val="superscript"/>
        </w:rPr>
        <w:t>)</w:t>
      </w:r>
      <w:r w:rsidRPr="006A6376">
        <w:rPr>
          <w:rFonts w:eastAsia="Times New Roman" w:cs="Times New Roman"/>
          <w:szCs w:val="24"/>
        </w:rPr>
        <w:t>;</w:t>
      </w:r>
    </w:p>
    <w:p w:rsidR="005D3F15" w:rsidRPr="006A6376" w:rsidRDefault="005D3F15" w:rsidP="001C2767">
      <w:pPr>
        <w:widowControl/>
        <w:numPr>
          <w:ilvl w:val="0"/>
          <w:numId w:val="28"/>
        </w:numPr>
        <w:autoSpaceDE/>
        <w:autoSpaceDN/>
        <w:adjustRightInd/>
        <w:spacing w:before="120"/>
        <w:contextualSpacing/>
        <w:jc w:val="both"/>
        <w:rPr>
          <w:rFonts w:eastAsia="Times New Roman" w:cs="Times New Roman"/>
          <w:szCs w:val="24"/>
        </w:rPr>
      </w:pPr>
      <w:r w:rsidRPr="006A6376">
        <w:rPr>
          <w:rFonts w:eastAsia="Times New Roman" w:cs="Times New Roman"/>
          <w:szCs w:val="24"/>
        </w:rPr>
        <w:t>działające w</w:t>
      </w:r>
      <w:r w:rsidRPr="00744574">
        <w:rPr>
          <w:rFonts w:eastAsia="Times New Roman" w:cs="Times New Roman"/>
          <w:szCs w:val="24"/>
        </w:rPr>
        <w:t xml:space="preserve"> charakterze podmiotów świadczących usługi publiczne zgodnie z art. 2 rozporządzenia (WE) nr 1370/2007 Parlamentu Europejskiego i Rady z dnia 23 października 2007 r. dotyczącego usług publicznych w zakresie kolejowego i </w:t>
      </w:r>
      <w:r w:rsidRPr="00744574">
        <w:rPr>
          <w:rFonts w:eastAsia="Times New Roman" w:cs="Times New Roman"/>
          <w:szCs w:val="24"/>
        </w:rPr>
        <w:lastRenderedPageBreak/>
        <w:t>drogowego transportu pasażerskiego oraz uchylającego rozporządzenia Rady (EWG) nr 1191/69 i (EWG) nr 1107/70</w:t>
      </w:r>
      <w:r w:rsidRPr="006A6376">
        <w:rPr>
          <w:rFonts w:eastAsia="Times New Roman" w:cs="Times New Roman"/>
          <w:szCs w:val="24"/>
          <w:vertAlign w:val="superscript"/>
        </w:rPr>
        <w:footnoteReference w:id="19"/>
      </w:r>
      <w:r w:rsidRPr="006A6376">
        <w:rPr>
          <w:rFonts w:eastAsia="Times New Roman" w:cs="Times New Roman"/>
          <w:szCs w:val="24"/>
          <w:vertAlign w:val="superscript"/>
        </w:rPr>
        <w:t>)</w:t>
      </w:r>
      <w:r w:rsidRPr="006A6376">
        <w:rPr>
          <w:rFonts w:eastAsia="Times New Roman" w:cs="Times New Roman"/>
          <w:szCs w:val="24"/>
        </w:rPr>
        <w:t>;</w:t>
      </w:r>
    </w:p>
    <w:p w:rsidR="005D3F15" w:rsidRPr="006A6376" w:rsidRDefault="005D3F15" w:rsidP="001C2767">
      <w:pPr>
        <w:widowControl/>
        <w:numPr>
          <w:ilvl w:val="0"/>
          <w:numId w:val="28"/>
        </w:numPr>
        <w:autoSpaceDE/>
        <w:autoSpaceDN/>
        <w:adjustRightInd/>
        <w:spacing w:before="120"/>
        <w:contextualSpacing/>
        <w:jc w:val="both"/>
        <w:rPr>
          <w:rFonts w:eastAsia="Times New Roman" w:cs="Times New Roman"/>
          <w:szCs w:val="24"/>
        </w:rPr>
      </w:pPr>
      <w:r w:rsidRPr="00744574">
        <w:rPr>
          <w:rFonts w:eastAsia="Times New Roman" w:cs="Times New Roman"/>
          <w:szCs w:val="24"/>
        </w:rPr>
        <w:t>działających w charakterze przewoźników lotniczych wykonujących obowiązki użyteczności publicznej zgodnie z art. 16 rozporządzenia Parlamentu Europejskiego i Rady (WE) nr 1008/2008 z dnia 24 września 2008 r. w sprawie wspólnych zasad wykonywania przewozów lotniczych na terenie Wspólnoty (Wersja przekształcona)</w:t>
      </w:r>
      <w:r w:rsidRPr="006A6376">
        <w:rPr>
          <w:rFonts w:eastAsia="Times New Roman" w:cs="Times New Roman"/>
          <w:szCs w:val="24"/>
          <w:vertAlign w:val="superscript"/>
        </w:rPr>
        <w:footnoteReference w:id="20"/>
      </w:r>
      <w:r w:rsidRPr="006A6376">
        <w:rPr>
          <w:rFonts w:eastAsia="Times New Roman" w:cs="Times New Roman"/>
          <w:szCs w:val="24"/>
          <w:vertAlign w:val="superscript"/>
        </w:rPr>
        <w:t>)</w:t>
      </w:r>
      <w:r w:rsidRPr="006A6376">
        <w:rPr>
          <w:rFonts w:eastAsia="Times New Roman" w:cs="Times New Roman"/>
          <w:szCs w:val="24"/>
        </w:rPr>
        <w:t>;</w:t>
      </w:r>
    </w:p>
    <w:p w:rsidR="005D3F15" w:rsidRPr="006A6376" w:rsidRDefault="005D3F15" w:rsidP="001C2767">
      <w:pPr>
        <w:widowControl/>
        <w:numPr>
          <w:ilvl w:val="0"/>
          <w:numId w:val="28"/>
        </w:numPr>
        <w:autoSpaceDE/>
        <w:autoSpaceDN/>
        <w:adjustRightInd/>
        <w:spacing w:before="120"/>
        <w:contextualSpacing/>
        <w:jc w:val="both"/>
        <w:rPr>
          <w:rFonts w:eastAsia="Times New Roman" w:cs="Times New Roman"/>
          <w:szCs w:val="24"/>
        </w:rPr>
      </w:pPr>
      <w:r w:rsidRPr="006A6376">
        <w:rPr>
          <w:rFonts w:eastAsia="Times New Roman" w:cs="Times New Roman"/>
          <w:szCs w:val="24"/>
        </w:rPr>
        <w:t>działających w</w:t>
      </w:r>
      <w:r w:rsidRPr="00744574">
        <w:rPr>
          <w:rFonts w:eastAsia="Times New Roman" w:cs="Times New Roman"/>
          <w:szCs w:val="24"/>
        </w:rPr>
        <w:t xml:space="preserve"> charakterze armatorów Wspólnoty wykonujących zobowiązania z tytułu świadczenia usług publicznych zgodnie z art. 4 rozporządzenia Rady (EWG) nr 3577/92 z dnia 7 grudnia 1992 r. dotyczącego stosowania zasady swobody świadczenia usług w transporcie morskim w obrębie Państw Członkowskich (kabotaż morski)</w:t>
      </w:r>
      <w:r w:rsidRPr="006A6376">
        <w:rPr>
          <w:rFonts w:eastAsia="Times New Roman" w:cs="Times New Roman"/>
          <w:szCs w:val="24"/>
          <w:vertAlign w:val="superscript"/>
        </w:rPr>
        <w:footnoteReference w:id="21"/>
      </w:r>
      <w:r w:rsidRPr="006A6376">
        <w:rPr>
          <w:rFonts w:eastAsia="Times New Roman" w:cs="Times New Roman"/>
          <w:szCs w:val="24"/>
          <w:vertAlign w:val="superscript"/>
        </w:rPr>
        <w:t>)</w:t>
      </w:r>
      <w:r w:rsidRPr="006A6376">
        <w:rPr>
          <w:rFonts w:eastAsia="Times New Roman" w:cs="Times New Roman"/>
          <w:szCs w:val="24"/>
        </w:rPr>
        <w:t>.</w:t>
      </w:r>
    </w:p>
    <w:p w:rsidR="005D3F15" w:rsidRPr="00744574" w:rsidRDefault="005D3F15" w:rsidP="001C2767">
      <w:pPr>
        <w:widowControl/>
        <w:spacing w:before="120"/>
        <w:jc w:val="both"/>
        <w:rPr>
          <w:rFonts w:eastAsia="Times New Roman" w:cs="Times New Roman"/>
          <w:szCs w:val="24"/>
        </w:rPr>
      </w:pPr>
      <w:r w:rsidRPr="006A6376">
        <w:rPr>
          <w:rFonts w:eastAsia="Times New Roman" w:cs="Times New Roman"/>
          <w:szCs w:val="24"/>
        </w:rPr>
        <w:t>Mając na uwadze rozwiązania przyjęte w</w:t>
      </w:r>
      <w:r w:rsidRPr="00744574">
        <w:rPr>
          <w:rFonts w:eastAsia="Times New Roman" w:cs="Times New Roman"/>
          <w:szCs w:val="24"/>
        </w:rPr>
        <w:t xml:space="preserve"> dyrektywie 2019/1024/UE, w której definicję „przedsiębiorstwa publicznego” sformułowano w oparciu o przepisy dyrektywy 2014/25/UE, art. 3 pkt 5 projektu ustawy w zasadniczej części wzorowano na art. 5 ust. 1 pkt 2 ustawy z dnia 11 września 2019 r. – Prawo zamówień publicznych</w:t>
      </w:r>
      <w:r w:rsidRPr="006A6376">
        <w:rPr>
          <w:rFonts w:eastAsia="Times New Roman" w:cs="Times New Roman"/>
          <w:szCs w:val="24"/>
          <w:vertAlign w:val="superscript"/>
        </w:rPr>
        <w:footnoteReference w:id="22"/>
      </w:r>
      <w:r w:rsidRPr="006A6376">
        <w:rPr>
          <w:rFonts w:eastAsia="Times New Roman" w:cs="Times New Roman"/>
          <w:szCs w:val="24"/>
          <w:vertAlign w:val="superscript"/>
        </w:rPr>
        <w:t>)</w:t>
      </w:r>
      <w:r w:rsidRPr="006A6376">
        <w:rPr>
          <w:rFonts w:eastAsia="Times New Roman" w:cs="Times New Roman"/>
          <w:szCs w:val="24"/>
        </w:rPr>
        <w:t>. Wskazana ustawa dokonuje w</w:t>
      </w:r>
      <w:r w:rsidRPr="00744574">
        <w:rPr>
          <w:rFonts w:eastAsia="Times New Roman" w:cs="Times New Roman"/>
          <w:szCs w:val="24"/>
        </w:rPr>
        <w:t xml:space="preserve"> zakresie swojej regulacji wdrożenia postanowień dyrektyw unijnych dotyczących zamówień publicznych. Zgodnie z art. 3 pkt 5 projektu ustawy podmiotami zobowiązanymi </w:t>
      </w:r>
      <w:r w:rsidRPr="00744574">
        <w:rPr>
          <w:rFonts w:eastAsia="Calibri" w:cs="Times New Roman"/>
          <w:szCs w:val="24"/>
          <w:lang w:eastAsia="en-US"/>
        </w:rPr>
        <w:t xml:space="preserve">do udostępniania lub przekazywania informacji sektora publicznego w celu ponownego wykorzystywania </w:t>
      </w:r>
      <w:r w:rsidRPr="00744574">
        <w:rPr>
          <w:rFonts w:eastAsia="Times New Roman" w:cs="Times New Roman"/>
          <w:szCs w:val="24"/>
        </w:rPr>
        <w:t>są inne niż wskazane w przepisach art. 3 pkt 1–4 projektu ustawy podmioty, które:</w:t>
      </w:r>
    </w:p>
    <w:p w:rsidR="005D3F15" w:rsidRPr="00744574" w:rsidRDefault="005D3F15" w:rsidP="001C2767">
      <w:pPr>
        <w:widowControl/>
        <w:numPr>
          <w:ilvl w:val="0"/>
          <w:numId w:val="12"/>
        </w:numPr>
        <w:autoSpaceDE/>
        <w:autoSpaceDN/>
        <w:adjustRightInd/>
        <w:spacing w:before="120"/>
        <w:contextualSpacing/>
        <w:jc w:val="both"/>
        <w:rPr>
          <w:rFonts w:eastAsia="Times New Roman" w:cs="Times New Roman"/>
          <w:szCs w:val="24"/>
        </w:rPr>
      </w:pPr>
      <w:r w:rsidRPr="00744574">
        <w:rPr>
          <w:rFonts w:eastAsia="Times New Roman" w:cs="Times New Roman"/>
          <w:szCs w:val="24"/>
        </w:rPr>
        <w:t>wykonują jeden z rodzajów działalności sektorowej, o której mowa w art. 5 ust. 4 ustawy – Prawo zamówień publicznych lub</w:t>
      </w:r>
    </w:p>
    <w:p w:rsidR="005D3F15" w:rsidRPr="00744574" w:rsidRDefault="005D3F15" w:rsidP="001C2767">
      <w:pPr>
        <w:widowControl/>
        <w:numPr>
          <w:ilvl w:val="0"/>
          <w:numId w:val="12"/>
        </w:numPr>
        <w:autoSpaceDE/>
        <w:autoSpaceDN/>
        <w:adjustRightInd/>
        <w:spacing w:before="120"/>
        <w:contextualSpacing/>
        <w:jc w:val="both"/>
        <w:rPr>
          <w:rFonts w:eastAsia="Times New Roman" w:cs="Times New Roman"/>
          <w:szCs w:val="24"/>
        </w:rPr>
      </w:pPr>
      <w:r w:rsidRPr="00744574">
        <w:rPr>
          <w:rFonts w:eastAsia="Calibri" w:cs="Times New Roman"/>
          <w:szCs w:val="24"/>
          <w:lang w:eastAsia="en-US"/>
        </w:rPr>
        <w:t>działają w charakterze podmiotów świadczących usługi publiczne zgodnie z art. 2 rozporządzenia (WE) nr 1370/2007, lub</w:t>
      </w:r>
    </w:p>
    <w:p w:rsidR="005D3F15" w:rsidRPr="00744574" w:rsidRDefault="005D3F15" w:rsidP="001C2767">
      <w:pPr>
        <w:widowControl/>
        <w:numPr>
          <w:ilvl w:val="0"/>
          <w:numId w:val="12"/>
        </w:numPr>
        <w:autoSpaceDE/>
        <w:autoSpaceDN/>
        <w:adjustRightInd/>
        <w:spacing w:before="120"/>
        <w:contextualSpacing/>
        <w:jc w:val="both"/>
        <w:rPr>
          <w:rFonts w:eastAsia="Times New Roman" w:cs="Times New Roman"/>
          <w:szCs w:val="24"/>
        </w:rPr>
      </w:pPr>
      <w:r w:rsidRPr="00744574">
        <w:rPr>
          <w:rFonts w:eastAsia="Calibri" w:cs="Times New Roman"/>
          <w:szCs w:val="24"/>
          <w:lang w:eastAsia="en-US"/>
        </w:rPr>
        <w:t>działają w charakterze przewoźników lotniczych wykonujących obowiązki użyteczności publicznej zgodnie z art. 16 rozporządzenia (WE) nr 1008/2008, lub</w:t>
      </w:r>
    </w:p>
    <w:p w:rsidR="005D3F15" w:rsidRPr="00744574" w:rsidRDefault="005D3F15" w:rsidP="001C2767">
      <w:pPr>
        <w:widowControl/>
        <w:numPr>
          <w:ilvl w:val="0"/>
          <w:numId w:val="12"/>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lastRenderedPageBreak/>
        <w:t>działają w charakterze armatorów Wspólnoty wykonujących zobowiązania z tytułu świadczenia usług publicznych zgodnie z art. 4 rozporządzenia Rady (EWG) nr 3577/92.</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Drugą niezbędną przesłanką, umożliwiającą zaliczenie określonego podmiotu do kategorii podmiotów zobowiązanych, mieszczących się w zakresie definicji „przedsiębiorstwa publicznego” w rozumieniu art. 2 pkt 3 dyrektywy 2019/1024/UE (poza prowadzeniem działalności w wybranych obszarach), jest wywieranie przez podmioty wymienione w art. 3 pkt 1–4 projektu ustawy (pojedynczo lub wspólnie, bezpośrednio lub pośrednio przez inny podmiot) dominującego wpływu na podmioty wskazane w art. 3 pkt 5 projektu ustawy. Przez dominujący wpływ rozumie się w szczególności posiadanie:</w:t>
      </w:r>
    </w:p>
    <w:p w:rsidR="005D3F15" w:rsidRPr="00744574" w:rsidRDefault="005D3F15" w:rsidP="001C2767">
      <w:pPr>
        <w:widowControl/>
        <w:numPr>
          <w:ilvl w:val="0"/>
          <w:numId w:val="2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ponad połowy udziałów albo akcji lub</w:t>
      </w:r>
    </w:p>
    <w:p w:rsidR="005D3F15" w:rsidRPr="00744574" w:rsidRDefault="005D3F15" w:rsidP="001C2767">
      <w:pPr>
        <w:widowControl/>
        <w:numPr>
          <w:ilvl w:val="0"/>
          <w:numId w:val="2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ponad połowy głosów wynikających z udziałów albo akcji, lub</w:t>
      </w:r>
    </w:p>
    <w:p w:rsidR="005D3F15" w:rsidRPr="00744574" w:rsidRDefault="005D3F15" w:rsidP="001C2767">
      <w:pPr>
        <w:widowControl/>
        <w:numPr>
          <w:ilvl w:val="0"/>
          <w:numId w:val="2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prawa do powoływania ponad połowy składu organu nadzorczego lub zarządzającego.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Objęcie zakresem ustawy danych będących w posiadaniu przedsiębiorstw publicznych w rozumieniu art. 2 pkt 3 dyrektywy 2019/1024/UE nie oznacza wprowadzenia ogólnego obowiązku udostępniania lub przekazywania przez takie podmioty informacji sektora publicznego do ponownego wykorzystywania. Zgodnie z przyjętym w nowej dyrektywie podejściem, udostępnianie do ponownego wykorzystywania danych będących w posiadaniu przedsiębiorstw publicznych ma mieć w zasadniczej części charakter fakultatywny. Dyrektywa 2019/1024/UE nie wprowadza bowiem ogólnego obowiązku zezwalania na ponowne wykorzystywanie dokumentów produkowanych przez przedsiębiorstwa publiczne. Decyzja o tym, czy zezwolić na ponowne wykorzystywanie dokumentów, powinna pozostawać w gestii zainteresowanego przedsiębiorstwa publicznego, o ile dyrektywa, prawo unijne lub krajowe nie przewidują inaczej. Dopiero wówczas, gdy przedsiębiorstwo publiczne udostępni określone dane do ponownego wykorzystywania, powinno przestrzegać odpowiednich obowiązków określonych w rozdziałach III i IV dyrektywy 2019/1024/UE, w szczególności obowiązków dotyczących formatu, pobierania opłat, przejrzystości, licencji, niedyskryminacji i zakazu stosowania uzgodnień dotyczących wyłączności. Przedsiębiorstwa publiczne nie są również zobowiązane do spełnienia wymogów określonych w rozdziale II dyrektywy regulującym rozpatrywanie wniosków o ponowne wykorzystywanie. Mając na uwadze powyższe, </w:t>
      </w:r>
      <w:r w:rsidRPr="00744574">
        <w:rPr>
          <w:rFonts w:eastAsia="Calibri" w:cs="Times New Roman"/>
          <w:szCs w:val="24"/>
          <w:lang w:eastAsia="en-US"/>
        </w:rPr>
        <w:lastRenderedPageBreak/>
        <w:t>podmioty wskazane w art. 3 pkt 5 projektu ustawy wyłączono z szeregu obowiązków ustawowych, w szczególności podmioty te nie będę zobowiązane do przekazywania informacji sektora publicznego na wniosek o ponowne wykorzystywanie oraz udostępniania posiadanych zasobów w portalu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Wyłączenia ze stosowania przepisów ustawy.</w:t>
      </w:r>
    </w:p>
    <w:p w:rsidR="005D3F15" w:rsidRPr="00744574" w:rsidRDefault="005D3F15" w:rsidP="001C2767">
      <w:pPr>
        <w:widowControl/>
        <w:autoSpaceDE/>
        <w:autoSpaceDN/>
        <w:adjustRightInd/>
        <w:spacing w:before="120"/>
        <w:jc w:val="both"/>
        <w:rPr>
          <w:rFonts w:eastAsia="Times New Roman" w:cs="Times New Roman"/>
          <w:szCs w:val="24"/>
        </w:rPr>
      </w:pPr>
      <w:r w:rsidRPr="00744574">
        <w:rPr>
          <w:rFonts w:eastAsia="Times New Roman" w:cs="Times New Roman"/>
          <w:szCs w:val="24"/>
        </w:rPr>
        <w:t xml:space="preserve">Zgodnie z art. 4 projektu przepisy ustawy nie będą miały zastosowania do informacji sektora publicznego będących w posiadaniu kilku grup podmiotów. Podobnie jak to miało miejsce w przypadku katalogu podmiotów zobowiązanych, również katalog </w:t>
      </w:r>
      <w:proofErr w:type="spellStart"/>
      <w:r w:rsidRPr="00744574">
        <w:rPr>
          <w:rFonts w:eastAsia="Times New Roman" w:cs="Times New Roman"/>
          <w:szCs w:val="24"/>
        </w:rPr>
        <w:t>wyłączeń</w:t>
      </w:r>
      <w:proofErr w:type="spellEnd"/>
      <w:r w:rsidRPr="00744574">
        <w:rPr>
          <w:rFonts w:eastAsia="Times New Roman" w:cs="Times New Roman"/>
          <w:szCs w:val="24"/>
        </w:rPr>
        <w:t xml:space="preserve"> podmiotowych pozostaje w znacznej mierze tożsamy z rozwiązaniami przewidzianymi w ustawie z 2016 r.</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Times New Roman" w:cs="Times New Roman"/>
          <w:szCs w:val="24"/>
        </w:rPr>
        <w:t xml:space="preserve">Nowe wyłączenia ze stosowania przepisów ustawy dotyczą w określonym zakresie przedsiębiorstw publicznych w rozumieniu art. 2 pkt 3 dyrektywy 2019/1024/UE. Przepisy ustawy nie znajdą zastosowania do informacji sektora publicznego będących w posiadaniu podmiotów, o których mowa w art. 3 pkt 5 projektu ustawy, </w:t>
      </w:r>
      <w:r w:rsidRPr="00744574">
        <w:rPr>
          <w:rFonts w:eastAsia="Calibri" w:cs="Times New Roman"/>
          <w:szCs w:val="24"/>
          <w:lang w:eastAsia="en-US"/>
        </w:rPr>
        <w:t>w</w:t>
      </w:r>
      <w:r w:rsidRPr="00744574">
        <w:rPr>
          <w:rFonts w:eastAsia="Times New Roman" w:cs="Times New Roman"/>
          <w:szCs w:val="24"/>
        </w:rPr>
        <w:t xml:space="preserve"> </w:t>
      </w:r>
      <w:r w:rsidRPr="00744574">
        <w:rPr>
          <w:rFonts w:eastAsia="Calibri" w:cs="Times New Roman"/>
          <w:szCs w:val="24"/>
          <w:lang w:eastAsia="en-US"/>
        </w:rPr>
        <w:t>zakresie w jakim informacje te</w:t>
      </w:r>
      <w:r w:rsidRPr="00744574">
        <w:rPr>
          <w:rFonts w:eastAsia="Times New Roman" w:cs="Times New Roman"/>
          <w:szCs w:val="24"/>
        </w:rPr>
        <w:t xml:space="preserve"> wytworzone zostały poza zakresem zadań publicznych oraz w przypadku, w którym informacje te wytworzone zostały w ramach działalności uznanej przez Komisję Europejską zgodnie z art. 34 dyrektywy 2014/25/UE, za działalność </w:t>
      </w:r>
      <w:r w:rsidRPr="00744574">
        <w:rPr>
          <w:rFonts w:eastAsia="Calibri" w:cs="Times New Roman"/>
          <w:szCs w:val="24"/>
          <w:lang w:eastAsia="en-US"/>
        </w:rPr>
        <w:t>bezpośrednio podlegającą konkurencji i tym samym wyłączoną spod regulacji wskazanej dyrektywy.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Zmianie w stosunku do dotychczasowych przepisów uległy również przepisy dotyczące podmiotów, o których mowa w art. 7 ust. 1 ustawy z dnia 20 lipca 2018 r. – Prawo o szkolnictwie wyższym i nauce. Dyrektywa 2019/1024/UE objęła swoim zakresem kategorię danych badawczych spełniających określone w dyrektywie warunki. Stanowi to nowość w porównaniu z dotychczasowymi rozwiązaniami, które zakładały całościowe wyłączenie tego rodzaju informacji z zakresu obowiązywania przepisów regulujących ponowne wykorzystywanie informacji sektora publicznego. Obowiązująca dotychczas dyrektywa 2003/98/WE nie znajdowała zastosowania do dokumentów będących w posiadaniu instytucji edukacyjnych i badawczych, w tym organizacji ustanowionych w celu przekazywania wyników badań, szkół i uniwersytetów, z wyłączeniem bibliotek uniwersyteckich. Na gruncie prawa krajowego prowadziło to do wyłączenia stosowania przepisów ustawy z 2016 r. w stosunku do podmiotów, o których mowa w art. 7 ust. 1 ustawy z dnia 20 lipca 2018 r. – Prawo o szkolnictwie wyższym i nauce, w tym m.in. </w:t>
      </w:r>
      <w:r w:rsidRPr="00744574">
        <w:rPr>
          <w:rFonts w:eastAsia="Times New Roman" w:cs="Times New Roman"/>
          <w:szCs w:val="24"/>
        </w:rPr>
        <w:lastRenderedPageBreak/>
        <w:t>uczelni, instytutów naukowych Państwowej Akademii Nauk, instytutów badawczych itd. Wyjątek dotyczył bibliotek naukowych w rozumieniu przepisów ustawy z dnia 27 czerwca 1997 r. o bibliotekach (Dz. U. z 2019 r. poz. 1479) oraz dwóch państwowych instytutów badawczych – Instytutu Meteorologii i Gospodarki Wodnej (IMGW</w:t>
      </w:r>
      <w:r w:rsidRPr="00744574">
        <w:rPr>
          <w:rFonts w:eastAsia="Times New Roman" w:cs="Times New Roman"/>
          <w:szCs w:val="24"/>
        </w:rPr>
        <w:noBreakHyphen/>
        <w:t>PIB) oraz Państwowego Instytutu Geologicznego (PIG</w:t>
      </w:r>
      <w:r w:rsidRPr="00744574">
        <w:rPr>
          <w:rFonts w:eastAsia="Times New Roman" w:cs="Times New Roman"/>
          <w:szCs w:val="24"/>
        </w:rPr>
        <w:noBreakHyphen/>
        <w:t>PIB). Wskazane podmioty nie podlegały wyłączeniu spod regulacji ustawy.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Dyrektywa 2019/1024/UE zgodnie z art. 1 ust. 1 lit. c objęła zakresem swoich regulacji również dane badawcze z zastrzeżeniem jednakże, że dotyczy to wyłącznie danych spełniających warunki określone w art. 10 dyrektywy. Zgodnie z powyższym obowiązek udostępniania do ponownego wykorzystywania w celach komercyjnych lub niekomercyjnych (z uwzględnieniem uzasadnionych interesów handlowych, działań związanych z transferem wiedzy oraz istniejących już praw własności intelektualnej) dotyczy tylko tych danych badawczych, które są finansowane ze środków publicznych i zostały już publicznie udostępnione przez naukowców, organizacje prowadzące badania naukowe lub organizacje finansujące badania naukowe za pośrednictwem repozytorium instytucjonalnego lub tematycznego.</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Zgodnie z art. 1 ust. 2 lit. l dyrektywy 2019/1024/UE nie znajduje ona jednak zastosowania do dokumentów innych niż te, o których mowa w ust. 1 lit. c, będących w posiadaniu organizacji prowadzących badania naukowe i organizacji finansujących badania naukowe. Mając na uwadze powyższe w art. 4 ust. 1 pkt 3 projektu ustawy, stosownie do dotychczasowych rozwiązań, wyłączono z zakresu regulacyjnego ustawy podmioty, o których mowa w art. 7 ust. 1 ustawy z dnia 20 lipca 2018 r. – Prawo o szkolnictwie wyższym i nauce. Jednocześnie do istniejących już wyjątków od wskazanego wyłączenia (biblioteki, IMGW</w:t>
      </w:r>
      <w:r w:rsidRPr="00744574">
        <w:rPr>
          <w:rFonts w:eastAsia="Times New Roman" w:cs="Times New Roman"/>
          <w:szCs w:val="24"/>
        </w:rPr>
        <w:noBreakHyphen/>
        <w:t>PIB, PIG</w:t>
      </w:r>
      <w:r w:rsidRPr="00744574">
        <w:rPr>
          <w:rFonts w:eastAsia="Times New Roman" w:cs="Times New Roman"/>
          <w:szCs w:val="24"/>
        </w:rPr>
        <w:noBreakHyphen/>
        <w:t>PIB) dodano nowy, zgodnie z którym przepisy ustawy będą znajdować zastosowanie do danych badawczych, o których w art. 22 projektu ustawy. Wskazany przepis w zakresie swojej regulacji implementuje art. 10 dyrektywy 2019/1024/UE i wskazuje przesłanki umożliwiające ponowne wykorzystywanie danych badawczych.</w:t>
      </w:r>
    </w:p>
    <w:p w:rsidR="005D3F15" w:rsidRPr="006A6376"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W ramach przepisów dot. podmiotów, o których mowa w art. 7 ust. 1 ustawy z dnia 20 lipca 2018 r. – Prawo o szkolnictwie wyższym i nauce dodano również nowy wyjątek od generalnego wyłączenia z regulacji ustawowej informacji sektora publicznego będących w posiadaniu podmiotów sektora nauki, tj. informacji będących w posiadaniu muzeów </w:t>
      </w:r>
      <w:r w:rsidRPr="00744574">
        <w:rPr>
          <w:rFonts w:eastAsia="Calibri" w:cs="Times New Roman"/>
          <w:szCs w:val="24"/>
          <w:lang w:eastAsia="en-US"/>
        </w:rPr>
        <w:lastRenderedPageBreak/>
        <w:t>państwowych oraz muzeów samorządowych prowadzących działalność naukową. Za wprowadzeniem takiego wyjątku od wyłączenia przemawia fakt, że zakresem regulacyjnym ustawy objęte są muzea państwowe i samorządowe, a niestosuje się jej w przypadku części instytucji wymienionych w art. 7 ust. 1 ustawy z dnia 20 lipca 2018 r. – Prawo o szkolnictwie wyższym i nauce w tym m.in. do podmiotów prowadzących głównie działalność naukową w sposób samodzielny i ciągły (art. 7 ust. 1 pkt 8 ustawy). Część muzeów prowadzi działalność naukową. W aktualnym wykazie jednostek naukowych figuruje 7 instytucji muzealnych, tj. Muzeum Górnośląskie w Bytomiu, Muzeum Historii Fotografii im. Walerego Rzewuskiego w Krakowie, Muzeum Historyczne Miasta Krakowa, Muzeum Narodowe w Krakowie, Muzeum Narodowe w Poznaniu, Muzeum Sztuki w Łodzi, Muzeum Sztuki Współczesnej w Krakowie MOCAK</w:t>
      </w:r>
      <w:r w:rsidRPr="006A6376">
        <w:rPr>
          <w:rStyle w:val="Odwoanieprzypisudolnego"/>
          <w:rFonts w:eastAsia="Calibri"/>
          <w:szCs w:val="24"/>
          <w:lang w:eastAsia="en-US"/>
        </w:rPr>
        <w:footnoteReference w:id="23"/>
      </w:r>
      <w:r w:rsidRPr="006A6376">
        <w:rPr>
          <w:rFonts w:eastAsia="Calibri" w:cs="Times New Roman"/>
          <w:szCs w:val="24"/>
          <w:vertAlign w:val="superscript"/>
          <w:lang w:eastAsia="en-US"/>
        </w:rPr>
        <w:t>)</w:t>
      </w:r>
      <w:r w:rsidRPr="006A6376">
        <w:rPr>
          <w:rFonts w:eastAsia="Calibri" w:cs="Times New Roman"/>
          <w:szCs w:val="24"/>
          <w:lang w:eastAsia="en-US"/>
        </w:rPr>
        <w:t xml:space="preserve">. </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Art. 1 ust. 2 lit. k dyrektywy 2019/1024/UE pozwala na wyłączenie z jej zakresu stosowania instytucji edukacyjnych. Przepis ten w projekcie ustawy implementuje art. 4 ust. 1 pkt 4, zgodnie z którym przepisów ustawy nie stosuje się do informacji sektora publicznego będących w posiadaniu</w:t>
      </w:r>
      <w:r w:rsidRPr="008C03BA">
        <w:rPr>
          <w:rFonts w:cs="Times New Roman"/>
          <w:szCs w:val="24"/>
        </w:rPr>
        <w:t xml:space="preserve"> </w:t>
      </w:r>
      <w:r w:rsidRPr="00744574">
        <w:rPr>
          <w:rFonts w:eastAsia="Calibri" w:cs="Times New Roman"/>
          <w:szCs w:val="24"/>
          <w:lang w:eastAsia="en-US"/>
        </w:rPr>
        <w:t xml:space="preserve">podmiotów, o których mowa w art. 2 ustawy z dnia 14 grudnia 2016 r. – Prawo oświatowe (Dz. U. z 2020 r. poz. 910, z </w:t>
      </w:r>
      <w:proofErr w:type="spellStart"/>
      <w:r w:rsidRPr="00744574">
        <w:rPr>
          <w:rFonts w:eastAsia="Calibri" w:cs="Times New Roman"/>
          <w:szCs w:val="24"/>
          <w:lang w:eastAsia="en-US"/>
        </w:rPr>
        <w:t>późn</w:t>
      </w:r>
      <w:proofErr w:type="spellEnd"/>
      <w:r w:rsidRPr="00744574">
        <w:rPr>
          <w:rFonts w:eastAsia="Calibri" w:cs="Times New Roman"/>
          <w:szCs w:val="24"/>
          <w:lang w:eastAsia="en-US"/>
        </w:rPr>
        <w:t xml:space="preserve">. zm.). Do podmiotów wymienionych w art. 2 ustawy z dnia 14 grudnia 2016 r. – Prawo oświatowe należą m.in. biblioteki pedagogiczne. Cel działania bibliotek pedagogicznych określono w ustawie o bibliotekach, a zadania bibliotek pedagogicznych są zbieżne z zadaniami pozostałych bibliotek (przy czym działalność bibliotek pedagogicznych skierowana jest przede wszystkim na kształcenie i doskonalenie kadry pedagogicznej). Biblioteki pedagogiczne należałoby zatem zaliczyć do ogólnej kategorii bibliotek, które co do zasady są zaliczane do instytucji, do których dyrektywa 2019/1024/UE ma zastosowanie (zgodnie z jej art. 1 ust. 1 lit. a w związku z motywem 65). Także z art. 1 ust. 2 lit. j dyrektywy 2019/1024/UE wynika, że zasada niestosowania przepisów tej dyrektywy do dokumentów będących w posiadaniu instytucji kulturalnych nie znajduje zastosowania do dokumentów będących w posiadaniu bibliotek. W związku z powyższym do art. 4 ust. 1 pkt 4 dodany został wyjątek dot. bibliotek pedagogicznych. Tym samym przepisy projektowanej ustawy będą znajdować zostawanie do informacji sektora publicznego będących w posiadaniu bibliotek pedagogicznych. </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lastRenderedPageBreak/>
        <w:t>W projekcie ustawy dodane zostało również wyłączenie dotyczące</w:t>
      </w:r>
      <w:r w:rsidRPr="008C03BA">
        <w:rPr>
          <w:rFonts w:cs="Times New Roman"/>
          <w:szCs w:val="24"/>
        </w:rPr>
        <w:t xml:space="preserve"> </w:t>
      </w:r>
      <w:r w:rsidRPr="00744574">
        <w:rPr>
          <w:rFonts w:eastAsia="Calibri" w:cs="Times New Roman"/>
          <w:szCs w:val="24"/>
          <w:lang w:eastAsia="en-US"/>
        </w:rPr>
        <w:t>podmiotów, o których mowa w art. 95 ustawy z dnia 26 października 1982 r. o postępowaniu w sprawach nieletnich (Dz. U. z 2018 r. poz. 969), tj. schronisk dla nieletnich oraz zakładów poprawczych. Dodano również wyłączenie dotyczące zakładów karnych i aresztów śledczych. Jak już wyjaśniono, zgodnie z art. 4 ust. 1 pkt 4 projektu przepisów ustawy nie stosuje się do informacji sektora publicznego będących w posiadaniu podmiotów, o których mowa w art. 2 ustawy z dnia 14 grudnia 2016 r. – Prawo oświatowe. Wskazany przepis znajduje zastosowanie do szkół funkcjonujących w zakładach poprawczych i schroniskach dla nieletnich. Zgodnie § 15 ust. 1 pkt 2 i § 32 pkt 2 rozporządzenia Ministra Sprawiedliwości z dnia 17 października 2001 r. w sprawie zakładów poprawczych i schronisk dla nieletnich (Dz. U. z 2017 r. poz. 487) w skład zakładu poprawczego lub schroniska dla nieletnich wchodzą również szkoły (stanowią całość organizacyjną razem z zakładami poprawczymi i schroniskami). Również w strukturze jednostek penitencjarnych funkcjonują Centra Kształcenia Ustawicznego, wymienione w art. 2 pkt 4 ustawy – Prawo oświatowe. W związku z powyższym konieczne było wprowadzenie przepisu, zgodnie z którym regulacje projektowanej ustawy nie będą znajdowały zastosowania do zakładów poprawczych i schronisk dla nieletnich, a także zakładów karnych i aresztów śledczych.</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Projekt ustawy przewiduje również wyłączenie z zakresu regulacji ponownego wykorzystywania informacji sektora publicznego znajdujących się w posiadaniu Krajowej Szkoły Sądownictwa i Prokuratury, z wyjątkiem danych badawczych. </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Wyłączenia z zakresu regulacyjnego ustawy (określone w art. 4 ust. 1 projektu) nie znajdują zastosowania do informacji publicznych podlegających udostępnianiu w Biuletynie Informacji Publicznej (BIP). Innymi słowy przepisów ustawy nie stosuje się do informacji sektora publicznego będących w posiadaniu podmiotów wskazanych w art. 4 ust. 1 projektu ustawy, z wyjątkiem informacji podlegających z mocy prawa obowiązkowi udostępniania w BIP. Przez „informacje publiczne podlegające udostępnianiu w Biuletynie Informacji Publicznej” należy z kolei rozumieć wszystkie informacje publiczne, których obowiązek umieszczenia w BIP jest prawnie określony. Obowiązek taki wynikać może z przepisów ustawy o dostępie do informacji publicznej lub przepisów innych ustaw.</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lastRenderedPageBreak/>
        <w:t>Przepisów ustawy, stosownie do art. 4 ust. 2 projektu ustawy, nie stosuje się ponadto do informacji sektora publicznego, których udostępnianie lub przekazanie zostało uzależnione od wykazania przez użytkowników interesu prawnego lub faktycznego na podstawie odrębnych przepisów.</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Podmiotowe prawo publiczne do korzystania z danych.</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Przepis art. 5 projektu ustawy formułuje zasadę, że każdemu przysługuje prawo do ponownego wykorzystywania informacji sektora publicznego.</w:t>
      </w:r>
      <w:r w:rsidRPr="00744574">
        <w:rPr>
          <w:rFonts w:eastAsia="Calibri" w:cs="Times New Roman"/>
          <w:i/>
          <w:szCs w:val="24"/>
          <w:lang w:eastAsia="en-US"/>
        </w:rPr>
        <w:t xml:space="preserve"> </w:t>
      </w:r>
      <w:r w:rsidRPr="00744574">
        <w:rPr>
          <w:rFonts w:eastAsia="Calibri" w:cs="Times New Roman"/>
          <w:szCs w:val="24"/>
          <w:lang w:eastAsia="en-US"/>
        </w:rPr>
        <w:t>Ze względu na źródła pozyskiwania informacji sektora publicznego do ponownego wykorzystywania należy wyszczególnić udostępnianie danych przez system teleinformatyczny (np. BIP, portal danych lub inny system teleinformatyczny podmiotu zobowiązanego) oraz przekazywanie informacji (na wniosek). Od sposobu udostępnienia oraz spełnienia określonych w projekcie ustawy warunków będzie zależało czy informacje sektora publicznego można wykorzystywać bez składania odrębnych wniosków.</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Ograniczenia prawa do ponownego wykorzystywania.</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W art. 6 projektu ustawy wprowadzone zostały ograniczenia prawa do ponownego wykorzystywania informacji sektora publicznego:</w:t>
      </w:r>
    </w:p>
    <w:p w:rsidR="005D3F15" w:rsidRPr="00744574" w:rsidRDefault="005D3F15" w:rsidP="001C2767">
      <w:pPr>
        <w:widowControl/>
        <w:numPr>
          <w:ilvl w:val="0"/>
          <w:numId w:val="11"/>
        </w:numPr>
        <w:autoSpaceDE/>
        <w:autoSpaceDN/>
        <w:adjustRightInd/>
        <w:spacing w:before="120"/>
        <w:jc w:val="both"/>
        <w:rPr>
          <w:rFonts w:eastAsia="Calibri" w:cs="Times New Roman"/>
          <w:szCs w:val="24"/>
          <w:lang w:eastAsia="en-US"/>
        </w:rPr>
      </w:pPr>
      <w:r w:rsidRPr="00744574">
        <w:rPr>
          <w:rFonts w:eastAsia="Calibri" w:cs="Times New Roman"/>
          <w:szCs w:val="24"/>
          <w:lang w:eastAsia="en-US"/>
        </w:rPr>
        <w:t>ze względu na ochronę informacji niejawnych oraz ochronę innych tajemnic ustawowo chronionych (np. tajemnicy statystycznej);</w:t>
      </w:r>
    </w:p>
    <w:p w:rsidR="005D3F15" w:rsidRPr="00744574" w:rsidRDefault="005D3F15" w:rsidP="001C2767">
      <w:pPr>
        <w:widowControl/>
        <w:numPr>
          <w:ilvl w:val="0"/>
          <w:numId w:val="11"/>
        </w:numPr>
        <w:autoSpaceDE/>
        <w:autoSpaceDN/>
        <w:adjustRightInd/>
        <w:spacing w:before="120"/>
        <w:jc w:val="both"/>
        <w:rPr>
          <w:rFonts w:eastAsia="Calibri" w:cs="Times New Roman"/>
          <w:szCs w:val="24"/>
          <w:lang w:eastAsia="en-US"/>
        </w:rPr>
      </w:pPr>
      <w:r w:rsidRPr="00744574">
        <w:rPr>
          <w:rFonts w:eastAsia="Calibri" w:cs="Times New Roman"/>
          <w:szCs w:val="24"/>
          <w:lang w:eastAsia="en-US"/>
        </w:rPr>
        <w:t>ze względu na tajemnicę przedsiębiorstwa lub prywatność osoby fizycznej, w tym ochronę danych osobowych;</w:t>
      </w:r>
    </w:p>
    <w:p w:rsidR="005D3F15" w:rsidRPr="00744574" w:rsidRDefault="005D3F15" w:rsidP="001C2767">
      <w:pPr>
        <w:widowControl/>
        <w:numPr>
          <w:ilvl w:val="0"/>
          <w:numId w:val="11"/>
        </w:numPr>
        <w:autoSpaceDE/>
        <w:autoSpaceDN/>
        <w:adjustRightInd/>
        <w:spacing w:before="120"/>
        <w:jc w:val="both"/>
        <w:rPr>
          <w:rFonts w:eastAsia="Calibri" w:cs="Times New Roman"/>
          <w:szCs w:val="24"/>
          <w:lang w:eastAsia="en-US"/>
        </w:rPr>
      </w:pPr>
      <w:r w:rsidRPr="00744574">
        <w:rPr>
          <w:rFonts w:eastAsia="Calibri" w:cs="Times New Roman"/>
          <w:szCs w:val="24"/>
          <w:lang w:eastAsia="en-US"/>
        </w:rPr>
        <w:t>do których dostęp jest ograniczony na podstawie innych ustaw szczególnych.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przypadku punktu 2 i 3 ograniczenie to nie dotyczy informacji o osobach pełniących funkcje publiczne, mających związek z pełnieniem tych funkcji, w tym informacji o warunkach powierzenia i wykonywania funkcji, oraz przypadku gdy osoba fizyczna wyrazi zgodę na przetwarzanie jej danych osobowych w celu ponownego wykorzystywania lub gdy przedsiębiorca rezygnuje z przysługującego mu prawa. </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Prawo do ponownego wykorzystywania podlega ponadto ograniczeniu w zakresie informacji sektora publicznego (art. 6 ust. 4 projektu ustawy):</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których wytwarzanie przez podmioty zobowiązane nie należy do zakresu ich zadań publicznych określonych prawem;</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lastRenderedPageBreak/>
        <w:t>powiązanych z depozytami znajdującymi się w posiadaniu podmiotu zobowiązanego, o ile ich właściciele umownie wyłączyli możliwość ich udostępniania lub przekazywania w całości lub w określonym zakresie;</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objętych prawami własności przemysłowej</w:t>
      </w:r>
      <w:r w:rsidRPr="006A6376">
        <w:rPr>
          <w:rStyle w:val="Odwoanieprzypisudolnego"/>
          <w:rFonts w:eastAsia="Calibri"/>
          <w:szCs w:val="24"/>
          <w:lang w:eastAsia="en-US"/>
        </w:rPr>
        <w:footnoteReference w:id="24"/>
      </w:r>
      <w:r w:rsidRPr="006A6376">
        <w:rPr>
          <w:rFonts w:eastAsia="Calibri" w:cs="Times New Roman"/>
          <w:szCs w:val="24"/>
          <w:vertAlign w:val="superscript"/>
          <w:lang w:eastAsia="en-US"/>
        </w:rPr>
        <w:t>)</w:t>
      </w:r>
      <w:r w:rsidRPr="006A6376">
        <w:rPr>
          <w:rFonts w:eastAsia="Calibri" w:cs="Times New Roman"/>
          <w:szCs w:val="24"/>
          <w:lang w:eastAsia="en-US"/>
        </w:rPr>
        <w:t xml:space="preserve"> lub prawami własności przemysłowej podlegający</w:t>
      </w:r>
      <w:r w:rsidRPr="00744574">
        <w:rPr>
          <w:rFonts w:eastAsia="Calibri" w:cs="Times New Roman"/>
          <w:szCs w:val="24"/>
          <w:lang w:eastAsia="en-US"/>
        </w:rPr>
        <w:t>mi ochronie na podstawie umów międzynarodowych lub przepisów prawa Unii Europejskiej;</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do których prawa autorskie i prawa pokrewne</w:t>
      </w:r>
      <w:r w:rsidRPr="006A6376">
        <w:rPr>
          <w:rFonts w:eastAsia="Calibri" w:cs="Times New Roman"/>
          <w:szCs w:val="24"/>
          <w:vertAlign w:val="superscript"/>
          <w:lang w:eastAsia="en-US"/>
        </w:rPr>
        <w:footnoteReference w:id="25"/>
      </w:r>
      <w:r w:rsidRPr="006A6376">
        <w:rPr>
          <w:rFonts w:eastAsia="Times New Roman" w:cs="Times New Roman"/>
          <w:szCs w:val="24"/>
          <w:vertAlign w:val="superscript"/>
        </w:rPr>
        <w:t>)</w:t>
      </w:r>
      <w:r w:rsidRPr="006A6376">
        <w:rPr>
          <w:rFonts w:eastAsia="Calibri" w:cs="Times New Roman"/>
          <w:szCs w:val="24"/>
          <w:lang w:eastAsia="en-US"/>
        </w:rPr>
        <w:t>, prawa do baz danych</w:t>
      </w:r>
      <w:r w:rsidRPr="006A6376">
        <w:rPr>
          <w:rFonts w:eastAsia="Calibri" w:cs="Times New Roman"/>
          <w:szCs w:val="24"/>
          <w:vertAlign w:val="superscript"/>
          <w:lang w:eastAsia="en-US"/>
        </w:rPr>
        <w:footnoteReference w:id="26"/>
      </w:r>
      <w:r w:rsidRPr="006A6376">
        <w:rPr>
          <w:rFonts w:eastAsia="Times New Roman" w:cs="Times New Roman"/>
          <w:szCs w:val="24"/>
          <w:vertAlign w:val="superscript"/>
        </w:rPr>
        <w:t>)</w:t>
      </w:r>
      <w:r w:rsidRPr="006A6376">
        <w:rPr>
          <w:rFonts w:eastAsia="Calibri" w:cs="Times New Roman"/>
          <w:szCs w:val="24"/>
          <w:lang w:eastAsia="en-US"/>
        </w:rPr>
        <w:t xml:space="preserve"> oraz prawa do</w:t>
      </w:r>
      <w:r w:rsidRPr="00744574">
        <w:rPr>
          <w:rFonts w:eastAsia="Calibri" w:cs="Times New Roman"/>
          <w:szCs w:val="24"/>
          <w:lang w:eastAsia="en-US"/>
        </w:rPr>
        <w:t xml:space="preserve"> odmian roślin</w:t>
      </w:r>
      <w:r w:rsidRPr="006A6376">
        <w:rPr>
          <w:rFonts w:eastAsia="Calibri" w:cs="Times New Roman"/>
          <w:szCs w:val="24"/>
          <w:vertAlign w:val="superscript"/>
          <w:lang w:eastAsia="en-US"/>
        </w:rPr>
        <w:footnoteReference w:id="27"/>
      </w:r>
      <w:r w:rsidRPr="006A6376">
        <w:rPr>
          <w:rFonts w:eastAsia="Times New Roman" w:cs="Times New Roman"/>
          <w:szCs w:val="24"/>
          <w:vertAlign w:val="superscript"/>
        </w:rPr>
        <w:t xml:space="preserve">) </w:t>
      </w:r>
      <w:r w:rsidRPr="006A6376">
        <w:rPr>
          <w:rFonts w:eastAsia="Calibri" w:cs="Times New Roman"/>
          <w:szCs w:val="24"/>
          <w:lang w:eastAsia="en-US"/>
        </w:rPr>
        <w:t>przysługują p</w:t>
      </w:r>
      <w:r w:rsidRPr="00744574">
        <w:rPr>
          <w:rFonts w:eastAsia="Calibri" w:cs="Times New Roman"/>
          <w:szCs w:val="24"/>
          <w:lang w:eastAsia="en-US"/>
        </w:rPr>
        <w:t>odmiotom innym niż podmioty zobowiązane;</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 xml:space="preserve">będących w posiadaniu muzeów państwowych, muzeów samorządowych, bibliotek publicznych, bibliotek naukowych, </w:t>
      </w:r>
      <w:proofErr w:type="spellStart"/>
      <w:r w:rsidRPr="00744574">
        <w:rPr>
          <w:rFonts w:eastAsia="Calibri" w:cs="Times New Roman"/>
          <w:szCs w:val="24"/>
          <w:lang w:eastAsia="en-US"/>
        </w:rPr>
        <w:t>biblitek</w:t>
      </w:r>
      <w:proofErr w:type="spellEnd"/>
      <w:r w:rsidRPr="00744574">
        <w:rPr>
          <w:rFonts w:eastAsia="Calibri" w:cs="Times New Roman"/>
          <w:szCs w:val="24"/>
          <w:lang w:eastAsia="en-US"/>
        </w:rPr>
        <w:t xml:space="preserve"> pedagogicznych lub archiwów</w:t>
      </w:r>
      <w:r w:rsidRPr="006A6376">
        <w:rPr>
          <w:rStyle w:val="Odwoanieprzypisudolnego"/>
          <w:rFonts w:eastAsia="Calibri"/>
          <w:szCs w:val="24"/>
          <w:lang w:eastAsia="en-US"/>
        </w:rPr>
        <w:footnoteReference w:id="28"/>
      </w:r>
      <w:r w:rsidRPr="006A6376">
        <w:rPr>
          <w:rFonts w:eastAsia="Calibri" w:cs="Times New Roman"/>
          <w:szCs w:val="24"/>
          <w:vertAlign w:val="superscript"/>
          <w:lang w:eastAsia="en-US"/>
        </w:rPr>
        <w:t>)</w:t>
      </w:r>
      <w:r w:rsidRPr="006A6376">
        <w:rPr>
          <w:rFonts w:eastAsia="Calibri" w:cs="Times New Roman"/>
          <w:szCs w:val="24"/>
          <w:lang w:eastAsia="en-US"/>
        </w:rPr>
        <w:t>, w</w:t>
      </w:r>
      <w:r w:rsidRPr="00744574">
        <w:rPr>
          <w:rFonts w:eastAsia="Calibri" w:cs="Times New Roman"/>
          <w:szCs w:val="24"/>
          <w:lang w:eastAsia="en-US"/>
        </w:rPr>
        <w:t xml:space="preserve"> przypadku gdy pierwotnym właścicielem autorskich praw majątkowych lub praw pokrewnych były podmioty inne niż podmioty zobowiązane, a czas trwania tych praw nie wygasł;</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 xml:space="preserve">które są wyłączone z dostępu lub do których dostęp jest ograniczony ze względu na ochronę infrastruktury krytycznej w rozumieniu przepisów ustawy z dnia 26 kwietnia 2007 r. o zarządzaniu kryzysowym (Dz. U. z 2020 r. poz. 1856, z </w:t>
      </w:r>
      <w:proofErr w:type="spellStart"/>
      <w:r w:rsidRPr="00744574">
        <w:rPr>
          <w:rFonts w:eastAsia="Calibri" w:cs="Times New Roman"/>
          <w:szCs w:val="24"/>
          <w:lang w:eastAsia="en-US"/>
        </w:rPr>
        <w:t>późn</w:t>
      </w:r>
      <w:proofErr w:type="spellEnd"/>
      <w:r w:rsidRPr="00744574">
        <w:rPr>
          <w:rFonts w:eastAsia="Calibri" w:cs="Times New Roman"/>
          <w:szCs w:val="24"/>
          <w:lang w:eastAsia="en-US"/>
        </w:rPr>
        <w:t>. zm.);</w:t>
      </w:r>
    </w:p>
    <w:p w:rsidR="005D3F15" w:rsidRPr="00744574" w:rsidRDefault="005D3F15" w:rsidP="001C2767">
      <w:pPr>
        <w:widowControl/>
        <w:numPr>
          <w:ilvl w:val="0"/>
          <w:numId w:val="27"/>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stanowiących program komputerowy, z zastrzeżeniem art. 10 ust. 5.</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Ograniczenie, o którym mowa w pkt 5, może mieć znaczenie w odniesieniu do części zasobów bibliotek, archiwów i muzeów. Podmioty te posiadają w swoich zbiorach informacje sektora publicznego (np. będące utworami), do których prawa własności intelektualnej mogą przysługiwać osobom trzecim. Powyższe wyłączenie w zakresie informacji sektora publicznego będących w posiadaniu bibliotek, archiwów i muzeów doprecyzowuje motyw 55 preambuły dyrektywy 2019/1024/UE. Zgodnie z nim, w </w:t>
      </w:r>
      <w:r w:rsidRPr="00744574">
        <w:rPr>
          <w:rFonts w:eastAsia="Calibri" w:cs="Times New Roman"/>
          <w:szCs w:val="24"/>
          <w:lang w:eastAsia="en-US"/>
        </w:rPr>
        <w:lastRenderedPageBreak/>
        <w:t xml:space="preserve">przypadku gdy </w:t>
      </w:r>
      <w:r w:rsidRPr="00744574">
        <w:rPr>
          <w:rFonts w:eastAsia="Times New Roman" w:cs="Times New Roman"/>
          <w:szCs w:val="24"/>
        </w:rPr>
        <w:t xml:space="preserve">pierwotnym właścicielem praw własności intelektualnej do dokumentu, który jest w posiadaniu biblioteki, w tym biblioteki uniwersyteckiej, muzeum lub archiwum, jest osoba trzecia, a okres ochrony tych praw jeszcze nie wygasł, dokument taki powinien być uznawany na potrzeby niniejszej dyrektywy za dokument, do którego prawa własności intelektualnej należą do osoby trzeciej. </w:t>
      </w:r>
      <w:r w:rsidRPr="00744574">
        <w:rPr>
          <w:rFonts w:eastAsia="Calibri" w:cs="Times New Roman"/>
          <w:szCs w:val="24"/>
          <w:lang w:eastAsia="en-US"/>
        </w:rPr>
        <w:t>Oznacza to, że ponownemu wykorzystywaniu w zakresie informacji sektora publicznego będących w posiadaniu archiwów, muzeów i bibliotek podlegać będą informacje sektora publicznego, które nigdy nie podlegały ochronie prawno</w:t>
      </w:r>
      <w:r w:rsidRPr="00744574">
        <w:rPr>
          <w:rFonts w:eastAsia="Calibri" w:cs="Times New Roman"/>
          <w:szCs w:val="24"/>
          <w:lang w:eastAsia="en-US"/>
        </w:rPr>
        <w:noBreakHyphen/>
        <w:t>autorskiej lub które takiej ochronie podlegały, ale do których autorskie prawa majątkowe już wygasły.</w:t>
      </w:r>
    </w:p>
    <w:p w:rsidR="005D3F15" w:rsidRPr="006A6376"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Ograniczenie wskazane w art. 6 ust. 4 pkt 6 stanowi implementacje art. 1 ust. 2 lit. e dyrektywy 2019/1024/UE, na podstawie którego dyrektywa nie ma zastosowania do dokumentów wyłączonych z dostępu lub do których dostęp jest ograniczony ze względu na szczególnie chronione informacje dotyczące ochrony infrastruktury krytycznej zgodnie z definicją zawartą w art. 2 lit. d dyrektywy Rady 2008/114/WE z dnia 8 grudnia 2008 r. w sprawie rozpoznawania i wyznaczania europejskiej infrastruktury krytycznej oraz oceny potrzeb w zakresie poprawy jej ochrony</w:t>
      </w:r>
      <w:r w:rsidRPr="006A6376">
        <w:rPr>
          <w:rFonts w:eastAsia="Calibri" w:cs="Times New Roman"/>
          <w:szCs w:val="24"/>
          <w:vertAlign w:val="superscript"/>
          <w:lang w:eastAsia="en-US"/>
        </w:rPr>
        <w:footnoteReference w:id="29"/>
      </w:r>
      <w:r w:rsidRPr="006A6376">
        <w:rPr>
          <w:rFonts w:eastAsia="Times New Roman" w:cs="Times New Roman"/>
          <w:szCs w:val="24"/>
          <w:vertAlign w:val="superscript"/>
        </w:rPr>
        <w:t>)</w:t>
      </w:r>
      <w:r w:rsidRPr="006A6376">
        <w:rPr>
          <w:rFonts w:eastAsia="Calibri" w:cs="Times New Roman"/>
          <w:szCs w:val="24"/>
          <w:lang w:eastAsia="en-US"/>
        </w:rPr>
        <w:t>.</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Z kolei ograniczenie prawa do ponownego wykorzystywania w zakresie informacji sektora publicznego stanowiących program komputerowy (art. 6 ust. 4 pkt 7) jest zgodne z rozumieniem definicji „dokumentu” przyjętej na gruncie dyrektywy 2019/1024/UE. Zgodnie z motywem 30 preambuły dyrektywy definicja „dokumentu” wskazana w art. 2 pkt 6 nie obejmuje programów komputerowych. Jednocześnie jednak państwa członkowskie mogą rozszerzyć zakres stosowania dyrektywy na programy komputerowe. Stąd w art. 10 ust. 5 projektu ustawy wskazano możliwość udostępniania lub przekazywania przez podmioty zobowiązane do ponownego wykorzystywania kodów źródłowych lub innych elementów programów komputerowych opracowanych w ramach realizacji zadań publicznych.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Ograniczenie prawa do ponownego wykorzystywania (np. ze względu na tajemnicę ustawowo chronioną) oznacza, że określona informacja sektora publicznego lub jej część nie podlega udostępnianiu lub przekazywaniu do ponownego wykorzystywania (zob. art. 41 ust. 4 projektu ustawy).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Stosunek do innych ustaw.</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lastRenderedPageBreak/>
        <w:t>Projekt ustawy o ponownym wykorzystywaniu informacji sektora publicznego nie określa własnych zasad dostępu do informacji. Dostęp do informacji publicznej jest realizowany na przykład na zasadach określonych w ustawie o dostępie do informacji publicznej. Dostęp ten nie oznacza automatycznego prawa do ponownego wykorzystywania, poza wyjątkami określonymi w projekcie ustawy (np. dot. danych podlegających publikacji w BIP). W celu wyeliminowania jakichkolwiek wątpliwości projekt ustawy w art. 7 ust. 1 wprowadza zasadę, że ponowne wykorzystywanie nie narusza prawa dostępu do informacji publicznej ani wolności jej rozpowszechniania, ani przepisów innych ustaw określających zasady, warunki i tryb dostępu lub ponownego wykorzystywania informacji będących informacjami sektora publicznego. Art. 7 ust. 1 projektu ustawy stanowi implementację art. 1 ust. 3 dyrektywy 2019/1024/UE, zgodnie z którym dyrektywa ta opiera się na unijnych i krajowych systemach dostępu i pozostaje bez uszczerbku dla nich.</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W art. 7 ust. 2 projektu ustawy wprowadzono ponadto zasadę, zgodnie z którą przepisy ustawy nie naruszają przepisów o ochronie danych osobowych.</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2. Zasady udostępniania i przekazywania informacji sektora publicznego w celu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Zgodnie z zasadą niedyskryminacji wyrażoną w art. 8 projektu ustawy udostępnianie lub przekazywanie informacji sektora publicznego nie powinno odbywać się na warunkach, które wyeliminowałyby lub ograniczałyby konkurencję. Do takiego niekorzystnego zjawiska mogłoby dojść w przypadku oferowania przez podmiot zobowiązany zróżnicowanych warunków dla podobnych (porównywalnych) sytuacji wykorzystywania informacji. Przepis art. 8 projektu ustawy formułuje obowiązek stosowania w umowach z osobami zainteresowanymi jednolitych warunków udostępniania lub przekazywania informacji sektora publicznego w celu ponownego wykorzystywania, także wówczas gdy użytkownikiem jest podmiot wykonujący zadania publiczne, ale w ramach działalności wykraczającej poza realizację takich zadań.</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Projekt ustawy formułuje w art. 9 ust. 1 zasadę niewyłączności, zgodnie z którą podmiot zobowiązany, który udostępnia lub przekazuje informacje sektora publicznego w celu ponownego wykorzystywania, nie może ograniczać innym użytkownikom korzystania z tych udostępnianych lub przekazanych informacji. Podmiot zobowiązany ma co do zasady zakaz zawierania umów o udzielenie wyłącznego prawa do korzystania z </w:t>
      </w:r>
      <w:r w:rsidRPr="00744574">
        <w:rPr>
          <w:rFonts w:eastAsia="Calibri" w:cs="Times New Roman"/>
          <w:szCs w:val="24"/>
          <w:lang w:eastAsia="en-US"/>
        </w:rPr>
        <w:lastRenderedPageBreak/>
        <w:t>informacji sektora publicznego. Zawarcie takiej umowy jest dopuszczalne jedynie wyjątkowo, w sytuacji gdy ograniczenia korzystania z informacji przez innych użytkowników jest niezbędne do prawidłowego wykonywania zadań publicznych (art. 9 ust. 2 projektu ustawy). Art. 9 ust 2 projektu ustawy implementuje art. 12 ust. 2 dyrektywy 2019/1024/UE ). W motywie 48 dyrektywy 2019/1024/UE podkreślono, że określając zasady ponownego wykorzystywania dokumentów, organy sektora publicznego powinny zapewnić ich zgodność z unijnymi i krajowymi regułami konkurencji, w możliwie najszerszym stopniu unikając zawierania umów o wyłączności z partnerami prywatnymi. Mając na uwadze powyższe, umowy o udzielenie wyłącznego prawa do korzystania z informacji sektora publicznego powinny być zawierane tylko w wyjątkowych sytuacjach.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Umowa, o której mowa w art. 9 ust. 2 jest umową w rozumieniu ustawy z dnia 23 kwietnia 1964 r. – Kodeks cywilny</w:t>
      </w:r>
      <w:r w:rsidRPr="006A6376">
        <w:rPr>
          <w:rStyle w:val="Odwoanieprzypisudolnego"/>
          <w:rFonts w:eastAsia="Calibri"/>
          <w:szCs w:val="24"/>
          <w:lang w:eastAsia="en-US"/>
        </w:rPr>
        <w:footnoteReference w:id="30"/>
      </w:r>
      <w:r w:rsidRPr="006A6376">
        <w:rPr>
          <w:rFonts w:eastAsia="Calibri" w:cs="Times New Roman"/>
          <w:szCs w:val="24"/>
          <w:vertAlign w:val="superscript"/>
          <w:lang w:eastAsia="en-US"/>
        </w:rPr>
        <w:t>)</w:t>
      </w:r>
      <w:r w:rsidRPr="006A6376">
        <w:rPr>
          <w:rFonts w:eastAsia="Calibri" w:cs="Times New Roman"/>
          <w:szCs w:val="24"/>
          <w:lang w:eastAsia="en-US"/>
        </w:rPr>
        <w:t>. Przesłanką zawarcia takiej umowy jest wykonywanie zadania publicznego w sposób prawidłowy. Wyjątek dotyczący możliwości zawarcia umowy o</w:t>
      </w:r>
      <w:r w:rsidRPr="00744574">
        <w:rPr>
          <w:rFonts w:eastAsia="Calibri" w:cs="Times New Roman"/>
          <w:szCs w:val="24"/>
          <w:lang w:eastAsia="en-US"/>
        </w:rPr>
        <w:t xml:space="preserve"> udzielenie wyłącznego prawa do korzystania z informacji sektora publicznego dotyczyć może np. sytuacji, w których prawo wyłączne jest niezbędne do świadczenia usług, np. użytkownik (mając na uwadze ponoszone koszty, osiągnięcie zwrotu z inwestycji itd.) nie zdecydowałby się na ponowne wykorzystywanie informacji sektora publicznego (stworzenie usługi, produktu itd.) bez zagwarantowania sobie wyłącznego prawa do informacji na określony czas (np. czas prowadzonego przedsięwzięcia). Przykładem takiego przedsięwzięcia/działania może być digitalizacja muzealiów. W motywie 48 dyrektywy 2019/1024/UE jako przykład wskazano sytuację, w której żaden wydawca komercyjny nie opublikowałby informacji, nie posiadając prawa wyłącznego. W tym kontekście okres na jaki zawierana jest umowa oraz względna trwałość jej postanowień mogą być bardzo istotne dla potencjalnego użytkownika. Okres na jaki może być zawarta umowa powinien być w związku z tym dostosowany do charakteru i celu przedsięwzięcia/działania na potrzeby, którego przekazywanie będą informacje sektora publicznego.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Umowy, które udzielają wyłącznego prawa do korzystania z informacji, a także powody ich zawarcia dla wykonywania zadania publicznego, są ogłaszane na stronie podmiotowej BIP podmiotu wprowadzającego wyłączność (art. 11 ust. 1 pkt 4 projektu ustawy). Zgodnie z art. 9 ust. 3 projektu ustawy umowa o udzielenie wyłącznego prawa do </w:t>
      </w:r>
      <w:r w:rsidRPr="00744574">
        <w:rPr>
          <w:rFonts w:eastAsia="Calibri" w:cs="Times New Roman"/>
          <w:szCs w:val="24"/>
          <w:lang w:eastAsia="en-US"/>
        </w:rPr>
        <w:lastRenderedPageBreak/>
        <w:t>korzystania z informacji sektora publicznego podlega co najmniej raz w roku ocenie podmiotu zobowiązanego w zakresie dalszego istnienia powodów jej zawarcia. Podmiot zobowiązany zobligowany jest zatem do oceny (co najmniej raz w roku), czy nadal zachodzą okoliczności, które stanowiły przyczyny zawarcia umowy (przesłanki z art. 9 ust. 2 projektu ustawy). Innymi słowy, czy konieczne jest dalsze ograniczanie możliwości ponownego wykorzystywania informacji sektora publicznego innym użytkownikom. Jeżeli powody dla których umowę zawarto ustaną, umowa musi zostać wypowiedziana. Wyniki przeglądu są ogłaszane na stronie podmiotowej BIP podmiotu zobowiązanego.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przypadku warunkowego udostępnienia lub przekazania informacji sektora publicznego do ponownego wykorzystywania, podmioty zobowiązane będą miały obowiązek publicznego ogłoszenia tych warunków (art. 11 ust. 1 pkt 1 oraz ust. 3 projektu ustawy). Dzięki temu potencjalni użytkownicy mogą dokonać sprawdzenia warunków jeszcze przed podjęciem pozytywnej decyzji w przedmiocie ponownego wykorzystywania. Zasada przejrzystości wymaga podania nie tylko informacji o warunkach ponownego wykorzystywania, ale także informacji o środkach przysługujących osobom zainteresowanym w przypadku odmowy przekazania informacji sektora publicznego w celu ponownego wykorzystywania albo kwestionowania przez nie zaproponowanych warunków (art. 11 ust. 1 pkt 3 projektu). </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Zgodnie z zasadą przejrzystości sformułowaną w art. 7 ust. 1 dyrektywy 2019/1024/UE w przypadku standardowych opłat za ponowne wykorzystywanie dokumentów mające zastosowanie warunki i faktyczne kwoty opłat, w tym podstawa ich obliczania, są określane z wyprzedzeniem i publikowane – w miarę możliwości i stosownie do przypadku – przy wykorzystaniu środków elektronicznych (art. 11 ust. 1 pkt 2 projektu ustawy). W przypadku pobierania opłat innych niż te, o których mowa powyżej podmiot zobowiązany również wskazuje z wyprzedzeniem, jakie czynniki są brane pod uwagę przy ustalaniu tych opłat (art. 11 ust. </w:t>
      </w:r>
      <w:r w:rsidR="00F64B8F">
        <w:rPr>
          <w:rFonts w:eastAsia="Calibri" w:cs="Times New Roman"/>
          <w:szCs w:val="24"/>
          <w:lang w:eastAsia="en-US"/>
        </w:rPr>
        <w:t>1 pkt 2</w:t>
      </w:r>
      <w:r w:rsidRPr="00744574">
        <w:rPr>
          <w:rFonts w:eastAsia="Calibri" w:cs="Times New Roman"/>
          <w:szCs w:val="24"/>
          <w:lang w:eastAsia="en-US"/>
        </w:rPr>
        <w:t xml:space="preserve"> projektu ustawy). Podmiot zobowiązany podaje na żądanie wnioskodawcy informację o sposobie obliczania tych opłat w odniesieniu do konkretnego wniosku o ponowne wykorzystywanie (art. 21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Zgodnie z art. 10 ust. 2 projektu ustawy jeżeli podmiot zobowiązany udostępnia informacje sektora publicznego z użyciem systemów teleinformatycznych, wówczas jest zobowiązany używać systemu teleinformatycznego, który spełnia wymagania określone </w:t>
      </w:r>
      <w:r w:rsidRPr="00744574">
        <w:rPr>
          <w:rFonts w:eastAsia="Calibri" w:cs="Times New Roman"/>
          <w:szCs w:val="24"/>
          <w:lang w:eastAsia="en-US"/>
        </w:rPr>
        <w:lastRenderedPageBreak/>
        <w:t>w przepisach wydanych na podstawie art. 18 ustawy z dnia 17 lutego 2005 r. o informatyzacji działalności podmiotów realizujących zadania publiczne</w:t>
      </w:r>
      <w:r w:rsidRPr="006A6376">
        <w:rPr>
          <w:rStyle w:val="Odwoanieprzypisudolnego"/>
          <w:rFonts w:eastAsia="Calibri"/>
          <w:szCs w:val="24"/>
          <w:lang w:eastAsia="en-US"/>
        </w:rPr>
        <w:footnoteReference w:id="31"/>
      </w:r>
      <w:r w:rsidRPr="006A6376">
        <w:rPr>
          <w:rFonts w:eastAsia="Calibri" w:cs="Times New Roman"/>
          <w:szCs w:val="24"/>
          <w:vertAlign w:val="superscript"/>
          <w:lang w:eastAsia="en-US"/>
        </w:rPr>
        <w:t>)</w:t>
      </w:r>
      <w:r w:rsidRPr="006A6376">
        <w:rPr>
          <w:rFonts w:eastAsia="Calibri" w:cs="Times New Roman"/>
          <w:szCs w:val="24"/>
          <w:lang w:eastAsia="en-US"/>
        </w:rPr>
        <w:t>. Przepisy te zapewniają jednolite formaty danych oraz protokoły komunikacyjne i szyfrujące dla informacji będących przedmiotem transferu. Zgodnie z art. 13 ust. 1 ustawy o informatyzacji działalności podmiotów realizujących zadania publiczne systemy teleinform</w:t>
      </w:r>
      <w:r w:rsidRPr="00744574">
        <w:rPr>
          <w:rFonts w:eastAsia="Calibri" w:cs="Times New Roman"/>
          <w:szCs w:val="24"/>
          <w:lang w:eastAsia="en-US"/>
        </w:rPr>
        <w:t>atyczne używane przez podmiot publiczny do realizacji zadań publicznych powinny spełniać minimalne wymagania dla systemów teleinformatycznych oraz zapewniać interoperacyjność na zasadach określonych w Krajowych Ramach Interoperacyjności. Jednocześnie jednak zgodnie z art. 13 ust. 1a wskazanej ustawy wymagań tych nie stosuje się do systemów teleinformatycznych używanych do celów naukowych i dydaktycznych. W związku z powyższym podmioty zobowiązane udostępniające informacje sektora publicznego z użyciem systemów teleinformatycznych używanych do celów naukowych i dydaktycznych nie będą obowiązane do stosowania art. 10 ust. 2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 art. 10 ust. 4 projektu ustawy przewiduje wyłączenie obligatoryjności dodatkowego opracowania informacji sektora publicznego na potrzeby realizacji wniosku o ponowne wykorzystywanie. Dotyczy to wyłącznie sytuacji, w której dokonanie określonych we wniosku czynności wymaga podjęcia nieproporcjonalnych działań, przekraczającego proste operacje na informacji. Przepis ten w szczególności dotyczyć może podmiotów zobowiązanych będących muzeami, bibliotekami oraz archiwami ze względu na formaty posiadanych przez nie informacji sektora publicznego. W przypadku gdy wniosek będzie obejmował np. dany materiał biblioteczny w postaci elektronicznej, a podmiot zobowiązany byłby w posiadaniu jedynie jego egzemplarza, nie będzie wówczas obowiązany do opracowania tego materiału w postać elektroniczną, czyli dokonania digitalizacji egzemplarza.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Przepisy wprowadzone w art. 10 ust. 1, 3 i 5 projektu ustawy stanowią nowość w stosunku do regulacji ustawy z 2016 r.</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Przepis art. 10 ust. 1 projektu ustawy formułuje zasadę, zgodnie z którą podmioty zobowiązane, o ile to możliwe, powinny udostępniać lub przekazywać informacje sektora publicznego w celu ponownego wykorzystywania, jako otwarte dane. Otwarte dane stanowią szczególny rodzaj informacji sektora publicznego. Warunkiem uznania </w:t>
      </w:r>
      <w:r w:rsidRPr="00744574">
        <w:rPr>
          <w:rFonts w:eastAsia="Calibri" w:cs="Times New Roman"/>
          <w:szCs w:val="24"/>
          <w:lang w:eastAsia="en-US"/>
        </w:rPr>
        <w:lastRenderedPageBreak/>
        <w:t>określonych informacji sektora publicznego za otwarte dane jest spełnianie przez nich wszystkich przesłanek określonych w art. 2 pkt 11 projektu ustawy. Przesłanek tych, z różnych względów, nie będą spełniać wszystkie informacje sektora publicznego. Zasada otwartości danych wyrażona w art. 10 ust. 1 projektu ustawy wyznacza dysponentom danych kierunek działań, którym jest podejmowane starań mających celu podnoszenie stopnia otwartości posiadanych informacji sektora publicznego, co w konsekwencji skutkować będzie ich udostępnianiem jako otwartych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Na podstawie art. 10 ust. 3 projektu ustawy podmiot zobowiązany, który udostępnia informacje sektora publicznego poprzez API zobligowany został do zapewnienia dostępności, stabilności, jednolitości sposobu korzystania i standardów, łatwości i utrzymania przez cały cykl użytkowania oraz bezpieczeństwa stosowanego interfejsu.</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Na podstawie art. 10 ust. 5 projektu ustawy wskazano możliwość udostępniania lub przekazywania przez podmioty zobowiązane do ponownego wykorzystywania kodów źródłowych lub innych elementów programów komputerowych opracowanych w ramach realizacji zadań publicznych. Pod pojęciem kodu źródłowego rozumie się alfanumeryczny zapis programu komputerowego składający się z liter, cyfr, symboli i innych znaków, stanowiących zapis poleceń adresowanych do komputera, utworzonych zgodnie z zasadami określonego języka programowania.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Podmioty zobowiązane w celu ponownego wykorzystywania:</w:t>
      </w:r>
    </w:p>
    <w:p w:rsidR="005D3F15" w:rsidRPr="00744574" w:rsidRDefault="005D3F15" w:rsidP="001C2767">
      <w:pPr>
        <w:widowControl/>
        <w:numPr>
          <w:ilvl w:val="0"/>
          <w:numId w:val="18"/>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udostępniają informacje sektora publicznego:</w:t>
      </w:r>
    </w:p>
    <w:p w:rsidR="005D3F15" w:rsidRPr="00744574" w:rsidRDefault="005D3F15" w:rsidP="001C2767">
      <w:pPr>
        <w:widowControl/>
        <w:numPr>
          <w:ilvl w:val="0"/>
          <w:numId w:val="1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w BIP (dotyczy wyłącznie informacji publicznej w rozumieniu ustawy o dostępie do informacji publicznej),</w:t>
      </w:r>
    </w:p>
    <w:p w:rsidR="005D3F15" w:rsidRPr="00744574" w:rsidRDefault="005D3F15" w:rsidP="001C2767">
      <w:pPr>
        <w:widowControl/>
        <w:numPr>
          <w:ilvl w:val="0"/>
          <w:numId w:val="1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w portalu danych,</w:t>
      </w:r>
    </w:p>
    <w:p w:rsidR="005D3F15" w:rsidRPr="00744574" w:rsidRDefault="005D3F15" w:rsidP="001C2767">
      <w:pPr>
        <w:widowControl/>
        <w:numPr>
          <w:ilvl w:val="0"/>
          <w:numId w:val="19"/>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w inny sposób (np. w innym systemie teleinformatycznym) oraz wskazują warunki ponownego wykorzystywania lub opłaty, jeżeli zostały określone albo wyraźnie zastrzegają o braku takich warunków lub opłatach;</w:t>
      </w:r>
    </w:p>
    <w:p w:rsidR="005D3F15" w:rsidRPr="00744574" w:rsidRDefault="005D3F15" w:rsidP="001C2767">
      <w:pPr>
        <w:widowControl/>
        <w:numPr>
          <w:ilvl w:val="0"/>
          <w:numId w:val="18"/>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t>przekazują informacje sektora publicznego na wniosek.</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przypadku kiedy podmiot zobowiązany udostępnia informacje sektora publicznego w portalu danych wskazuje również warunki ponownego wykorzystywania, jeżeli zostały przez niego określone (art. 11 ust. 3).</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Zgodnie z art. 11 ust. 4 projektu ustawy podmiot zobowiązany, który udostępnia informacje sektora publicznego w sposób inny niż w Biuletynie Informacji Publicznej lub </w:t>
      </w:r>
      <w:r w:rsidRPr="00744574">
        <w:rPr>
          <w:rFonts w:eastAsia="Calibri" w:cs="Times New Roman"/>
          <w:szCs w:val="24"/>
          <w:lang w:eastAsia="en-US"/>
        </w:rPr>
        <w:lastRenderedPageBreak/>
        <w:t>w portalu danych, udostępniając w tym miejscu, wskazuje warunki ponownego wykorzystywania, jeżeli zostały określone, a także określa wysokość opłat albo wyraźnie zastrzega o braku warunków ponownego wykorzystywania lub opłat.</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przypadku informacji sektora publicznego udostępnianych w ten sposób, jeżeli zostały określone warunki ponownego wykorzystywania lub opłaty albo wyraźnie zastrzeżono o braku warunków lub opłatach, jest zasadą, że zainteresowany wykorzystuje je bez konieczności składania odrębnych wniosków. Wyjątkiem jest sytuacja, w której zainteresowany zamierza wykorzystywać informacje na warunkach innych niż to określił podmiot zobowiązany. W takim przypadku zachodzi potrzeba złożenia wniosku o ponowne wykorzystywanie (zob. rozdział 9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Zgodnie z art. 11 ust. 5 projektu ustawy brak odpowiednich informacji w menu przedmiotowym BIP podmiotu zobowiązanego (w kategorii „Ponowne wykorzystywanie”) dla informacji udostępnianych w Biuletynie, a także brak wskazania warunków w przypadku udostępniania informacji sektora publicznego w portalu danych uważa się za zgodę na ponowne wykorzystywanie udostępnianych informacji sektora publicznego bez ograniczeń warunkami (udostępnianie informacji sektora publicznego bez warunków). Takie rozwiązanie jest konsekwencją nałożenia w art. 11 ust. 1 pkt 1 oraz ust. 3 projektu ustawy na podmioty zobowiązane obowiązku udostępniania warunków ponownego wykorzystywania, jeżeli zostały przez nie określone.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art. 12 projektu ustawy uregulowano materię dotyczącą oferty w zakresie warunków ponownego wykorzystywania informacji sektora publicznego udostępnianych w BIP podmiotu zobowiązanego lub w portalu danych oraz oferty w zakresie warunków ponownego wykorzystywania lub informacji o wysokości opłat za ponowne wykorzystywanie (jeżeli zostały ustalone) informacji sektora publicznego udostępnianych w innym systemie teleinformatycznym (udostępnianych w inny sposób niż w BIP lub w portalu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art. 13 wprowadzono zasadę, zgodnie z którą podmiot zobowiązany niezwłocznie publikuje w systemie teleinformatycznym, w którym udostępnia informacje sektora publicznego w celu ponownego wykorzystywania, informacje o zaprzestaniu udostępniania lub aktualizowania takich informacji oraz informacje dotyczące dostępności informacji sektora publicznego udostępnianych za pośrednictwem API, w tym w szczególności danych dynamicznych. Przepis ten wiązać należy w pierwszej </w:t>
      </w:r>
      <w:r w:rsidRPr="00744574">
        <w:rPr>
          <w:rFonts w:eastAsia="Calibri" w:cs="Times New Roman"/>
          <w:szCs w:val="24"/>
          <w:lang w:eastAsia="en-US"/>
        </w:rPr>
        <w:lastRenderedPageBreak/>
        <w:t>kolejności z motywem 45 preambuły dyrektywy 2019/1024/UE, w którym podkreślono, że w przypadku kiedy właściwe organy zdecydują o zaprzestaniu udostępniania niektórych dokumentów do ponownego wykorzystywania lub przestaną te dokumenty aktualizować, decyzje te powinny być podawane do publicznej wiadomości jak najszybciej, w miarę możliwości przy wykorzystaniu środków elektronicznych. Oprócz tego obowiązek informowania obejmuje również wymóg publikacji informacji dotyczących dostępności informacji sektora publicznego udostępnianych za pośrednictwem API (w tym w szczególności danych dynamicznych).</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3. Warunki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 art. 14 ust. 1 projektu ustawy formułuje generalną zasadę, zgodnie z którą udostępnianie lub przekazywanie informacji sektora publicznego w celu ich ponownego wykorzystywania dokonuje się bez określenia warunków ponownego wykorzystywania (dane udostępnia się lub przekazuje co do zasady bezwarunkowo). Od zasady bezwarunkowości ponownego wykorzystywania informacji sektora publicznego projekt ustawy przewiduje ściśle określone wyjątki. W projekcie ustawy przewidziano dwa rodzaje warunków ponownego wykorzystywania:</w:t>
      </w:r>
    </w:p>
    <w:p w:rsidR="005D3F15" w:rsidRPr="00744574" w:rsidRDefault="005D3F15" w:rsidP="001C2767">
      <w:pPr>
        <w:pStyle w:val="Akapitzlist"/>
        <w:numPr>
          <w:ilvl w:val="0"/>
          <w:numId w:val="38"/>
        </w:numPr>
        <w:tabs>
          <w:tab w:val="num" w:pos="360"/>
        </w:tabs>
        <w:spacing w:before="120" w:line="360" w:lineRule="auto"/>
        <w:jc w:val="both"/>
        <w:rPr>
          <w:rFonts w:ascii="Times New Roman" w:hAnsi="Times New Roman"/>
          <w:sz w:val="24"/>
          <w:szCs w:val="24"/>
        </w:rPr>
      </w:pPr>
      <w:r w:rsidRPr="00744574">
        <w:rPr>
          <w:rFonts w:ascii="Times New Roman" w:hAnsi="Times New Roman"/>
          <w:sz w:val="24"/>
          <w:szCs w:val="24"/>
        </w:rPr>
        <w:t>obligatoryjne (art. 14 ust. 2),</w:t>
      </w:r>
    </w:p>
    <w:p w:rsidR="005D3F15" w:rsidRPr="00744574" w:rsidRDefault="005D3F15" w:rsidP="001C2767">
      <w:pPr>
        <w:pStyle w:val="Akapitzlist"/>
        <w:numPr>
          <w:ilvl w:val="0"/>
          <w:numId w:val="38"/>
        </w:numPr>
        <w:tabs>
          <w:tab w:val="num" w:pos="360"/>
        </w:tabs>
        <w:spacing w:before="120" w:line="360" w:lineRule="auto"/>
        <w:jc w:val="both"/>
        <w:rPr>
          <w:rFonts w:ascii="Times New Roman" w:hAnsi="Times New Roman"/>
          <w:sz w:val="24"/>
          <w:szCs w:val="24"/>
        </w:rPr>
      </w:pPr>
      <w:r w:rsidRPr="00744574">
        <w:rPr>
          <w:rFonts w:ascii="Times New Roman" w:hAnsi="Times New Roman"/>
          <w:sz w:val="24"/>
          <w:szCs w:val="24"/>
        </w:rPr>
        <w:t>fakultatywne (art. 15).</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Warunki obligatoryjne.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Niezależnie od generalnej zasady wyrażonej w art. 14 ust. 1 projektu ustawy, podmiot zobowiązany określa, na podstawie art. 14 ust. 2 projektu, warunki ponownego wykorzystywania informacji sektora publicznego mających cechy utworu lub przedmiotu praw pokrewnych w rozumieniu przepisów ustawy o prawie autorskim i prawach pokrewnych lub stanowiących bazę danych w rozumieniu przepisów ustawy o ochronie baz danych lub objętych prawami do odmian roślin w rozumieniu przepisów ustawy o ochronie prawnej odmian roślin, do których przysługują mu prawa. W szczególności podmiot zobowiązany określa warunek dotyczący obowiązku poinformowania o nazwisku, imieniu lub pseudonimie twórcy lub artysty wykonawcy, jeżeli jest znany.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Warunki fakultatywne.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art. 15 ust. 1 i 2 projektu ustawy określono katalog warunków ponownego wykorzystywania informacji sektora publicznego, jakie podmiot zobowiązany może </w:t>
      </w:r>
      <w:r w:rsidRPr="00744574">
        <w:rPr>
          <w:rFonts w:eastAsia="Calibri" w:cs="Times New Roman"/>
          <w:szCs w:val="24"/>
          <w:lang w:eastAsia="en-US"/>
        </w:rPr>
        <w:lastRenderedPageBreak/>
        <w:t>ustanowić, udostępniając lub przekazując informacje sektora publicznego do ponownego wykorzystywania. Są to warunki fa</w:t>
      </w:r>
      <w:r w:rsidR="00457233">
        <w:rPr>
          <w:rFonts w:eastAsia="Calibri" w:cs="Times New Roman"/>
          <w:szCs w:val="24"/>
          <w:lang w:eastAsia="en-US"/>
        </w:rPr>
        <w:t>k</w:t>
      </w:r>
      <w:r w:rsidRPr="00744574">
        <w:rPr>
          <w:rFonts w:eastAsia="Calibri" w:cs="Times New Roman"/>
          <w:szCs w:val="24"/>
          <w:lang w:eastAsia="en-US"/>
        </w:rPr>
        <w:t>ultatywne o charakterze ogólnym (art. 15 ust. 1) oraz warunki fakultatywne, które dotyczą części zasobów muzeów państwowych i samorządowych, bibliotek publicznych, bibliotek naukowych oraz archiwów (art. 15 ust. 2). Należy jednak podkreślić, że fakultatywność, o której mowa w tym przypadku została w znacznej mierze ograniczona, bowiem podmiot zobowiązany może jedynie zdecydować o tym, czy zastosuje dodatkowe warunki. Przedmiot tych warunków został określony w art. 15 projektu.</w:t>
      </w:r>
      <w:r w:rsidRPr="008C03BA">
        <w:rPr>
          <w:rFonts w:cs="Times New Roman"/>
          <w:szCs w:val="24"/>
        </w:rPr>
        <w:t xml:space="preserve"> </w:t>
      </w:r>
      <w:r w:rsidRPr="00744574">
        <w:rPr>
          <w:rFonts w:eastAsia="Calibri" w:cs="Times New Roman"/>
          <w:szCs w:val="24"/>
          <w:lang w:eastAsia="en-US"/>
        </w:rPr>
        <w:t xml:space="preserve">„Fakultatywność określania warunków (…) sprowadza się jedynie do podjęcia decyzji o ich zastosowaniu. Treść tych warunków ustawodawca ustalił (…). Podmiot zobowiązany nie ma więc możliwości dowolnego określania warunków ponownego wykorzystywania informacji sektora publicznego.” (zob. B. Fischer, A. Piskorz-Ryń, M. Sakowska-Baryła, J. </w:t>
      </w:r>
      <w:proofErr w:type="spellStart"/>
      <w:r w:rsidRPr="00744574">
        <w:rPr>
          <w:rFonts w:eastAsia="Calibri" w:cs="Times New Roman"/>
          <w:szCs w:val="24"/>
          <w:lang w:eastAsia="en-US"/>
        </w:rPr>
        <w:t>Wyporska</w:t>
      </w:r>
      <w:proofErr w:type="spellEnd"/>
      <w:r w:rsidRPr="00744574">
        <w:rPr>
          <w:rFonts w:eastAsia="Calibri" w:cs="Times New Roman"/>
          <w:szCs w:val="24"/>
          <w:lang w:eastAsia="en-US"/>
        </w:rPr>
        <w:t>-Frankiewicz, Ustawa o ponownym wykorzystywaniu informacji sektora publicznego. Komentarz. Wolters Kluwer, wydanie 2, Warszawa 2019, str. 307</w:t>
      </w:r>
      <w:r w:rsidRPr="006A6376">
        <w:rPr>
          <w:rStyle w:val="Odwoanieprzypisudolnego"/>
          <w:rFonts w:eastAsia="Calibri"/>
          <w:szCs w:val="24"/>
          <w:lang w:eastAsia="en-US"/>
        </w:rPr>
        <w:footnoteReference w:id="32"/>
      </w:r>
      <w:r w:rsidRPr="006A6376">
        <w:rPr>
          <w:rFonts w:eastAsia="Calibri" w:cs="Times New Roman"/>
          <w:szCs w:val="24"/>
          <w:vertAlign w:val="superscript"/>
          <w:lang w:eastAsia="en-US"/>
        </w:rPr>
        <w:t>)</w:t>
      </w:r>
      <w:r w:rsidRPr="006A6376">
        <w:rPr>
          <w:rFonts w:eastAsia="Calibri" w:cs="Times New Roman"/>
          <w:szCs w:val="24"/>
          <w:lang w:eastAsia="en-US"/>
        </w:rPr>
        <w:t>).</w:t>
      </w:r>
      <w:r w:rsidRPr="00744574">
        <w:rPr>
          <w:rFonts w:eastAsia="Calibri" w:cs="Times New Roman"/>
          <w:szCs w:val="24"/>
          <w:lang w:eastAsia="en-US"/>
        </w:rPr>
        <w:t xml:space="preserve"> Podmiotowi zobowiązanemu pozostawiono zatem jedynie możliwość podjęcia decyzji co do określenia dodatkowych warunków ponownego wykorzystywania w przypadkach innych niż określone w art. 14 ust. 1 projektu ustawy, a treść samych warunków została ściśle określona.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Fakultatywne warunki ponownego wykorzystywania o charakterze ogólnym (art. 15 ust. 1) mogą dotyczyć:</w:t>
      </w:r>
    </w:p>
    <w:p w:rsidR="005D3F15" w:rsidRPr="00744574" w:rsidRDefault="005D3F15" w:rsidP="001C2767">
      <w:pPr>
        <w:widowControl/>
        <w:numPr>
          <w:ilvl w:val="0"/>
          <w:numId w:val="2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obowiązku poinformowania o źródle, czasie wytworzenia i pozyskania informacji sektora publicznego od podmiotu zobowiązanego; lub</w:t>
      </w:r>
    </w:p>
    <w:p w:rsidR="005D3F15" w:rsidRPr="00744574" w:rsidRDefault="005D3F15" w:rsidP="001C2767">
      <w:pPr>
        <w:widowControl/>
        <w:numPr>
          <w:ilvl w:val="0"/>
          <w:numId w:val="2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obowiązku poinformowania o przetworzeniu informacji sektora publicznego ponownie wykorzystywanych; lub</w:t>
      </w:r>
    </w:p>
    <w:p w:rsidR="005D3F15" w:rsidRPr="00744574" w:rsidRDefault="005D3F15" w:rsidP="001C2767">
      <w:pPr>
        <w:widowControl/>
        <w:numPr>
          <w:ilvl w:val="0"/>
          <w:numId w:val="2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zakresu odpowiedzialności podmiotu zobowiązanego za udostępniane lub przekazywane w celu ponownego wykorzystywania informacje sektora publicznego, w szczególności za dostępność, poprawność, aktualność, kompletność lub jakość udostępnianych lub przekazywanych informacji; lub</w:t>
      </w:r>
    </w:p>
    <w:p w:rsidR="005D3F15" w:rsidRPr="00744574" w:rsidRDefault="005D3F15" w:rsidP="001C2767">
      <w:pPr>
        <w:widowControl/>
        <w:numPr>
          <w:ilvl w:val="0"/>
          <w:numId w:val="2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 xml:space="preserve">informacji sektora publicznego stanowiących lub zawierających dane osobowe. </w:t>
      </w:r>
    </w:p>
    <w:p w:rsidR="005D3F15" w:rsidRPr="006A6376"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W art. 15 ust. 1 pkt 3 wskazano warunki ponownego wykorzystywania dotyczące zakresu odpowiedzialności podmiotu zobowiązanego za dane w ramach których podmiot </w:t>
      </w:r>
      <w:r w:rsidRPr="00744574">
        <w:rPr>
          <w:rFonts w:eastAsia="Calibri" w:cs="Times New Roman"/>
          <w:szCs w:val="24"/>
          <w:lang w:eastAsia="en-US"/>
        </w:rPr>
        <w:lastRenderedPageBreak/>
        <w:t xml:space="preserve">zobowiązany może wskazać użytkownikom zakres swojej odpowiedzialności za udostępniane lub przekazywane informacje, w szczególności w zakresie dostępności, poprawności, aktualności, kompletności lub jakości udostępnianych lub przekazywanych informacji. Zapewnienie dostępności informacji sektora publicznego w powyższym rozumieniu oznacza konieczność zapewnienia terminowego i niezawodnego dostępu do udostępnianych lub przekazywanych informacji oraz możliwości ich wykorzystywania. Zapewnienie dostępności informacji sektora publicznego nabiera szczególnego znaczenia w przypadku udostępniania danych przez API. Informacje poprawne to informacje prawidłowe i zgodne z faktami. Przez zapewnienie aktualności danych należy z kolei rozumieć udostępnianie najnowszych i bieżąco aktualizowanych informacji sektora publicznego, niezwłocznie po ich wytworzeniu lub pozyskaniu, w terminach dostosowywanych do rodzaju danych i dynamiki ich zmian wraz z oznaczeniem daty udostępnienia danych, daty ostatniej aktualizacji danych oraz informacji o częstotliwości aktualizacji danych. Dane kompletne to dane udostępniane lub przekazywane w całości, bez wyłączania poszczególnych części danych i zgodne ze stanem faktycznym. Ewentualne wyłączenie niektórych informacji jest możliwe jedynie, kiedy wymagają tego przepisy prawa (np. część danych podlega </w:t>
      </w:r>
      <w:proofErr w:type="spellStart"/>
      <w:r w:rsidRPr="00744574">
        <w:rPr>
          <w:rFonts w:eastAsia="Calibri" w:cs="Times New Roman"/>
          <w:szCs w:val="24"/>
          <w:lang w:eastAsia="en-US"/>
        </w:rPr>
        <w:t>anonimizacji</w:t>
      </w:r>
      <w:proofErr w:type="spellEnd"/>
      <w:r w:rsidRPr="00744574">
        <w:rPr>
          <w:rFonts w:eastAsia="Calibri" w:cs="Times New Roman"/>
          <w:szCs w:val="24"/>
          <w:lang w:eastAsia="en-US"/>
        </w:rPr>
        <w:t xml:space="preserve"> ze względu na ochronę danych osobowych), a dysponent danych poinformuje o przyczynach wyłączenia. Jakość udostępnianych lub przekazywanych treści należy zapewnić poprzez ich właściwe opracowanie pod względem merytorycznym oraz technicznym (zgodność z obowiązującymi standardami technicznymi</w:t>
      </w:r>
      <w:r w:rsidRPr="006A6376">
        <w:rPr>
          <w:rStyle w:val="Odwoanieprzypisudolnego"/>
          <w:rFonts w:eastAsia="Calibri"/>
          <w:szCs w:val="24"/>
          <w:lang w:eastAsia="en-US"/>
        </w:rPr>
        <w:footnoteReference w:id="33"/>
      </w:r>
      <w:r w:rsidRPr="006A6376">
        <w:rPr>
          <w:rFonts w:eastAsia="Calibri" w:cs="Times New Roman"/>
          <w:szCs w:val="24"/>
          <w:vertAlign w:val="superscript"/>
          <w:lang w:eastAsia="en-US"/>
        </w:rPr>
        <w:t>)</w:t>
      </w:r>
      <w:r w:rsidRPr="006A6376">
        <w:rPr>
          <w:rFonts w:eastAsia="Calibri" w:cs="Times New Roman"/>
          <w:szCs w:val="24"/>
          <w:lang w:eastAsia="en-US"/>
        </w:rPr>
        <w:t>).</w:t>
      </w:r>
    </w:p>
    <w:p w:rsidR="005D3F15" w:rsidRPr="00744574" w:rsidRDefault="005D3F15" w:rsidP="001C2767">
      <w:pPr>
        <w:widowControl/>
        <w:spacing w:before="120"/>
        <w:jc w:val="both"/>
        <w:rPr>
          <w:rFonts w:eastAsia="Calibri" w:cs="Times New Roman"/>
          <w:szCs w:val="24"/>
          <w:lang w:eastAsia="en-US"/>
        </w:rPr>
      </w:pPr>
      <w:r w:rsidRPr="006A6376">
        <w:rPr>
          <w:rFonts w:eastAsia="Calibri" w:cs="Times New Roman"/>
          <w:szCs w:val="24"/>
          <w:lang w:eastAsia="en-US"/>
        </w:rPr>
        <w:t>Oprócz warunków fakultatywnych o charakterze ogólnym (art. 15 ust. 1), w art. 15</w:t>
      </w:r>
      <w:r w:rsidRPr="00744574">
        <w:rPr>
          <w:rFonts w:eastAsia="Calibri" w:cs="Times New Roman"/>
          <w:szCs w:val="24"/>
          <w:lang w:eastAsia="en-US"/>
        </w:rPr>
        <w:t xml:space="preserve"> ust. 2 projektu określono grupę warunków, która dotyczy części zasobów muzeów państwowych i samorządowych, bibliotek publicznych, bibliotek naukowych, bibliotek pedagogicznych oraz archiwów. Na podstawie art. 15 ust. 2 projektu ustawy podmioty zobowiązane będące muzeami państwowymi, muzeami samorządowymi, bibliotekami publicznymi, bibliotekami naukowymi, bibliotekami pedagogicznymi lub archiwami mogą określać inne niż wyżej wymienione warunki ponownego wykorzystywania ograniczające wykorzystywanie informacji sektora publicznego:</w:t>
      </w:r>
    </w:p>
    <w:p w:rsidR="005D3F15" w:rsidRPr="00744574" w:rsidRDefault="005D3F15" w:rsidP="001C2767">
      <w:pPr>
        <w:pStyle w:val="Akapitzlist"/>
        <w:numPr>
          <w:ilvl w:val="0"/>
          <w:numId w:val="35"/>
        </w:numPr>
        <w:spacing w:before="120" w:line="360" w:lineRule="auto"/>
        <w:jc w:val="both"/>
        <w:rPr>
          <w:rFonts w:ascii="Times New Roman" w:hAnsi="Times New Roman"/>
          <w:sz w:val="24"/>
          <w:szCs w:val="24"/>
        </w:rPr>
      </w:pPr>
      <w:r w:rsidRPr="00744574">
        <w:rPr>
          <w:rFonts w:ascii="Times New Roman" w:hAnsi="Times New Roman"/>
          <w:sz w:val="24"/>
          <w:szCs w:val="24"/>
        </w:rPr>
        <w:t xml:space="preserve">w działalności komercyjnej lub na określonych polach eksploatacji, jeżeli dotyczą zbiorów o charakterze martyrologicznym oraz zawierają godło, barwy i hymn </w:t>
      </w:r>
      <w:r w:rsidRPr="00744574">
        <w:rPr>
          <w:rFonts w:ascii="Times New Roman" w:hAnsi="Times New Roman"/>
          <w:sz w:val="24"/>
          <w:szCs w:val="24"/>
        </w:rPr>
        <w:lastRenderedPageBreak/>
        <w:t>Rzeczypospolitej Polskiej, a także herby, reprodukcje orderów, odznaczeń lub odznak honorowych, odznak lub oznak wojskowych bądź innych odznaczeń;</w:t>
      </w:r>
    </w:p>
    <w:p w:rsidR="005D3F15" w:rsidRPr="00744574" w:rsidRDefault="005D3F15" w:rsidP="001C2767">
      <w:pPr>
        <w:pStyle w:val="Akapitzlist"/>
        <w:numPr>
          <w:ilvl w:val="0"/>
          <w:numId w:val="35"/>
        </w:numPr>
        <w:spacing w:before="120" w:line="360" w:lineRule="auto"/>
        <w:jc w:val="both"/>
        <w:rPr>
          <w:rFonts w:ascii="Times New Roman" w:hAnsi="Times New Roman"/>
          <w:sz w:val="24"/>
          <w:szCs w:val="24"/>
        </w:rPr>
      </w:pPr>
      <w:r w:rsidRPr="00744574">
        <w:rPr>
          <w:rFonts w:ascii="Times New Roman" w:hAnsi="Times New Roman"/>
          <w:sz w:val="24"/>
          <w:szCs w:val="24"/>
        </w:rPr>
        <w:t>w działalności niekomercyjnej, jeżeli są powiązane z obiektami objętymi roszczeniami lub prawami osób trzecich lub niebędącymi własnością podmiotu zobowiązanego.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Na podstawie art. 15 ust. 3 projektu ustawy wprowadzona została możliwość określenia warunków ponownego wykorzystywania informacji sektora publicznego poprzez zastosowanie standardowych otwartych licencji.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art. 2 pkt 5 dyrektywy 2019/1024/UE zdefiniowane zostało pojęcie licencji standardowej, która oznacza zbiór z góry określonych warunków ponownego wykorzystywania w formacie cyfrowym, najlepiej kompatybilny ze standardowymi licencjami publicznymi, dostępnymi w </w:t>
      </w:r>
      <w:proofErr w:type="spellStart"/>
      <w:r w:rsidRPr="00744574">
        <w:rPr>
          <w:rFonts w:eastAsia="Calibri" w:cs="Times New Roman"/>
          <w:szCs w:val="24"/>
          <w:lang w:eastAsia="en-US"/>
        </w:rPr>
        <w:t>internecie</w:t>
      </w:r>
      <w:proofErr w:type="spellEnd"/>
      <w:r w:rsidRPr="00744574">
        <w:rPr>
          <w:rFonts w:eastAsia="Calibri" w:cs="Times New Roman"/>
          <w:szCs w:val="24"/>
          <w:lang w:eastAsia="en-US"/>
        </w:rPr>
        <w:t>. Natomiast zgodnie z art. 8 ust. 2 dyrektywy 2019/1024/UE w państwach członkowskich, w których stosowane są licencje, państwa członkowskie zapewniają, aby licencje standardowe na ponowne wykorzystywanie dokumentów sektora publicznego, które to licencje można dostosować do określonych wniosków o licencje, były dostępne w formacie cyfrowym i mogły być przetwarzane elektronicznie. Państwa członkowskie mają zachęcać do stosowania takich licencji standardowych.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motywie 44 preambuły do dyrektywy 2019/1024/UE podkreślono, że w przypadku licencjonowania ważną rolę mogą odgrywać dostępne w </w:t>
      </w:r>
      <w:proofErr w:type="spellStart"/>
      <w:r w:rsidRPr="00744574">
        <w:rPr>
          <w:rFonts w:eastAsia="Calibri" w:cs="Times New Roman"/>
          <w:szCs w:val="24"/>
          <w:lang w:eastAsia="en-US"/>
        </w:rPr>
        <w:t>internecie</w:t>
      </w:r>
      <w:proofErr w:type="spellEnd"/>
      <w:r w:rsidRPr="00744574">
        <w:rPr>
          <w:rFonts w:eastAsia="Calibri" w:cs="Times New Roman"/>
          <w:szCs w:val="24"/>
          <w:lang w:eastAsia="en-US"/>
        </w:rPr>
        <w:t xml:space="preserve"> licencje standardowe. Państwa członkowskie powinny więc zapewnić dostępność licencji standardowych. Licencje na ponowne wykorzystywanie informacji sektora publicznego powinny w każdym przypadku jak najmniej ograniczać ponowne ich wykorzystywanie, np. przez ograniczenie się do wymogu wskazania źródła. Istotną rolę w tym zakresie powinny odgrywać otwarte licencje w formie standardowych licencji publicznych dostępnych w </w:t>
      </w:r>
      <w:proofErr w:type="spellStart"/>
      <w:r w:rsidRPr="00744574">
        <w:rPr>
          <w:rFonts w:eastAsia="Calibri" w:cs="Times New Roman"/>
          <w:szCs w:val="24"/>
          <w:lang w:eastAsia="en-US"/>
        </w:rPr>
        <w:t>internecie</w:t>
      </w:r>
      <w:proofErr w:type="spellEnd"/>
      <w:r w:rsidRPr="00744574">
        <w:rPr>
          <w:rFonts w:eastAsia="Calibri" w:cs="Times New Roman"/>
          <w:szCs w:val="24"/>
          <w:lang w:eastAsia="en-US"/>
        </w:rPr>
        <w:t>, które umożliwiają swobodny dostęp do danych i treści oraz ich swobodne wykorzystywanie, zmienianie i udostępnianie przez wszystkich do dowolnego celu i które opierają się na otwartych formatach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Umożliwienie udostępniania informacji na podstawie otwartych licencji było również postulowane w wytycznych Komisji Europejskiej z dnia 24 lipca 2014 r. w sprawie zalecanych licencji standardowych, zbiorów danych i opłat za ponowne wykorzystanie </w:t>
      </w:r>
      <w:r w:rsidRPr="00744574">
        <w:rPr>
          <w:rFonts w:eastAsia="Calibri" w:cs="Times New Roman"/>
          <w:szCs w:val="24"/>
          <w:lang w:eastAsia="en-US"/>
        </w:rPr>
        <w:lastRenderedPageBreak/>
        <w:t>dokumentów (2014/C 240/01)</w:t>
      </w:r>
      <w:r w:rsidRPr="006A6376">
        <w:rPr>
          <w:rFonts w:eastAsia="Calibri" w:cs="Times New Roman"/>
          <w:szCs w:val="24"/>
          <w:vertAlign w:val="superscript"/>
          <w:lang w:eastAsia="en-US"/>
        </w:rPr>
        <w:footnoteReference w:id="34"/>
      </w:r>
      <w:r w:rsidRPr="006A6376">
        <w:rPr>
          <w:rFonts w:eastAsia="Calibri" w:cs="Times New Roman"/>
          <w:szCs w:val="24"/>
          <w:vertAlign w:val="superscript"/>
          <w:lang w:eastAsia="en-US"/>
        </w:rPr>
        <w:t>)</w:t>
      </w:r>
      <w:r w:rsidRPr="006A6376">
        <w:rPr>
          <w:rFonts w:eastAsia="Calibri" w:cs="Times New Roman"/>
          <w:szCs w:val="24"/>
          <w:lang w:eastAsia="en-US"/>
        </w:rPr>
        <w:t xml:space="preserve">. W wytycznych wskazano, że w </w:t>
      </w:r>
      <w:proofErr w:type="spellStart"/>
      <w:r w:rsidRPr="006A6376">
        <w:rPr>
          <w:rFonts w:eastAsia="Calibri" w:cs="Times New Roman"/>
          <w:szCs w:val="24"/>
          <w:lang w:eastAsia="en-US"/>
        </w:rPr>
        <w:t>internecie</w:t>
      </w:r>
      <w:proofErr w:type="spellEnd"/>
      <w:r w:rsidRPr="006A6376">
        <w:rPr>
          <w:rFonts w:eastAsia="Calibri" w:cs="Times New Roman"/>
          <w:szCs w:val="24"/>
          <w:lang w:eastAsia="en-US"/>
        </w:rPr>
        <w:t xml:space="preserve"> dostępnych jest kilka licencji zgodnych z zasadami otwartości opisanymi przez Fundację Otwartej Wiedzy (Open Knowledge Foundation)</w:t>
      </w:r>
      <w:r w:rsidRPr="006A6376">
        <w:rPr>
          <w:rFonts w:eastAsia="Calibri" w:cs="Times New Roman"/>
          <w:szCs w:val="24"/>
          <w:vertAlign w:val="superscript"/>
          <w:lang w:eastAsia="en-US"/>
        </w:rPr>
        <w:footnoteReference w:id="35"/>
      </w:r>
      <w:r w:rsidRPr="006A6376">
        <w:rPr>
          <w:rFonts w:eastAsia="Calibri" w:cs="Times New Roman"/>
          <w:szCs w:val="24"/>
          <w:vertAlign w:val="superscript"/>
          <w:lang w:eastAsia="en-US"/>
        </w:rPr>
        <w:t>)</w:t>
      </w:r>
      <w:r w:rsidRPr="006A6376">
        <w:rPr>
          <w:rFonts w:eastAsia="Calibri" w:cs="Times New Roman"/>
          <w:szCs w:val="24"/>
          <w:lang w:eastAsia="en-US"/>
        </w:rPr>
        <w:t xml:space="preserve"> służących promowaniu nieograniczonego ponownego wykorzystywania treści internetowy</w:t>
      </w:r>
      <w:r w:rsidRPr="00744574">
        <w:rPr>
          <w:rFonts w:eastAsia="Calibri" w:cs="Times New Roman"/>
          <w:szCs w:val="24"/>
          <w:lang w:eastAsia="en-US"/>
        </w:rPr>
        <w:t xml:space="preserve">ch. Przetłumaczono je na wiele języków, poddaje się je centralnej aktualizacji i są już powszechnie stosowane na całym świecie. Otwarte licencje standardowe, np. najnowsze licencje Creative </w:t>
      </w:r>
      <w:proofErr w:type="spellStart"/>
      <w:r w:rsidRPr="00744574">
        <w:rPr>
          <w:rFonts w:eastAsia="Calibri" w:cs="Times New Roman"/>
          <w:szCs w:val="24"/>
          <w:lang w:eastAsia="en-US"/>
        </w:rPr>
        <w:t>Commons</w:t>
      </w:r>
      <w:proofErr w:type="spellEnd"/>
      <w:r w:rsidRPr="00744574">
        <w:rPr>
          <w:rFonts w:eastAsia="Calibri" w:cs="Times New Roman"/>
          <w:szCs w:val="24"/>
          <w:lang w:eastAsia="en-US"/>
        </w:rPr>
        <w:t xml:space="preserve"> (CC) (wersja 4.0)</w:t>
      </w:r>
      <w:r w:rsidRPr="006A6376">
        <w:rPr>
          <w:rFonts w:eastAsia="Calibri" w:cs="Times New Roman"/>
          <w:szCs w:val="24"/>
          <w:vertAlign w:val="superscript"/>
          <w:lang w:eastAsia="en-US"/>
        </w:rPr>
        <w:footnoteReference w:id="36"/>
      </w:r>
      <w:r w:rsidR="000B27BA" w:rsidRPr="001C2767">
        <w:rPr>
          <w:rFonts w:eastAsia="Calibri" w:cs="Times New Roman"/>
          <w:szCs w:val="24"/>
          <w:vertAlign w:val="superscript"/>
          <w:lang w:eastAsia="en-US"/>
        </w:rPr>
        <w:t>)</w:t>
      </w:r>
      <w:r w:rsidRPr="006A6376">
        <w:rPr>
          <w:rFonts w:eastAsia="Calibri" w:cs="Times New Roman"/>
          <w:szCs w:val="24"/>
          <w:lang w:eastAsia="en-US"/>
        </w:rPr>
        <w:t>, mogłyby pozwolić na ponowne wykorzystanie informacji sektora publicznego bez konieczności tworzenia i aktualizacji specjalnie opracowanych licencji na poziomie krajowym. Spośród nich szczególnie interesujące jest przekazanie do domeny publicznej CC0. Jako narzędzie prawne, które pozwala zrzec</w:t>
      </w:r>
      <w:r w:rsidRPr="00744574">
        <w:rPr>
          <w:rFonts w:eastAsia="Calibri" w:cs="Times New Roman"/>
          <w:szCs w:val="24"/>
          <w:lang w:eastAsia="en-US"/>
        </w:rPr>
        <w:t xml:space="preserve"> się praw autorskich i praw do baz danych dotyczących informacji sektora publicznego, zapewnia użytkownikom dużą elastyczność.</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Określanie warunków ponownego wykorzystywania (obligatoryjnych lub fakultatywnych) stanowi wyjątek od zasady bezwarunkowości i powinien być on interpretowany ściśle. Oprócz regulacji art. 14 i 15 podmiot zobowiązany powinien również stosować się do wskazań art. 16 projektu ustawy, zgodnie z którym określone przez podmiot zobowiązany warunki ponownego wykorzystywania muszą być obiektywne, proporcjonalne, niedyskryminacyjne oraz nie ograniczające w sposób nieuzasadniony możliwości ponownego wykorzystywania informacji sektora publicznego.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przypadku naruszenia przez użytkownika warunków ponownego wykorzystywania będą miały zastosowanie przepisy Kodeksu cywilnego o niewykonaniu lub nienależytym wykonaniu zobowiązania.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b/>
          <w:szCs w:val="24"/>
          <w:lang w:eastAsia="en-US"/>
        </w:rPr>
        <w:t>Rozdział 4.</w:t>
      </w:r>
      <w:r w:rsidRPr="00744574">
        <w:rPr>
          <w:rFonts w:eastAsia="Calibri" w:cs="Times New Roman"/>
          <w:szCs w:val="24"/>
          <w:lang w:eastAsia="en-US"/>
        </w:rPr>
        <w:t xml:space="preserve"> </w:t>
      </w:r>
      <w:r w:rsidRPr="00744574">
        <w:rPr>
          <w:rFonts w:eastAsia="Calibri" w:cs="Times New Roman"/>
          <w:b/>
          <w:szCs w:val="24"/>
          <w:lang w:eastAsia="en-US"/>
        </w:rPr>
        <w:t>Zasady ustalania opłat za ponowne wykorzystywanie.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 art. 17 projektu ustawy formułuje generalną zasadę bezpłatnego udostępniania lub przekazywania informacji sektora publicznego w celu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Podmioty zobowiązane będą mogły jednak, zgodnie z art. 18 ust. 1 projektu ustawy, nałożyć opłatę za ponowne wykorzystywanie, jeżeli przygotowanie lub przekazanie </w:t>
      </w:r>
      <w:r w:rsidRPr="00744574">
        <w:rPr>
          <w:rFonts w:eastAsia="Calibri" w:cs="Times New Roman"/>
          <w:szCs w:val="24"/>
          <w:lang w:eastAsia="en-US"/>
        </w:rPr>
        <w:lastRenderedPageBreak/>
        <w:t>informacji sektora publicznego w sposób lub w formie wskazanych we wniosku o ponowne wykorzystywanie wymagałoby poniesienia dodatkowych kosztów. Nakładając opłatę, podmiot zobowiązany będzie uwzględniać koszty przygotowania lub przekazania informacji sektora publicznego w określony sposób lub w określonej formie oraz inne czynniki, jakie będą brane pod uwagę przy rozpatrywaniu wniosków o ponowne wykorzystywanie, mogących mieć wpływ w szczególności na koszt lub czas przygotowania lub przekazania danych. Łączna wysokość opłaty nie może przekroczyć sumy kosztów poniesionych bezpośrednio w celu przygotowania lub przekazania informacji sektora publicznego w celu ponownego wykorzystywania w określony sposób i w określonej formie (art. 18 ust. 2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Dyrektywa 2019/1024/UE wprowadziła w art. 6 ust. 4 możliwość pobierania (w stosownych przypadkach) opłat uwzględniających koszty </w:t>
      </w:r>
      <w:proofErr w:type="spellStart"/>
      <w:r w:rsidRPr="00744574">
        <w:rPr>
          <w:rFonts w:eastAsia="Calibri" w:cs="Times New Roman"/>
          <w:szCs w:val="24"/>
          <w:lang w:eastAsia="en-US"/>
        </w:rPr>
        <w:t>anonimizacji</w:t>
      </w:r>
      <w:proofErr w:type="spellEnd"/>
      <w:r w:rsidRPr="00744574">
        <w:rPr>
          <w:rFonts w:eastAsia="Calibri" w:cs="Times New Roman"/>
          <w:szCs w:val="24"/>
          <w:lang w:eastAsia="en-US"/>
        </w:rPr>
        <w:t xml:space="preserve"> danych osobowych oraz koszty środków zastosowanych w celu ochrony poufnych informacji handlowych. Odzwierciedlenie wskazanych przepisów dyrektywy stanowi art. 18 ust. 3 projektu ustawy, zgodnie z którym podmiot zobowiązany, ustalając wysokość opłaty, o której mowa w art. 18 ust. 2 projektu ustawy, może uwzględnić koszty czynności związanych z </w:t>
      </w:r>
      <w:proofErr w:type="spellStart"/>
      <w:r w:rsidRPr="00744574">
        <w:rPr>
          <w:rFonts w:eastAsia="Calibri" w:cs="Times New Roman"/>
          <w:szCs w:val="24"/>
          <w:lang w:eastAsia="en-US"/>
        </w:rPr>
        <w:t>anonimizacją</w:t>
      </w:r>
      <w:proofErr w:type="spellEnd"/>
      <w:r w:rsidRPr="00744574">
        <w:rPr>
          <w:rFonts w:eastAsia="Calibri" w:cs="Times New Roman"/>
          <w:szCs w:val="24"/>
          <w:lang w:eastAsia="en-US"/>
        </w:rPr>
        <w:t xml:space="preserve"> lub ze środkami zastosowanymi w celu ochrony tajemnicy przedsiębiorstwa.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Muzea państwowe i muzea samorządowe w przypadku udostępniania lub przekazywania informacji sektora publicznego w celu ponownego wykorzystywania w celach innych niż niekomercyjne o charakterze badawczym, naukowym lub edukacyjnym, na podstawie art. 19 ust. 1 projektu ustawy będą mogły nałożyć opłaty wyższe niż wyżej wymienione. Ustalając wysokość takich opłat należy uwzględnić koszty gromadzenia, produkowania, reprodukowania, rozpowszechniania, ochrony i ustalania praw, a ich łączna wysokość nie może przekroczyć sumy tych kosztów wraz z rozsądnym zwrotem z inwestycji. W wytycznych Komisji Europejskiej w sprawie zalecanych licencji standardowych, zbiorów danych i opłat za ponowne wykorzystanie dokumentów (2014/C 240/01) wskazuje się, że zwrot z inwestycji można rozumieć jako wartość procentową, oprócz kwalifikujących się kosztów, umożliwiającą pokrycie kosztów kapitału oraz uwzględnienie rzeczywistej stopu zwrotu (zysku). Komisja Europejska wskazała w tym przypadku na koszty związane z utworzeniem danych (produkowanie: generowanie danych i metadanych, kontrola jakości, kodowanie; gromadzenie: zbieranie i sortowanie danych: usuwanie, zubażanie baz danych), koszty szeroko związane z dystrybucją (infrastruktura: tworzenie </w:t>
      </w:r>
      <w:r w:rsidRPr="00744574">
        <w:rPr>
          <w:rFonts w:eastAsia="Calibri" w:cs="Times New Roman"/>
          <w:szCs w:val="24"/>
          <w:lang w:eastAsia="en-US"/>
        </w:rPr>
        <w:lastRenderedPageBreak/>
        <w:t>i konserwacja oprogramowania, konserwacja sprzętu, środki przekazu; powielanie: koszt dodatkowej kopii płyty DVD, klucza USB, karty SD itp.; obsługa: materiał opakowaniowy, przygotowanie zamówienia; konsultacje: rozmowy telefoniczne i wymiana e-maili z ponownymi użytkownikami, koszty obsługi klienta; dostarczenie: koszty przesyłki, łącznie ze standardowymi przewoźnikami przesyłek lub przesyłkami ekspresowymi), koszty typowe dla bibliotek, muzeów i archiwów (ochrona: koszty przechowywania i magazynowania danych; ustalanie praw: czas/wysiłek związany z identyfikacją posiadaczy praw i uzyskaniem od nich pozwolenia).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art. 19 ust. 2 projektu ustawy proponuje się, aby „rozsądny zwrot z inwestycji” nie był wyższy niż 5 punktów procentowych powyżej stopy referencyjnej Narodowego Banku Polskiego. Jednocześnie należy podkreślić, że zawsze do decyzji podmiotu zobowiązanego pozostaje możliwość odstąpienia od powyższej reguły i ustalenia opłaty ograniczonej do kosztów wskazanych w art. 18 projektu ustawy bez względu na cel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 art. 19 ust. 3 projektu ustawy zawiera upoważnienie dla ministra właściwego do spraw kultury i ochrony dziedzictwa narodowego do określenia, w porozumieniu z ministrem właściwym do spraw informatyzacji, maksymalnych stawek opłat możliwych do pobierania przez podmioty zobowiązane będące muzeami państwowymi lub muzeami samorządowymi, za udostępnianie informacji sektora publicznego do ponownego wykorzystywania ograniczonych do kosztów gromadzenia, produkowania, reprodukowania, rozpowszechniania, ochrony i ustalania praw wraz z rozsądnym zwrotem z inwestycji.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art. 20 projektu ustawy uregulowano kwestię nakładania opłat odzwierciedlających koszty wynikające z dostosowania systemu teleinformatycznego lub warunków technicznych i organizacyjnych do realizacji wniosku o ponowne wykorzystywanie w sposób stały i bezpośredni w czasie rzeczywistym informacji sektora publicznego gromadzonych i przechowywanych w systemie teleinformatycznym podmiotu zobowiązanego. Podkreślić przy tym należy, że przepisy dotyczące możliwości nakładania opłat, o jakich mowa powyżej, nie mają zastosowania do udostępnionych przez API danych dynamicznych i danych o wysokiej wartości, zgodnie z przepisami rozdziału 5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lastRenderedPageBreak/>
        <w:t>Nakładanie opłat zawsze musi spełniać wymagania określone zgodnie z zasadą przejrzystości. Ponadto na podstawie art. 21 projektu ustawy podmiot zobowiązany, na żądanie wnioskodawcy, będzie zobligowany wskazać sposób obliczenia opłat w odniesieniu do konkretnego wniosku o ponowne wykorzystywanie.</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5.</w:t>
      </w:r>
      <w:r w:rsidRPr="00744574">
        <w:rPr>
          <w:rFonts w:eastAsia="Calibri" w:cs="Times New Roman"/>
          <w:szCs w:val="24"/>
          <w:lang w:eastAsia="en-US"/>
        </w:rPr>
        <w:t xml:space="preserve"> </w:t>
      </w:r>
      <w:r w:rsidRPr="00744574">
        <w:rPr>
          <w:rFonts w:eastAsia="Calibri" w:cs="Times New Roman"/>
          <w:b/>
          <w:szCs w:val="24"/>
          <w:lang w:eastAsia="en-US"/>
        </w:rPr>
        <w:t>Dane o wysokiej wartości, dane dynamiczne i dane badawcze.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Jedną z kluczowych zmian wprowadzonych dyrektywą 2019/1024/UE jest wyodrębnienie spośród informacji sektora publicznego szczególnych kategorii danych, tj. danych o wysokiej wartości oraz danych dynamicznych, a także objęcie regulacjami ponownego wykorzystywania danych badawczych spełniających określone w dyrektywie warunki.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Dane badawcze.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Dyrektywa 2019/1024/UE objęła swoim zakresem kategorię danych badawczych spełniających określone w dyrektywie warunki. Stanowi to nowość w porównaniu z dotychczasowymi rozwiązaniami, które zakładały całościowe wyłączenie tego rodzaju informacji z zakresu obowiązywania przepisów regulujących ponowne wykorzystywanie informacji sektora publicznego. Obowiązująca dotychczas dyrektywa 2003/98/WE nie znajdowała zastosowania do dokumentów będących w posiadaniu instytucji edukacyjnych i badawczych, w tym organizacji ustanowionych w celu przekazywania wyników badań, szkół i uniwersytetów, z wyłączeniem bibliotek uniwersyteckich. Na gruncie prawa krajowego prowadziło to do wyłączenia stosowania przepisów ustawy z 2016 r. w stosunku do podmiotów, o których mowa w art. 7 ust. 1 ustawy – Prawo o szkolnictwie wyższym i nauce, w tym m.in. uczelni, instytutów naukowych Państwowej Akademii Nauk, instytutów badawczych itd. Wyjątek dotyczył bibliotek naukowych w rozumieniu przepisów ustawy o bibliotekach oraz dwóch państwowych instytutów badawczych – Instytutu Meteorologii i Gospodarki Wodnej (IMGW</w:t>
      </w:r>
      <w:r w:rsidRPr="00744574">
        <w:rPr>
          <w:rFonts w:eastAsia="Times New Roman" w:cs="Times New Roman"/>
          <w:szCs w:val="24"/>
        </w:rPr>
        <w:noBreakHyphen/>
        <w:t>PIB) oraz Państwowego Instytutu Geologicznego (PIG</w:t>
      </w:r>
      <w:r w:rsidRPr="00744574">
        <w:rPr>
          <w:rFonts w:eastAsia="Times New Roman" w:cs="Times New Roman"/>
          <w:szCs w:val="24"/>
        </w:rPr>
        <w:noBreakHyphen/>
        <w:t>PIB). Wskazane podmioty nie podlegały wyłączeniu spod regulacji ustawy.</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Dyrektywa 2019/1024/UE zgodnie z art. 1 ust. 1 lit. c objęła zakresem swojej regulacji również dane badawcze z zastrzeżeniem jednakże, że dotyczy to wyłącznie danych spełniających warunki określone w art. 10 dyrektywy. Zgodnie z powyższym obowiązek udostępniania do ponownego wykorzystywania w celach komercyjnych lub niekomercyjnych (z uwzględnieniem uzasadnionych interesów handlowych, działań </w:t>
      </w:r>
      <w:r w:rsidRPr="00744574">
        <w:rPr>
          <w:rFonts w:eastAsia="Times New Roman" w:cs="Times New Roman"/>
          <w:szCs w:val="24"/>
        </w:rPr>
        <w:lastRenderedPageBreak/>
        <w:t>związanych z transferem wiedzy oraz istniejących już praw własności intelektualnej) dotyczy tylko tych danych badawczych, które są finansowane ze środków publicznych i zostały już publicznie udostępnione przez naukowców, organizacje prowadzące badania naukowe lub organizacje finansujące badania naukowe za pośrednictwem repozytorium instytucjonalnego lub tematycznego.</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 xml:space="preserve">Zgodnie z art. 1 ust. 2 lit. l dyrektywy 2019/1024/UE nie znajduje ona jednak zastosowania do dokumentów innych niż te, o których mowa w ust. 1 lit. c, będących w posiadaniu organizacji prowadzących badania naukowe i organizacji finansujących badania naukowe. Mając na uwadze powyższe w art. 4 ust. 1 pkt 3 projektu ustawy, stosownie do dotychczasowych rozwiązań, wyłączono z zakresu regulacyjnego ustawy podmioty, o których mowa w art. 7 ust. 1 ustawy – Prawo o szkolnictwie wyższym i nauce. Jednocześnie jednak w drodze wyjątku od wskazanego wyłączenia, ponownemu wykorzystywaniu podlegać będą dane badawcze, o których mowa w art. 22 projektu ustawy. </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Zgodnie z art. 22 projektu, na zasadach przewidzianych w ustawie, ponownemu wykorzystywaniu podlegać będą dane badawcze, będące w posiadaniu podmiotów, o których mowa w art. 7 ust. 1 ustawy – Prawo o szkolnictwie wyższym i nauce, jeżeli zostały wytworzone lub zgromadzone w ramach działalności naukowej finansowanej ze środków publicznych oraz są już publicznie udostępniane w systemie teleinformatycznym podmiotu zobowiązanego, w szczególności w repozytorium instytucjonalnym lub tematycznym. Ponadto wykorzystywanie danych badawczych, spełniających powyższe kryteria, będzie bezpłatne. Art. 22 projektu ustawy implementuje art. 10 ust. 2 dyrektywy 2019/1024/UE.</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t>Dane badawcze spełniające warunki, o których mowa w art. 22 projektu ustawy, należy zatem uznać za kolejny, obok już istniejących, wyjątków od generalnego wyłączenia z regulacji ustawy informacji sektora publicznego będących w posiadaniu podmiotów sektora nauki. W tym rozumieniu dane badawcze należy uznać za szczególny rodzaj informacji sektora publicznego, które po spełnieniu warunków, o których mowa w art. 22 projektu będą (na zasadzie wyjątku) podlegać ponownemu wykorzystywaniu. Pozostałe informacje będące w posiadaniu podmiotów sektora nauki, tj. informacje sektora publicznego inne niż dane badawcze oraz dane badawcze niespełniające przesłanek określonych w art. 22 projektu, nie będą podlegały ponownemu wykorzystywaniu.</w:t>
      </w:r>
    </w:p>
    <w:p w:rsidR="005D3F15" w:rsidRPr="00744574" w:rsidRDefault="005D3F15" w:rsidP="001C2767">
      <w:pPr>
        <w:widowControl/>
        <w:spacing w:before="120"/>
        <w:jc w:val="both"/>
        <w:rPr>
          <w:rFonts w:eastAsia="Times New Roman" w:cs="Times New Roman"/>
          <w:szCs w:val="24"/>
        </w:rPr>
      </w:pPr>
      <w:r w:rsidRPr="00744574">
        <w:rPr>
          <w:rFonts w:eastAsia="Times New Roman" w:cs="Times New Roman"/>
          <w:szCs w:val="24"/>
        </w:rPr>
        <w:lastRenderedPageBreak/>
        <w:t>Art. 22 formułuje zatem dwie przesłanki po spełnieniu, których możliwe będzie ponowne wykorzystywanie danych badawczych. Przesłankami tymi są:</w:t>
      </w:r>
    </w:p>
    <w:p w:rsidR="005D3F15" w:rsidRPr="00744574" w:rsidRDefault="005D3F15" w:rsidP="001C2767">
      <w:pPr>
        <w:pStyle w:val="Akapitzlist"/>
        <w:numPr>
          <w:ilvl w:val="0"/>
          <w:numId w:val="41"/>
        </w:numPr>
        <w:spacing w:before="120" w:line="360" w:lineRule="auto"/>
        <w:jc w:val="both"/>
        <w:rPr>
          <w:rFonts w:ascii="Times New Roman" w:eastAsia="Times New Roman" w:hAnsi="Times New Roman"/>
          <w:sz w:val="24"/>
          <w:szCs w:val="24"/>
        </w:rPr>
      </w:pPr>
      <w:r w:rsidRPr="00744574">
        <w:rPr>
          <w:rFonts w:ascii="Times New Roman" w:eastAsia="Times New Roman" w:hAnsi="Times New Roman"/>
          <w:sz w:val="24"/>
          <w:szCs w:val="24"/>
        </w:rPr>
        <w:t>publiczne udostępnienie danych badawczych w systemie teleinformatycznym podmiotu zobowiązanego,</w:t>
      </w:r>
    </w:p>
    <w:p w:rsidR="005D3F15" w:rsidRPr="00744574" w:rsidRDefault="005D3F15" w:rsidP="001C2767">
      <w:pPr>
        <w:pStyle w:val="Akapitzlist"/>
        <w:numPr>
          <w:ilvl w:val="0"/>
          <w:numId w:val="41"/>
        </w:numPr>
        <w:spacing w:before="120" w:line="360" w:lineRule="auto"/>
        <w:jc w:val="both"/>
        <w:rPr>
          <w:rFonts w:ascii="Times New Roman" w:eastAsia="Times New Roman" w:hAnsi="Times New Roman"/>
          <w:sz w:val="24"/>
          <w:szCs w:val="24"/>
        </w:rPr>
      </w:pPr>
      <w:r w:rsidRPr="00744574">
        <w:rPr>
          <w:rFonts w:ascii="Times New Roman" w:eastAsia="Times New Roman" w:hAnsi="Times New Roman"/>
          <w:sz w:val="24"/>
          <w:szCs w:val="24"/>
        </w:rPr>
        <w:t>wytworzenie lub zgromadzenie tych danych w ramach działalności naukowej finansowanej ze środków publicznych.</w:t>
      </w:r>
    </w:p>
    <w:p w:rsidR="005D3F15" w:rsidRPr="001C2767" w:rsidRDefault="005D3F15" w:rsidP="001C2767">
      <w:pPr>
        <w:spacing w:before="120"/>
        <w:jc w:val="both"/>
        <w:rPr>
          <w:rFonts w:eastAsia="Times New Roman" w:cs="Times New Roman"/>
          <w:szCs w:val="24"/>
        </w:rPr>
      </w:pPr>
      <w:r w:rsidRPr="008C03BA">
        <w:rPr>
          <w:rFonts w:eastAsia="Times New Roman" w:cs="Times New Roman"/>
          <w:szCs w:val="24"/>
        </w:rPr>
        <w:t>Potwierdzeniem spełnienia pierwszej przesłanki będzie ud</w:t>
      </w:r>
      <w:r w:rsidRPr="001C2767">
        <w:rPr>
          <w:rFonts w:eastAsia="Times New Roman" w:cs="Times New Roman"/>
          <w:szCs w:val="24"/>
        </w:rPr>
        <w:t>ostępnienie danych badawczych. W przypadku drugiej przesłanki za konieczne należy uznać oznaczenie danego zbioru danych badawczych tak aby potencjalny użytkownik wiedział, że udostępniane dane zostały wytworzenie lub zgromadzone w ramach działalności naukowej finansowanej ze środków publicznych. Jeżeli bowiem podmiot zobowiązany nie poinformuje o powyższym – tzn. jeżeli nie oznaczy udostępnianego zbioru danych, że spełnia on przesłanki określone w art. 22 ustawy – to potencjalny użytkownik nie będzie wiedział, czy może ponownie wykorzystywać takie dane.</w:t>
      </w:r>
      <w:r w:rsidRPr="001C2767">
        <w:rPr>
          <w:rFonts w:cs="Times New Roman"/>
          <w:szCs w:val="24"/>
        </w:rPr>
        <w:t xml:space="preserve"> </w:t>
      </w:r>
      <w:r w:rsidRPr="001C2767">
        <w:rPr>
          <w:rFonts w:eastAsia="Times New Roman" w:cs="Times New Roman"/>
          <w:szCs w:val="24"/>
        </w:rPr>
        <w:t>Potwierdzeniem tego, że określony zbiór danych badawczych, już udostępniony w systemie teleinformatycznym, spełnia również drugą przesłankę (finansowanie ze środków publicznych) jest informacja o warunkach ponownego wykorzystywania lub informacja, że dane badawcze można ponownie wykorzystywać bezwarunkowo.</w:t>
      </w:r>
    </w:p>
    <w:p w:rsidR="005D3F15" w:rsidRPr="008C03BA" w:rsidRDefault="005D3F15" w:rsidP="001C2767">
      <w:pPr>
        <w:spacing w:before="120"/>
        <w:jc w:val="both"/>
        <w:rPr>
          <w:rFonts w:eastAsia="Times New Roman" w:cs="Times New Roman"/>
          <w:szCs w:val="24"/>
        </w:rPr>
      </w:pPr>
      <w:r w:rsidRPr="00744574">
        <w:rPr>
          <w:rFonts w:eastAsia="Times New Roman" w:cs="Times New Roman"/>
          <w:szCs w:val="24"/>
        </w:rPr>
        <w:t>Należy wyjaśnić, że zgodnie z art. 11 ust. 3 projektu ustawy każdy podmiot zobowiązany, który udostępnia informacje sektora publicznego w celu ponownego wykorzystywania w sposób inny niż w Biuletynie Informacji Publicznej lub w portalu danych, wraz z ich udostępnianiem informuje o braku warunków ponownego wykorzystywania lub opłat za ponowne wykorzystywanie albo określa te warunki lub wysokość opłat za ponowne wykorzystywanie.</w:t>
      </w:r>
      <w:r w:rsidRPr="008C03BA">
        <w:rPr>
          <w:rFonts w:eastAsia="Times New Roman" w:cs="Times New Roman"/>
          <w:szCs w:val="24"/>
        </w:rPr>
        <w:t xml:space="preserve"> W art. 22 dodatkowo podkreślono ten obowiązek – </w:t>
      </w:r>
      <w:r w:rsidRPr="00744574">
        <w:rPr>
          <w:rFonts w:eastAsia="Times New Roman" w:cs="Times New Roman"/>
          <w:szCs w:val="24"/>
        </w:rPr>
        <w:t xml:space="preserve">podmiot zobowiązany udostępniając w celu ponownego wykorzystywania dane badawcze, o których mowa w art. 22, wraz z ich udostępnieniem musi poinformować o braku warunków ponownego wykorzystywania tych danych albo określić te warunki. Obowiązek ten nie dotyczy oczywiście informacji dotyczących opłat ponieważ dane badawcze udostępnia się bezpłatnie. </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art. 10 ust. 1 dyrektywy 2019/1024/UE państwa członkowskie zostały zobowiązane do przyjęcia polityk krajowych oraz podjęcia odpowiednich działań mających na celu zapewnienie powszechnej dostępności danych badawczych finansowanych ze środków </w:t>
      </w:r>
      <w:r w:rsidRPr="00744574">
        <w:rPr>
          <w:rFonts w:eastAsia="Calibri" w:cs="Times New Roman"/>
          <w:szCs w:val="24"/>
          <w:lang w:eastAsia="en-US"/>
        </w:rPr>
        <w:lastRenderedPageBreak/>
        <w:t>publicznych („polityka otwartego dostępu”), zgodnie z zasadą „otwartości domyślnej” i zgodnie z zasadami FAIR. Działania te powinny uwzględniać kwestie związane z prawami własności intelektualnej, ochroną danych osobowych i poufnością, bezpieczeństwem oraz uzasadnionymi interesami handlowymi zgodnie z zasadą „otwarty jak to najbardziej możliwe, zamknięty jak to konieczne”. W tym kontekście w art. 23 projektu ustawy zobowiązano ministra właściwego do spraw szkolnictwa wyższego i nauki do opracowania Polityki otwartego dostępu do danych badawczych finansowanych ze środków publicznych, która uwzględniać powinna w szczególności aktualny stan udostępniania danych badawczych oraz standardy i dobre praktyki w zakresie udostępniania danych badawczych, obowiązujący stan prawny, kierunki rozwoju w zakresie otwartego dostępu do danych badawczych i zarządzania wynikami badań naukowych, a także postanowienia Programu otwierania danych,</w:t>
      </w:r>
      <w:r w:rsidRPr="008C03BA">
        <w:rPr>
          <w:rFonts w:cs="Times New Roman"/>
          <w:szCs w:val="24"/>
        </w:rPr>
        <w:t xml:space="preserve"> </w:t>
      </w:r>
      <w:r w:rsidRPr="00744574">
        <w:rPr>
          <w:rFonts w:eastAsia="Calibri" w:cs="Times New Roman"/>
          <w:szCs w:val="24"/>
          <w:lang w:eastAsia="en-US"/>
        </w:rPr>
        <w:t>o którym mowa w art. 28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Dane dynamiczne.</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Szczególną kategorię informacji sektora publicznego stanowią dane dynamiczne, które aby mogły zostać za takie uznane, zgodnie z art. 2 pkt 3 projektu ustawy muszą zostać utrwalone w postaci elektronicznej i spełniać kryterium podlegania częstym aktualizacjom lub aktualizacjom w czasie rzeczywistym, w szczególności ze względu na ich zmienność lub szybką dezaktualizację. W motywie 31 preambuły dyrektywy 2019/1024/UE wymieniono przykładowe kategorie informacji sektora publicznego, które spełniać mogą kryteria danych dynamicznych, tj. dane środowiskowe, dane o ruchu, dane satelitarne, dane meteorologiczne, a także dane wygenerowane przez czujniki. Wartość ekonomiczna tego rodzaju danych zależy od natychmiastowej dostępności informacji oraz regularnego ich aktualizowania. W związku z powyższym w celu zagwarantowania możliwości pełnego i efektywnego wykorzystania potencjału danych dynamicznych, w tym aby ułatwić rozwój bazujących na takich danych aplikacji internetowych i mobilnych oraz aplikacji korzystających z chmury obliczeniowej, w dyrektywie 2019/1024/UE wprowadzono szczególne zasady, na jakich dane dynamiczne powinny być udostępniane do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Mając na względzie rozwiązania przyjęte w dyrektywie, w projekcie ustawy przewidziano szczególne regulacje dotyczące udostępniania danych dynamicznych w celu ich ponownego wykorzystywania. Zgodnie z art. 24 ust. 1 projektu ustawy podmioty </w:t>
      </w:r>
      <w:r w:rsidRPr="00744574">
        <w:rPr>
          <w:rFonts w:eastAsia="Calibri" w:cs="Times New Roman"/>
          <w:szCs w:val="24"/>
          <w:lang w:eastAsia="en-US"/>
        </w:rPr>
        <w:lastRenderedPageBreak/>
        <w:t>zobowiązane zobligowane zostały do udostępniania informacji sektora publicznego, spełniających kryteria danych dynamicznych, niezwłocznie (natychmiast) po ich zgromadzeniu, za pośrednictwem API oraz jeżeli będzie to możliwe – do zbiorczego pobrania. Przez udostępnianie danych dynamicznych do zbiorczego pobrania należy rozumieć zapewnienie (o ile to możliwe) przez podmiot zobowiązany funkcjonalności systemu teleinformatycznego, dzięki której użytkownicy będą mogli pobrać określony zasób danych w całości za pomocą funkcji w rodzaju „pobierz wszystko”.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Jednocześnie, w przypadku kiedy zapewnienie przez podmiot zobowiązany dostępności danych dynamicznych w sposób przewidziany w ustawie, przekraczałoby możliwości finansowe lub techniczne takiego podmiotu, na podstawie art. 24 ust. 2 projektu ustawy, dopuszczono możliwość udostępnienia takich danych w terminie późniejszym, pod warunkiem jednakże zachowania możliwości wykorzystania potencjału gospodarczego i społecznego udostępnianych zasobów. Techniczne oraz finansowe przesłanki, o których mowa w art. 24 ust. 2 projektu ustawy dotyczą posiadanej przez podmiot zobowiązany infrastruktury teleinformatycznej i związanych z tym możliwości (technicznych i finansowych) udostępniania danych dynamicznych za pośrednictwem interfejsu programistycznego aplikacji (API).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Dane o wysokiej wartości.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Poza kategorią danych dynamicznych w dyrektywie 2019/1024/UE wyodrębniono również kategorię zbiorów danych o wysokiej wartości. Zgodnie z definicją przyjętą w art. 2 pkt 4 projektu ustawy dane o wysokiej wartości oznaczają informacje sektora publicznego, których ponowne wykorzystywanie wiąże się z istotnymi korzyściami dla społeczeństwa, środowiska i gospodarki, w szczególności ze względu na ich przydatność do tworzenia produktów, usług i zastosowań opartych na wykorzystaniu tych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celu stworzenia warunków sprzyjających ponownemu wykorzystywaniu danych, które wiążą się z istotnymi korzyściami społeczno</w:t>
      </w:r>
      <w:r w:rsidRPr="00744574">
        <w:rPr>
          <w:rFonts w:eastAsia="Calibri" w:cs="Times New Roman"/>
          <w:szCs w:val="24"/>
          <w:lang w:eastAsia="en-US"/>
        </w:rPr>
        <w:noBreakHyphen/>
        <w:t>ekonomicznymi, mającymi szczególnie wysoką wartość dla gospodarki i społeczeństwa, w załączniku I do dyrektywy 2019/1024/UE określono wykaz tematycznych kategorii zbiorów danych o wysokiej wartości, obejmujących:</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 xml:space="preserve">dane </w:t>
      </w:r>
      <w:proofErr w:type="spellStart"/>
      <w:r w:rsidRPr="00744574">
        <w:rPr>
          <w:rFonts w:eastAsia="Calibri" w:cs="Times New Roman"/>
          <w:szCs w:val="24"/>
          <w:lang w:eastAsia="en-US"/>
        </w:rPr>
        <w:t>geoprzestrzenne</w:t>
      </w:r>
      <w:proofErr w:type="spellEnd"/>
      <w:r w:rsidRPr="00744574">
        <w:rPr>
          <w:rFonts w:eastAsia="Calibri" w:cs="Times New Roman"/>
          <w:szCs w:val="24"/>
          <w:lang w:eastAsia="en-US"/>
        </w:rPr>
        <w:t>;</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dane dotyczące obserwacji Ziemi i środowiska;</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dane meteorologiczne;</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lastRenderedPageBreak/>
        <w:t>dane statystyczne;</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dane dotyczące przedsiębiorstw i ich własności;</w:t>
      </w:r>
    </w:p>
    <w:p w:rsidR="005D3F15" w:rsidRPr="00744574" w:rsidRDefault="005D3F15" w:rsidP="001C2767">
      <w:pPr>
        <w:widowControl/>
        <w:numPr>
          <w:ilvl w:val="0"/>
          <w:numId w:val="30"/>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dane dotyczące mobilności.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 motywie 66 preambuły dyrektywy 2019/1024/UE wymieniono następujące przykłady zbiorów danych o wysokiej wartości mieszczące się w sześciu powyższych kategoriach tematycznych: kody pocztowe, mapy krajowe i lokalne (dane </w:t>
      </w:r>
      <w:proofErr w:type="spellStart"/>
      <w:r w:rsidRPr="00744574">
        <w:rPr>
          <w:rFonts w:eastAsia="Calibri" w:cs="Times New Roman"/>
          <w:szCs w:val="24"/>
          <w:lang w:eastAsia="en-US"/>
        </w:rPr>
        <w:t>geoprzestrzenne</w:t>
      </w:r>
      <w:proofErr w:type="spellEnd"/>
      <w:r w:rsidRPr="00744574">
        <w:rPr>
          <w:rFonts w:eastAsia="Calibri" w:cs="Times New Roman"/>
          <w:szCs w:val="24"/>
          <w:lang w:eastAsia="en-US"/>
        </w:rPr>
        <w:t xml:space="preserve">), zużycie energii i obrazy satelitarne (dane dotyczące obserwacji Ziemi i środowiska), dane </w:t>
      </w:r>
      <w:r w:rsidRPr="00744574">
        <w:rPr>
          <w:rFonts w:eastAsia="Calibri" w:cs="Times New Roman"/>
          <w:i/>
          <w:szCs w:val="24"/>
          <w:lang w:eastAsia="en-US"/>
        </w:rPr>
        <w:t>in situ</w:t>
      </w:r>
      <w:r w:rsidRPr="00744574">
        <w:rPr>
          <w:rFonts w:eastAsia="Calibri" w:cs="Times New Roman"/>
          <w:szCs w:val="24"/>
          <w:lang w:eastAsia="en-US"/>
        </w:rPr>
        <w:t xml:space="preserve"> z instrumentów i prognozy pogody (dane meteorologiczne), wskaźniki demograficzne i gospodarcze (dane statystyczne), rejestry przedsiębiorstw i numery identyfikacyjne (dane dotyczące przedsiębiorstw i ich własności), znaki drogowe i śródlądowe drogi wodne (dane dotyczące mobilności).</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dyrektywie 2019/1024/UE przyjęto szczególne wymogi dotyczące publikacji i ponownego wykorzystywania danych o wysokiej wartości, które wiązać należy z koniecznością zapewnienia możliwości pełnego wykorzystania ich potencjału oraz zapewnienia maksymalnych korzyści społeczno</w:t>
      </w:r>
      <w:r w:rsidRPr="00744574">
        <w:rPr>
          <w:rFonts w:eastAsia="Calibri" w:cs="Times New Roman"/>
          <w:szCs w:val="24"/>
          <w:lang w:eastAsia="en-US"/>
        </w:rPr>
        <w:noBreakHyphen/>
        <w:t>ekonomicznych lub środowiskowych wynikających z udostępniania takich zasobów dużej liczbie użytkowników. W odniesieniu do rozwiązań przyjętych na gruncie dyrektywy, w art. 25 ust. 1 projektu ustawy wprowadzono szczególne warunki udostępniania danych o wysokiej wartości w celu ich ponownego wykorzystywania. Dane takie muszą być udostępniane bezpłatnie, w formacie nadającym się do odczytu maszynowego, za pośrednictwem API oraz jeżeli to możliwe – do zbiorczego pobrania. W projekcie ustawy uwzględniono również wprowadzone w przepisach dyrektywy wyjątki od wymogu bezpłatnego udostępniania zbiorów danych o wysokiej wartości. W dyrektywie 2019/1024/UE wskazany wymóg nie dotyczy m.in. bibliotek, w tym bibliotek uniwersyteckich, muzeów i archiwów, a także przedsiębiorstw publicznych w rozumieniu art. 2 pkt 3 dyrektywy. Analogicznie do wskazanych rozwiązań, na podstawie art. 25 ust. 2 projektu ustawy, muzea państwowe, muzea samorządowe, biblioteki publiczne, biblioteki naukowe, biblioteki pedagogiczne i archiwa oraz podmioty, o których mowa w art. 3 pkt 5 projektu ustawy, w przypadku udostępniania danych o wysokiej wartości w celu ich ponownego wykorzystywania, będą mogły (w drodze wyjątku) nakładać opłaty za ponowne wykorzystywanie zgodnie z przepisami rozdziału 4 ustawy (przepisami dot. opłat).</w:t>
      </w:r>
    </w:p>
    <w:p w:rsidR="005D3F15" w:rsidRPr="00744574" w:rsidRDefault="005D3F15" w:rsidP="001C2767">
      <w:pPr>
        <w:widowControl/>
        <w:spacing w:before="120"/>
        <w:jc w:val="both"/>
        <w:rPr>
          <w:rFonts w:eastAsia="Times New Roman" w:cs="Times New Roman"/>
          <w:bCs/>
          <w:szCs w:val="24"/>
        </w:rPr>
      </w:pPr>
      <w:r w:rsidRPr="00744574">
        <w:rPr>
          <w:rFonts w:eastAsia="Calibri" w:cs="Times New Roman"/>
          <w:szCs w:val="24"/>
          <w:lang w:eastAsia="en-US"/>
        </w:rPr>
        <w:lastRenderedPageBreak/>
        <w:t xml:space="preserve">W dyrektywie 2019/1024/UE przyjęto następujący mechanizm „uwalniający” dane o wysokiej wartości do ponownego wykorzystywania. Spośród wymienionych w załączniku I do dyrektywy sześciu kategorii tematycznych Komisja Europejska – na podstawie art. 14 ust. 1 dyrektywy 2019/1024/UE – w drodze aktów wykonawczych ustanowi wykaz będących w posiadaniu organów sektora publicznego lub przedsiębiorstw publicznych szczególnych zbiorów danych o wysokiej wartości. W odniesieniu do powyższego w projekcie ustawy w art. 26 wskazano, że udostępnianiu w celu ponownego wykorzystywania w sposób, o którym mowa w art. 25, podlegać będą dane o wysokiej wartości wymienione w wykazie ustanowionym w aktach wykonawczych Komisji Europejskiej wydanych na podstawie art. 14 ust. 1 dyrektywy 2019/1024/UE. Dodatkowo w art. 27 wprowadzono upoważnienie do wydania przez Radę Ministrów rozporządzenia (rozporządzenie fakultatywne), w którym określone zostaną, odrębnie dla poszczególnych podmiotów zobowiązanych, lista będących w ich posiadaniu danych o wysokiej wartości, warunki ponownego wykorzystywania tych danych, a także sposób udostępniania oraz formaty tych danych i metadanych. Możliwość wydania takiego rozporządzenia przewidziano z uwagi na fakt, że konieczne może się okazać dodatkowe wykonanie w prawie krajowym aktów wykonawczych Komisji Europejskiej wydanych na podstawie art. 14 ust. 1 dyrektywy 2019/1024/UE. </w:t>
      </w:r>
    </w:p>
    <w:p w:rsidR="005D3F15" w:rsidRPr="00744574" w:rsidRDefault="005D3F15" w:rsidP="001C2767">
      <w:pPr>
        <w:keepNext/>
        <w:widowControl/>
        <w:autoSpaceDE/>
        <w:autoSpaceDN/>
        <w:adjustRightInd/>
        <w:spacing w:before="120"/>
        <w:ind w:left="510" w:hanging="510"/>
        <w:jc w:val="both"/>
        <w:rPr>
          <w:rFonts w:eastAsia="Times New Roman" w:cs="Times New Roman"/>
          <w:b/>
          <w:bCs/>
          <w:szCs w:val="24"/>
        </w:rPr>
      </w:pPr>
      <w:r w:rsidRPr="00744574">
        <w:rPr>
          <w:rFonts w:eastAsia="Times New Roman" w:cs="Times New Roman"/>
          <w:b/>
          <w:bCs/>
          <w:szCs w:val="24"/>
        </w:rPr>
        <w:t>Rozdział 6. Program otwierania danych.</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Rozdział ten zakłada przeniesienie do niniejszej ustawy w całości regulacji dotyczących Programu otwierania danych, które znajdują się obecnie w ustawie o dostępie do informacji publicznej.</w:t>
      </w:r>
    </w:p>
    <w:p w:rsidR="005D3F15" w:rsidRPr="006A6376"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Program ten ma na celu zwiększenie ilości oraz poprawę jakości informacji sektora publicznego, danych prywatnych oraz metadanych opisujących ich strukturę udostępnianych w portalu danych, które będą miały wpływ na jak najszersze ponowne wykorzystywanie. Ustawodawca przeniósł z ustawy o dostępie do informacji publicznej do projektowanego art. 28 przepis upoważniający ministra właściwego do spraw informatyzacji do opracowania Programu otwierania danych oraz wyliczenie elementów treści, jakie mają znaleźć się w dokumencie, m.in. kierunki rozwoju i priorytety w zakresie otwartości danych; potrzeba wsparcia nowoczesnych technologii wykorzystujących otwarte dane oraz przegląd prowadzonej polityki otwartych danych. Przepisy rozdziału wskazują okres, na jaki jest przyjmowany Program oraz formę jego </w:t>
      </w:r>
      <w:r w:rsidRPr="00744574">
        <w:rPr>
          <w:rFonts w:eastAsia="Calibri" w:cs="Times New Roman"/>
          <w:szCs w:val="24"/>
          <w:lang w:eastAsia="en-US"/>
        </w:rPr>
        <w:lastRenderedPageBreak/>
        <w:t xml:space="preserve">opracowania (art. 28 ust. 2–3). Zgodnie z art. 28 ust. 4 </w:t>
      </w:r>
      <w:r w:rsidRPr="008C03BA">
        <w:rPr>
          <w:rFonts w:cs="Times New Roman"/>
          <w:szCs w:val="24"/>
        </w:rPr>
        <w:t>zapewnienie prawidłowej i skutecznej realizacji Programu powierza się członkom Rady Ministrów oraz Prezesowi Głównego Urzędu Statystycznego (którzy będą wspierani przez pełnomocników do spraw otwartości danych, działających w ramach poziomu operacyjnego).</w:t>
      </w:r>
      <w:r w:rsidRPr="00744574">
        <w:rPr>
          <w:rFonts w:eastAsia="Calibri" w:cs="Times New Roman"/>
          <w:szCs w:val="24"/>
          <w:lang w:eastAsia="en-US"/>
        </w:rPr>
        <w:t xml:space="preserve"> Projektodawca na podstawie art. 28 ust. 5 umożliwia </w:t>
      </w:r>
      <w:r w:rsidRPr="008C03BA">
        <w:rPr>
          <w:rFonts w:cs="Times New Roman"/>
          <w:szCs w:val="24"/>
        </w:rPr>
        <w:t>włączenie się w realizację Programu również innym podmiotom, które tworzą lub przechowują dane o dużym potencjale ponownego wykorzystywania, w szczególności jednostki samorządu terytorialnego oraz podmioty prywatne.</w:t>
      </w:r>
      <w:r w:rsidRPr="001C2767">
        <w:rPr>
          <w:rFonts w:cs="Times New Roman"/>
          <w:szCs w:val="24"/>
        </w:rPr>
        <w:t xml:space="preserve"> </w:t>
      </w:r>
    </w:p>
    <w:p w:rsidR="005D3F15" w:rsidRPr="00744574" w:rsidRDefault="005D3F15" w:rsidP="001C2767">
      <w:pPr>
        <w:widowControl/>
        <w:autoSpaceDE/>
        <w:autoSpaceDN/>
        <w:adjustRightInd/>
        <w:spacing w:before="120"/>
        <w:jc w:val="both"/>
        <w:rPr>
          <w:rFonts w:eastAsia="Calibri" w:cs="Times New Roman"/>
          <w:szCs w:val="24"/>
          <w:shd w:val="clear" w:color="auto" w:fill="FFFFFF"/>
          <w:lang w:eastAsia="en-US"/>
        </w:rPr>
      </w:pPr>
      <w:r w:rsidRPr="00744574">
        <w:rPr>
          <w:rFonts w:eastAsia="Calibri" w:cs="Times New Roman"/>
          <w:szCs w:val="24"/>
          <w:lang w:eastAsia="en-US"/>
        </w:rPr>
        <w:t xml:space="preserve">Wychodząc naprzeciw potrzebie wzmocnienia koordynacji działań </w:t>
      </w:r>
      <w:r w:rsidRPr="00744574">
        <w:rPr>
          <w:rFonts w:eastAsia="Calibri" w:cs="Times New Roman"/>
          <w:szCs w:val="24"/>
          <w:shd w:val="clear" w:color="auto" w:fill="FFFFFF"/>
          <w:lang w:eastAsia="en-US"/>
        </w:rPr>
        <w:t>w</w:t>
      </w:r>
      <w:r w:rsidRPr="00744574">
        <w:rPr>
          <w:rFonts w:eastAsia="Calibri" w:cs="Times New Roman"/>
          <w:szCs w:val="24"/>
          <w:lang w:eastAsia="en-US"/>
        </w:rPr>
        <w:t xml:space="preserve"> </w:t>
      </w:r>
      <w:r w:rsidRPr="00744574">
        <w:rPr>
          <w:rFonts w:eastAsia="Calibri" w:cs="Times New Roman"/>
          <w:szCs w:val="24"/>
          <w:shd w:val="clear" w:color="auto" w:fill="FFFFFF"/>
          <w:lang w:eastAsia="en-US"/>
        </w:rPr>
        <w:t xml:space="preserve">ramach realizacji Programu otwierania danych </w:t>
      </w:r>
      <w:r w:rsidRPr="00744574">
        <w:rPr>
          <w:rFonts w:eastAsia="Calibri" w:cs="Times New Roman"/>
          <w:szCs w:val="24"/>
          <w:lang w:eastAsia="en-US"/>
        </w:rPr>
        <w:t xml:space="preserve">oraz wymiany informacji na poziomie </w:t>
      </w:r>
      <w:proofErr w:type="spellStart"/>
      <w:r w:rsidRPr="00744574">
        <w:rPr>
          <w:rFonts w:eastAsia="Calibri" w:cs="Times New Roman"/>
          <w:szCs w:val="24"/>
          <w:lang w:eastAsia="en-US"/>
        </w:rPr>
        <w:t>strategiczno</w:t>
      </w:r>
      <w:proofErr w:type="spellEnd"/>
      <w:r w:rsidRPr="00744574">
        <w:rPr>
          <w:rFonts w:eastAsia="Calibri" w:cs="Times New Roman"/>
          <w:szCs w:val="24"/>
          <w:lang w:eastAsia="en-US"/>
        </w:rPr>
        <w:t xml:space="preserve">-politycznym w zakresie otwartości danych w Rzeczypospolitej Polskiej, projektodawca zakłada powołanie koordynatora programu. Zgodnie z art. 29 koordynowanie działań w ramach realizacji Programu otwierania danych powierza się ministrowi właściwemu do spraw informatyzacji. Działalność koordynatora programu zapewni spójność kierunków w procesie zwiększenia ilości oraz poprawy jakości informacji sektora publicznego oraz metadanych oraz nada temu procesowi odpowiedną rangę. Projektowana regulacja zobowiązuje ministra właściwego do spraw informatyzacji do dokonywania w drugim i czwartym oraz w ostatnim roku obowiązywania programu jego </w:t>
      </w:r>
      <w:r w:rsidRPr="00744574">
        <w:rPr>
          <w:rFonts w:eastAsia="Calibri" w:cs="Times New Roman"/>
          <w:szCs w:val="24"/>
          <w:shd w:val="clear" w:color="auto" w:fill="FFFFFF"/>
          <w:lang w:eastAsia="en-US"/>
        </w:rPr>
        <w:t xml:space="preserve">przeglądu (we współpracy z realizatorami programu). </w:t>
      </w:r>
      <w:r w:rsidRPr="00744574">
        <w:rPr>
          <w:rFonts w:eastAsia="Calibri" w:cs="Times New Roman"/>
          <w:szCs w:val="24"/>
          <w:lang w:eastAsia="en-US"/>
        </w:rPr>
        <w:t xml:space="preserve">Po zakończeniu programu minister właściwy do spraw informatyzacji przedstawia Radzie Ministrów końcowe sprawozdanie z realizacji programu w ciągu 6 miesięcy od jego zakończenia. </w:t>
      </w:r>
      <w:r w:rsidRPr="00744574">
        <w:rPr>
          <w:rFonts w:eastAsia="Calibri" w:cs="Times New Roman"/>
          <w:szCs w:val="24"/>
          <w:shd w:val="clear" w:color="auto" w:fill="FFFFFF"/>
          <w:lang w:eastAsia="en-US"/>
        </w:rPr>
        <w:t xml:space="preserve">Ponadto, </w:t>
      </w:r>
      <w:r w:rsidRPr="00744574">
        <w:rPr>
          <w:rFonts w:eastAsia="Calibri" w:cs="Times New Roman"/>
          <w:szCs w:val="24"/>
          <w:lang w:eastAsia="en-US"/>
        </w:rPr>
        <w:t>do zadań koordynatora programu należeć będzie m.in.: p</w:t>
      </w:r>
      <w:r w:rsidRPr="00744574" w:rsidDel="008E347E">
        <w:rPr>
          <w:rFonts w:eastAsia="Calibri" w:cs="Times New Roman"/>
          <w:szCs w:val="24"/>
          <w:lang w:eastAsia="en-US"/>
        </w:rPr>
        <w:t>romowanie jednolitej polityki otw</w:t>
      </w:r>
      <w:r w:rsidRPr="00744574">
        <w:rPr>
          <w:rFonts w:eastAsia="Calibri" w:cs="Times New Roman"/>
          <w:szCs w:val="24"/>
          <w:lang w:eastAsia="en-US"/>
        </w:rPr>
        <w:t>ie</w:t>
      </w:r>
      <w:r w:rsidRPr="00744574" w:rsidDel="008E347E">
        <w:rPr>
          <w:rFonts w:eastAsia="Calibri" w:cs="Times New Roman"/>
          <w:szCs w:val="24"/>
          <w:lang w:eastAsia="en-US"/>
        </w:rPr>
        <w:t>r</w:t>
      </w:r>
      <w:r w:rsidRPr="00744574">
        <w:rPr>
          <w:rFonts w:eastAsia="Calibri" w:cs="Times New Roman"/>
          <w:szCs w:val="24"/>
          <w:lang w:eastAsia="en-US"/>
        </w:rPr>
        <w:t>ania</w:t>
      </w:r>
      <w:r w:rsidRPr="00744574" w:rsidDel="008E347E">
        <w:rPr>
          <w:rFonts w:eastAsia="Calibri" w:cs="Times New Roman"/>
          <w:szCs w:val="24"/>
          <w:lang w:eastAsia="en-US"/>
        </w:rPr>
        <w:t xml:space="preserve"> danych</w:t>
      </w:r>
      <w:r w:rsidRPr="00744574">
        <w:rPr>
          <w:rFonts w:eastAsia="Calibri" w:cs="Times New Roman"/>
          <w:szCs w:val="24"/>
          <w:lang w:eastAsia="en-US"/>
        </w:rPr>
        <w:t xml:space="preserve">; harmonizacja procesów wynikających z realizacji programu otwierania danych; współpraca z realizatorami programu w zakresie realizacji </w:t>
      </w:r>
      <w:r w:rsidRPr="00744574">
        <w:rPr>
          <w:rFonts w:eastAsia="Calibri" w:cs="Times New Roman"/>
          <w:szCs w:val="24"/>
          <w:shd w:val="clear" w:color="auto" w:fill="FFFFFF"/>
          <w:lang w:eastAsia="en-US"/>
        </w:rPr>
        <w:t xml:space="preserve">programu; </w:t>
      </w:r>
      <w:r w:rsidRPr="00744574">
        <w:rPr>
          <w:rFonts w:eastAsia="Calibri" w:cs="Times New Roman"/>
          <w:szCs w:val="24"/>
          <w:lang w:eastAsia="en-US"/>
        </w:rPr>
        <w:t>z</w:t>
      </w:r>
      <w:r w:rsidRPr="00744574" w:rsidDel="008E347E">
        <w:rPr>
          <w:rFonts w:eastAsia="Calibri" w:cs="Times New Roman"/>
          <w:szCs w:val="24"/>
          <w:lang w:eastAsia="en-US"/>
        </w:rPr>
        <w:t>aplanowanie i</w:t>
      </w:r>
      <w:r w:rsidRPr="00744574">
        <w:rPr>
          <w:rFonts w:eastAsia="Calibri" w:cs="Times New Roman"/>
          <w:szCs w:val="24"/>
          <w:lang w:eastAsia="en-US"/>
        </w:rPr>
        <w:t xml:space="preserve"> </w:t>
      </w:r>
      <w:r w:rsidRPr="00744574" w:rsidDel="008E347E">
        <w:rPr>
          <w:rFonts w:eastAsia="Calibri" w:cs="Times New Roman"/>
          <w:szCs w:val="24"/>
          <w:lang w:eastAsia="en-US"/>
        </w:rPr>
        <w:t>skoordynowanie działań edukacyjnych, podnoszących kompetencje cyfrowe administracji w</w:t>
      </w:r>
      <w:r w:rsidRPr="00744574">
        <w:rPr>
          <w:rFonts w:eastAsia="Calibri" w:cs="Times New Roman"/>
          <w:szCs w:val="24"/>
          <w:lang w:eastAsia="en-US"/>
        </w:rPr>
        <w:t xml:space="preserve"> </w:t>
      </w:r>
      <w:r w:rsidRPr="00744574" w:rsidDel="008E347E">
        <w:rPr>
          <w:rFonts w:eastAsia="Calibri" w:cs="Times New Roman"/>
          <w:szCs w:val="24"/>
          <w:lang w:eastAsia="en-US"/>
        </w:rPr>
        <w:t>zakresie otwartości danych</w:t>
      </w:r>
      <w:r w:rsidRPr="00744574">
        <w:rPr>
          <w:rFonts w:eastAsia="Calibri" w:cs="Times New Roman"/>
          <w:szCs w:val="24"/>
          <w:lang w:eastAsia="en-US"/>
        </w:rPr>
        <w:t>. Do zadań koordynatora będzie również należeć współpraca z podmiotami zobowiązanymi, organizacjami pozarządowym oraz innymi podmiotami uczestniczącymi w działaniach w zakresie polityki otwierania danych.</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Art. 30 ustawy wyznacza zadania realizatorów programu, do których należą w szczególności: zapewnienie należytej realizacji programu otwierania danych, współpraca z koordynatorem programu w zakresie jego realizacji, przedstawianie w każdym półroczu kalendarzowym koordynatorowi programu harmonogramu udostępniania danych w </w:t>
      </w:r>
      <w:r w:rsidRPr="00744574">
        <w:rPr>
          <w:rFonts w:eastAsia="Calibri" w:cs="Times New Roman"/>
          <w:szCs w:val="24"/>
          <w:lang w:eastAsia="en-US"/>
        </w:rPr>
        <w:lastRenderedPageBreak/>
        <w:t xml:space="preserve">portalu dane.gov.pl, tj. nowych </w:t>
      </w:r>
      <w:r w:rsidRPr="008C03BA">
        <w:rPr>
          <w:rFonts w:cs="Times New Roman"/>
          <w:szCs w:val="24"/>
        </w:rPr>
        <w:t>informacji sektora publicznego lub poprawę jakość informacji sektora publicznego udostępnionych już na portal</w:t>
      </w:r>
      <w:r w:rsidR="00C30974">
        <w:rPr>
          <w:rFonts w:cs="Times New Roman"/>
          <w:szCs w:val="24"/>
        </w:rPr>
        <w:t>u</w:t>
      </w:r>
      <w:r w:rsidRPr="008C03BA">
        <w:rPr>
          <w:rFonts w:cs="Times New Roman"/>
          <w:szCs w:val="24"/>
        </w:rPr>
        <w:t xml:space="preserve"> danych. </w:t>
      </w:r>
      <w:r w:rsidRPr="00744574">
        <w:rPr>
          <w:rFonts w:eastAsia="Calibri" w:cs="Times New Roman"/>
          <w:szCs w:val="24"/>
          <w:lang w:eastAsia="en-US"/>
        </w:rPr>
        <w:t>Projektowana regulacja zobowiązuje realizatorów programu do składan</w:t>
      </w:r>
      <w:r w:rsidR="00C30974">
        <w:rPr>
          <w:rFonts w:eastAsia="Calibri" w:cs="Times New Roman"/>
          <w:szCs w:val="24"/>
          <w:lang w:eastAsia="en-US"/>
        </w:rPr>
        <w:t>i</w:t>
      </w:r>
      <w:r w:rsidRPr="00744574">
        <w:rPr>
          <w:rFonts w:eastAsia="Calibri" w:cs="Times New Roman"/>
          <w:szCs w:val="24"/>
          <w:lang w:eastAsia="en-US"/>
        </w:rPr>
        <w:t>a koordynatorowi programu rocznego sprawozdania z realizacji programu w terminie do 31 marca roku następującego po roku, którego dotyczy sprawozdanie.</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7. Portal danych.</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Rozdział ten zakłada przeniesienie do niniejszej ustawy i zaktualizowanie regulacji dotyczącej centralnego repozytorium informacji publicznej, która znajduje się obecnie w ustawie o dostępie do informacji publicznej.</w:t>
      </w:r>
    </w:p>
    <w:p w:rsidR="005D3F15" w:rsidRPr="006A6376" w:rsidRDefault="005D3F15" w:rsidP="001C2767">
      <w:pPr>
        <w:widowControl/>
        <w:autoSpaceDE/>
        <w:autoSpaceDN/>
        <w:adjustRightInd/>
        <w:spacing w:before="120"/>
        <w:jc w:val="both"/>
        <w:rPr>
          <w:rFonts w:eastAsia="Calibri" w:cs="Times New Roman"/>
          <w:szCs w:val="24"/>
          <w:lang w:eastAsia="en-US"/>
        </w:rPr>
      </w:pPr>
      <w:r w:rsidRPr="00744574">
        <w:rPr>
          <w:rFonts w:eastAsia="Times New Roman" w:cs="Times New Roman"/>
          <w:bCs/>
          <w:szCs w:val="24"/>
        </w:rPr>
        <w:t>Ustawodawca w słowniczku ustawowym, w art. 2 pkt 13 projektu ustawy, zdefiniował portal danych jako prowadzone przez ministra właściwego do spraw informatyzacji, powszechnie dostępne w sieci teleinformatycznej repozytorium, służące do udostępniania informacji sektora publicznego oraz danych prywatnych w celu ponownego wykorzystywania. Portal danych zastąpi dotychczasowe funkcjonalności centralnego repozytorium informacji publicznej. Funkcję portalu danych pełnić będzie serwis internetowy dostępny na stronie www.</w:t>
      </w:r>
      <w:hyperlink r:id="rId8" w:history="1">
        <w:r w:rsidRPr="006A6376">
          <w:rPr>
            <w:rFonts w:eastAsia="Times New Roman" w:cs="Times New Roman"/>
            <w:bCs/>
            <w:szCs w:val="24"/>
          </w:rPr>
          <w:t>dane.gov.pl</w:t>
        </w:r>
      </w:hyperlink>
      <w:r w:rsidRPr="006A6376">
        <w:rPr>
          <w:rFonts w:eastAsia="Times New Roman" w:cs="Times New Roman"/>
          <w:bCs/>
          <w:szCs w:val="24"/>
        </w:rPr>
        <w:t>.</w:t>
      </w:r>
    </w:p>
    <w:p w:rsidR="005D3F15" w:rsidRPr="00744574" w:rsidRDefault="005D3F15" w:rsidP="001C2767">
      <w:pPr>
        <w:widowControl/>
        <w:autoSpaceDE/>
        <w:autoSpaceDN/>
        <w:adjustRightInd/>
        <w:spacing w:before="120"/>
        <w:jc w:val="both"/>
        <w:rPr>
          <w:rFonts w:eastAsia="Calibri" w:cs="Times New Roman"/>
          <w:szCs w:val="24"/>
          <w:shd w:val="clear" w:color="auto" w:fill="FFFFFF"/>
          <w:lang w:eastAsia="en-US"/>
        </w:rPr>
      </w:pPr>
      <w:r w:rsidRPr="006A6376">
        <w:rPr>
          <w:rFonts w:eastAsia="Calibri" w:cs="Times New Roman"/>
          <w:szCs w:val="24"/>
          <w:lang w:eastAsia="en-US"/>
        </w:rPr>
        <w:t>Do art. 32 ust.</w:t>
      </w:r>
      <w:r w:rsidRPr="00744574">
        <w:rPr>
          <w:rFonts w:eastAsia="Calibri" w:cs="Times New Roman"/>
          <w:szCs w:val="24"/>
          <w:lang w:eastAsia="en-US"/>
        </w:rPr>
        <w:t xml:space="preserve"> 1 przeniesiona została regulacja (obecnie funkcjonująca w ustawie o dostępie do informacji publicznej) warunkująca rodzaj informacji sektora publicznego możliwy do udostępniania w portalu danych. W celu przejrzystości stosowanych określeń, w przedmiotowym artykule </w:t>
      </w:r>
      <w:r w:rsidRPr="00744574">
        <w:rPr>
          <w:rFonts w:eastAsia="Times New Roman" w:cs="Times New Roman"/>
          <w:szCs w:val="24"/>
          <w:lang w:eastAsia="en-US"/>
        </w:rPr>
        <w:t>proponuje się zastąpienie sfomułowania „</w:t>
      </w:r>
      <w:r w:rsidRPr="00744574">
        <w:rPr>
          <w:rFonts w:eastAsia="Calibri" w:cs="Times New Roman"/>
          <w:szCs w:val="24"/>
          <w:shd w:val="clear" w:color="auto" w:fill="FFFFFF"/>
          <w:lang w:eastAsia="en-US"/>
        </w:rPr>
        <w:t>zasoby informacyjne” (obecnie funkcjonującego w ustawie o dostępie do informacji publicznej) określeniem „informacje sektora publicznego” zdefiniowanym w słowniczku ustawowym w art. 2 pkt 8. Ujednolicenie stosowanych określeń w ustawie ma na celu również ułatwienie posługiwania się tekstem aktu prawnego.</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Times New Roman" w:cs="Times New Roman"/>
          <w:szCs w:val="24"/>
        </w:rPr>
        <w:t xml:space="preserve">Projekt ustawy wyznacza zamknięty katalog podmiotów, które są zobligowane do udostępniania w portalu otwartych danych informacji sektora publicznego lub metadanych w celu ich ponownego wykorzystywania. </w:t>
      </w:r>
      <w:r w:rsidRPr="00744574">
        <w:rPr>
          <w:rFonts w:eastAsia="Times New Roman" w:cs="Times New Roman"/>
          <w:szCs w:val="24"/>
          <w:lang w:eastAsia="en-US"/>
        </w:rPr>
        <w:t xml:space="preserve">Projektowany przepis art. 32 ust. 2 rozszerza obecny zakres podmiotów zobowiązanych (określony w ustawie o dostępie do informacji publicznych) obowiązanych do udostępniania posiadanych informacji sektora publicznego w portalu otwartych danych. Proponowany </w:t>
      </w:r>
      <w:r w:rsidRPr="00744574">
        <w:rPr>
          <w:rFonts w:eastAsia="Calibri" w:cs="Times New Roman"/>
          <w:szCs w:val="24"/>
          <w:lang w:eastAsia="en-US"/>
        </w:rPr>
        <w:t xml:space="preserve">katalog obejmuje podmioty zobowiązane w rozumieniu art. 3 pkt 1–4 projektu niniejszej ustawy. W związku z tym, katalog podmiotów, </w:t>
      </w:r>
      <w:r w:rsidRPr="00744574">
        <w:rPr>
          <w:rFonts w:eastAsia="Times New Roman" w:cs="Times New Roman"/>
          <w:szCs w:val="24"/>
        </w:rPr>
        <w:t xml:space="preserve">które będą zobligowane do udostępniania w portalu </w:t>
      </w:r>
      <w:r w:rsidRPr="00744574">
        <w:rPr>
          <w:rFonts w:eastAsia="Times New Roman" w:cs="Times New Roman"/>
          <w:szCs w:val="24"/>
        </w:rPr>
        <w:lastRenderedPageBreak/>
        <w:t>danych informacji sektora publicznego (lub metadanych)</w:t>
      </w:r>
      <w:r w:rsidRPr="00744574">
        <w:rPr>
          <w:rFonts w:eastAsia="Calibri" w:cs="Times New Roman"/>
          <w:szCs w:val="24"/>
          <w:lang w:eastAsia="en-US"/>
        </w:rPr>
        <w:t xml:space="preserve"> będzie w zasadniczej części tożsamy z katalogiem </w:t>
      </w:r>
      <w:r w:rsidRPr="00744574">
        <w:rPr>
          <w:rFonts w:eastAsia="Times New Roman" w:cs="Times New Roman"/>
          <w:szCs w:val="24"/>
        </w:rPr>
        <w:t>podmiotów zobligowanych do udostępniania lub przekazywania informacji sektora publicznego w celu ich ponownego wykorzystywania</w:t>
      </w:r>
      <w:r w:rsidRPr="00744574">
        <w:rPr>
          <w:rFonts w:eastAsia="Calibri" w:cs="Times New Roman"/>
          <w:szCs w:val="24"/>
          <w:lang w:eastAsia="en-US"/>
        </w:rPr>
        <w:t xml:space="preserve">. Dane będące w posiadaniu ww. podmiotów mają ogromną wartość informacyjną i mogą stanowić cenne źródło informacji, na bazie których powstaje coraz więcej nowoczesnych produktów. </w:t>
      </w:r>
      <w:r w:rsidRPr="00744574">
        <w:rPr>
          <w:rFonts w:eastAsia="Times New Roman" w:cs="Times New Roman"/>
          <w:szCs w:val="24"/>
          <w:lang w:eastAsia="en-US"/>
        </w:rPr>
        <w:t xml:space="preserve">Portal danych zapewnia szybki dostęp do danych. Stanowić będzie centralny punkt dostępu </w:t>
      </w:r>
      <w:r w:rsidRPr="00744574">
        <w:rPr>
          <w:rFonts w:eastAsia="Calibri" w:cs="Times New Roman"/>
          <w:szCs w:val="24"/>
          <w:lang w:eastAsia="en-US"/>
        </w:rPr>
        <w:t>do zasobów będących w posiadaniu nie tylko administracji centralnej i samorządowej, ale również przedsiębiorstw publicznych</w:t>
      </w:r>
      <w:r w:rsidRPr="00744574">
        <w:rPr>
          <w:rFonts w:eastAsia="Times New Roman" w:cs="Times New Roman"/>
          <w:szCs w:val="24"/>
          <w:lang w:eastAsia="en-US"/>
        </w:rPr>
        <w:t xml:space="preserve">, a także podmiotów będących w posiadaniu danych badawczych (o których mowa w art. 22). Dane będą udostępniane bez potrzeby składania wniosków do urzędów, bez zbędnych ograniczeń terytorialnych i licencyjnych. W związku z powyższym, zmiana przepisów zapewni większy dostęp do danych, </w:t>
      </w:r>
      <w:r w:rsidRPr="00744574">
        <w:rPr>
          <w:rFonts w:eastAsia="Calibri" w:cs="Times New Roman"/>
          <w:szCs w:val="24"/>
          <w:lang w:eastAsia="en-US"/>
        </w:rPr>
        <w:t>będących jednym z fundamentów innowacji, zapewniając jednocześnie możliwość wykorzystania ich pełnego potencjału w usługach, aplikacjach, modelach biznesowych i nowych technologiach.</w:t>
      </w:r>
    </w:p>
    <w:p w:rsidR="005D3F15" w:rsidRPr="00744574" w:rsidRDefault="005D3F15" w:rsidP="001C2767">
      <w:pPr>
        <w:widowControl/>
        <w:tabs>
          <w:tab w:val="left" w:pos="284"/>
        </w:tabs>
        <w:suppressAutoHyphens/>
        <w:spacing w:before="120"/>
        <w:jc w:val="both"/>
        <w:rPr>
          <w:rFonts w:eastAsia="Times New Roman" w:cs="Times New Roman"/>
          <w:szCs w:val="24"/>
        </w:rPr>
      </w:pPr>
      <w:r w:rsidRPr="00744574">
        <w:rPr>
          <w:rFonts w:eastAsia="Times New Roman" w:cs="Times New Roman"/>
          <w:szCs w:val="24"/>
        </w:rPr>
        <w:t xml:space="preserve">Na podstawie art. 32 ust 5. ustawodawca wprowadził dodatkowy nieobligatoryjny warunek publikowania w portalu informacji sektora publicznego jako otwartych danych, tj. m.in. kompletnych, udostępnionych w niezastrzeżonym i otwartym formacie. </w:t>
      </w:r>
      <w:r w:rsidRPr="00744574">
        <w:rPr>
          <w:rFonts w:eastAsia="Times New Roman" w:cs="Times New Roman"/>
          <w:bCs/>
          <w:szCs w:val="24"/>
        </w:rPr>
        <w:t xml:space="preserve">Definicja otwartych danych jest zawarta w art. 2 pkt 11 projektu ustawy. Ustanowienie przepisów prawnych regulujących zasady otwartości danych ma przyczynić się do zwiększenia pewności obrotu danymi do ich ponownego wykorzystywania, zarówno po stronie udostępniającego, jak i korzystającego z danych. Otwartość danych pozwala na swobodny dostęp do danych </w:t>
      </w:r>
      <w:r w:rsidRPr="00744574">
        <w:rPr>
          <w:rFonts w:eastAsia="Times New Roman" w:cs="Times New Roman"/>
          <w:szCs w:val="24"/>
        </w:rPr>
        <w:t>i</w:t>
      </w:r>
      <w:r w:rsidRPr="00744574">
        <w:rPr>
          <w:rFonts w:eastAsia="Times New Roman" w:cs="Times New Roman"/>
          <w:bCs/>
          <w:szCs w:val="24"/>
        </w:rPr>
        <w:t xml:space="preserve"> </w:t>
      </w:r>
      <w:r w:rsidRPr="00744574">
        <w:rPr>
          <w:rFonts w:eastAsia="Times New Roman" w:cs="Times New Roman"/>
          <w:szCs w:val="24"/>
        </w:rPr>
        <w:t xml:space="preserve">ich ponowne wykorzystywanie. W tym zakresie istotne są kwestie licencjonowania oraz ochrony praw autorskich. Aspekt prawny jest ściśle i nierozerwalnie związany z aspektem technicznym i finansowym. Od strony technicznej otwartość polega na przygotowaniu i udostępnianiu danych w sposób dający wszystkim użytkownikom takie same możliwości skorzystania z nich, niezależnie od posiadanej i używanej przez nich technologii. Równie istotny jest aspekt finansowy, który sprowadza się do nieodpłatnego udostępniania danych. </w:t>
      </w:r>
      <w:r w:rsidRPr="00744574">
        <w:rPr>
          <w:rFonts w:eastAsia="Times New Roman" w:cs="Times New Roman"/>
          <w:bCs/>
          <w:szCs w:val="24"/>
        </w:rPr>
        <w:t xml:space="preserve">Podmioty powinny udostępniać dane w sposób użyteczny dla użytkownika (każdej osobie fizycznej, prawnej i jednostce organizacyjnej nieposiadającej osobowości prawnej), tj. w taki sposób, aby ten mógł wykorzystywać dane do dowolnych celów, bez obaw o naruszenie jakichkolwiek praw innych osób. Dla użytkownika oznaczałoby to wyeliminowanie barier i pewność prawną </w:t>
      </w:r>
      <w:r w:rsidRPr="00744574">
        <w:rPr>
          <w:rFonts w:eastAsia="Times New Roman" w:cs="Times New Roman"/>
          <w:bCs/>
          <w:szCs w:val="24"/>
        </w:rPr>
        <w:lastRenderedPageBreak/>
        <w:t>w dalszej eksploatacji danych publicznych. Mając na względzie powyższe istotnym jest aby informacje sektora publicznego spełniały cechy otwartości danych.</w:t>
      </w:r>
    </w:p>
    <w:p w:rsidR="005D3F15" w:rsidRPr="00744574" w:rsidRDefault="005D3F15" w:rsidP="001C2767">
      <w:pPr>
        <w:widowControl/>
        <w:suppressAutoHyphens/>
        <w:spacing w:before="120"/>
        <w:jc w:val="both"/>
        <w:rPr>
          <w:rFonts w:eastAsia="Times New Roman" w:cs="Times New Roman"/>
          <w:szCs w:val="24"/>
        </w:rPr>
      </w:pPr>
      <w:r w:rsidRPr="00744574">
        <w:rPr>
          <w:rFonts w:eastAsia="Times New Roman" w:cs="Times New Roman"/>
          <w:szCs w:val="24"/>
        </w:rPr>
        <w:t>Projektodawca zdecydował się na uchylenie przepisów upoważniających do obligatoryjnego wydania rozporządzenia, o którym mowa w art. 9a ust. 3 ustawy o dostępie do informacji publicznej, na podstawie którego wydano rozporządzenie Ministra Cyfryzacji w sprawie zasobu informacyjnego przeznaczonego do udostępniania w centralnym repozytorium informacji publicznej. W projekcie ustawy przewidziano jedynie możliwość fakultatywnego wydania (przez Radę Ministrów) ww. rozporządzenia m.in. na wypadek nieprzewidzianych i nadzwyczajnych sytuacji takich jak epidemia COVID</w:t>
      </w:r>
      <w:r w:rsidRPr="00744574">
        <w:rPr>
          <w:rFonts w:eastAsia="Times New Roman" w:cs="Times New Roman"/>
          <w:szCs w:val="24"/>
        </w:rPr>
        <w:noBreakHyphen/>
        <w:t>19 (art. 33 projektu ustawy).</w:t>
      </w:r>
    </w:p>
    <w:p w:rsidR="005D3F15" w:rsidRPr="00744574" w:rsidRDefault="005D3F15" w:rsidP="001C2767">
      <w:pPr>
        <w:widowControl/>
        <w:suppressAutoHyphens/>
        <w:spacing w:before="120"/>
        <w:jc w:val="both"/>
        <w:rPr>
          <w:rFonts w:eastAsia="Times New Roman" w:cs="Times New Roman"/>
          <w:szCs w:val="24"/>
        </w:rPr>
      </w:pPr>
      <w:r w:rsidRPr="00744574">
        <w:rPr>
          <w:rFonts w:eastAsia="Times New Roman" w:cs="Times New Roman"/>
          <w:szCs w:val="24"/>
        </w:rPr>
        <w:t>Jednakże jako obligatoryjne narzędzie zastępcze zaprojektowano wprowadzenie do Programu otwierania danych (art. 33 ust. 3 projektu ustawy) obowiązku przygotowywania przez realizatorów programu, harmonogramów udostępniania nowych informacji sektora publicznego w portalu. Rozwiązanie to było dotychczas stosowane w ramach Programu otwierana danych publicznych (na lata 2016–2020) i zostało z powodzeniem wdrożone. Harmonogramy otwierania danych były przygotowywane dwa razy w roku. Po uzyskaniu pozytywnej opinii przez Zespół Zadaniowy działający w ramach Komitetu Rady Ministrów do spraw Cyfryzacji, harmonogram publikowano w portalu otwartych danych. W roku 2019 na podstawie przedmiotowego harmonogramu udostępniono ok. 140 nowych zbiorów danych zawierających informacje sektora publicznego.</w:t>
      </w:r>
    </w:p>
    <w:p w:rsidR="005D3F15" w:rsidRPr="00744574" w:rsidRDefault="005D3F15" w:rsidP="001C2767">
      <w:pPr>
        <w:widowControl/>
        <w:suppressAutoHyphens/>
        <w:spacing w:before="120"/>
        <w:jc w:val="both"/>
        <w:rPr>
          <w:rFonts w:eastAsia="Times New Roman" w:cs="Times New Roman"/>
          <w:szCs w:val="24"/>
        </w:rPr>
      </w:pPr>
      <w:r w:rsidRPr="00744574">
        <w:rPr>
          <w:rFonts w:eastAsia="Times New Roman" w:cs="Times New Roman"/>
          <w:szCs w:val="24"/>
        </w:rPr>
        <w:t>W następstwie rezygnacji z upoważnienia do obligatoryjnego wydania ww. rozporządzenia, do art. 34 ust. 7 zawierającego upoważnienie dla Rady Ministrów do określenia przepisów technicznych dotyczących funkcjonowania portalu danych, dodano regulacje w zakresie sposobu udostępniania informacji sektora publicznego oraz metadanych, mając na względzie posiadaną przez podmioty infrastrukturę teleinformatyczną umożliwiającą gromadzenie w niej informacji publicznych oraz ich udostępnianie, a także możliwości techniczne przechowywania tych informacji w portalu.</w:t>
      </w:r>
    </w:p>
    <w:p w:rsidR="005D3F15" w:rsidRPr="00744574" w:rsidRDefault="005D3F15" w:rsidP="001C2767">
      <w:pPr>
        <w:widowControl/>
        <w:suppressAutoHyphens/>
        <w:spacing w:before="120"/>
        <w:jc w:val="both"/>
        <w:rPr>
          <w:rFonts w:eastAsia="Times New Roman" w:cs="Times New Roman"/>
          <w:szCs w:val="24"/>
        </w:rPr>
      </w:pPr>
      <w:r w:rsidRPr="00744574">
        <w:rPr>
          <w:rFonts w:eastAsia="Times New Roman" w:cs="Times New Roman"/>
          <w:szCs w:val="24"/>
        </w:rPr>
        <w:t xml:space="preserve">W przepisach dotyczących możliwości </w:t>
      </w:r>
      <w:r w:rsidRPr="008C03BA">
        <w:rPr>
          <w:rFonts w:cs="Times New Roman"/>
          <w:szCs w:val="24"/>
        </w:rPr>
        <w:t>zlecenia wyspecjalizowanym podmiotom czynności związanych z prowadzeniem portalu danych (art. 34), określono w ustępie 3, pkt 1, w literze c, dodatkowy warunek do spełnienia przez ww. podmioty, związany z zawieraniem umowy o</w:t>
      </w:r>
      <w:r w:rsidRPr="001C2767">
        <w:rPr>
          <w:rFonts w:cs="Times New Roman"/>
          <w:szCs w:val="24"/>
        </w:rPr>
        <w:t xml:space="preserve"> powierzeniu przetwarzania danych osobowych, o której mowa w </w:t>
      </w:r>
      <w:r w:rsidRPr="001C2767">
        <w:rPr>
          <w:rFonts w:cs="Times New Roman"/>
          <w:szCs w:val="24"/>
        </w:rPr>
        <w:lastRenderedPageBreak/>
        <w:t>art. 28 ust. 3 rozporządzenia 2016/679. Warunek ten dotyczy zapewnienia przez wyspecjalizowane podmioty odpowiednich warunków organizacyjnych i technicznych zapewniających ochronę przetwarzanych danych osobowych, w szczególności zabezpieczenia danych przed nieuprawnionym dostępem, nielegalnym ujawnieniem lub pozyskaniem, a także ich modyfikacją, uszkodzeniem, zniszczeniem lub utratą.</w:t>
      </w:r>
    </w:p>
    <w:p w:rsidR="005D3F15" w:rsidRPr="00744574" w:rsidRDefault="005D3F15" w:rsidP="001C2767">
      <w:pPr>
        <w:widowControl/>
        <w:suppressAutoHyphens/>
        <w:spacing w:before="120"/>
        <w:jc w:val="both"/>
        <w:rPr>
          <w:rFonts w:eastAsia="Times New Roman" w:cs="Times New Roman"/>
          <w:szCs w:val="24"/>
        </w:rPr>
      </w:pPr>
      <w:r w:rsidRPr="00744574">
        <w:rPr>
          <w:rFonts w:eastAsia="Times New Roman" w:cs="Times New Roman"/>
          <w:szCs w:val="24"/>
        </w:rPr>
        <w:t>Projektowana ustawa dokonuje także zmiany porządkującej w przepisach dotyczących udostępniania danych spoza sektora publicznego (art. 35). Proponuje się zastąpienie sfomułowania „</w:t>
      </w:r>
      <w:r w:rsidRPr="00744574">
        <w:rPr>
          <w:rFonts w:eastAsia="Times New Roman" w:cs="Times New Roman"/>
          <w:szCs w:val="24"/>
          <w:shd w:val="clear" w:color="auto" w:fill="FFFFFF"/>
        </w:rPr>
        <w:t>treści utrwalonych w postaci elektronicznej” (obecnie funkcjonującego w ustawie o dostępie do informacji publicznej – art. 9c ust. 1a) określeniem „dane prywatne” zdefiniowanym słowniczku ustawowym w art. 2 pkt 5. W</w:t>
      </w:r>
      <w:r w:rsidRPr="00744574">
        <w:rPr>
          <w:rFonts w:eastAsia="Times New Roman" w:cs="Times New Roman"/>
          <w:szCs w:val="24"/>
        </w:rPr>
        <w:t xml:space="preserve">prowadzając możliwość dobrowolnego publikowania danych prywatnych w portalu dane.gov.pl </w:t>
      </w:r>
      <w:r w:rsidRPr="00744574">
        <w:rPr>
          <w:rFonts w:eastAsia="Times New Roman" w:cs="Times New Roman"/>
          <w:szCs w:val="24"/>
          <w:shd w:val="clear" w:color="auto" w:fill="FFFFFF"/>
        </w:rPr>
        <w:t>ustawodawca</w:t>
      </w:r>
      <w:r w:rsidRPr="00744574">
        <w:rPr>
          <w:rFonts w:eastAsia="Times New Roman" w:cs="Times New Roman"/>
          <w:szCs w:val="24"/>
        </w:rPr>
        <w:t xml:space="preserve"> podejmuje aktywność w celu stworzenia linii współpracy w relacji Biznes – Administracja (B2G). </w:t>
      </w:r>
      <w:r w:rsidRPr="00744574">
        <w:rPr>
          <w:rFonts w:eastAsia="Times New Roman" w:cs="Times New Roman"/>
          <w:szCs w:val="24"/>
          <w:shd w:val="clear" w:color="auto" w:fill="FFFFFF"/>
        </w:rPr>
        <w:t>Wiele danych, k</w:t>
      </w:r>
      <w:r w:rsidRPr="00744574">
        <w:rPr>
          <w:rFonts w:eastAsia="Times New Roman" w:cs="Times New Roman"/>
          <w:szCs w:val="24"/>
        </w:rPr>
        <w:t>t</w:t>
      </w:r>
      <w:r w:rsidRPr="00744574">
        <w:rPr>
          <w:rFonts w:eastAsia="Times New Roman" w:cs="Times New Roman"/>
          <w:szCs w:val="24"/>
          <w:shd w:val="clear" w:color="auto" w:fill="FFFFFF"/>
        </w:rPr>
        <w:t xml:space="preserve">óre mogą mieć istotne znaczenie dla realizacji zadań w interesie publicznym (np. w dziedzinie transportu, dostarczania i wykorzystania energii, ochrony środowiska, edukacji itp.) jest świadczonych przez podmioty prywatne. Dane prywatne generowane przez podmioty spoza sektora publicznego, udostępniane w portalu, mogą mieć istotne znaczenie dla realizacji zadań w interesie publicznym i stanowić wysoką wartość dla dobra wspólnego. </w:t>
      </w:r>
      <w:r w:rsidRPr="00744574">
        <w:rPr>
          <w:rFonts w:eastAsia="Times New Roman" w:cs="Times New Roman"/>
          <w:szCs w:val="24"/>
        </w:rPr>
        <w:t xml:space="preserve">Tego typu dane, mogą stać się filarem procesów skutkujących powstaniem produktów i usług konkurujących pod względem efektywności i innowacyjności z publicznymi. Dane płynące z sektora prywatnego bezpośrednio wpływają na rozwój innowacyjnych produktów, rozwój sztucznej inteligencji oraz innych pożądanych zastosowań i narzędzi cyfrowych. Z uwagi na bardzo różnorodny zakres danych, jakie już są i będą udostępniane w portalu dane.gov.pl, ich systematycznej weryfikacji i aktualizacji dokonywać będą podmioty je udostępniające. </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8. Pełnomocnicy do spraw otwartości danych.</w:t>
      </w:r>
    </w:p>
    <w:p w:rsidR="005D3F15" w:rsidRPr="001C2767" w:rsidRDefault="005D3F15" w:rsidP="001C2767">
      <w:pPr>
        <w:pStyle w:val="NIEARTTEKSTtekstnieartykuowanynppodstprawnarozplubpreambua"/>
        <w:rPr>
          <w:rFonts w:ascii="Times New Roman" w:eastAsia="Times New Roman" w:hAnsi="Times New Roman" w:cs="Times New Roman"/>
          <w:szCs w:val="24"/>
        </w:rPr>
      </w:pPr>
      <w:r w:rsidRPr="001C2767">
        <w:rPr>
          <w:rFonts w:ascii="Times New Roman" w:eastAsia="Calibri" w:hAnsi="Times New Roman" w:cs="Times New Roman"/>
          <w:szCs w:val="24"/>
          <w:lang w:eastAsia="en-US"/>
        </w:rPr>
        <w:t xml:space="preserve">Projekt ustawy przewiduje również powołanie sieci pełnomocników do spraw otwartości danych. Obecnie na mocy Programu otwierania danych przyjętego uchwałą nr 28 Rady Ministrów z dnia 18 lutego 2021 r. (M. P. z 2021 r. poz. 290), formalnie </w:t>
      </w:r>
      <w:r w:rsidRPr="001C2767">
        <w:rPr>
          <w:rFonts w:ascii="Times New Roman" w:eastAsia="Times New Roman" w:hAnsi="Times New Roman" w:cs="Times New Roman"/>
          <w:szCs w:val="24"/>
          <w:lang w:eastAsia="en-US"/>
        </w:rPr>
        <w:t xml:space="preserve">funkcjonuje już sieć pełnomocników. Jest ona jednak ograniczona wyłącznie do poziomu administracji rządowej (ministerstwa, Kancelaria Prezesa Rady Ministrów, Główny Urząd Statystyczny). </w:t>
      </w:r>
      <w:r w:rsidRPr="001C2767">
        <w:rPr>
          <w:rFonts w:ascii="Times New Roman" w:eastAsia="Calibri" w:hAnsi="Times New Roman" w:cs="Times New Roman"/>
          <w:szCs w:val="24"/>
          <w:lang w:eastAsia="en-US"/>
        </w:rPr>
        <w:t xml:space="preserve">Potrzeba poszerzenia tzw. sieci pełnomocników na wielu poziomach instytucjonalnych pojawiła się na bazie doświadczeń z wdrażania ww. </w:t>
      </w:r>
      <w:r w:rsidRPr="001C2767">
        <w:rPr>
          <w:rFonts w:ascii="Times New Roman" w:eastAsia="Calibri" w:hAnsi="Times New Roman" w:cs="Times New Roman"/>
          <w:szCs w:val="24"/>
          <w:lang w:eastAsia="en-US"/>
        </w:rPr>
        <w:lastRenderedPageBreak/>
        <w:t>programu i wymaga ustawowego umocowania. Działanie to pozwoli na ujednolicenie działań w zakresie wdrażania polityki otwierania danych na różnych szczeblach administracji jak i przyczyni się do przyspieszenia procesu otwierania danych w Polsce oraz poprawy ich jakości. W związku z tym, w art. 37</w:t>
      </w:r>
      <w:r w:rsidRPr="001C2767" w:rsidDel="00EC572F">
        <w:rPr>
          <w:rFonts w:ascii="Times New Roman" w:eastAsia="Calibri" w:hAnsi="Times New Roman" w:cs="Times New Roman"/>
          <w:szCs w:val="24"/>
          <w:lang w:eastAsia="en-US"/>
        </w:rPr>
        <w:t xml:space="preserve"> </w:t>
      </w:r>
      <w:r w:rsidRPr="001C2767">
        <w:rPr>
          <w:rFonts w:ascii="Times New Roman" w:eastAsia="Calibri" w:hAnsi="Times New Roman" w:cs="Times New Roman"/>
          <w:szCs w:val="24"/>
          <w:lang w:eastAsia="en-US"/>
        </w:rPr>
        <w:t>ust. 2 przewidziano powoływanie pełnomocników na zasadzie obligatoryjności w organach administracji rządowej:</w:t>
      </w:r>
      <w:r w:rsidR="00C30974">
        <w:rPr>
          <w:rFonts w:ascii="Times New Roman" w:eastAsia="Calibri" w:hAnsi="Times New Roman" w:cs="Times New Roman"/>
          <w:szCs w:val="24"/>
          <w:lang w:eastAsia="en-US"/>
        </w:rPr>
        <w:t xml:space="preserve"> </w:t>
      </w:r>
      <w:r w:rsidRPr="001C2767">
        <w:rPr>
          <w:rFonts w:ascii="Times New Roman" w:eastAsia="Calibri" w:hAnsi="Times New Roman" w:cs="Times New Roman"/>
          <w:szCs w:val="24"/>
          <w:shd w:val="clear" w:color="auto" w:fill="FFFFFF"/>
          <w:lang w:eastAsia="en-US"/>
        </w:rPr>
        <w:t>po jednym z każdego urzędu obsługującego ministra, w Kancelarii Prezesa Rady Ministrów oraz w Głównym Urzędzie Statystycznym</w:t>
      </w:r>
      <w:r w:rsidRPr="001C2767">
        <w:rPr>
          <w:rFonts w:ascii="Times New Roman" w:eastAsia="Calibri" w:hAnsi="Times New Roman" w:cs="Times New Roman"/>
          <w:szCs w:val="24"/>
          <w:lang w:eastAsia="en-US"/>
        </w:rPr>
        <w:t xml:space="preserve">. Projektodawca zakłada, iż ustanowieni </w:t>
      </w:r>
      <w:r w:rsidRPr="001C2767">
        <w:rPr>
          <w:rFonts w:ascii="Times New Roman" w:hAnsi="Times New Roman" w:cs="Times New Roman"/>
          <w:szCs w:val="24"/>
        </w:rPr>
        <w:t xml:space="preserve">pełnomocnicy będą wykonywali swoje czynności również w organach i jednostkach organizacyjnych podległych i nadzorowanych przez właściwych ministrów, Prezesa Rady </w:t>
      </w:r>
      <w:proofErr w:type="spellStart"/>
      <w:r w:rsidRPr="001C2767">
        <w:rPr>
          <w:rFonts w:ascii="Times New Roman" w:hAnsi="Times New Roman" w:cs="Times New Roman"/>
          <w:szCs w:val="24"/>
        </w:rPr>
        <w:t>Mnistrów</w:t>
      </w:r>
      <w:proofErr w:type="spellEnd"/>
      <w:r w:rsidRPr="001C2767">
        <w:rPr>
          <w:rFonts w:ascii="Times New Roman" w:hAnsi="Times New Roman" w:cs="Times New Roman"/>
          <w:szCs w:val="24"/>
        </w:rPr>
        <w:t>. Od normy tej prz</w:t>
      </w:r>
      <w:r w:rsidR="00C30974">
        <w:rPr>
          <w:rFonts w:ascii="Times New Roman" w:hAnsi="Times New Roman" w:cs="Times New Roman"/>
          <w:szCs w:val="24"/>
        </w:rPr>
        <w:t>e</w:t>
      </w:r>
      <w:r w:rsidRPr="001C2767">
        <w:rPr>
          <w:rFonts w:ascii="Times New Roman" w:hAnsi="Times New Roman" w:cs="Times New Roman"/>
          <w:szCs w:val="24"/>
        </w:rPr>
        <w:t xml:space="preserve">widziany jest jeden wyjątek. Z uwagi na to, iż w Głównym Urzędzie Statystycznym projektodawca przewiduje powoływanie pełnomocnika, to </w:t>
      </w:r>
      <w:r w:rsidRPr="001C2767">
        <w:rPr>
          <w:rFonts w:ascii="Times New Roman" w:eastAsia="Times New Roman" w:hAnsi="Times New Roman" w:cs="Times New Roman"/>
          <w:szCs w:val="24"/>
        </w:rPr>
        <w:t>nie będzie on podlegać pełnomocnikowi powołanemu w Kancelarii Prezesa Rady Ministrów.</w:t>
      </w:r>
      <w:r w:rsidRPr="001C2767">
        <w:rPr>
          <w:rFonts w:ascii="Times New Roman" w:eastAsia="Calibri" w:hAnsi="Times New Roman" w:cs="Times New Roman"/>
          <w:szCs w:val="24"/>
          <w:lang w:eastAsia="en-US"/>
        </w:rPr>
        <w:t xml:space="preserve"> W ramach dobrowolności, na podstawie art. 37 ust. 4 ustawodawca dopuszcza powołanie pełnomocników </w:t>
      </w:r>
      <w:r w:rsidRPr="001C2767">
        <w:rPr>
          <w:rFonts w:ascii="Times New Roman" w:hAnsi="Times New Roman" w:cs="Times New Roman"/>
          <w:szCs w:val="24"/>
        </w:rPr>
        <w:t>w innych instytucjach niż podmioty zobowiązane</w:t>
      </w:r>
      <w:r w:rsidRPr="001C2767">
        <w:rPr>
          <w:rFonts w:ascii="Times New Roman" w:eastAsia="Calibri" w:hAnsi="Times New Roman" w:cs="Times New Roman"/>
          <w:szCs w:val="24"/>
          <w:lang w:eastAsia="en-US"/>
        </w:rPr>
        <w:t>. Nadrzędnym zadaniem jaki</w:t>
      </w:r>
      <w:r w:rsidR="00601DF0">
        <w:rPr>
          <w:rFonts w:ascii="Times New Roman" w:eastAsia="Calibri" w:hAnsi="Times New Roman" w:cs="Times New Roman"/>
          <w:szCs w:val="24"/>
          <w:lang w:eastAsia="en-US"/>
        </w:rPr>
        <w:t>e</w:t>
      </w:r>
      <w:r w:rsidRPr="001C2767">
        <w:rPr>
          <w:rFonts w:ascii="Times New Roman" w:eastAsia="Calibri" w:hAnsi="Times New Roman" w:cs="Times New Roman"/>
          <w:szCs w:val="24"/>
          <w:lang w:eastAsia="en-US"/>
        </w:rPr>
        <w:t xml:space="preserve"> powierza się ww. pełnomocnikom będzie realizowanie działań </w:t>
      </w:r>
      <w:r w:rsidRPr="001C2767">
        <w:rPr>
          <w:rFonts w:ascii="Times New Roman" w:hAnsi="Times New Roman" w:cs="Times New Roman"/>
          <w:szCs w:val="24"/>
        </w:rPr>
        <w:t xml:space="preserve">mających na celu poprawę jakości i zwiększenie ilości informacji sektora publicznego udostępnianych na portalu danych w celu ponownego wykorzystywania. Ponadto, w ramach poziomu operacyjnego pełnomocnicy ds. otwartości danych będą wspierać realizatorów programu w wykonywaniu zadań związanych z realizacją programu. </w:t>
      </w:r>
      <w:r w:rsidRPr="001C2767">
        <w:rPr>
          <w:rFonts w:ascii="Times New Roman" w:eastAsia="Calibri" w:hAnsi="Times New Roman" w:cs="Times New Roman"/>
          <w:szCs w:val="24"/>
          <w:lang w:eastAsia="en-US"/>
        </w:rPr>
        <w:t xml:space="preserve">Artykuł 38 zawiera otwarty katalog obowiązków pełnomocników, do których będzie należeć m.in.: pozyskiwanie informacji sektora publicznego możliwych do udostępniania na portalu; monitorowanie jakości i aktualności informacji sektora publicznego oraz metadanych, </w:t>
      </w:r>
      <w:r w:rsidRPr="001C2767">
        <w:rPr>
          <w:rFonts w:ascii="Times New Roman" w:hAnsi="Times New Roman" w:cs="Times New Roman"/>
          <w:szCs w:val="24"/>
        </w:rPr>
        <w:t xml:space="preserve">ocena informacji sektora publicznego pod względem ich jakości oraz użyteczności, do ich ponownego wykorzystywania. </w:t>
      </w:r>
    </w:p>
    <w:p w:rsidR="005D3F15" w:rsidRPr="00744574" w:rsidRDefault="005D3F15" w:rsidP="001C2767">
      <w:pPr>
        <w:widowControl/>
        <w:spacing w:before="120"/>
        <w:jc w:val="both"/>
        <w:rPr>
          <w:rFonts w:eastAsia="Calibri" w:cs="Times New Roman"/>
          <w:b/>
          <w:szCs w:val="24"/>
          <w:lang w:eastAsia="en-US"/>
        </w:rPr>
      </w:pPr>
      <w:r w:rsidRPr="006A6376">
        <w:rPr>
          <w:rFonts w:eastAsia="Calibri" w:cs="Times New Roman"/>
          <w:b/>
          <w:szCs w:val="24"/>
          <w:lang w:eastAsia="en-US"/>
        </w:rPr>
        <w:t>Rozdział 9.</w:t>
      </w:r>
      <w:r w:rsidRPr="006A6376">
        <w:rPr>
          <w:rFonts w:eastAsia="Calibri" w:cs="Times New Roman"/>
          <w:szCs w:val="24"/>
          <w:lang w:eastAsia="en-US"/>
        </w:rPr>
        <w:t xml:space="preserve"> </w:t>
      </w:r>
      <w:r w:rsidRPr="00744574">
        <w:rPr>
          <w:rFonts w:eastAsia="Calibri" w:cs="Times New Roman"/>
          <w:b/>
          <w:szCs w:val="24"/>
          <w:lang w:eastAsia="en-US"/>
        </w:rPr>
        <w:t>Ponowne wykorzystywanie informacji sektora publicznego przekazywanych na wniosek.</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Przesłanki do złożenia wniosku o ponowne wykorzystywanie informacji sektora publicznego wskazane zostały w art. 39 ust. 1 projektu ustawy, zgodnie z którym wniosek wnosi się do podmiotu zobowiązanego w przypadku gdy informacje sektora publicznego będące w posiadaniu podmiotu zobowiązanego:</w:t>
      </w:r>
    </w:p>
    <w:p w:rsidR="005D3F15" w:rsidRPr="00744574" w:rsidRDefault="005D3F15" w:rsidP="001C2767">
      <w:pPr>
        <w:widowControl/>
        <w:numPr>
          <w:ilvl w:val="0"/>
          <w:numId w:val="21"/>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nie są udostępniane w BIP lub w portalu danych;</w:t>
      </w:r>
    </w:p>
    <w:p w:rsidR="005D3F15" w:rsidRPr="00744574" w:rsidRDefault="005D3F15" w:rsidP="001C2767">
      <w:pPr>
        <w:widowControl/>
        <w:numPr>
          <w:ilvl w:val="0"/>
          <w:numId w:val="21"/>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 xml:space="preserve">są udostępniane w systemie teleinformatycznym innym niż określony w pkt 1 i nie zostały określone warunki ponownego wykorzystywania lub opłaty za </w:t>
      </w:r>
      <w:r w:rsidRPr="00744574">
        <w:rPr>
          <w:rFonts w:eastAsia="Calibri" w:cs="Times New Roman"/>
          <w:szCs w:val="24"/>
          <w:lang w:eastAsia="en-US"/>
        </w:rPr>
        <w:lastRenderedPageBreak/>
        <w:t>ponowne wykorzystywanie albo nie poinformowano o braku takich warunków lub opłat;</w:t>
      </w:r>
    </w:p>
    <w:p w:rsidR="005D3F15" w:rsidRPr="00744574" w:rsidRDefault="005D3F15" w:rsidP="001C2767">
      <w:pPr>
        <w:widowControl/>
        <w:numPr>
          <w:ilvl w:val="0"/>
          <w:numId w:val="21"/>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zainteresowany (potencjalny użytkownik) chce wykorzystać informacje sektora publicznego, ale na innych warunkach, niż zostały dla tych informacji określone przez podmiot zobowiązany;</w:t>
      </w:r>
    </w:p>
    <w:p w:rsidR="005D3F15" w:rsidRPr="00744574" w:rsidRDefault="005D3F15" w:rsidP="001C2767">
      <w:pPr>
        <w:widowControl/>
        <w:numPr>
          <w:ilvl w:val="0"/>
          <w:numId w:val="21"/>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zainteresowany posiada już informacje sektora publicznego uzyskane na podstawie innych ustaw określających zasady i tryb dostępu do informacji będących informacjami sektora publicznego (np. uzyskał ją w trybie ustawy o dostępie do informacji publicznej) i chce ją ponownie wykorzystywać.</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Wniosek może ponadto dotyczyć umożliwienia ponownego wykorzystywania, w sposób stały i bezpośredni w czasie rzeczywistym, informacji sektora publicznego gromadzonych i przechowywanych w systemie teleinformatycznym podmiotu zobowiązanego (art. 39 ust. 2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Wniosek powinien zostać rozpatrzony niezwłocznie, nie później jednak niż 14 dni od jego otrzymania. Projekt ustawy dopuszcza również możliwość przedłużenia terminu na rozpatrzenie wniosku jeżeli jest to uzasadnione poziomem skomplikowania sprawy. W takim przypadku, kiedy wniosek nie może zostać rozpatrzony w terminie 14 dni, podmiot zobowiązany zawiadamia w tym terminie wnioskodawcę o przyczynach opóźnienia oraz o terminie, w jakim rozpatrzy wniosek, nie dłuższym jednak niż 2 miesiące od dnia złożenia tego wniosku.</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Zgodnie z art. 39 ust. 4 projektu ustawy wniosek o ponowne wykorzystywanie informacji sektora publicznego można złożyć w postaci papierowej albo elektronicznej. Treść wniosku określają przepisy art. 39 ust. 3 projektu ustawy, które m.in. stanowią o obowiązku opisania rodzaju działalności, w której informacje sektora publicznego będą ponownie wykorzystywane, w szczególności wskazanie dóbr, produktów lub usług, dla jakich wnioskodawca domaga się informacji sektora publicznego do ponownego wykorzystywania. Rozwiązanie takie jest korzystne zarówno dla podmiotu zobowiązanego w zakresie wyboru trybu jak i wnioskodawcy. Ponadto wymóg określenia celów ponownego wykorzystywania pozwoli na precyzyjne ustalenie warunków ponownego wykorzystywania przez podmioty zobowiązane. Jest to istotne w szczególności w przypadku podmiotów będących muzeami państwowymi, muzeami samorządowymi, bibliotekami publicznymi, bibliotekami naukowymi, bibliotekami </w:t>
      </w:r>
      <w:r w:rsidRPr="00744574">
        <w:rPr>
          <w:rFonts w:eastAsia="Calibri" w:cs="Times New Roman"/>
          <w:szCs w:val="24"/>
          <w:lang w:eastAsia="en-US"/>
        </w:rPr>
        <w:lastRenderedPageBreak/>
        <w:t>pedagogicznymi lub archiwami, które zyskają możliwość fakultatywnego określania warunków ponownego wykorzystywania. Taki wymóg wydaje się także uzasadniony z uwagi na zasadę niedyskryminacji określoną w art. 8 projektu ustawy. Zasada ta gwarantuje, że podmiot zobowiązany przekazuje informacje sektora publicznego w celu ponownego wykorzystywania w porównywalnych sytuacjach na takich samych warunkach. W przypadku niespełnienia wymogów formalnych wniosku wzywa się wnioskodawcę do uzupełnienia braków, wraz z pouczeniem, że ich nieusunięcie w terminie 7 dni od dnia otrzymania wezwania spowoduje pozostawienie wniosku bez rozpoznania (art. 39 ust. 5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W wyniku realizacji wniosku o ponowne wykorzystywanie, z wyjątkiem wniosku o ponowne wykorzystywanie danych w sposób stały i bezpośredni, o którym mowa w art. 39 ust. 2 projektu ustawy, podmiot zobowiązany:</w:t>
      </w:r>
    </w:p>
    <w:p w:rsidR="005D3F15" w:rsidRPr="00744574" w:rsidRDefault="005D3F15" w:rsidP="001C2767">
      <w:pPr>
        <w:widowControl/>
        <w:numPr>
          <w:ilvl w:val="0"/>
          <w:numId w:val="22"/>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przekazuje informacje sektora publicznego w celu ponownego wykorzystywania bez ograniczeń warunkami (bez określania warunków ponownego wykorzystywania);</w:t>
      </w:r>
    </w:p>
    <w:p w:rsidR="005D3F15" w:rsidRPr="00744574" w:rsidRDefault="005D3F15" w:rsidP="001C2767">
      <w:pPr>
        <w:widowControl/>
        <w:numPr>
          <w:ilvl w:val="0"/>
          <w:numId w:val="22"/>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informuje o braku informacji sektora publicznego wskazanych we wniosku;</w:t>
      </w:r>
    </w:p>
    <w:p w:rsidR="005D3F15" w:rsidRPr="00744574" w:rsidRDefault="005D3F15" w:rsidP="001C2767">
      <w:pPr>
        <w:widowControl/>
        <w:numPr>
          <w:ilvl w:val="0"/>
          <w:numId w:val="22"/>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w przypadku posiadania informacji sektora publicznego przez wnioskodawcę – zawiadamia o braku ograniczenia warunkami;</w:t>
      </w:r>
    </w:p>
    <w:p w:rsidR="005D3F15" w:rsidRPr="00744574" w:rsidRDefault="005D3F15" w:rsidP="001C2767">
      <w:pPr>
        <w:widowControl/>
        <w:numPr>
          <w:ilvl w:val="0"/>
          <w:numId w:val="22"/>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przedstawia wnioskodawcy ofertę zawierającą warunki ponownego wykorzystywania informacji sektora publicznego lub informację o wysokości opłat za ponowne wykorzystywanie (jeżeli są przewidziane) lub w przypadku, o którym mowa w art. 10 ust. 4, informację o przyczynach braku możliwości przekazania informacji sektora publicznego i wskazanie w jaki sposób lub w jakiej formie informacje sektora publicznego mogą zostać przekazane;</w:t>
      </w:r>
    </w:p>
    <w:p w:rsidR="005D3F15" w:rsidRPr="00744574" w:rsidRDefault="005D3F15" w:rsidP="001C2767">
      <w:pPr>
        <w:widowControl/>
        <w:numPr>
          <w:ilvl w:val="0"/>
          <w:numId w:val="22"/>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t>odmawia, w drodze decyzji, ponownego wykorzystywania informacji sektora publicznego.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Zainteresowanym zostanie zapewniona możliwość kwestionowania treści poszczególnych warunków, a także wysokości opłat za ponowne wykorzystywanie informacji sektora publicznego. Wnioskodawca, który otrzyma ofertę może, w terminie 14 dni od dnia jej otrzymania, złożyć sprzeciw z powodu naruszenia przepisów ustawy albo poinformować o jej przyjęciu. Brak reakcji wnioskodawcy w tym terminie jest równoznaczny z wycofaniem wniosku. W przypadku otrzymania sprzeciwu podmiot </w:t>
      </w:r>
      <w:r w:rsidRPr="00744574">
        <w:rPr>
          <w:rFonts w:eastAsia="Calibri" w:cs="Times New Roman"/>
          <w:szCs w:val="24"/>
          <w:lang w:eastAsia="en-US"/>
        </w:rPr>
        <w:lastRenderedPageBreak/>
        <w:t>zobowiązany, w drodze decyzji, rozstrzygnie o warunkach ponownego wykorzystywania informacji sektora publicznego lub o wysokości opłat lub w przypadku, o którym mowa w art. 10 ust. 4, odmówi wyrażenia zgody na ponowne wykorzystywanie informacji sektora publicznego.</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Zgodnie z art. 41 ust. 4 projektu ustawy podmiot zobowiązany odmawia, w drodze decyzji, wyrażenia zgody na ponowne wykorzystywanie informacji sektora publicznego (odmawia przekazania informacji sektora publicznego) w przypadku gdy prawo do ponownego wykorzystywania podlega ograniczeniom, o którym mowa w art. 6 projektu ustawy.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Projekt przewiduje również możliwość uzyskania na podstawie wniosku o ponowne wykorzystywanie bezpośredniego i stałego dostępu do informacji sektora publicznego gromadzonych i przechowywanych w systemie teleinformatycznym (art. 39 ust. 2 projektu ustawy). Rozwiązanie to należy do fakultatywnych sposobów przekazywania informacji sektora publicznego przez podmiot zobowiązany, co oznacza, że podmiot ten może, lecz nie musi zapewnić takiej formy dostępu. Chodzi wyłącznie o dostęp bezpośredni w czasie rzeczywistym (on</w:t>
      </w:r>
      <w:r w:rsidRPr="00744574">
        <w:rPr>
          <w:rFonts w:eastAsia="Calibri" w:cs="Times New Roman"/>
          <w:szCs w:val="24"/>
          <w:lang w:eastAsia="en-US"/>
        </w:rPr>
        <w:noBreakHyphen/>
        <w:t>line). Rozwiązanie to nie polega na reprodukowaniu informacji sektora publicznego utrwalonych w postaci papierowej lub na informatycznych nośnikach danych. W wyniku realizacji tego wniosku podmiot zobowiązany:</w:t>
      </w:r>
    </w:p>
    <w:p w:rsidR="005D3F15" w:rsidRPr="00744574" w:rsidRDefault="005D3F15" w:rsidP="001C2767">
      <w:pPr>
        <w:widowControl/>
        <w:numPr>
          <w:ilvl w:val="0"/>
          <w:numId w:val="23"/>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przedstawia wnioskodawcy ofertę, zawierającą warunki ponownego wykorzystywania lub wysokość opłat za ponowne wykorzystywanie oraz informacje dotyczące dostępności informacji sektora publicznego; przy czym od tej oferty nie przysługuje sprzeciw;</w:t>
      </w:r>
    </w:p>
    <w:p w:rsidR="005D3F15" w:rsidRPr="00744574" w:rsidRDefault="005D3F15" w:rsidP="001C2767">
      <w:pPr>
        <w:widowControl/>
        <w:numPr>
          <w:ilvl w:val="0"/>
          <w:numId w:val="23"/>
        </w:numPr>
        <w:autoSpaceDE/>
        <w:autoSpaceDN/>
        <w:adjustRightInd/>
        <w:spacing w:before="120"/>
        <w:contextualSpacing/>
        <w:jc w:val="both"/>
        <w:rPr>
          <w:rFonts w:eastAsia="Calibri" w:cs="Times New Roman"/>
          <w:szCs w:val="24"/>
          <w:lang w:eastAsia="en-US"/>
        </w:rPr>
      </w:pPr>
      <w:r w:rsidRPr="00744574">
        <w:rPr>
          <w:rFonts w:eastAsia="Calibri" w:cs="Times New Roman"/>
          <w:szCs w:val="24"/>
          <w:lang w:eastAsia="en-US"/>
        </w:rPr>
        <w:t>informuje wnioskodawcę o braku możliwości ponownego wykorzystywania w sposób wskazany we wniosku lub ze względu na format w jakim informacje sektora publicznego miałyby zostać udostępnione;</w:t>
      </w:r>
    </w:p>
    <w:p w:rsidR="005D3F15" w:rsidRPr="00744574" w:rsidRDefault="005D3F15" w:rsidP="001C2767">
      <w:pPr>
        <w:widowControl/>
        <w:numPr>
          <w:ilvl w:val="0"/>
          <w:numId w:val="23"/>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t>odmawia, w drodze decyzji, wyrażenia zgody na ponowne wykorzystywanie informacji sektora publicznego.</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W odniesieniu do obowiązku przedstawienia w ramach oferty informacji dotyczących dostępności informacji sektora publicznego należy wyjaśnić, że projekt ustawy przewiduje dwa tryby dostępu do informacji sektora publicznego, tj. przekazywanie informacji sektora publicznego na wniosek (tryb wnioskowy) oraz udostępnianie </w:t>
      </w:r>
      <w:r w:rsidRPr="00744574">
        <w:rPr>
          <w:rFonts w:eastAsia="Calibri" w:cs="Times New Roman"/>
          <w:szCs w:val="24"/>
          <w:lang w:eastAsia="en-US"/>
        </w:rPr>
        <w:lastRenderedPageBreak/>
        <w:t xml:space="preserve">informacji sektora publicznego w systemie teleinformatycznym (tryb </w:t>
      </w:r>
      <w:proofErr w:type="spellStart"/>
      <w:r w:rsidRPr="00744574">
        <w:rPr>
          <w:rFonts w:eastAsia="Calibri" w:cs="Times New Roman"/>
          <w:szCs w:val="24"/>
          <w:lang w:eastAsia="en-US"/>
        </w:rPr>
        <w:t>pozawnioskowy</w:t>
      </w:r>
      <w:proofErr w:type="spellEnd"/>
      <w:r w:rsidRPr="00744574">
        <w:rPr>
          <w:rFonts w:eastAsia="Calibri" w:cs="Times New Roman"/>
          <w:szCs w:val="24"/>
          <w:lang w:eastAsia="en-US"/>
        </w:rPr>
        <w:t>). Wniosek o uzyskanie dostępu do danych zgromadzonych w systemie teleinformatycznym podmiotu zobowiązanego w sposób stały i bezpośredni w czasie rzeczywistym stanowi szczególny rodzaj trybu wnioskowego. Taka forma dostępu do danych jest w pewien sposób zbliżona do trybu udostępniania informacji sektora publicznego za pośrednictwem API. Jednak zgodnie z systematyką ustawy jest to sposób uzyskania dostępu do informacji sektora publicznego kwalifikowany jako tryb wnioskowy (dostęp do danych następuje na wniosek).</w:t>
      </w:r>
    </w:p>
    <w:p w:rsidR="005D3F15" w:rsidRPr="00744574" w:rsidRDefault="005D3F15" w:rsidP="001C2767">
      <w:pPr>
        <w:widowControl/>
        <w:autoSpaceDE/>
        <w:autoSpaceDN/>
        <w:adjustRightInd/>
        <w:spacing w:before="120"/>
        <w:jc w:val="both"/>
        <w:rPr>
          <w:rFonts w:eastAsia="Calibri" w:cs="Times New Roman"/>
          <w:szCs w:val="24"/>
          <w:lang w:eastAsia="en-US"/>
        </w:rPr>
      </w:pPr>
      <w:r w:rsidRPr="00744574">
        <w:rPr>
          <w:rFonts w:eastAsia="Calibri" w:cs="Times New Roman"/>
          <w:szCs w:val="24"/>
          <w:lang w:eastAsia="en-US"/>
        </w:rPr>
        <w:t xml:space="preserve">Wskazany w art. 13 projektu ustawy wymóg publikacji przez podmiot zobowiązany informacji dotyczących dostępności dotyczy jedynie udostępniania informacji sektora publicznego za pośrednictwem API (tryb </w:t>
      </w:r>
      <w:proofErr w:type="spellStart"/>
      <w:r w:rsidRPr="00744574">
        <w:rPr>
          <w:rFonts w:eastAsia="Calibri" w:cs="Times New Roman"/>
          <w:szCs w:val="24"/>
          <w:lang w:eastAsia="en-US"/>
        </w:rPr>
        <w:t>pozawnioskowy</w:t>
      </w:r>
      <w:proofErr w:type="spellEnd"/>
      <w:r w:rsidRPr="00744574">
        <w:rPr>
          <w:rFonts w:eastAsia="Calibri" w:cs="Times New Roman"/>
          <w:szCs w:val="24"/>
          <w:lang w:eastAsia="en-US"/>
        </w:rPr>
        <w:t>). Nie obejmuje tym samym sytuacji, w których użytkownik uzyska dostęp do danych w trybie wnioskowym na podstawie wniosku o dostęp do danych zgromadzonych w systemie teleinformatycznym podmiotu zobowiązanego w sposób stały i bezpośredni w czasie</w:t>
      </w:r>
      <w:r w:rsidRPr="008C03BA">
        <w:rPr>
          <w:rFonts w:cs="Times New Roman"/>
          <w:szCs w:val="24"/>
        </w:rPr>
        <w:t xml:space="preserve"> </w:t>
      </w:r>
      <w:r w:rsidRPr="00744574">
        <w:rPr>
          <w:rFonts w:eastAsia="Calibri" w:cs="Times New Roman"/>
          <w:szCs w:val="24"/>
          <w:lang w:eastAsia="en-US"/>
        </w:rPr>
        <w:t>rzeczywistym. Mając powyższe na względzie konieczne było uwzględnienie informacji dotyczących dostępności informacji sektora publicznego w ofercie, którą podmiot zobowiązany może złożyć wnioskodawcy rozpatrując tego rodzaju wniosek.</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Przepisy art. 41 ust. 5 i art. 42 ust. 1 pkt 3 projektu ustawy stanowią, że w przypadku gdy podstawą odmowy są prawa autorskie lub prawa pokrewne, prawa do baz danych lub prawa do odmian roślin przysługujące osobom trzecim, podmiot zobowiązany wskazuje osobę fizyczną, osobę prawną lub jednostkę organizacyjną nieposiadającą osobowości prawnej, która posiada prawa własności intelektualnej, jeżeli jest znana, albo licencjodawcę, od którego podmiot zobowiązany uzyskał dany przedmiot praw własności intelektualnej. Podmiot zobowiązany będzie również obowiązany do wskazania takiej informacji w przypadku odmowy przekazania informacji sektora publicznego ze względu na objęcie tych informacji prawami własności przemysłowej lub prawami własności przemysłowej podlegającymi ochronie na podstawie umów międzynarodowych lub przepisów prawa Unii Europejskie. Zgodnie z brzmieniem art. 4 ust. 3 dyrektywy 2019/1024/UE z tego obowiązku będą zwolnione muzea państwowe i muzea samorządowe, biblioteki publiczne, naukowe i pedagogiczne oraz archiwa.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Warunki ponownego wykorzystywania informacji sektora publicznego, a także wysokość opłat za ponowne wykorzystywanie informacji stanowią ofertę w rozumieniu art. 66 k.c. </w:t>
      </w:r>
      <w:r w:rsidRPr="00744574">
        <w:rPr>
          <w:rFonts w:eastAsia="Calibri" w:cs="Times New Roman"/>
          <w:szCs w:val="24"/>
          <w:lang w:eastAsia="en-US"/>
        </w:rPr>
        <w:lastRenderedPageBreak/>
        <w:t>Zastosowanie znajdą wówczas przepisy k.c. dotyczące zawierania umów przez ofertę i jej przyjęcie, w tym ofertę w postaci elektronicznej (art. 66 i nast. k.c.). Co do zasady umowę uznaje się za zawartą w momencie, w którym składający ofertę otrzyma oświadczenie potwierdzające jej przyjęcie. W przypadku naruszenia warunków określonych w umowie zastosowanie znajdą ogólne zasady odpowiedzialności cywilnoprawnej, o czym była już mowa w punkcie uzasadnienia dotyczącym warunków ponownego wykorzystywania.</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Do postępowania kończącego się wydaniem decyzji odmawiających przekazania informacji sektora publicznego do ponownego wykorzystywania oraz stwierdzającej warunki ponownego wykorzystywania lub o wysokości opłat za ponowne wykorzystywanie, w zakresie nieuregulowanym ustawą, zastosowanie mają przepisy ustawy z dnia 14 czerwca 1960 r. – Kodeks postępowania administracyjnego</w:t>
      </w:r>
      <w:r w:rsidRPr="006A6376">
        <w:rPr>
          <w:rFonts w:eastAsia="Calibri" w:cs="Times New Roman"/>
          <w:szCs w:val="24"/>
          <w:vertAlign w:val="superscript"/>
          <w:lang w:eastAsia="en-US"/>
        </w:rPr>
        <w:footnoteReference w:id="37"/>
      </w:r>
      <w:r w:rsidRPr="006A6376">
        <w:rPr>
          <w:rFonts w:eastAsia="Times New Roman" w:cs="Times New Roman"/>
          <w:szCs w:val="24"/>
          <w:vertAlign w:val="superscript"/>
        </w:rPr>
        <w:t>)</w:t>
      </w:r>
      <w:r w:rsidRPr="006A6376">
        <w:rPr>
          <w:rFonts w:eastAsia="Calibri" w:cs="Times New Roman"/>
          <w:szCs w:val="24"/>
          <w:lang w:eastAsia="en-US"/>
        </w:rPr>
        <w:t xml:space="preserve"> co powoduje, że rozstrzygnięcie podmiotu zobowiązanego podlega kontroli instancyjnej, a</w:t>
      </w:r>
      <w:r w:rsidRPr="00744574">
        <w:rPr>
          <w:rFonts w:eastAsia="Calibri" w:cs="Times New Roman"/>
          <w:szCs w:val="24"/>
          <w:lang w:eastAsia="en-US"/>
        </w:rPr>
        <w:t xml:space="preserve"> następnie </w:t>
      </w:r>
      <w:proofErr w:type="spellStart"/>
      <w:r w:rsidRPr="00744574">
        <w:rPr>
          <w:rFonts w:eastAsia="Calibri" w:cs="Times New Roman"/>
          <w:szCs w:val="24"/>
          <w:lang w:eastAsia="en-US"/>
        </w:rPr>
        <w:t>sądowoadministracyjnej</w:t>
      </w:r>
      <w:proofErr w:type="spellEnd"/>
      <w:r w:rsidRPr="00744574">
        <w:rPr>
          <w:rFonts w:eastAsia="Calibri" w:cs="Times New Roman"/>
          <w:szCs w:val="24"/>
          <w:lang w:eastAsia="en-US"/>
        </w:rPr>
        <w:t xml:space="preserve">. Projekt ustawy przewiduje zmianę w zakresie trybu odwoławczego od decyzji wydawanych przez podmioty zobowiązane. Przepisy ustawy z 2016 r. nie wprowadzały szczególnych rozwiązań proceduralnych w zakresie postępowania odwoławczego. Zastosowanie znajdowały w pełni przepisy Kodeksu postępowania administracyjnego i właściwym do rozpatrzenia odwołania od decyzji wydanej przez podmiot zobowiązany był organ administracji publicznej wyższego stopnia (zgodnie z art. 127 § 2 k.p.a. właściwym do rozpatrzenia odwołania jest organ administracji publicznej wyższego stopnia, chyba że ustawa przewiduje inny organ odwoławczy). W projekcie ustawy proponuje się wprowadzenie przepisów szczególnych w stosunku do rozwiązań ogólnej procedury administracyjnej. Zgodnie z art. 43 ust. 1 projektu ustawy organem odwoławczym od decyzji o odmowie wyrażenia zgody na ponowne wykorzystywanie informacji sektora publicznego oraz od decyzji o warunkach ponownego wykorzystywania lub o wysokości opłat za ponowne wykorzystywanie będzie minister właściwy do spraw informatyzacji (przepis art. 127 § 3 k.p.a. stosuje się). Zgodnie z art. 4 ust. 4 dyrektywy 2019/1024/UE środki odwoławcze od decyzji dotyczących ponownego wykorzystywania obejmować powinny możliwość kontroli takich rozstrzygnięć przez bezstronny organ odwoławczy posiadający odpowiednią wiedzę specjalistyczną – taki jak krajowy organ ochrony konkurencji, odpowiedni organ </w:t>
      </w:r>
      <w:r w:rsidRPr="00744574">
        <w:rPr>
          <w:rFonts w:eastAsia="Calibri" w:cs="Times New Roman"/>
          <w:szCs w:val="24"/>
          <w:lang w:eastAsia="en-US"/>
        </w:rPr>
        <w:lastRenderedPageBreak/>
        <w:t>regulujący dostęp do dokumentów, organ nadzorczy ustanowiony zgodnie z rozporządzeniem (UE) 2016/679 lub krajowy organ sądowy – którego decyzje są wiążące dla danego organu sektora publicznego. Minister właściwy do spraw informatyzacji jako organ właściwy w sprawach z zakresu ponownego wykorzystywania informacji sektora publicznego (organ regulujący dostęp do informacji sektora publicznego w Polsce), rozpatrując odwołania od decyzji wydawanych przez podmioty zobowiązane, pełnić będzie w ten sposób (jako organ II instancji) rolę bezstronnego organu odwoławczego posiadającego odpowiednią wiedzę specjalistyczną. Proponowane zmiany dotyczyć będą jednak jedynie decyzji, od których na podstawie przepisów Kodeksu postępowania administracyjnego stronie służy odwołanie (art. 127 § 2 k.p.a.). W przypadku, decyzji wydanych w pierwszej instancji przez ministra lub samorządowe kolegium odwoławcze (na które zgodnie z art. 127 § 3 k.p.a. nie służy odwołanie) zastosowanie znajdować będą nadal przepisy Kodeksu postępowania administracyjnego – strona będzie mogła zwrócić się do tego organu z wnioskiem o ponowne rozpatrzenie sprawy.</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Do skarg rozpatrywanych w postępowaniach dotyczących przekazywania na wniosek informacji sektora publicznego oraz ich ponownego wykorzystywania zastosowanie mają przepisy ustawy z dnia 30 sierpnia 2002 r. – Prawo o postępowaniu przed sądami administracyjnymi</w:t>
      </w:r>
      <w:r w:rsidRPr="006A6376">
        <w:rPr>
          <w:rFonts w:eastAsia="Calibri" w:cs="Times New Roman"/>
          <w:szCs w:val="24"/>
          <w:vertAlign w:val="superscript"/>
          <w:lang w:eastAsia="en-US"/>
        </w:rPr>
        <w:footnoteReference w:id="38"/>
      </w:r>
      <w:r w:rsidRPr="006A6376">
        <w:rPr>
          <w:rFonts w:eastAsia="Times New Roman" w:cs="Times New Roman"/>
          <w:szCs w:val="24"/>
          <w:vertAlign w:val="superscript"/>
        </w:rPr>
        <w:t>)</w:t>
      </w:r>
      <w:r w:rsidRPr="006A6376">
        <w:rPr>
          <w:rFonts w:eastAsia="Calibri" w:cs="Times New Roman"/>
          <w:szCs w:val="24"/>
          <w:lang w:eastAsia="en-US"/>
        </w:rPr>
        <w:t xml:space="preserve">, z </w:t>
      </w:r>
      <w:r w:rsidRPr="00744574">
        <w:rPr>
          <w:rFonts w:eastAsia="Calibri" w:cs="Times New Roman"/>
          <w:szCs w:val="24"/>
          <w:lang w:eastAsia="en-US"/>
        </w:rPr>
        <w:t>tym że przekazanie akt i odpowiedzi na skargę następuje w terminie 15 dni od dnia otrzymania skargi, natomiast skargę rozpatruje się w terminie 30 dni od dnia otrzymania akt wraz z odpowiedzią na skargę.</w:t>
      </w:r>
    </w:p>
    <w:p w:rsidR="005D3F15" w:rsidRPr="00744574" w:rsidRDefault="005D3F15" w:rsidP="001C2767">
      <w:pPr>
        <w:widowControl/>
        <w:spacing w:before="120"/>
        <w:jc w:val="both"/>
        <w:rPr>
          <w:rFonts w:eastAsia="Calibri" w:cs="Times New Roman"/>
          <w:szCs w:val="24"/>
          <w:lang w:eastAsia="en-US"/>
        </w:rPr>
      </w:pPr>
      <w:r w:rsidRPr="00744574">
        <w:rPr>
          <w:rFonts w:eastAsia="Calibri" w:cs="Times New Roman"/>
          <w:szCs w:val="24"/>
          <w:lang w:eastAsia="en-US"/>
        </w:rPr>
        <w:t xml:space="preserve">Zgodnie z art. 44 projektu ustawy przepisów dotyczących rozpatrywania wniosków o ponowne wykorzystywanie (przepisów rozdziału 9) nie stosuje się do informacji sektora publicznego będących w posiadaniu podmiotów, o których mowa w art. 3 pkt 5 projektu ustawy oraz danych badawczych, o których mowa w art. 22 projektu. Przepis ten jest konsekwencją wyłączenia (na gruncie dyrektywy 2019/1024/UE) z regulacji dotyczących przetwarzania wniosków o ponowne wykorzystywanie przedsiębiorstw publicznych oraz instytucji edukacyjnych, organizacji prowadzących badania naukowe i organizacji finansujących badania naukowe (art. 4 ust. 6 dyrektywy). </w:t>
      </w:r>
    </w:p>
    <w:p w:rsidR="005D3F15" w:rsidRPr="00744574" w:rsidRDefault="005D3F15" w:rsidP="001C2767">
      <w:pPr>
        <w:widowControl/>
        <w:spacing w:before="120"/>
        <w:jc w:val="both"/>
        <w:rPr>
          <w:rFonts w:eastAsia="Calibri" w:cs="Times New Roman"/>
          <w:b/>
          <w:szCs w:val="24"/>
          <w:lang w:eastAsia="en-US"/>
        </w:rPr>
      </w:pPr>
      <w:r w:rsidRPr="00744574">
        <w:rPr>
          <w:rFonts w:eastAsia="Calibri" w:cs="Times New Roman"/>
          <w:b/>
          <w:szCs w:val="24"/>
          <w:lang w:eastAsia="en-US"/>
        </w:rPr>
        <w:t>Rozdział 10. Zmiany w przepisach obowiązujących.</w:t>
      </w:r>
    </w:p>
    <w:p w:rsidR="005D3F15" w:rsidRPr="00744574" w:rsidRDefault="005D3F15" w:rsidP="001C2767">
      <w:pPr>
        <w:widowControl/>
        <w:numPr>
          <w:ilvl w:val="0"/>
          <w:numId w:val="24"/>
        </w:numPr>
        <w:autoSpaceDE/>
        <w:autoSpaceDN/>
        <w:adjustRightInd/>
        <w:spacing w:before="120"/>
        <w:ind w:hanging="357"/>
        <w:jc w:val="both"/>
        <w:rPr>
          <w:rFonts w:eastAsia="Calibri" w:cs="Times New Roman"/>
          <w:szCs w:val="24"/>
          <w:lang w:eastAsia="en-US"/>
        </w:rPr>
      </w:pPr>
      <w:r w:rsidRPr="00744574">
        <w:rPr>
          <w:rFonts w:eastAsia="Calibri" w:cs="Times New Roman"/>
          <w:szCs w:val="24"/>
          <w:lang w:eastAsia="en-US"/>
        </w:rPr>
        <w:t xml:space="preserve">Projekt ustawy dokonuje nowelizacji ustawy z dnia 6 września 2001 r. o dostępie do informacji publicznej w zakresie zmian będących konsekwencją </w:t>
      </w:r>
      <w:r w:rsidRPr="00744574">
        <w:rPr>
          <w:rFonts w:eastAsia="Calibri" w:cs="Times New Roman"/>
          <w:szCs w:val="24"/>
          <w:lang w:eastAsia="en-US"/>
        </w:rPr>
        <w:lastRenderedPageBreak/>
        <w:t>wyodrębnienia z przedmiotowej ustawy regulacji dotyczących centralnego repozytorium informacji publicznej i wprowadzenia w projekcie ustawy przepisów odwołujących się do portalu danych, tj. art. 1 ust. 2, art. 7 ust. 1 pkt 4, art. 9 ust. 1 pkt 3 oraz art. 10 ust. 1 oraz uchylenia art. 1 ust. 3 oraz art. 9a – 9e;</w:t>
      </w:r>
    </w:p>
    <w:p w:rsidR="005D3F15" w:rsidRPr="00744574" w:rsidRDefault="005D3F15" w:rsidP="001C2767">
      <w:pPr>
        <w:widowControl/>
        <w:numPr>
          <w:ilvl w:val="0"/>
          <w:numId w:val="24"/>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t>Projekt dokonuje nowelizacji ustawy z dnia 20 sierpnia 1997 r. o Krajowym Rejestrze Sądowym (Dz. U. z 2021 r. poz. 112, ze zm.) w zakresie zmian dotyczących wprowadzenia w przedmiotowej ustawie przepisów regulujących udostępnianie i przekazywanie do ponownego wykorzystywania danych zgromadzanych w Krajowym Rejestrze Sądowym, tj. dodanie po art. 4a przedmiotowej ustawy art. 4b;</w:t>
      </w:r>
    </w:p>
    <w:p w:rsidR="005D3F15" w:rsidRPr="00744574" w:rsidRDefault="005D3F15" w:rsidP="001C2767">
      <w:pPr>
        <w:widowControl/>
        <w:numPr>
          <w:ilvl w:val="0"/>
          <w:numId w:val="24"/>
        </w:numPr>
        <w:autoSpaceDE/>
        <w:autoSpaceDN/>
        <w:adjustRightInd/>
        <w:spacing w:before="120"/>
        <w:ind w:left="714" w:hanging="357"/>
        <w:jc w:val="both"/>
        <w:rPr>
          <w:rFonts w:eastAsia="Calibri" w:cs="Times New Roman"/>
          <w:szCs w:val="24"/>
          <w:lang w:eastAsia="en-US"/>
        </w:rPr>
      </w:pPr>
      <w:r w:rsidRPr="00744574">
        <w:rPr>
          <w:rFonts w:eastAsia="Calibri" w:cs="Times New Roman"/>
          <w:szCs w:val="24"/>
          <w:lang w:eastAsia="en-US"/>
        </w:rPr>
        <w:t xml:space="preserve">Projekt ustawy dokonuje nowelizacji ustawy z dnia 17 lutego 2005 r. o informatyzacji działalności podmiotów realizujących zadania publiczne przez dodanie Rozdziału 3b. </w:t>
      </w:r>
      <w:r w:rsidR="00CA44C2">
        <w:rPr>
          <w:rFonts w:eastAsia="Calibri" w:cs="Times New Roman"/>
          <w:szCs w:val="24"/>
          <w:lang w:eastAsia="en-US"/>
        </w:rPr>
        <w:t>Konieczność</w:t>
      </w:r>
      <w:r w:rsidRPr="00744574">
        <w:rPr>
          <w:rFonts w:eastAsia="Calibri" w:cs="Times New Roman"/>
          <w:szCs w:val="24"/>
          <w:lang w:eastAsia="en-US"/>
        </w:rPr>
        <w:t xml:space="preserve"> dodania rozdziału 3b ustawy o informatyzacji wynika z potrzeby wprowadzenia rozwiązania organizacyjno-technicznego służącego do prowadzenia analiz wspomagających tworzenie kluczowych polityk publicznych z wykorzystaniem danych gromadzonych w rejestrach publicznych i systemach teleinformatycznych. Zgodnie z art. 6 ust. 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744574">
        <w:rPr>
          <w:rFonts w:eastAsia="Calibri" w:cs="Times New Roman"/>
          <w:szCs w:val="24"/>
          <w:lang w:eastAsia="en-US"/>
        </w:rPr>
        <w:t>późn</w:t>
      </w:r>
      <w:proofErr w:type="spellEnd"/>
      <w:r w:rsidRPr="00744574">
        <w:rPr>
          <w:rFonts w:eastAsia="Calibri" w:cs="Times New Roman"/>
          <w:szCs w:val="24"/>
          <w:lang w:eastAsia="en-US"/>
        </w:rPr>
        <w:t>. zm.), przetwarzanie w celu innym niż cel, w którym dane osobowe zostały zebrane, może odbywać się na podstawie prawa państwa członkowskiego stanowiącego w demokratycznym społeczeństwie niezbędny i proporcjonalny środek służący zagwarantowaniu celów, o których mowa w art. 23 ust. 1. Tworzenie kluczowych polityk publicznych mieści się w celach, o których mowa w art. 23 ust. 1 lit. e ogólnego rozporządzenia o ochronie danych, tj. innych ważnych celach leżących w ogólnym interesie publicznym państwa członkowskiego;</w:t>
      </w:r>
    </w:p>
    <w:p w:rsidR="005D3F15" w:rsidRPr="00744574" w:rsidRDefault="005D3F15" w:rsidP="001C2767">
      <w:pPr>
        <w:widowControl/>
        <w:autoSpaceDE/>
        <w:autoSpaceDN/>
        <w:adjustRightInd/>
        <w:spacing w:before="120"/>
        <w:ind w:left="720"/>
        <w:jc w:val="both"/>
        <w:rPr>
          <w:rFonts w:eastAsia="Calibri" w:cs="Times New Roman"/>
          <w:szCs w:val="24"/>
          <w:lang w:eastAsia="en-US"/>
        </w:rPr>
      </w:pPr>
      <w:r w:rsidRPr="00744574">
        <w:rPr>
          <w:rFonts w:eastAsia="Calibri" w:cs="Times New Roman"/>
          <w:szCs w:val="24"/>
          <w:lang w:eastAsia="en-US"/>
        </w:rPr>
        <w:t xml:space="preserve">Platforma będzie centralnym narzędziem analitycznym pozyskującym niezbędne dane będące w dyspozycji jednostek administracji publicznej, wskazane przez jednostkę inicjującą analizę. Analizy będą przeprowadzane na podstawie </w:t>
      </w:r>
      <w:r w:rsidRPr="00744574">
        <w:rPr>
          <w:rFonts w:eastAsia="Calibri" w:cs="Times New Roman"/>
          <w:szCs w:val="24"/>
          <w:lang w:eastAsia="en-US"/>
        </w:rPr>
        <w:lastRenderedPageBreak/>
        <w:t>porozumień podpisanych przez ministra właściwego do spraw informatyzacji z</w:t>
      </w:r>
      <w:r w:rsidR="00CA44C2">
        <w:rPr>
          <w:rFonts w:eastAsia="Calibri" w:cs="Times New Roman"/>
          <w:szCs w:val="24"/>
          <w:lang w:eastAsia="en-US"/>
        </w:rPr>
        <w:t> </w:t>
      </w:r>
      <w:r w:rsidRPr="00744574">
        <w:rPr>
          <w:rFonts w:eastAsia="Calibri" w:cs="Times New Roman"/>
          <w:szCs w:val="24"/>
          <w:lang w:eastAsia="en-US"/>
        </w:rPr>
        <w:t xml:space="preserve">podmiotami publicznymi biorącymi udział w analizach. Porozumienia te będą zawierały co najmniej cel analizy, zakres danych niezbędnych do jej przeprowadzenia, informację na temat danych z rejestrów i systemów teleinformatycznych, które będą ze sobą łączone, metodę </w:t>
      </w:r>
      <w:proofErr w:type="spellStart"/>
      <w:r w:rsidRPr="00744574">
        <w:rPr>
          <w:rFonts w:eastAsia="Calibri" w:cs="Times New Roman"/>
          <w:szCs w:val="24"/>
          <w:lang w:eastAsia="en-US"/>
        </w:rPr>
        <w:t>pseudonimizacji</w:t>
      </w:r>
      <w:proofErr w:type="spellEnd"/>
      <w:r w:rsidRPr="00744574">
        <w:rPr>
          <w:rFonts w:eastAsia="Calibri" w:cs="Times New Roman"/>
          <w:szCs w:val="24"/>
          <w:lang w:eastAsia="en-US"/>
        </w:rPr>
        <w:t>, tryb udostępniania, mając na uwadze cel, zakres analizy oraz przepisy o ochronie danych osobowych. Zawarcie porozumienia poprzedza się przeprowadzeniem weryfikacji dotyczącej celu i zakresu analizy wspomagającej tworzenie kluczowej polityki publicznej oraz niezbędności łączenia danych udostępnianych z rejestrów publicznych i systemów teleinformatycznych dla realizacji tej analizy, a także wykonaniem szacowania ryzyka oraz oceny skutków przetwarzania danych osobowych w tej analizie.</w:t>
      </w:r>
    </w:p>
    <w:p w:rsidR="005D3F15" w:rsidRPr="00744574" w:rsidRDefault="005D3F15" w:rsidP="001C2767">
      <w:pPr>
        <w:widowControl/>
        <w:autoSpaceDE/>
        <w:autoSpaceDN/>
        <w:adjustRightInd/>
        <w:spacing w:before="120"/>
        <w:ind w:left="720"/>
        <w:jc w:val="both"/>
        <w:rPr>
          <w:rFonts w:eastAsia="Calibri" w:cs="Times New Roman"/>
          <w:szCs w:val="24"/>
          <w:lang w:eastAsia="en-US"/>
        </w:rPr>
      </w:pPr>
      <w:r w:rsidRPr="00744574">
        <w:rPr>
          <w:rFonts w:eastAsia="Calibri" w:cs="Times New Roman"/>
          <w:szCs w:val="24"/>
          <w:lang w:eastAsia="en-US"/>
        </w:rPr>
        <w:t xml:space="preserve">Dane na platformę trafią po ich uprzedniej </w:t>
      </w:r>
      <w:proofErr w:type="spellStart"/>
      <w:r w:rsidRPr="00744574">
        <w:rPr>
          <w:rFonts w:eastAsia="Calibri" w:cs="Times New Roman"/>
          <w:szCs w:val="24"/>
          <w:lang w:eastAsia="en-US"/>
        </w:rPr>
        <w:t>pseudonimizacji</w:t>
      </w:r>
      <w:proofErr w:type="spellEnd"/>
      <w:r w:rsidRPr="00744574">
        <w:rPr>
          <w:rFonts w:eastAsia="Calibri" w:cs="Times New Roman"/>
          <w:szCs w:val="24"/>
          <w:lang w:eastAsia="en-US"/>
        </w:rPr>
        <w:t xml:space="preserve"> oraz zaszyfrowaniu przez każdego z właścicieli rejestrów publicznych i systemów teleinformatycznych, z których udostępniane są niezbędne dane na potrzeby prowadzenia analizy. Wprawdzie </w:t>
      </w:r>
      <w:proofErr w:type="spellStart"/>
      <w:r w:rsidRPr="00744574">
        <w:rPr>
          <w:rFonts w:eastAsia="Calibri" w:cs="Times New Roman"/>
          <w:szCs w:val="24"/>
          <w:lang w:eastAsia="en-US"/>
        </w:rPr>
        <w:t>pseudonimizacja</w:t>
      </w:r>
      <w:proofErr w:type="spellEnd"/>
      <w:r w:rsidRPr="00744574">
        <w:rPr>
          <w:rFonts w:eastAsia="Calibri" w:cs="Times New Roman"/>
          <w:szCs w:val="24"/>
          <w:lang w:eastAsia="en-US"/>
        </w:rPr>
        <w:t xml:space="preserve"> jest procesem uznawanym za odwracalny, wymaga jednak podkreślenia, że w ramach platformy analitycznej nie będzie możliwości odwrócenia tego procesu z uwagi na odseparowanie dostępu do kluczy </w:t>
      </w:r>
      <w:proofErr w:type="spellStart"/>
      <w:r w:rsidRPr="00744574">
        <w:rPr>
          <w:rFonts w:eastAsia="Calibri" w:cs="Times New Roman"/>
          <w:szCs w:val="24"/>
          <w:lang w:eastAsia="en-US"/>
        </w:rPr>
        <w:t>pseudonimizujących</w:t>
      </w:r>
      <w:proofErr w:type="spellEnd"/>
      <w:r w:rsidRPr="00744574">
        <w:rPr>
          <w:rFonts w:eastAsia="Calibri" w:cs="Times New Roman"/>
          <w:szCs w:val="24"/>
          <w:lang w:eastAsia="en-US"/>
        </w:rPr>
        <w:t xml:space="preserve">. Ponadto sposób funkcjonowania platformy przewiduje usuwanie </w:t>
      </w:r>
      <w:proofErr w:type="spellStart"/>
      <w:r w:rsidRPr="00744574">
        <w:rPr>
          <w:rFonts w:eastAsia="Calibri" w:cs="Times New Roman"/>
          <w:szCs w:val="24"/>
          <w:lang w:eastAsia="en-US"/>
        </w:rPr>
        <w:t>pseudonimizowanych</w:t>
      </w:r>
      <w:proofErr w:type="spellEnd"/>
      <w:r w:rsidRPr="00744574">
        <w:rPr>
          <w:rFonts w:eastAsia="Calibri" w:cs="Times New Roman"/>
          <w:szCs w:val="24"/>
          <w:lang w:eastAsia="en-US"/>
        </w:rPr>
        <w:t xml:space="preserve"> danych niezwłocznie po zakończeniu analizy. </w:t>
      </w:r>
    </w:p>
    <w:p w:rsidR="005D3F15" w:rsidRPr="00744574" w:rsidRDefault="005D3F15" w:rsidP="001C2767">
      <w:pPr>
        <w:widowControl/>
        <w:autoSpaceDE/>
        <w:autoSpaceDN/>
        <w:adjustRightInd/>
        <w:spacing w:before="120"/>
        <w:ind w:left="720"/>
        <w:jc w:val="both"/>
        <w:rPr>
          <w:rFonts w:eastAsia="Calibri" w:cs="Times New Roman"/>
          <w:szCs w:val="24"/>
          <w:lang w:eastAsia="en-US"/>
        </w:rPr>
      </w:pPr>
      <w:r w:rsidRPr="00744574">
        <w:rPr>
          <w:rFonts w:eastAsia="Calibri" w:cs="Times New Roman"/>
          <w:szCs w:val="24"/>
          <w:lang w:eastAsia="en-US"/>
        </w:rPr>
        <w:t>W ramach zintegrowanej platformy analitycznej zaplanowano zastosowanie szeregu środków bezpieczeństwa w celu zminimalizowania ryzyka naruszenia praw lub wolności osób fizycznych, o których mowa w art. 35 rozporządzenia 2016/679.</w:t>
      </w:r>
    </w:p>
    <w:p w:rsidR="005D3F15" w:rsidRPr="00744574" w:rsidRDefault="005D3F15" w:rsidP="001C2767">
      <w:pPr>
        <w:widowControl/>
        <w:autoSpaceDE/>
        <w:autoSpaceDN/>
        <w:adjustRightInd/>
        <w:spacing w:before="120"/>
        <w:ind w:left="720"/>
        <w:jc w:val="both"/>
        <w:rPr>
          <w:rFonts w:eastAsia="Calibri" w:cs="Times New Roman"/>
          <w:szCs w:val="24"/>
          <w:lang w:eastAsia="en-US"/>
        </w:rPr>
      </w:pPr>
      <w:r w:rsidRPr="00744574">
        <w:rPr>
          <w:rFonts w:eastAsia="Calibri" w:cs="Times New Roman"/>
          <w:szCs w:val="24"/>
          <w:lang w:eastAsia="en-US"/>
        </w:rPr>
        <w:t>Przeprowadzono także ocenę skutków na etapie projektowania:</w:t>
      </w:r>
    </w:p>
    <w:tbl>
      <w:tblPr>
        <w:tblStyle w:val="Tabela-Siatka"/>
        <w:tblW w:w="8930" w:type="dxa"/>
        <w:tblInd w:w="421" w:type="dxa"/>
        <w:tblLayout w:type="fixed"/>
        <w:tblLook w:val="04A0" w:firstRow="1" w:lastRow="0" w:firstColumn="1" w:lastColumn="0" w:noHBand="0" w:noVBand="1"/>
      </w:tblPr>
      <w:tblGrid>
        <w:gridCol w:w="2268"/>
        <w:gridCol w:w="6662"/>
      </w:tblGrid>
      <w:tr w:rsidR="005D3F15" w:rsidTr="005D3F15">
        <w:tc>
          <w:tcPr>
            <w:tcW w:w="2268" w:type="dxa"/>
          </w:tcPr>
          <w:p w:rsidR="005D3F15" w:rsidRPr="007271B1" w:rsidRDefault="005D3F15" w:rsidP="005D3F15">
            <w:pPr>
              <w:ind w:left="-1106" w:firstLine="1106"/>
              <w:rPr>
                <w:sz w:val="20"/>
              </w:rPr>
            </w:pPr>
            <w:r w:rsidRPr="007271B1">
              <w:rPr>
                <w:sz w:val="20"/>
              </w:rPr>
              <w:t>Cel analiz</w:t>
            </w:r>
          </w:p>
        </w:tc>
        <w:tc>
          <w:tcPr>
            <w:tcW w:w="6662" w:type="dxa"/>
          </w:tcPr>
          <w:p w:rsidR="005D3F15" w:rsidRPr="00EB3566" w:rsidRDefault="005D3F15" w:rsidP="005D3F15">
            <w:pPr>
              <w:jc w:val="both"/>
              <w:rPr>
                <w:sz w:val="16"/>
                <w:szCs w:val="16"/>
              </w:rPr>
            </w:pPr>
            <w:r w:rsidRPr="00EB3566">
              <w:rPr>
                <w:sz w:val="16"/>
                <w:szCs w:val="16"/>
              </w:rPr>
              <w:t xml:space="preserve">Celem </w:t>
            </w:r>
            <w:r>
              <w:rPr>
                <w:sz w:val="16"/>
                <w:szCs w:val="16"/>
              </w:rPr>
              <w:t xml:space="preserve">analiz jest </w:t>
            </w:r>
            <w:r w:rsidRPr="00EB3566">
              <w:rPr>
                <w:sz w:val="16"/>
                <w:szCs w:val="16"/>
              </w:rPr>
              <w:t>podnoszeni</w:t>
            </w:r>
            <w:r>
              <w:rPr>
                <w:sz w:val="16"/>
                <w:szCs w:val="16"/>
              </w:rPr>
              <w:t>e</w:t>
            </w:r>
            <w:r w:rsidRPr="00EB3566">
              <w:rPr>
                <w:sz w:val="16"/>
                <w:szCs w:val="16"/>
              </w:rPr>
              <w:t xml:space="preserve"> jakości zarządzania i efektywności administracji oraz realizacji społecznie użytecznych celów w zakresie diagnozy problemów i monitoringu postępów ich rozwiązywania. </w:t>
            </w:r>
            <w:r>
              <w:rPr>
                <w:sz w:val="16"/>
                <w:szCs w:val="16"/>
              </w:rPr>
              <w:t>M</w:t>
            </w:r>
            <w:r w:rsidRPr="00EB3566">
              <w:rPr>
                <w:sz w:val="16"/>
              </w:rPr>
              <w:t>ają</w:t>
            </w:r>
            <w:r>
              <w:rPr>
                <w:sz w:val="16"/>
              </w:rPr>
              <w:t xml:space="preserve"> one</w:t>
            </w:r>
            <w:r w:rsidRPr="00EB3566">
              <w:rPr>
                <w:sz w:val="16"/>
              </w:rPr>
              <w:t xml:space="preserve"> wesprzeć rozwiązywanie konk</w:t>
            </w:r>
            <w:r>
              <w:rPr>
                <w:sz w:val="16"/>
              </w:rPr>
              <w:t xml:space="preserve">retnych problemów społecznych i </w:t>
            </w:r>
            <w:r w:rsidRPr="00EB3566">
              <w:rPr>
                <w:sz w:val="16"/>
              </w:rPr>
              <w:t>gospodarczych</w:t>
            </w:r>
            <w:r>
              <w:rPr>
                <w:sz w:val="16"/>
              </w:rPr>
              <w:t xml:space="preserve"> i tworzenie polityk publicznych.</w:t>
            </w:r>
          </w:p>
          <w:p w:rsidR="005D3F15" w:rsidRPr="003E4765" w:rsidRDefault="005D3F15" w:rsidP="005D3F15">
            <w:pPr>
              <w:jc w:val="both"/>
              <w:rPr>
                <w:sz w:val="16"/>
              </w:rPr>
            </w:pPr>
            <w:r>
              <w:rPr>
                <w:sz w:val="16"/>
              </w:rPr>
              <w:t>Działania na z</w:t>
            </w:r>
            <w:r w:rsidRPr="00D22782">
              <w:rPr>
                <w:sz w:val="16"/>
              </w:rPr>
              <w:t>integrowan</w:t>
            </w:r>
            <w:r>
              <w:rPr>
                <w:sz w:val="16"/>
              </w:rPr>
              <w:t xml:space="preserve">ej platformie analitycznej będą opierały się na </w:t>
            </w:r>
            <w:r w:rsidRPr="00D22782">
              <w:rPr>
                <w:sz w:val="16"/>
              </w:rPr>
              <w:t>dany</w:t>
            </w:r>
            <w:r>
              <w:rPr>
                <w:sz w:val="16"/>
              </w:rPr>
              <w:t xml:space="preserve">ch będących w </w:t>
            </w:r>
            <w:r w:rsidRPr="00D22782">
              <w:rPr>
                <w:sz w:val="16"/>
              </w:rPr>
              <w:t>dyspozycji jednostek administracji publicznej, danych gromadzonych i tworzonych przez administrację publiczną oraz danych dostępnych z innych źródeł.</w:t>
            </w:r>
          </w:p>
        </w:tc>
      </w:tr>
      <w:tr w:rsidR="005D3F15" w:rsidTr="005D3F15">
        <w:tc>
          <w:tcPr>
            <w:tcW w:w="2268" w:type="dxa"/>
          </w:tcPr>
          <w:p w:rsidR="005D3F15" w:rsidRPr="007271B1" w:rsidRDefault="005D3F15" w:rsidP="005D3F15">
            <w:pPr>
              <w:rPr>
                <w:sz w:val="20"/>
              </w:rPr>
            </w:pPr>
            <w:r w:rsidRPr="007271B1">
              <w:rPr>
                <w:sz w:val="20"/>
              </w:rPr>
              <w:t>Charakter przetwarzania</w:t>
            </w:r>
          </w:p>
        </w:tc>
        <w:tc>
          <w:tcPr>
            <w:tcW w:w="6662" w:type="dxa"/>
          </w:tcPr>
          <w:p w:rsidR="005D3F15" w:rsidRDefault="005D3F15" w:rsidP="005D3F15">
            <w:pPr>
              <w:jc w:val="both"/>
              <w:rPr>
                <w:sz w:val="16"/>
              </w:rPr>
            </w:pPr>
            <w:r w:rsidRPr="00EB3566">
              <w:rPr>
                <w:sz w:val="16"/>
              </w:rPr>
              <w:t xml:space="preserve">Dane osobowe będą udostępniane przez </w:t>
            </w:r>
            <w:r>
              <w:rPr>
                <w:sz w:val="16"/>
              </w:rPr>
              <w:t>właścicieli</w:t>
            </w:r>
            <w:r w:rsidRPr="00EB3566">
              <w:rPr>
                <w:sz w:val="16"/>
              </w:rPr>
              <w:t xml:space="preserve"> dan</w:t>
            </w:r>
            <w:r>
              <w:rPr>
                <w:sz w:val="16"/>
              </w:rPr>
              <w:t>ych na rzecz właścicieli analiz dla celów analitycznych.</w:t>
            </w:r>
          </w:p>
          <w:p w:rsidR="005D3F15" w:rsidRDefault="005D3F15" w:rsidP="005D3F15">
            <w:pPr>
              <w:jc w:val="both"/>
              <w:rPr>
                <w:sz w:val="16"/>
              </w:rPr>
            </w:pPr>
            <w:r w:rsidRPr="00EB3566">
              <w:rPr>
                <w:sz w:val="16"/>
              </w:rPr>
              <w:lastRenderedPageBreak/>
              <w:t xml:space="preserve">Dane z każdego rejestru będą </w:t>
            </w:r>
            <w:proofErr w:type="spellStart"/>
            <w:r w:rsidRPr="00EB3566">
              <w:rPr>
                <w:sz w:val="16"/>
              </w:rPr>
              <w:t>spseudonimizowane</w:t>
            </w:r>
            <w:proofErr w:type="spellEnd"/>
            <w:r w:rsidRPr="00EB3566">
              <w:rPr>
                <w:sz w:val="16"/>
              </w:rPr>
              <w:t xml:space="preserve"> przez </w:t>
            </w:r>
            <w:r>
              <w:rPr>
                <w:sz w:val="16"/>
              </w:rPr>
              <w:t>właściciela</w:t>
            </w:r>
            <w:r w:rsidRPr="00EB3566">
              <w:rPr>
                <w:sz w:val="16"/>
              </w:rPr>
              <w:t xml:space="preserve"> danych (np. nr PESEL będzie zaszyfrowany przy pomocy klucza generowanego przez podmiot niezależny od operatora platformy i gestorów danych), który po wykorzystaniu do tego celu</w:t>
            </w:r>
            <w:r>
              <w:rPr>
                <w:sz w:val="16"/>
              </w:rPr>
              <w:t>, będzie permanentnie usunięty.</w:t>
            </w:r>
          </w:p>
          <w:p w:rsidR="005D3F15" w:rsidRPr="00065EF0" w:rsidRDefault="005D3F15" w:rsidP="005D3F15">
            <w:pPr>
              <w:jc w:val="both"/>
              <w:rPr>
                <w:sz w:val="16"/>
              </w:rPr>
            </w:pPr>
            <w:r w:rsidRPr="00EB3566">
              <w:rPr>
                <w:sz w:val="16"/>
              </w:rPr>
              <w:t xml:space="preserve">Pozyskane dane po wykonaniu </w:t>
            </w:r>
            <w:r>
              <w:rPr>
                <w:sz w:val="16"/>
              </w:rPr>
              <w:t>analiz</w:t>
            </w:r>
            <w:r w:rsidRPr="00EB3566">
              <w:rPr>
                <w:sz w:val="16"/>
              </w:rPr>
              <w:t xml:space="preserve"> zostaną usunięte. Zostaną zachowane jedynie wyniki badań (mogą to być np. zagregowane anoni</w:t>
            </w:r>
            <w:r>
              <w:rPr>
                <w:sz w:val="16"/>
              </w:rPr>
              <w:t>mowe dane).</w:t>
            </w:r>
          </w:p>
          <w:p w:rsidR="005D3F15" w:rsidRDefault="005D3F15" w:rsidP="005D3F15">
            <w:pPr>
              <w:jc w:val="both"/>
              <w:rPr>
                <w:sz w:val="16"/>
                <w:szCs w:val="16"/>
              </w:rPr>
            </w:pPr>
            <w:r w:rsidRPr="00EB3566">
              <w:rPr>
                <w:sz w:val="16"/>
                <w:szCs w:val="16"/>
              </w:rPr>
              <w:t xml:space="preserve">Źródło danych: bazy danych poszczególnych </w:t>
            </w:r>
            <w:r>
              <w:rPr>
                <w:sz w:val="16"/>
                <w:szCs w:val="16"/>
              </w:rPr>
              <w:t>właścicieli danych</w:t>
            </w:r>
            <w:r w:rsidRPr="00EB3566">
              <w:rPr>
                <w:sz w:val="16"/>
                <w:szCs w:val="16"/>
              </w:rPr>
              <w:t xml:space="preserve"> określonych podczas diagnozy zasobów </w:t>
            </w:r>
            <w:r>
              <w:rPr>
                <w:sz w:val="16"/>
                <w:szCs w:val="16"/>
              </w:rPr>
              <w:t>i diagnozy potrzeb</w:t>
            </w:r>
            <w:r w:rsidRPr="00EB3566">
              <w:rPr>
                <w:sz w:val="16"/>
                <w:szCs w:val="16"/>
              </w:rPr>
              <w:t>.</w:t>
            </w:r>
          </w:p>
          <w:p w:rsidR="005D3F15" w:rsidRDefault="005D3F15" w:rsidP="005D3F15">
            <w:pPr>
              <w:jc w:val="both"/>
              <w:rPr>
                <w:sz w:val="16"/>
                <w:szCs w:val="16"/>
              </w:rPr>
            </w:pPr>
            <w:r w:rsidRPr="00EB3566">
              <w:rPr>
                <w:sz w:val="16"/>
                <w:szCs w:val="16"/>
              </w:rPr>
              <w:t>Dane nie będą udostępniane innym podmiotom.</w:t>
            </w:r>
          </w:p>
          <w:p w:rsidR="005D3F15" w:rsidRPr="0066435A" w:rsidRDefault="005D3F15" w:rsidP="005D3F15">
            <w:pPr>
              <w:jc w:val="both"/>
              <w:rPr>
                <w:sz w:val="16"/>
                <w:szCs w:val="16"/>
              </w:rPr>
            </w:pPr>
            <w:r w:rsidRPr="00EB3566">
              <w:rPr>
                <w:sz w:val="16"/>
                <w:szCs w:val="16"/>
              </w:rPr>
              <w:t>Operacją mającą wysokie ryzyko jest łączenie wielu baz danych z dużą ilością danych osobowych.</w:t>
            </w:r>
          </w:p>
        </w:tc>
      </w:tr>
      <w:tr w:rsidR="005D3F15" w:rsidRPr="00EB3566" w:rsidTr="005D3F15">
        <w:tc>
          <w:tcPr>
            <w:tcW w:w="2268" w:type="dxa"/>
          </w:tcPr>
          <w:p w:rsidR="005D3F15" w:rsidRPr="007271B1" w:rsidRDefault="005D3F15" w:rsidP="005D3F15">
            <w:pPr>
              <w:rPr>
                <w:sz w:val="20"/>
              </w:rPr>
            </w:pPr>
            <w:r w:rsidRPr="007271B1">
              <w:rPr>
                <w:sz w:val="20"/>
              </w:rPr>
              <w:lastRenderedPageBreak/>
              <w:t>Zgodność i proporcjonalność</w:t>
            </w:r>
          </w:p>
          <w:p w:rsidR="005D3F15" w:rsidRPr="007271B1" w:rsidRDefault="005D3F15" w:rsidP="005D3F15">
            <w:pPr>
              <w:rPr>
                <w:sz w:val="20"/>
              </w:rPr>
            </w:pPr>
          </w:p>
        </w:tc>
        <w:tc>
          <w:tcPr>
            <w:tcW w:w="6662" w:type="dxa"/>
          </w:tcPr>
          <w:p w:rsidR="005D3F15" w:rsidRDefault="005D3F15" w:rsidP="005D3F15">
            <w:pPr>
              <w:jc w:val="both"/>
              <w:rPr>
                <w:sz w:val="16"/>
              </w:rPr>
            </w:pPr>
            <w:r w:rsidRPr="00F52BFE">
              <w:rPr>
                <w:sz w:val="16"/>
              </w:rPr>
              <w:t>Żadne dane nie będą przekazywane za granicę.</w:t>
            </w:r>
          </w:p>
          <w:p w:rsidR="005D3F15" w:rsidRDefault="005D3F15" w:rsidP="005D3F15">
            <w:pPr>
              <w:jc w:val="both"/>
              <w:rPr>
                <w:sz w:val="16"/>
              </w:rPr>
            </w:pPr>
            <w:r w:rsidRPr="00F52BFE">
              <w:rPr>
                <w:sz w:val="16"/>
              </w:rPr>
              <w:t xml:space="preserve">Bez połączenia danych i bez zaprojektowania odpowiednich wskaźników nie będzie możliwe uzyskanie </w:t>
            </w:r>
            <w:r>
              <w:rPr>
                <w:sz w:val="16"/>
              </w:rPr>
              <w:t>założonych celów w inny sposób.</w:t>
            </w:r>
          </w:p>
          <w:p w:rsidR="005D3F15" w:rsidRPr="00EB3566" w:rsidRDefault="005D3F15" w:rsidP="005D3F15">
            <w:pPr>
              <w:jc w:val="both"/>
              <w:rPr>
                <w:sz w:val="16"/>
              </w:rPr>
            </w:pPr>
            <w:r w:rsidRPr="00F52BFE">
              <w:rPr>
                <w:sz w:val="16"/>
              </w:rPr>
              <w:t xml:space="preserve">Informacje, jakie mogą zostać przekazane w sposób publiczny (wyłącznie na podstawie decyzji właściciela </w:t>
            </w:r>
            <w:r>
              <w:rPr>
                <w:sz w:val="16"/>
              </w:rPr>
              <w:t>analiz</w:t>
            </w:r>
            <w:r w:rsidRPr="00F52BFE">
              <w:rPr>
                <w:sz w:val="16"/>
              </w:rPr>
              <w:t xml:space="preserve">) będą stanowiły wyniki analiz i będą to co najwyżej dane zagregowane. Nie będziemy udzielać informacji na temat połączonych danych jednostkowych. Wszystkie badania będą wykonywane </w:t>
            </w:r>
            <w:r>
              <w:rPr>
                <w:sz w:val="16"/>
              </w:rPr>
              <w:t>na danych grupowych (nie planuje</w:t>
            </w:r>
            <w:r w:rsidRPr="00F52BFE">
              <w:rPr>
                <w:sz w:val="16"/>
              </w:rPr>
              <w:t xml:space="preserve"> się </w:t>
            </w:r>
            <w:r>
              <w:rPr>
                <w:sz w:val="16"/>
              </w:rPr>
              <w:t>analizy dla pojedynczej osoby).</w:t>
            </w:r>
          </w:p>
        </w:tc>
      </w:tr>
      <w:tr w:rsidR="005D3F15" w:rsidRPr="00F52BFE" w:rsidTr="005D3F15">
        <w:tc>
          <w:tcPr>
            <w:tcW w:w="2268" w:type="dxa"/>
          </w:tcPr>
          <w:p w:rsidR="005D3F15" w:rsidRPr="007271B1" w:rsidRDefault="005D3F15" w:rsidP="005D3F15">
            <w:pPr>
              <w:rPr>
                <w:sz w:val="20"/>
              </w:rPr>
            </w:pPr>
            <w:r w:rsidRPr="007271B1">
              <w:rPr>
                <w:sz w:val="20"/>
              </w:rPr>
              <w:t>Zakres przetwarzania</w:t>
            </w:r>
          </w:p>
        </w:tc>
        <w:tc>
          <w:tcPr>
            <w:tcW w:w="6662" w:type="dxa"/>
          </w:tcPr>
          <w:p w:rsidR="005D3F15" w:rsidRDefault="005D3F15" w:rsidP="005D3F15">
            <w:pPr>
              <w:jc w:val="both"/>
              <w:rPr>
                <w:sz w:val="16"/>
              </w:rPr>
            </w:pPr>
            <w:r w:rsidRPr="00720C7D">
              <w:rPr>
                <w:sz w:val="16"/>
              </w:rPr>
              <w:t xml:space="preserve">W </w:t>
            </w:r>
            <w:r>
              <w:rPr>
                <w:sz w:val="16"/>
              </w:rPr>
              <w:t>analizach</w:t>
            </w:r>
            <w:r w:rsidRPr="00720C7D">
              <w:rPr>
                <w:sz w:val="16"/>
              </w:rPr>
              <w:t xml:space="preserve"> przewiduje się, że będą to typowe dane osobowe i n</w:t>
            </w:r>
            <w:r>
              <w:rPr>
                <w:sz w:val="16"/>
              </w:rPr>
              <w:t xml:space="preserve">ie będą dotyczyły informacji na </w:t>
            </w:r>
            <w:r w:rsidRPr="00720C7D">
              <w:rPr>
                <w:sz w:val="16"/>
              </w:rPr>
              <w:t>temat</w:t>
            </w:r>
            <w:r>
              <w:rPr>
                <w:sz w:val="16"/>
              </w:rPr>
              <w:t xml:space="preserve"> wyroków i czynów zabronionych.</w:t>
            </w:r>
          </w:p>
          <w:p w:rsidR="005D3F15" w:rsidRDefault="005D3F15" w:rsidP="005D3F15">
            <w:pPr>
              <w:jc w:val="both"/>
              <w:rPr>
                <w:sz w:val="16"/>
              </w:rPr>
            </w:pPr>
            <w:r w:rsidRPr="00720C7D">
              <w:rPr>
                <w:sz w:val="16"/>
              </w:rPr>
              <w:t xml:space="preserve">Tylko te dane, które są potrzebne do wykonania </w:t>
            </w:r>
            <w:r>
              <w:rPr>
                <w:sz w:val="16"/>
              </w:rPr>
              <w:t>analizy</w:t>
            </w:r>
            <w:r w:rsidRPr="00720C7D">
              <w:rPr>
                <w:sz w:val="16"/>
              </w:rPr>
              <w:t xml:space="preserve"> (określone na podstawie diagnozy </w:t>
            </w:r>
            <w:r>
              <w:rPr>
                <w:sz w:val="16"/>
              </w:rPr>
              <w:t xml:space="preserve">zasobów i diagnozy </w:t>
            </w:r>
            <w:proofErr w:type="spellStart"/>
            <w:r w:rsidRPr="00720C7D">
              <w:rPr>
                <w:sz w:val="16"/>
              </w:rPr>
              <w:t>za</w:t>
            </w:r>
            <w:r>
              <w:rPr>
                <w:sz w:val="16"/>
              </w:rPr>
              <w:t>potrzebowań</w:t>
            </w:r>
            <w:proofErr w:type="spellEnd"/>
            <w:r>
              <w:rPr>
                <w:sz w:val="16"/>
              </w:rPr>
              <w:t>) będą przetwarzane.</w:t>
            </w:r>
          </w:p>
          <w:p w:rsidR="005D3F15" w:rsidRDefault="005D3F15" w:rsidP="005D3F15">
            <w:pPr>
              <w:jc w:val="both"/>
              <w:rPr>
                <w:sz w:val="16"/>
              </w:rPr>
            </w:pPr>
            <w:r w:rsidRPr="00720C7D">
              <w:rPr>
                <w:sz w:val="16"/>
              </w:rPr>
              <w:t xml:space="preserve">Dane będą przechowywane w formie </w:t>
            </w:r>
            <w:proofErr w:type="spellStart"/>
            <w:r w:rsidRPr="00720C7D">
              <w:rPr>
                <w:sz w:val="16"/>
              </w:rPr>
              <w:t>spseudominizowanej</w:t>
            </w:r>
            <w:proofErr w:type="spellEnd"/>
            <w:r w:rsidRPr="00720C7D">
              <w:rPr>
                <w:sz w:val="16"/>
              </w:rPr>
              <w:t xml:space="preserve"> podczas trwania badania. Po uzyskaniu odpowiednich rezultatów dane zostaną usunięte w sposób tr</w:t>
            </w:r>
            <w:r>
              <w:rPr>
                <w:sz w:val="16"/>
              </w:rPr>
              <w:t>wały.</w:t>
            </w:r>
          </w:p>
          <w:p w:rsidR="005D3F15" w:rsidRPr="00F52BFE" w:rsidRDefault="005D3F15" w:rsidP="005D3F15">
            <w:pPr>
              <w:jc w:val="both"/>
              <w:rPr>
                <w:sz w:val="16"/>
              </w:rPr>
            </w:pPr>
            <w:r w:rsidRPr="00720C7D">
              <w:rPr>
                <w:sz w:val="16"/>
              </w:rPr>
              <w:t>Dane będą przetwarzane na terytorium Polski.</w:t>
            </w:r>
          </w:p>
        </w:tc>
      </w:tr>
      <w:tr w:rsidR="005D3F15" w:rsidRPr="00F52BFE" w:rsidTr="005D3F15">
        <w:trPr>
          <w:trHeight w:val="1057"/>
        </w:trPr>
        <w:tc>
          <w:tcPr>
            <w:tcW w:w="2268" w:type="dxa"/>
          </w:tcPr>
          <w:p w:rsidR="005D3F15" w:rsidRPr="007271B1" w:rsidRDefault="005D3F15" w:rsidP="005D3F15">
            <w:pPr>
              <w:rPr>
                <w:sz w:val="20"/>
              </w:rPr>
            </w:pPr>
            <w:r w:rsidRPr="007271B1">
              <w:rPr>
                <w:sz w:val="20"/>
              </w:rPr>
              <w:t>Opis kategorii osób, których dane mają być wykorzystane w projekcie</w:t>
            </w:r>
          </w:p>
        </w:tc>
        <w:tc>
          <w:tcPr>
            <w:tcW w:w="6662" w:type="dxa"/>
          </w:tcPr>
          <w:p w:rsidR="005D3F15" w:rsidRPr="003F50B0" w:rsidRDefault="005D3F15" w:rsidP="005D3F15">
            <w:pPr>
              <w:jc w:val="both"/>
              <w:rPr>
                <w:sz w:val="16"/>
              </w:rPr>
            </w:pPr>
            <w:r w:rsidRPr="003F50B0">
              <w:rPr>
                <w:sz w:val="16"/>
              </w:rPr>
              <w:t xml:space="preserve">W ramach zaplanowanych </w:t>
            </w:r>
            <w:r>
              <w:rPr>
                <w:sz w:val="16"/>
              </w:rPr>
              <w:t>analiz</w:t>
            </w:r>
            <w:r w:rsidRPr="003F50B0">
              <w:rPr>
                <w:sz w:val="16"/>
              </w:rPr>
              <w:t xml:space="preserve"> przewidywane jest przetwarzanie danych osób fizycznych pozyskiwanych z różnych rejestrów informacyjnych a</w:t>
            </w:r>
            <w:r>
              <w:rPr>
                <w:sz w:val="16"/>
              </w:rPr>
              <w:t>dministracji publicznej.</w:t>
            </w:r>
          </w:p>
          <w:p w:rsidR="005D3F15" w:rsidRPr="00F52BFE" w:rsidRDefault="005D3F15" w:rsidP="005D3F15">
            <w:pPr>
              <w:jc w:val="both"/>
              <w:rPr>
                <w:sz w:val="16"/>
              </w:rPr>
            </w:pPr>
            <w:r w:rsidRPr="003F50B0">
              <w:rPr>
                <w:sz w:val="16"/>
              </w:rPr>
              <w:t>Szczegółowe kategorie osób, które mają być przetw</w:t>
            </w:r>
            <w:r>
              <w:rPr>
                <w:sz w:val="16"/>
              </w:rPr>
              <w:t xml:space="preserve">arzane będą zależały od każdej analizy. </w:t>
            </w:r>
            <w:r w:rsidRPr="003F50B0">
              <w:rPr>
                <w:sz w:val="16"/>
              </w:rPr>
              <w:t xml:space="preserve">Aby poprawnie zidentyfikować kategorie osób, właściciel </w:t>
            </w:r>
            <w:r>
              <w:rPr>
                <w:sz w:val="16"/>
              </w:rPr>
              <w:t>analizy</w:t>
            </w:r>
            <w:r w:rsidRPr="003F50B0">
              <w:rPr>
                <w:sz w:val="16"/>
              </w:rPr>
              <w:t xml:space="preserve"> musi zidentyfikować te informacje oraz przeprowadzić szczegółową ocenę skutków w kontekście konkretnego badania ja</w:t>
            </w:r>
            <w:r>
              <w:rPr>
                <w:sz w:val="16"/>
              </w:rPr>
              <w:t xml:space="preserve">ko procesu przetwarzania danych oraz </w:t>
            </w:r>
            <w:r w:rsidRPr="00954F8B">
              <w:rPr>
                <w:sz w:val="16"/>
              </w:rPr>
              <w:t>musi zidentyfikować te informacje w formie d</w:t>
            </w:r>
            <w:r>
              <w:rPr>
                <w:sz w:val="16"/>
              </w:rPr>
              <w:t xml:space="preserve">iagnozy zasobów i diagnozy </w:t>
            </w:r>
            <w:proofErr w:type="spellStart"/>
            <w:r>
              <w:rPr>
                <w:sz w:val="16"/>
              </w:rPr>
              <w:t>zapo</w:t>
            </w:r>
            <w:r w:rsidRPr="00954F8B">
              <w:rPr>
                <w:sz w:val="16"/>
              </w:rPr>
              <w:t>trzebowań</w:t>
            </w:r>
            <w:proofErr w:type="spellEnd"/>
            <w:r>
              <w:rPr>
                <w:sz w:val="16"/>
              </w:rPr>
              <w:t>.</w:t>
            </w:r>
          </w:p>
        </w:tc>
      </w:tr>
      <w:tr w:rsidR="005D3F15" w:rsidRPr="00F52BFE" w:rsidTr="005D3F15">
        <w:tc>
          <w:tcPr>
            <w:tcW w:w="2268" w:type="dxa"/>
          </w:tcPr>
          <w:p w:rsidR="005D3F15" w:rsidRPr="007271B1" w:rsidRDefault="005D3F15" w:rsidP="005D3F15">
            <w:pPr>
              <w:rPr>
                <w:sz w:val="20"/>
              </w:rPr>
            </w:pPr>
            <w:r w:rsidRPr="007271B1">
              <w:rPr>
                <w:sz w:val="20"/>
              </w:rPr>
              <w:t>Opis kategorii danych osobowych, które mają być wykorzystane w projekcie</w:t>
            </w:r>
          </w:p>
        </w:tc>
        <w:tc>
          <w:tcPr>
            <w:tcW w:w="6662" w:type="dxa"/>
          </w:tcPr>
          <w:p w:rsidR="005D3F15" w:rsidRPr="00F52BFE" w:rsidRDefault="005D3F15" w:rsidP="005D3F15">
            <w:pPr>
              <w:jc w:val="both"/>
              <w:rPr>
                <w:sz w:val="16"/>
              </w:rPr>
            </w:pPr>
            <w:r w:rsidRPr="00954F8B">
              <w:rPr>
                <w:sz w:val="16"/>
              </w:rPr>
              <w:t xml:space="preserve">Kategorie danych zostaną opisane i określone w Karcie badań podczas fazy przygotowawczej (diagnoza zasobów) poszczególnego badania. W pierwszej kolejności zostaną opisane wszystkie kategorie danych w bazach danych gestorów, a następnie (na podstawie zaprojektowanych wskaźników) określone będą kategorie danych konieczne do realizacji konkretnych </w:t>
            </w:r>
            <w:r>
              <w:rPr>
                <w:sz w:val="16"/>
              </w:rPr>
              <w:t>analiz.</w:t>
            </w:r>
          </w:p>
        </w:tc>
      </w:tr>
      <w:tr w:rsidR="005D3F15" w:rsidRPr="00911D27" w:rsidTr="005D3F15">
        <w:tc>
          <w:tcPr>
            <w:tcW w:w="2268" w:type="dxa"/>
          </w:tcPr>
          <w:p w:rsidR="005D3F15" w:rsidRPr="007271B1" w:rsidRDefault="005D3F15" w:rsidP="005D3F15">
            <w:pPr>
              <w:rPr>
                <w:sz w:val="20"/>
              </w:rPr>
            </w:pPr>
            <w:r w:rsidRPr="007271B1">
              <w:rPr>
                <w:sz w:val="20"/>
              </w:rPr>
              <w:t>Czy podczas analiz dane będą udostępniane (przekazywane) innym podmiotom wykorzystującym dane dla własnych celów (niezwiązanych z potrzebami/celami administratora)?</w:t>
            </w:r>
          </w:p>
        </w:tc>
        <w:tc>
          <w:tcPr>
            <w:tcW w:w="6662" w:type="dxa"/>
          </w:tcPr>
          <w:p w:rsidR="005D3F15" w:rsidRPr="00E33FE1" w:rsidRDefault="005D3F15" w:rsidP="005D3F15">
            <w:pPr>
              <w:jc w:val="both"/>
              <w:rPr>
                <w:sz w:val="16"/>
              </w:rPr>
            </w:pPr>
            <w:r w:rsidRPr="00E33FE1">
              <w:rPr>
                <w:sz w:val="16"/>
              </w:rPr>
              <w:t>Dane osobowe oraz inne dane nie będą przekazywane nikomu</w:t>
            </w:r>
            <w:r>
              <w:rPr>
                <w:sz w:val="16"/>
              </w:rPr>
              <w:t>,</w:t>
            </w:r>
            <w:r w:rsidRPr="00E33FE1">
              <w:rPr>
                <w:sz w:val="16"/>
              </w:rPr>
              <w:t xml:space="preserve"> kto nie jest </w:t>
            </w:r>
            <w:r>
              <w:rPr>
                <w:sz w:val="16"/>
              </w:rPr>
              <w:t>związany z przeprowadzaniem analiz</w:t>
            </w:r>
            <w:r w:rsidRPr="00E33FE1">
              <w:rPr>
                <w:sz w:val="16"/>
              </w:rPr>
              <w:t xml:space="preserve"> oraz nie będą przetwarzane dla innych celów niż te, które są powiązane z </w:t>
            </w:r>
            <w:r>
              <w:rPr>
                <w:sz w:val="16"/>
              </w:rPr>
              <w:t>ich realizacją.</w:t>
            </w:r>
          </w:p>
          <w:p w:rsidR="005D3F15" w:rsidRPr="00911D27" w:rsidRDefault="005D3F15" w:rsidP="005D3F15">
            <w:pPr>
              <w:rPr>
                <w:sz w:val="16"/>
              </w:rPr>
            </w:pPr>
          </w:p>
        </w:tc>
      </w:tr>
      <w:tr w:rsidR="005D3F15" w:rsidRPr="00A61324" w:rsidTr="005D3F15">
        <w:tc>
          <w:tcPr>
            <w:tcW w:w="2268" w:type="dxa"/>
          </w:tcPr>
          <w:p w:rsidR="005D3F15" w:rsidRPr="007271B1" w:rsidRDefault="005D3F15" w:rsidP="005D3F15">
            <w:pPr>
              <w:rPr>
                <w:sz w:val="20"/>
              </w:rPr>
            </w:pPr>
            <w:r w:rsidRPr="007271B1">
              <w:rPr>
                <w:sz w:val="20"/>
              </w:rPr>
              <w:t xml:space="preserve">Czy projekt zakłada tworzenie profili na </w:t>
            </w:r>
            <w:r w:rsidRPr="007271B1">
              <w:rPr>
                <w:sz w:val="20"/>
              </w:rPr>
              <w:lastRenderedPageBreak/>
              <w:t>podstawie danych osobowych?</w:t>
            </w:r>
          </w:p>
        </w:tc>
        <w:tc>
          <w:tcPr>
            <w:tcW w:w="6662" w:type="dxa"/>
          </w:tcPr>
          <w:p w:rsidR="005D3F15" w:rsidRPr="00E33FE1" w:rsidRDefault="005D3F15" w:rsidP="005D3F15">
            <w:pPr>
              <w:jc w:val="both"/>
              <w:rPr>
                <w:sz w:val="16"/>
              </w:rPr>
            </w:pPr>
            <w:r>
              <w:rPr>
                <w:sz w:val="16"/>
              </w:rPr>
              <w:lastRenderedPageBreak/>
              <w:t>Nie p</w:t>
            </w:r>
            <w:r w:rsidRPr="00E33FE1">
              <w:rPr>
                <w:sz w:val="16"/>
              </w:rPr>
              <w:t>rzewiduje się profilowania indywidualnych osób, których</w:t>
            </w:r>
            <w:r>
              <w:rPr>
                <w:sz w:val="16"/>
              </w:rPr>
              <w:t xml:space="preserve"> dane będą w nich przetwarzane.</w:t>
            </w:r>
          </w:p>
          <w:p w:rsidR="005D3F15" w:rsidRPr="00A61324" w:rsidRDefault="005D3F15" w:rsidP="005D3F15">
            <w:pPr>
              <w:jc w:val="both"/>
            </w:pPr>
            <w:r w:rsidRPr="00E33FE1">
              <w:rPr>
                <w:sz w:val="16"/>
              </w:rPr>
              <w:t>Dla weryfikacji tej hipotezy, każde badanie powinno przeanaliz</w:t>
            </w:r>
            <w:r>
              <w:rPr>
                <w:sz w:val="16"/>
              </w:rPr>
              <w:t xml:space="preserve">ować ten aspekt przetwarzania w </w:t>
            </w:r>
            <w:r w:rsidRPr="00E33FE1">
              <w:rPr>
                <w:sz w:val="16"/>
              </w:rPr>
              <w:t>ramach własnej ocen</w:t>
            </w:r>
            <w:r>
              <w:rPr>
                <w:sz w:val="16"/>
              </w:rPr>
              <w:t>ie</w:t>
            </w:r>
            <w:r w:rsidRPr="00E33FE1">
              <w:rPr>
                <w:sz w:val="16"/>
              </w:rPr>
              <w:t xml:space="preserve"> skutków.</w:t>
            </w:r>
          </w:p>
        </w:tc>
      </w:tr>
      <w:tr w:rsidR="005D3F15" w:rsidRPr="0047780D" w:rsidTr="005D3F15">
        <w:tc>
          <w:tcPr>
            <w:tcW w:w="2268" w:type="dxa"/>
          </w:tcPr>
          <w:p w:rsidR="005D3F15" w:rsidRPr="007271B1" w:rsidRDefault="005D3F15" w:rsidP="005D3F15">
            <w:pPr>
              <w:rPr>
                <w:sz w:val="20"/>
              </w:rPr>
            </w:pPr>
            <w:r w:rsidRPr="007271B1">
              <w:rPr>
                <w:sz w:val="20"/>
              </w:rPr>
              <w:t>Zautomatyzowane podejmowanie decyzji</w:t>
            </w:r>
          </w:p>
        </w:tc>
        <w:tc>
          <w:tcPr>
            <w:tcW w:w="6662" w:type="dxa"/>
          </w:tcPr>
          <w:p w:rsidR="005D3F15" w:rsidRPr="003C1A43" w:rsidRDefault="005D3F15" w:rsidP="005D3F15">
            <w:pPr>
              <w:jc w:val="both"/>
              <w:rPr>
                <w:sz w:val="16"/>
              </w:rPr>
            </w:pPr>
            <w:r>
              <w:rPr>
                <w:sz w:val="16"/>
              </w:rPr>
              <w:t>N</w:t>
            </w:r>
            <w:r w:rsidRPr="003C1A43">
              <w:rPr>
                <w:sz w:val="16"/>
              </w:rPr>
              <w:t>ie przewiduje się zautomatyzowanego podejmowania decyzji, które by miały skutek prawny lub równie istotny dla indywidulanych osób, których</w:t>
            </w:r>
            <w:r>
              <w:rPr>
                <w:sz w:val="16"/>
              </w:rPr>
              <w:t xml:space="preserve"> dane będą w nich przetwarzane.</w:t>
            </w:r>
          </w:p>
          <w:p w:rsidR="005D3F15" w:rsidRPr="0047780D" w:rsidRDefault="005D3F15" w:rsidP="005D3F15">
            <w:pPr>
              <w:jc w:val="both"/>
            </w:pPr>
            <w:r w:rsidRPr="003C1A43">
              <w:rPr>
                <w:sz w:val="16"/>
              </w:rPr>
              <w:t>Dla weryfikacji tej hipotezy, każde badanie powinno przeanaliz</w:t>
            </w:r>
            <w:r>
              <w:rPr>
                <w:sz w:val="16"/>
              </w:rPr>
              <w:t xml:space="preserve">ować ten aspekt przetwarzania w </w:t>
            </w:r>
            <w:r w:rsidRPr="003C1A43">
              <w:rPr>
                <w:sz w:val="16"/>
              </w:rPr>
              <w:t>ramach własnej oceny skutków.</w:t>
            </w:r>
          </w:p>
        </w:tc>
      </w:tr>
      <w:tr w:rsidR="005D3F15" w:rsidRPr="00911D27" w:rsidTr="005D3F15">
        <w:tc>
          <w:tcPr>
            <w:tcW w:w="2268" w:type="dxa"/>
          </w:tcPr>
          <w:p w:rsidR="005D3F15" w:rsidRPr="007271B1" w:rsidRDefault="005D3F15" w:rsidP="005D3F15">
            <w:pPr>
              <w:rPr>
                <w:sz w:val="20"/>
              </w:rPr>
            </w:pPr>
            <w:r w:rsidRPr="007271B1">
              <w:rPr>
                <w:sz w:val="20"/>
              </w:rPr>
              <w:t>Czy w ramach projektu dane osobowe mogą być przekazywane poza terytorium Europejskiego Obszaru Gospodarczego (EOG)?</w:t>
            </w:r>
          </w:p>
        </w:tc>
        <w:tc>
          <w:tcPr>
            <w:tcW w:w="6662" w:type="dxa"/>
          </w:tcPr>
          <w:p w:rsidR="005D3F15" w:rsidRPr="00911D27" w:rsidRDefault="005D3F15" w:rsidP="005D3F15">
            <w:pPr>
              <w:jc w:val="both"/>
              <w:rPr>
                <w:sz w:val="16"/>
              </w:rPr>
            </w:pPr>
            <w:r w:rsidRPr="003C1A43">
              <w:rPr>
                <w:sz w:val="16"/>
              </w:rPr>
              <w:t>Na obecnym etapie planu realizacji projektu nie przewiduje się przekazywania danych do innych krajów, w tym do krajów z poza EOG.</w:t>
            </w:r>
          </w:p>
        </w:tc>
      </w:tr>
      <w:tr w:rsidR="005D3F15" w:rsidRPr="00911D27" w:rsidTr="005D3F15">
        <w:tc>
          <w:tcPr>
            <w:tcW w:w="2268" w:type="dxa"/>
          </w:tcPr>
          <w:p w:rsidR="005D3F15" w:rsidRPr="007271B1" w:rsidRDefault="005D3F15" w:rsidP="005D3F15">
            <w:pPr>
              <w:rPr>
                <w:sz w:val="20"/>
              </w:rPr>
            </w:pPr>
            <w:r w:rsidRPr="007271B1">
              <w:rPr>
                <w:sz w:val="20"/>
              </w:rPr>
              <w:t>Na jak długo potrzebujesz dostępu do danych?</w:t>
            </w:r>
          </w:p>
        </w:tc>
        <w:tc>
          <w:tcPr>
            <w:tcW w:w="6662" w:type="dxa"/>
          </w:tcPr>
          <w:p w:rsidR="005D3F15" w:rsidRPr="00911D27" w:rsidRDefault="005D3F15" w:rsidP="005D3F15">
            <w:pPr>
              <w:jc w:val="both"/>
              <w:rPr>
                <w:sz w:val="16"/>
              </w:rPr>
            </w:pPr>
            <w:r>
              <w:rPr>
                <w:sz w:val="16"/>
              </w:rPr>
              <w:t xml:space="preserve">W ramach każdej z analiz </w:t>
            </w:r>
            <w:r w:rsidRPr="00DB55A2">
              <w:rPr>
                <w:sz w:val="16"/>
              </w:rPr>
              <w:t>dane będą potrzebne przez cały okres je</w:t>
            </w:r>
            <w:r>
              <w:rPr>
                <w:sz w:val="16"/>
              </w:rPr>
              <w:t>j</w:t>
            </w:r>
            <w:r w:rsidRPr="00DB55A2">
              <w:rPr>
                <w:sz w:val="16"/>
              </w:rPr>
              <w:t xml:space="preserve"> realizacji. Po zakończeniu </w:t>
            </w:r>
            <w:r>
              <w:rPr>
                <w:sz w:val="16"/>
              </w:rPr>
              <w:t>analiz</w:t>
            </w:r>
            <w:r w:rsidRPr="00DB55A2">
              <w:rPr>
                <w:sz w:val="16"/>
              </w:rPr>
              <w:t xml:space="preserve">, pozyskane dane jednostkowe będą usuwane z </w:t>
            </w:r>
            <w:r>
              <w:rPr>
                <w:sz w:val="16"/>
              </w:rPr>
              <w:t>platformy.</w:t>
            </w:r>
          </w:p>
        </w:tc>
      </w:tr>
      <w:tr w:rsidR="005D3F15" w:rsidRPr="00911D27" w:rsidTr="005D3F15">
        <w:tc>
          <w:tcPr>
            <w:tcW w:w="2268" w:type="dxa"/>
          </w:tcPr>
          <w:p w:rsidR="005D3F15" w:rsidRPr="007271B1" w:rsidRDefault="005D3F15" w:rsidP="005D3F15">
            <w:pPr>
              <w:rPr>
                <w:sz w:val="20"/>
              </w:rPr>
            </w:pPr>
            <w:r w:rsidRPr="007271B1">
              <w:rPr>
                <w:sz w:val="20"/>
              </w:rPr>
              <w:t>Czy założenia analiz uwzględniają zasadę minimalizacji danych osobowych?</w:t>
            </w:r>
          </w:p>
        </w:tc>
        <w:tc>
          <w:tcPr>
            <w:tcW w:w="6662" w:type="dxa"/>
          </w:tcPr>
          <w:p w:rsidR="005D3F15" w:rsidRPr="00EF4657" w:rsidRDefault="005D3F15" w:rsidP="005D3F15">
            <w:pPr>
              <w:jc w:val="both"/>
              <w:rPr>
                <w:sz w:val="16"/>
              </w:rPr>
            </w:pPr>
            <w:r w:rsidRPr="00EF4657">
              <w:rPr>
                <w:sz w:val="16"/>
              </w:rPr>
              <w:t>Założenia projektu przewidują uwzględnienie zasady minimalizacji danych</w:t>
            </w:r>
            <w:r>
              <w:rPr>
                <w:sz w:val="16"/>
              </w:rPr>
              <w:t>.</w:t>
            </w:r>
          </w:p>
          <w:p w:rsidR="005D3F15" w:rsidRPr="00EF4657" w:rsidRDefault="005D3F15" w:rsidP="005D3F15">
            <w:pPr>
              <w:jc w:val="both"/>
              <w:rPr>
                <w:sz w:val="16"/>
              </w:rPr>
            </w:pPr>
            <w:r>
              <w:rPr>
                <w:sz w:val="16"/>
              </w:rPr>
              <w:t>Z</w:t>
            </w:r>
            <w:r w:rsidRPr="00EF4657">
              <w:rPr>
                <w:sz w:val="16"/>
              </w:rPr>
              <w:t xml:space="preserve">asada ta musi być też zweryfikowana na poziome </w:t>
            </w:r>
            <w:r>
              <w:rPr>
                <w:sz w:val="16"/>
              </w:rPr>
              <w:t xml:space="preserve">każdej analizy, w ramach której </w:t>
            </w:r>
            <w:r w:rsidRPr="00EF4657">
              <w:rPr>
                <w:sz w:val="16"/>
              </w:rPr>
              <w:t>ocen</w:t>
            </w:r>
            <w:r>
              <w:rPr>
                <w:sz w:val="16"/>
              </w:rPr>
              <w:t>a</w:t>
            </w:r>
            <w:r w:rsidRPr="00EF4657">
              <w:rPr>
                <w:sz w:val="16"/>
              </w:rPr>
              <w:t xml:space="preserve"> skutków musi być wykonana przez właściciela </w:t>
            </w:r>
            <w:r>
              <w:rPr>
                <w:sz w:val="16"/>
              </w:rPr>
              <w:t>analiz</w:t>
            </w:r>
            <w:r w:rsidRPr="00EF4657">
              <w:rPr>
                <w:sz w:val="16"/>
              </w:rPr>
              <w:t xml:space="preserve"> (administratora danych). Dlatego każd</w:t>
            </w:r>
            <w:r>
              <w:rPr>
                <w:sz w:val="16"/>
              </w:rPr>
              <w:t>a analiza</w:t>
            </w:r>
            <w:r w:rsidRPr="00EF4657">
              <w:rPr>
                <w:sz w:val="16"/>
              </w:rPr>
              <w:t xml:space="preserve"> jest poprzedzon</w:t>
            </w:r>
            <w:r>
              <w:rPr>
                <w:sz w:val="16"/>
              </w:rPr>
              <w:t>a</w:t>
            </w:r>
            <w:r w:rsidRPr="00EF4657">
              <w:rPr>
                <w:sz w:val="16"/>
              </w:rPr>
              <w:t xml:space="preserve"> diagnozą zasobów, czyli analizą konkretnych pól w bazach danych posiadanych przez </w:t>
            </w:r>
            <w:r>
              <w:rPr>
                <w:sz w:val="16"/>
              </w:rPr>
              <w:t>właścicieli</w:t>
            </w:r>
            <w:r w:rsidRPr="00EF4657">
              <w:rPr>
                <w:sz w:val="16"/>
              </w:rPr>
              <w:t xml:space="preserve"> danych. Na tej podstawie projektowane będą wskaźniki, sposoby łączenia danych oraz określane to, jakie dane są konieczne, aby wykorzystać ww. wskaźniki. Jeśli konkretne dane nie będą konieczne do realizacji wskaźników (np. imię i nazwisko), t</w:t>
            </w:r>
            <w:r>
              <w:rPr>
                <w:sz w:val="16"/>
              </w:rPr>
              <w:t xml:space="preserve">o dane te nie będą pobierane do </w:t>
            </w:r>
            <w:r w:rsidRPr="00EF4657">
              <w:rPr>
                <w:sz w:val="16"/>
              </w:rPr>
              <w:t xml:space="preserve">wykonania </w:t>
            </w:r>
            <w:r>
              <w:rPr>
                <w:sz w:val="16"/>
              </w:rPr>
              <w:t>analiz.</w:t>
            </w:r>
          </w:p>
          <w:p w:rsidR="005D3F15" w:rsidRPr="00911D27" w:rsidRDefault="005D3F15" w:rsidP="006A6376">
            <w:pPr>
              <w:jc w:val="both"/>
              <w:rPr>
                <w:sz w:val="16"/>
              </w:rPr>
            </w:pPr>
            <w:r w:rsidRPr="00EF4657">
              <w:rPr>
                <w:sz w:val="16"/>
              </w:rPr>
              <w:t xml:space="preserve">Warto też zaznaczyć, że przed pobraniem danych osobowych do łączenia </w:t>
            </w:r>
            <w:r>
              <w:rPr>
                <w:sz w:val="16"/>
              </w:rPr>
              <w:t>–</w:t>
            </w:r>
            <w:r w:rsidRPr="00EF4657">
              <w:rPr>
                <w:sz w:val="16"/>
              </w:rPr>
              <w:t xml:space="preserve"> każdy wskaźnik zostanie wcześniej przetestowany i zweryfikowany na sztucznie wygenerowanych danych </w:t>
            </w:r>
            <w:proofErr w:type="spellStart"/>
            <w:r w:rsidRPr="00EF4657">
              <w:rPr>
                <w:sz w:val="16"/>
              </w:rPr>
              <w:t>próbkowych</w:t>
            </w:r>
            <w:proofErr w:type="spellEnd"/>
            <w:r w:rsidRPr="00EF4657">
              <w:rPr>
                <w:sz w:val="16"/>
              </w:rPr>
              <w:t>. Dopiero po uzyskaniu odpowiednich rezultatów, zostaną rozpoczęte analizy na danych rzeczywistych.</w:t>
            </w:r>
          </w:p>
        </w:tc>
      </w:tr>
      <w:tr w:rsidR="005D3F15" w:rsidRPr="00911D27" w:rsidTr="005D3F15">
        <w:tc>
          <w:tcPr>
            <w:tcW w:w="2268" w:type="dxa"/>
          </w:tcPr>
          <w:p w:rsidR="005D3F15" w:rsidRPr="007271B1" w:rsidRDefault="005D3F15" w:rsidP="005D3F15">
            <w:pPr>
              <w:rPr>
                <w:sz w:val="20"/>
              </w:rPr>
            </w:pPr>
            <w:r w:rsidRPr="007271B1">
              <w:rPr>
                <w:sz w:val="20"/>
              </w:rPr>
              <w:t>Czy założenia projektu uwzględniają zasadę domyślnej ochrony prywatności?</w:t>
            </w:r>
          </w:p>
        </w:tc>
        <w:tc>
          <w:tcPr>
            <w:tcW w:w="6662" w:type="dxa"/>
          </w:tcPr>
          <w:p w:rsidR="005D3F15" w:rsidRPr="00911D27" w:rsidRDefault="005D3F15" w:rsidP="005D3F15">
            <w:pPr>
              <w:jc w:val="both"/>
              <w:rPr>
                <w:sz w:val="16"/>
              </w:rPr>
            </w:pPr>
            <w:r w:rsidRPr="000812C6">
              <w:rPr>
                <w:sz w:val="16"/>
              </w:rPr>
              <w:t>Ogólne założenia przewidują uwzględnienie zasady domyślnej ochrony danych, ale zasada ta musi być też zweryfikowana na poziome każde</w:t>
            </w:r>
            <w:r>
              <w:rPr>
                <w:sz w:val="16"/>
              </w:rPr>
              <w:t>j analizy, w ramach których</w:t>
            </w:r>
            <w:r w:rsidRPr="000812C6">
              <w:rPr>
                <w:sz w:val="16"/>
              </w:rPr>
              <w:t xml:space="preserve"> szczegółowa analiza oceny skutków musi być wykonana przez właściciela </w:t>
            </w:r>
            <w:r>
              <w:rPr>
                <w:sz w:val="16"/>
              </w:rPr>
              <w:t>analiz</w:t>
            </w:r>
            <w:r w:rsidRPr="000812C6">
              <w:rPr>
                <w:sz w:val="16"/>
              </w:rPr>
              <w:t xml:space="preserve"> (administratora danych).</w:t>
            </w:r>
          </w:p>
        </w:tc>
      </w:tr>
    </w:tbl>
    <w:p w:rsidR="005D3F15" w:rsidRPr="00847F86" w:rsidRDefault="005D3F15" w:rsidP="001C2767">
      <w:pPr>
        <w:widowControl/>
        <w:autoSpaceDE/>
        <w:autoSpaceDN/>
        <w:adjustRightInd/>
        <w:spacing w:before="120"/>
        <w:ind w:left="720"/>
        <w:jc w:val="both"/>
        <w:rPr>
          <w:rFonts w:eastAsia="Calibri" w:cs="Times New Roman"/>
          <w:szCs w:val="24"/>
          <w:lang w:eastAsia="en-US"/>
        </w:rPr>
      </w:pPr>
      <w:r w:rsidRPr="00847F86">
        <w:rPr>
          <w:rFonts w:eastAsia="Calibri" w:cs="Times New Roman"/>
          <w:szCs w:val="24"/>
          <w:lang w:eastAsia="en-US"/>
        </w:rPr>
        <w:t>Pod względem technicznym, aby zapewnić maksymalne zabezpieczenie danych osobowych, przewiduje się następujące funkcjonalności platformy ZPA:</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proofErr w:type="spellStart"/>
      <w:r w:rsidRPr="00E54579">
        <w:rPr>
          <w:rFonts w:ascii="Times New Roman" w:hAnsi="Times New Roman"/>
          <w:sz w:val="24"/>
          <w:szCs w:val="24"/>
        </w:rPr>
        <w:t>Pseudonimizacja</w:t>
      </w:r>
      <w:proofErr w:type="spellEnd"/>
      <w:r w:rsidRPr="00E54579">
        <w:rPr>
          <w:rFonts w:ascii="Times New Roman" w:hAnsi="Times New Roman"/>
          <w:sz w:val="24"/>
          <w:szCs w:val="24"/>
        </w:rPr>
        <w:t xml:space="preserve"> jest dokonywana przez organ lub podmiot, który udostępnia dane na potrzeby przeprowadzenia analiz za pomocą zintegrowanej platformy analitycznej, po określeniu niezbędnego zakresu danych związanego z</w:t>
      </w:r>
      <w:r>
        <w:rPr>
          <w:rFonts w:ascii="Times New Roman" w:hAnsi="Times New Roman"/>
          <w:sz w:val="24"/>
          <w:szCs w:val="24"/>
        </w:rPr>
        <w:t xml:space="preserve"> </w:t>
      </w:r>
      <w:r w:rsidRPr="00E54579">
        <w:rPr>
          <w:rFonts w:ascii="Times New Roman" w:hAnsi="Times New Roman"/>
          <w:sz w:val="24"/>
          <w:szCs w:val="24"/>
        </w:rPr>
        <w:t>prowadzoną analizą, z</w:t>
      </w:r>
      <w:r>
        <w:rPr>
          <w:rFonts w:ascii="Times New Roman" w:hAnsi="Times New Roman"/>
          <w:sz w:val="24"/>
          <w:szCs w:val="24"/>
        </w:rPr>
        <w:t xml:space="preserve"> </w:t>
      </w:r>
      <w:r w:rsidRPr="00E54579">
        <w:rPr>
          <w:rFonts w:ascii="Times New Roman" w:hAnsi="Times New Roman"/>
          <w:sz w:val="24"/>
          <w:szCs w:val="24"/>
        </w:rPr>
        <w:t xml:space="preserve">koniecznością ich </w:t>
      </w:r>
      <w:r>
        <w:rPr>
          <w:rFonts w:ascii="Times New Roman" w:hAnsi="Times New Roman"/>
          <w:sz w:val="24"/>
          <w:szCs w:val="24"/>
        </w:rPr>
        <w:t>szyfrowania przed przekazaniem.</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 xml:space="preserve">Przesłanie w bezpieczny sposób </w:t>
      </w:r>
      <w:proofErr w:type="spellStart"/>
      <w:r w:rsidRPr="00E54579">
        <w:rPr>
          <w:rFonts w:ascii="Times New Roman" w:hAnsi="Times New Roman"/>
          <w:sz w:val="24"/>
          <w:szCs w:val="24"/>
        </w:rPr>
        <w:t>pseudononimizowanych</w:t>
      </w:r>
      <w:proofErr w:type="spellEnd"/>
      <w:r w:rsidRPr="00E54579">
        <w:rPr>
          <w:rFonts w:ascii="Times New Roman" w:hAnsi="Times New Roman"/>
          <w:sz w:val="24"/>
          <w:szCs w:val="24"/>
        </w:rPr>
        <w:t xml:space="preserve"> i zaszyfrowanych danych na platformę, zabezpieczonym kanałem </w:t>
      </w:r>
      <w:r w:rsidRPr="00E54579">
        <w:rPr>
          <w:rFonts w:ascii="Times New Roman" w:hAnsi="Times New Roman"/>
          <w:sz w:val="24"/>
          <w:szCs w:val="24"/>
        </w:rPr>
        <w:lastRenderedPageBreak/>
        <w:t>komunikacyjnym udostępnionym właścicielom rejestrów publicznych i systemów teleinformatycznych, z których udostępniane są niezbędne dane na potrzeby prowadzenia analiz.</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Pozbawienie finalnych danych analitycznych identyfikatorów, według których były wcześniej łączone, a następnie nadanie im nowych sztucznych identyfikatorów.</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Przeprowadzanie poszczególnych analiz odbywać się będzie w oddzielnych, wzajemnie od siebie odseparowanych obszar</w:t>
      </w:r>
      <w:r>
        <w:rPr>
          <w:rFonts w:ascii="Times New Roman" w:hAnsi="Times New Roman"/>
          <w:sz w:val="24"/>
          <w:szCs w:val="24"/>
        </w:rPr>
        <w:t xml:space="preserve">ach analitycznych platformy, co </w:t>
      </w:r>
      <w:r w:rsidRPr="00E54579">
        <w:rPr>
          <w:rFonts w:ascii="Times New Roman" w:hAnsi="Times New Roman"/>
          <w:sz w:val="24"/>
          <w:szCs w:val="24"/>
        </w:rPr>
        <w:t>praktycznie całkowicie eliminuje możliwość ich nieuprawnionego odczytu lub ingerencji przez nieautoryzowanych użytkowników platformy.</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Udostępnienie analitykom powołanym przez właściciela analiz dedykowanego środowiska analitycznego wraz z pseudonimowanymi danymi w celu przeprowadzenia analiz.</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 xml:space="preserve">Udostępnienie wyników właścicielowi analiz, który decyduje o ich ewentualnym upublicznieniu. W żadnym przypadku platforma analityczna automatyczne nie publikuje wyników analiz w jakiejkolwiek formie. Wynik analiz będzie pozbawiony jakichkolwiek </w:t>
      </w:r>
      <w:proofErr w:type="spellStart"/>
      <w:r w:rsidRPr="00E54579">
        <w:rPr>
          <w:rFonts w:ascii="Times New Roman" w:hAnsi="Times New Roman"/>
          <w:sz w:val="24"/>
          <w:szCs w:val="24"/>
        </w:rPr>
        <w:t>pseudonimizowanych</w:t>
      </w:r>
      <w:proofErr w:type="spellEnd"/>
      <w:r w:rsidRPr="00E54579">
        <w:rPr>
          <w:rFonts w:ascii="Times New Roman" w:hAnsi="Times New Roman"/>
          <w:sz w:val="24"/>
          <w:szCs w:val="24"/>
        </w:rPr>
        <w:t xml:space="preserve"> danych</w:t>
      </w:r>
      <w:r w:rsidR="00CA44C2">
        <w:rPr>
          <w:rFonts w:ascii="Times New Roman" w:hAnsi="Times New Roman"/>
          <w:sz w:val="24"/>
          <w:szCs w:val="24"/>
        </w:rPr>
        <w:t>,</w:t>
      </w:r>
      <w:r w:rsidRPr="00E54579">
        <w:rPr>
          <w:rFonts w:ascii="Times New Roman" w:hAnsi="Times New Roman"/>
          <w:sz w:val="24"/>
          <w:szCs w:val="24"/>
        </w:rPr>
        <w:t xml:space="preserve"> jak również danych jednostkowych.</w:t>
      </w:r>
    </w:p>
    <w:p w:rsidR="005D3F15" w:rsidRPr="00E54579" w:rsidRDefault="005D3F15" w:rsidP="001C2767">
      <w:pPr>
        <w:pStyle w:val="Akapitzlist"/>
        <w:numPr>
          <w:ilvl w:val="0"/>
          <w:numId w:val="44"/>
        </w:numPr>
        <w:spacing w:before="120" w:line="360" w:lineRule="auto"/>
        <w:jc w:val="both"/>
        <w:rPr>
          <w:rFonts w:ascii="Times New Roman" w:hAnsi="Times New Roman"/>
          <w:sz w:val="24"/>
          <w:szCs w:val="24"/>
        </w:rPr>
      </w:pPr>
      <w:r w:rsidRPr="00E54579">
        <w:rPr>
          <w:rFonts w:ascii="Times New Roman" w:hAnsi="Times New Roman"/>
          <w:sz w:val="24"/>
          <w:szCs w:val="24"/>
        </w:rPr>
        <w:t>Po zakończeniu analiz obszar analityczny platformy zostanie bezpowrotnie usunięty, a dane źródłowe zostaną usunięte.</w:t>
      </w:r>
    </w:p>
    <w:p w:rsidR="005D3F15" w:rsidRDefault="005D3F15" w:rsidP="001C2767">
      <w:pPr>
        <w:widowControl/>
        <w:numPr>
          <w:ilvl w:val="0"/>
          <w:numId w:val="24"/>
        </w:numPr>
        <w:autoSpaceDE/>
        <w:autoSpaceDN/>
        <w:adjustRightInd/>
        <w:spacing w:before="120"/>
        <w:ind w:hanging="357"/>
        <w:contextualSpacing/>
        <w:jc w:val="both"/>
        <w:rPr>
          <w:rFonts w:eastAsia="Calibri" w:cs="Times New Roman"/>
          <w:szCs w:val="24"/>
          <w:lang w:eastAsia="en-US"/>
        </w:rPr>
      </w:pPr>
      <w:r w:rsidRPr="004229C4">
        <w:rPr>
          <w:rFonts w:eastAsia="Calibri" w:cs="Times New Roman"/>
          <w:szCs w:val="24"/>
          <w:lang w:eastAsia="en-US"/>
        </w:rPr>
        <w:t>Projekt ustawy dokonuje nowelizacji szeregu ustaw wprowadzając zmiany będące konsekwencją uchylenia ustawy z</w:t>
      </w:r>
      <w:r>
        <w:rPr>
          <w:rFonts w:eastAsia="Calibri" w:cs="Times New Roman"/>
          <w:szCs w:val="24"/>
          <w:lang w:eastAsia="en-US"/>
        </w:rPr>
        <w:t xml:space="preserve"> </w:t>
      </w:r>
      <w:r w:rsidRPr="004229C4">
        <w:rPr>
          <w:rFonts w:eastAsia="Calibri" w:cs="Times New Roman"/>
          <w:szCs w:val="24"/>
          <w:lang w:eastAsia="en-US"/>
        </w:rPr>
        <w:t>2016</w:t>
      </w:r>
      <w:r>
        <w:rPr>
          <w:rFonts w:eastAsia="Calibri" w:cs="Times New Roman"/>
          <w:szCs w:val="24"/>
          <w:lang w:eastAsia="en-US"/>
        </w:rPr>
        <w:t xml:space="preserve"> </w:t>
      </w:r>
      <w:r w:rsidRPr="004229C4">
        <w:rPr>
          <w:rFonts w:eastAsia="Calibri" w:cs="Times New Roman"/>
          <w:szCs w:val="24"/>
          <w:lang w:eastAsia="en-US"/>
        </w:rPr>
        <w:t>r.</w:t>
      </w:r>
    </w:p>
    <w:p w:rsidR="005D3F15" w:rsidRPr="004229C4" w:rsidRDefault="005D3F15" w:rsidP="001C2767">
      <w:pPr>
        <w:widowControl/>
        <w:spacing w:before="120"/>
        <w:jc w:val="both"/>
        <w:rPr>
          <w:rFonts w:eastAsia="Calibri" w:cs="Times New Roman"/>
          <w:b/>
          <w:szCs w:val="24"/>
          <w:lang w:eastAsia="en-US"/>
        </w:rPr>
      </w:pPr>
      <w:r w:rsidRPr="004229C4">
        <w:rPr>
          <w:rFonts w:eastAsia="Calibri" w:cs="Times New Roman"/>
          <w:b/>
          <w:szCs w:val="24"/>
          <w:lang w:eastAsia="en-US"/>
        </w:rPr>
        <w:t>Rozdział 11. Przepisy przejściowe</w:t>
      </w:r>
      <w:r>
        <w:rPr>
          <w:rFonts w:eastAsia="Calibri" w:cs="Times New Roman"/>
          <w:b/>
          <w:szCs w:val="24"/>
          <w:lang w:eastAsia="en-US"/>
        </w:rPr>
        <w:t>, dostosowujące</w:t>
      </w:r>
      <w:r w:rsidRPr="004229C4">
        <w:rPr>
          <w:rFonts w:eastAsia="Calibri" w:cs="Times New Roman"/>
          <w:b/>
          <w:szCs w:val="24"/>
          <w:lang w:eastAsia="en-US"/>
        </w:rPr>
        <w:t xml:space="preserve"> i</w:t>
      </w:r>
      <w:r>
        <w:rPr>
          <w:rFonts w:eastAsia="Calibri" w:cs="Times New Roman"/>
          <w:b/>
          <w:szCs w:val="24"/>
          <w:lang w:eastAsia="en-US"/>
        </w:rPr>
        <w:t xml:space="preserve"> przepisy </w:t>
      </w:r>
      <w:r w:rsidRPr="004229C4">
        <w:rPr>
          <w:rFonts w:eastAsia="Calibri" w:cs="Times New Roman"/>
          <w:b/>
          <w:szCs w:val="24"/>
          <w:lang w:eastAsia="en-US"/>
        </w:rPr>
        <w:t>końcowe.</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Przepis art.</w:t>
      </w:r>
      <w:r>
        <w:rPr>
          <w:rFonts w:eastAsia="Calibri" w:cs="Times New Roman"/>
          <w:szCs w:val="24"/>
          <w:lang w:eastAsia="en-US"/>
        </w:rPr>
        <w:t xml:space="preserve"> </w:t>
      </w:r>
      <w:r w:rsidRPr="004229C4">
        <w:rPr>
          <w:rFonts w:eastAsia="Calibri" w:cs="Times New Roman"/>
          <w:szCs w:val="24"/>
          <w:lang w:eastAsia="en-US"/>
        </w:rPr>
        <w:t>58 ust.</w:t>
      </w:r>
      <w:r>
        <w:rPr>
          <w:rFonts w:eastAsia="Calibri" w:cs="Times New Roman"/>
          <w:szCs w:val="24"/>
          <w:lang w:eastAsia="en-US"/>
        </w:rPr>
        <w:t xml:space="preserve"> </w:t>
      </w:r>
      <w:r w:rsidRPr="004229C4">
        <w:rPr>
          <w:rFonts w:eastAsia="Calibri" w:cs="Times New Roman"/>
          <w:szCs w:val="24"/>
          <w:lang w:eastAsia="en-US"/>
        </w:rPr>
        <w:t>1</w:t>
      </w:r>
      <w:r>
        <w:rPr>
          <w:rFonts w:eastAsia="Calibri" w:cs="Times New Roman"/>
          <w:szCs w:val="24"/>
          <w:lang w:eastAsia="en-US"/>
        </w:rPr>
        <w:t xml:space="preserve"> </w:t>
      </w:r>
      <w:r w:rsidRPr="004229C4">
        <w:rPr>
          <w:rFonts w:eastAsia="Calibri" w:cs="Times New Roman"/>
          <w:szCs w:val="24"/>
          <w:lang w:eastAsia="en-US"/>
        </w:rPr>
        <w:t>projektu ustawy przewiduje stosowanie przepisów dotychczasowych do</w:t>
      </w:r>
      <w:r>
        <w:rPr>
          <w:rFonts w:eastAsia="Calibri" w:cs="Times New Roman"/>
          <w:szCs w:val="24"/>
          <w:lang w:eastAsia="en-US"/>
        </w:rPr>
        <w:t xml:space="preserve"> </w:t>
      </w:r>
      <w:r w:rsidRPr="004229C4">
        <w:rPr>
          <w:rFonts w:eastAsia="Calibri" w:cs="Times New Roman"/>
          <w:szCs w:val="24"/>
          <w:lang w:eastAsia="en-US"/>
        </w:rPr>
        <w:t>spraw z</w:t>
      </w:r>
      <w:r>
        <w:rPr>
          <w:rFonts w:eastAsia="Calibri" w:cs="Times New Roman"/>
          <w:szCs w:val="24"/>
          <w:lang w:eastAsia="en-US"/>
        </w:rPr>
        <w:t xml:space="preserve"> </w:t>
      </w:r>
      <w:r w:rsidRPr="004229C4">
        <w:rPr>
          <w:rFonts w:eastAsia="Calibri" w:cs="Times New Roman"/>
          <w:szCs w:val="24"/>
          <w:lang w:eastAsia="en-US"/>
        </w:rPr>
        <w:t>zakresu udostępniania informacji sektora publicznego w</w:t>
      </w:r>
      <w:r>
        <w:rPr>
          <w:rFonts w:eastAsia="Calibri" w:cs="Times New Roman"/>
          <w:szCs w:val="24"/>
          <w:lang w:eastAsia="en-US"/>
        </w:rPr>
        <w:t xml:space="preserve"> </w:t>
      </w:r>
      <w:r w:rsidRPr="004229C4">
        <w:rPr>
          <w:rFonts w:eastAsia="Calibri" w:cs="Times New Roman"/>
          <w:szCs w:val="24"/>
          <w:lang w:eastAsia="en-US"/>
        </w:rPr>
        <w:t>celu ponownego wykorzystywania, wszczętych i</w:t>
      </w:r>
      <w:r>
        <w:rPr>
          <w:rFonts w:eastAsia="Calibri" w:cs="Times New Roman"/>
          <w:szCs w:val="24"/>
          <w:lang w:eastAsia="en-US"/>
        </w:rPr>
        <w:t xml:space="preserve"> </w:t>
      </w:r>
      <w:r w:rsidRPr="004229C4">
        <w:rPr>
          <w:rFonts w:eastAsia="Calibri" w:cs="Times New Roman"/>
          <w:szCs w:val="24"/>
          <w:lang w:eastAsia="en-US"/>
        </w:rPr>
        <w:t>niezakończonych w</w:t>
      </w:r>
      <w:r>
        <w:rPr>
          <w:rFonts w:eastAsia="Calibri" w:cs="Times New Roman"/>
          <w:szCs w:val="24"/>
          <w:lang w:eastAsia="en-US"/>
        </w:rPr>
        <w:t xml:space="preserve"> </w:t>
      </w:r>
      <w:r w:rsidRPr="004229C4">
        <w:rPr>
          <w:rFonts w:eastAsia="Calibri" w:cs="Times New Roman"/>
          <w:szCs w:val="24"/>
          <w:lang w:eastAsia="en-US"/>
        </w:rPr>
        <w:t>dniu wejścia w</w:t>
      </w:r>
      <w:r>
        <w:rPr>
          <w:rFonts w:eastAsia="Calibri" w:cs="Times New Roman"/>
          <w:szCs w:val="24"/>
          <w:lang w:eastAsia="en-US"/>
        </w:rPr>
        <w:t xml:space="preserve"> </w:t>
      </w:r>
      <w:r w:rsidRPr="004229C4">
        <w:rPr>
          <w:rFonts w:eastAsia="Calibri" w:cs="Times New Roman"/>
          <w:szCs w:val="24"/>
          <w:lang w:eastAsia="en-US"/>
        </w:rPr>
        <w:t>życie ustawy.</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Zgodnie z</w:t>
      </w:r>
      <w:r>
        <w:rPr>
          <w:rFonts w:eastAsia="Calibri" w:cs="Times New Roman"/>
          <w:szCs w:val="24"/>
          <w:lang w:eastAsia="en-US"/>
        </w:rPr>
        <w:t xml:space="preserve"> </w:t>
      </w:r>
      <w:r w:rsidRPr="004229C4">
        <w:rPr>
          <w:rFonts w:eastAsia="Calibri" w:cs="Times New Roman"/>
          <w:szCs w:val="24"/>
          <w:lang w:eastAsia="en-US"/>
        </w:rPr>
        <w:t>art.</w:t>
      </w:r>
      <w:r>
        <w:rPr>
          <w:rFonts w:eastAsia="Calibri" w:cs="Times New Roman"/>
          <w:szCs w:val="24"/>
          <w:lang w:eastAsia="en-US"/>
        </w:rPr>
        <w:t xml:space="preserve"> </w:t>
      </w:r>
      <w:r w:rsidRPr="004229C4">
        <w:rPr>
          <w:rFonts w:eastAsia="Calibri" w:cs="Times New Roman"/>
          <w:szCs w:val="24"/>
          <w:lang w:eastAsia="en-US"/>
        </w:rPr>
        <w:t>58 ust.</w:t>
      </w:r>
      <w:r>
        <w:rPr>
          <w:rFonts w:eastAsia="Calibri" w:cs="Times New Roman"/>
          <w:szCs w:val="24"/>
          <w:lang w:eastAsia="en-US"/>
        </w:rPr>
        <w:t xml:space="preserve"> </w:t>
      </w:r>
      <w:r w:rsidRPr="004229C4">
        <w:rPr>
          <w:rFonts w:eastAsia="Calibri" w:cs="Times New Roman"/>
          <w:szCs w:val="24"/>
          <w:lang w:eastAsia="en-US"/>
        </w:rPr>
        <w:t>2</w:t>
      </w:r>
      <w:r>
        <w:rPr>
          <w:rFonts w:eastAsia="Calibri" w:cs="Times New Roman"/>
          <w:szCs w:val="24"/>
          <w:lang w:eastAsia="en-US"/>
        </w:rPr>
        <w:t xml:space="preserve"> </w:t>
      </w:r>
      <w:r w:rsidRPr="004229C4">
        <w:rPr>
          <w:rFonts w:eastAsia="Calibri" w:cs="Times New Roman"/>
          <w:szCs w:val="24"/>
          <w:lang w:eastAsia="en-US"/>
        </w:rPr>
        <w:t>projektu ustawy postanowienia umów zawartych przed dniem wejścia w</w:t>
      </w:r>
      <w:r>
        <w:rPr>
          <w:rFonts w:eastAsia="Calibri" w:cs="Times New Roman"/>
          <w:szCs w:val="24"/>
          <w:lang w:eastAsia="en-US"/>
        </w:rPr>
        <w:t xml:space="preserve"> </w:t>
      </w:r>
      <w:r w:rsidRPr="004229C4">
        <w:rPr>
          <w:rFonts w:eastAsia="Calibri" w:cs="Times New Roman"/>
          <w:szCs w:val="24"/>
          <w:lang w:eastAsia="en-US"/>
        </w:rPr>
        <w:t>życie niniejszej ustawy, niezgodne z</w:t>
      </w:r>
      <w:r>
        <w:rPr>
          <w:rFonts w:eastAsia="Calibri" w:cs="Times New Roman"/>
          <w:szCs w:val="24"/>
          <w:lang w:eastAsia="en-US"/>
        </w:rPr>
        <w:t xml:space="preserve"> </w:t>
      </w:r>
      <w:r w:rsidRPr="004229C4">
        <w:rPr>
          <w:rFonts w:eastAsia="Calibri" w:cs="Times New Roman"/>
          <w:szCs w:val="24"/>
          <w:lang w:eastAsia="en-US"/>
        </w:rPr>
        <w:t>art.</w:t>
      </w:r>
      <w:r>
        <w:rPr>
          <w:rFonts w:eastAsia="Calibri" w:cs="Times New Roman"/>
          <w:szCs w:val="24"/>
          <w:lang w:eastAsia="en-US"/>
        </w:rPr>
        <w:t xml:space="preserve"> </w:t>
      </w:r>
      <w:r w:rsidRPr="004229C4">
        <w:rPr>
          <w:rFonts w:eastAsia="Calibri" w:cs="Times New Roman"/>
          <w:szCs w:val="24"/>
          <w:lang w:eastAsia="en-US"/>
        </w:rPr>
        <w:t>9 ust.</w:t>
      </w:r>
      <w:r>
        <w:rPr>
          <w:rFonts w:eastAsia="Calibri" w:cs="Times New Roman"/>
          <w:szCs w:val="24"/>
          <w:lang w:eastAsia="en-US"/>
        </w:rPr>
        <w:t xml:space="preserve"> </w:t>
      </w:r>
      <w:r w:rsidRPr="004229C4">
        <w:rPr>
          <w:rFonts w:eastAsia="Calibri" w:cs="Times New Roman"/>
          <w:szCs w:val="24"/>
          <w:lang w:eastAsia="en-US"/>
        </w:rPr>
        <w:t>2, wygasają wraz z</w:t>
      </w:r>
      <w:r>
        <w:rPr>
          <w:rFonts w:eastAsia="Calibri" w:cs="Times New Roman"/>
          <w:szCs w:val="24"/>
          <w:lang w:eastAsia="en-US"/>
        </w:rPr>
        <w:t xml:space="preserve"> </w:t>
      </w:r>
      <w:r w:rsidRPr="004229C4">
        <w:rPr>
          <w:rFonts w:eastAsia="Calibri" w:cs="Times New Roman"/>
          <w:szCs w:val="24"/>
          <w:lang w:eastAsia="en-US"/>
        </w:rPr>
        <w:t>końcem okresu ich obowiązywania, nie później jednak niż w</w:t>
      </w:r>
      <w:r>
        <w:rPr>
          <w:rFonts w:eastAsia="Calibri" w:cs="Times New Roman"/>
          <w:szCs w:val="24"/>
          <w:lang w:eastAsia="en-US"/>
        </w:rPr>
        <w:t xml:space="preserve"> </w:t>
      </w:r>
      <w:r w:rsidRPr="004229C4">
        <w:rPr>
          <w:rFonts w:eastAsia="Calibri" w:cs="Times New Roman"/>
          <w:szCs w:val="24"/>
          <w:lang w:eastAsia="en-US"/>
        </w:rPr>
        <w:t>dniu 18</w:t>
      </w:r>
      <w:r>
        <w:rPr>
          <w:rFonts w:eastAsia="Calibri" w:cs="Times New Roman"/>
          <w:szCs w:val="24"/>
          <w:lang w:eastAsia="en-US"/>
        </w:rPr>
        <w:t xml:space="preserve"> </w:t>
      </w:r>
      <w:r w:rsidRPr="004229C4">
        <w:rPr>
          <w:rFonts w:eastAsia="Calibri" w:cs="Times New Roman"/>
          <w:szCs w:val="24"/>
          <w:lang w:eastAsia="en-US"/>
        </w:rPr>
        <w:t>lipca 2043</w:t>
      </w:r>
      <w:r>
        <w:rPr>
          <w:rFonts w:eastAsia="Calibri" w:cs="Times New Roman"/>
          <w:szCs w:val="24"/>
          <w:lang w:eastAsia="en-US"/>
        </w:rPr>
        <w:t xml:space="preserve"> </w:t>
      </w:r>
      <w:r w:rsidRPr="004229C4">
        <w:rPr>
          <w:rFonts w:eastAsia="Calibri" w:cs="Times New Roman"/>
          <w:szCs w:val="24"/>
          <w:lang w:eastAsia="en-US"/>
        </w:rPr>
        <w:t>r. Przepis ten wdraża postanowienie art.</w:t>
      </w:r>
      <w:r>
        <w:rPr>
          <w:rFonts w:eastAsia="Calibri" w:cs="Times New Roman"/>
          <w:szCs w:val="24"/>
          <w:lang w:eastAsia="en-US"/>
        </w:rPr>
        <w:t xml:space="preserve"> </w:t>
      </w:r>
      <w:r w:rsidRPr="004229C4">
        <w:rPr>
          <w:rFonts w:eastAsia="Calibri" w:cs="Times New Roman"/>
          <w:szCs w:val="24"/>
          <w:lang w:eastAsia="en-US"/>
        </w:rPr>
        <w:t>12 ust.</w:t>
      </w:r>
      <w:r>
        <w:rPr>
          <w:rFonts w:eastAsia="Calibri" w:cs="Times New Roman"/>
          <w:szCs w:val="24"/>
          <w:lang w:eastAsia="en-US"/>
        </w:rPr>
        <w:t xml:space="preserve"> </w:t>
      </w:r>
      <w:r w:rsidRPr="004229C4">
        <w:rPr>
          <w:rFonts w:eastAsia="Calibri" w:cs="Times New Roman"/>
          <w:szCs w:val="24"/>
          <w:lang w:eastAsia="en-US"/>
        </w:rPr>
        <w:t>5</w:t>
      </w:r>
      <w:r>
        <w:rPr>
          <w:rFonts w:eastAsia="Calibri" w:cs="Times New Roman"/>
          <w:szCs w:val="24"/>
          <w:lang w:eastAsia="en-US"/>
        </w:rPr>
        <w:t xml:space="preserve"> </w:t>
      </w:r>
      <w:r w:rsidRPr="004229C4">
        <w:rPr>
          <w:rFonts w:eastAsia="Calibri" w:cs="Times New Roman"/>
          <w:szCs w:val="24"/>
          <w:lang w:eastAsia="en-US"/>
        </w:rPr>
        <w:t>dyrektywy 2019/1024/UE, zgodnie z</w:t>
      </w:r>
      <w:r>
        <w:rPr>
          <w:rFonts w:eastAsia="Calibri" w:cs="Times New Roman"/>
          <w:szCs w:val="24"/>
          <w:lang w:eastAsia="en-US"/>
        </w:rPr>
        <w:t xml:space="preserve"> </w:t>
      </w:r>
      <w:r w:rsidRPr="004229C4">
        <w:rPr>
          <w:rFonts w:eastAsia="Calibri" w:cs="Times New Roman"/>
          <w:szCs w:val="24"/>
          <w:lang w:eastAsia="en-US"/>
        </w:rPr>
        <w:t>którym istniejące w</w:t>
      </w:r>
      <w:r>
        <w:rPr>
          <w:rFonts w:eastAsia="Calibri" w:cs="Times New Roman"/>
          <w:szCs w:val="24"/>
          <w:lang w:eastAsia="en-US"/>
        </w:rPr>
        <w:t xml:space="preserve"> </w:t>
      </w:r>
      <w:r w:rsidRPr="004229C4">
        <w:rPr>
          <w:rFonts w:eastAsia="Calibri" w:cs="Times New Roman"/>
          <w:szCs w:val="24"/>
          <w:lang w:eastAsia="en-US"/>
        </w:rPr>
        <w:t>dniu 17</w:t>
      </w:r>
      <w:r>
        <w:rPr>
          <w:rFonts w:eastAsia="Calibri" w:cs="Times New Roman"/>
          <w:szCs w:val="24"/>
          <w:lang w:eastAsia="en-US"/>
        </w:rPr>
        <w:t xml:space="preserve"> </w:t>
      </w:r>
      <w:r w:rsidRPr="004229C4">
        <w:rPr>
          <w:rFonts w:eastAsia="Calibri" w:cs="Times New Roman"/>
          <w:szCs w:val="24"/>
          <w:lang w:eastAsia="en-US"/>
        </w:rPr>
        <w:t>lipca 2013</w:t>
      </w:r>
      <w:r>
        <w:rPr>
          <w:rFonts w:eastAsia="Calibri" w:cs="Times New Roman"/>
          <w:szCs w:val="24"/>
          <w:lang w:eastAsia="en-US"/>
        </w:rPr>
        <w:t xml:space="preserve"> </w:t>
      </w:r>
      <w:r w:rsidRPr="004229C4">
        <w:rPr>
          <w:rFonts w:eastAsia="Calibri" w:cs="Times New Roman"/>
          <w:szCs w:val="24"/>
          <w:lang w:eastAsia="en-US"/>
        </w:rPr>
        <w:t xml:space="preserve">r. uzgodnienia dotyczące wyłączności, które nie </w:t>
      </w:r>
      <w:r w:rsidRPr="004229C4">
        <w:rPr>
          <w:rFonts w:eastAsia="Calibri" w:cs="Times New Roman"/>
          <w:szCs w:val="24"/>
          <w:lang w:eastAsia="en-US"/>
        </w:rPr>
        <w:lastRenderedPageBreak/>
        <w:t>kwalifikują się jako wyjątki określone w</w:t>
      </w:r>
      <w:r>
        <w:rPr>
          <w:rFonts w:eastAsia="Calibri" w:cs="Times New Roman"/>
          <w:szCs w:val="24"/>
          <w:lang w:eastAsia="en-US"/>
        </w:rPr>
        <w:t xml:space="preserve"> </w:t>
      </w:r>
      <w:r w:rsidRPr="004229C4">
        <w:rPr>
          <w:rFonts w:eastAsia="Calibri" w:cs="Times New Roman"/>
          <w:szCs w:val="24"/>
          <w:lang w:eastAsia="en-US"/>
        </w:rPr>
        <w:t>ust.</w:t>
      </w:r>
      <w:r>
        <w:rPr>
          <w:rFonts w:eastAsia="Calibri" w:cs="Times New Roman"/>
          <w:szCs w:val="24"/>
          <w:lang w:eastAsia="en-US"/>
        </w:rPr>
        <w:t xml:space="preserve"> </w:t>
      </w:r>
      <w:r w:rsidRPr="004229C4">
        <w:rPr>
          <w:rFonts w:eastAsia="Calibri" w:cs="Times New Roman"/>
          <w:szCs w:val="24"/>
          <w:lang w:eastAsia="en-US"/>
        </w:rPr>
        <w:t>2 i</w:t>
      </w:r>
      <w:r>
        <w:rPr>
          <w:rFonts w:eastAsia="Calibri" w:cs="Times New Roman"/>
          <w:szCs w:val="24"/>
          <w:lang w:eastAsia="en-US"/>
        </w:rPr>
        <w:t xml:space="preserve"> </w:t>
      </w:r>
      <w:r w:rsidRPr="004229C4">
        <w:rPr>
          <w:rFonts w:eastAsia="Calibri" w:cs="Times New Roman"/>
          <w:szCs w:val="24"/>
          <w:lang w:eastAsia="en-US"/>
        </w:rPr>
        <w:t>3</w:t>
      </w:r>
      <w:r>
        <w:rPr>
          <w:rFonts w:eastAsia="Calibri" w:cs="Times New Roman"/>
          <w:szCs w:val="24"/>
          <w:lang w:eastAsia="en-US"/>
        </w:rPr>
        <w:t xml:space="preserve"> </w:t>
      </w:r>
      <w:r w:rsidRPr="004229C4">
        <w:rPr>
          <w:rFonts w:eastAsia="Calibri" w:cs="Times New Roman"/>
          <w:szCs w:val="24"/>
          <w:lang w:eastAsia="en-US"/>
        </w:rPr>
        <w:t>dyrektywy, a</w:t>
      </w:r>
      <w:r>
        <w:rPr>
          <w:rFonts w:eastAsia="Calibri" w:cs="Times New Roman"/>
          <w:szCs w:val="24"/>
          <w:lang w:eastAsia="en-US"/>
        </w:rPr>
        <w:t xml:space="preserve"> </w:t>
      </w:r>
      <w:r w:rsidRPr="004229C4">
        <w:rPr>
          <w:rFonts w:eastAsia="Calibri" w:cs="Times New Roman"/>
          <w:szCs w:val="24"/>
          <w:lang w:eastAsia="en-US"/>
        </w:rPr>
        <w:t>do których przystąpiły organy sektora publicznego, wygasają wraz z</w:t>
      </w:r>
      <w:r>
        <w:rPr>
          <w:rFonts w:eastAsia="Calibri" w:cs="Times New Roman"/>
          <w:szCs w:val="24"/>
          <w:lang w:eastAsia="en-US"/>
        </w:rPr>
        <w:t xml:space="preserve"> </w:t>
      </w:r>
      <w:r w:rsidRPr="004229C4">
        <w:rPr>
          <w:rFonts w:eastAsia="Calibri" w:cs="Times New Roman"/>
          <w:szCs w:val="24"/>
          <w:lang w:eastAsia="en-US"/>
        </w:rPr>
        <w:t>końcem obowiązywania stosownej umowy, a</w:t>
      </w:r>
      <w:r>
        <w:rPr>
          <w:rFonts w:eastAsia="Calibri" w:cs="Times New Roman"/>
          <w:szCs w:val="24"/>
          <w:lang w:eastAsia="en-US"/>
        </w:rPr>
        <w:t xml:space="preserve"> </w:t>
      </w:r>
      <w:r w:rsidRPr="004229C4">
        <w:rPr>
          <w:rFonts w:eastAsia="Calibri" w:cs="Times New Roman"/>
          <w:szCs w:val="24"/>
          <w:lang w:eastAsia="en-US"/>
        </w:rPr>
        <w:t>w</w:t>
      </w:r>
      <w:r>
        <w:rPr>
          <w:rFonts w:eastAsia="Calibri" w:cs="Times New Roman"/>
          <w:szCs w:val="24"/>
          <w:lang w:eastAsia="en-US"/>
        </w:rPr>
        <w:t xml:space="preserve"> </w:t>
      </w:r>
      <w:r w:rsidRPr="004229C4">
        <w:rPr>
          <w:rFonts w:eastAsia="Calibri" w:cs="Times New Roman"/>
          <w:szCs w:val="24"/>
          <w:lang w:eastAsia="en-US"/>
        </w:rPr>
        <w:t>każdym razie najpóźniej w</w:t>
      </w:r>
      <w:r>
        <w:rPr>
          <w:rFonts w:eastAsia="Calibri" w:cs="Times New Roman"/>
          <w:szCs w:val="24"/>
          <w:lang w:eastAsia="en-US"/>
        </w:rPr>
        <w:t xml:space="preserve"> </w:t>
      </w:r>
      <w:r w:rsidRPr="004229C4">
        <w:rPr>
          <w:rFonts w:eastAsia="Calibri" w:cs="Times New Roman"/>
          <w:szCs w:val="24"/>
          <w:lang w:eastAsia="en-US"/>
        </w:rPr>
        <w:t>dniu 18</w:t>
      </w:r>
      <w:r>
        <w:rPr>
          <w:rFonts w:eastAsia="Calibri" w:cs="Times New Roman"/>
          <w:szCs w:val="24"/>
          <w:lang w:eastAsia="en-US"/>
        </w:rPr>
        <w:t xml:space="preserve"> </w:t>
      </w:r>
      <w:r w:rsidRPr="004229C4">
        <w:rPr>
          <w:rFonts w:eastAsia="Calibri" w:cs="Times New Roman"/>
          <w:szCs w:val="24"/>
          <w:lang w:eastAsia="en-US"/>
        </w:rPr>
        <w:t>lipca 2043</w:t>
      </w:r>
      <w:r>
        <w:rPr>
          <w:rFonts w:eastAsia="Calibri" w:cs="Times New Roman"/>
          <w:szCs w:val="24"/>
          <w:lang w:eastAsia="en-US"/>
        </w:rPr>
        <w:t xml:space="preserve"> </w:t>
      </w:r>
      <w:r w:rsidRPr="004229C4">
        <w:rPr>
          <w:rFonts w:eastAsia="Calibri" w:cs="Times New Roman"/>
          <w:szCs w:val="24"/>
          <w:lang w:eastAsia="en-US"/>
        </w:rPr>
        <w:t>r.</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Na podstawie art. 59 projektu minister właściwy do spraw nauki i szkolnictwa wyższego został zobowiązany do opracowania Polityki otwartego dostępu do danych badawczych w</w:t>
      </w:r>
      <w:r>
        <w:rPr>
          <w:rFonts w:eastAsia="Calibri" w:cs="Times New Roman"/>
          <w:szCs w:val="24"/>
          <w:lang w:eastAsia="en-US"/>
        </w:rPr>
        <w:t xml:space="preserve"> </w:t>
      </w:r>
      <w:r w:rsidRPr="004229C4">
        <w:rPr>
          <w:rFonts w:eastAsia="Calibri" w:cs="Times New Roman"/>
          <w:szCs w:val="24"/>
          <w:lang w:eastAsia="en-US"/>
        </w:rPr>
        <w:t xml:space="preserve">terminie 18 miesięcy od dnia wejścia w życie projektowanej ustawy. </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Zgodnie z</w:t>
      </w:r>
      <w:r>
        <w:rPr>
          <w:rFonts w:eastAsia="Calibri" w:cs="Times New Roman"/>
          <w:szCs w:val="24"/>
          <w:lang w:eastAsia="en-US"/>
        </w:rPr>
        <w:t xml:space="preserve"> </w:t>
      </w:r>
      <w:r w:rsidRPr="004229C4">
        <w:rPr>
          <w:rFonts w:eastAsia="Calibri" w:cs="Times New Roman"/>
          <w:szCs w:val="24"/>
          <w:lang w:eastAsia="en-US"/>
        </w:rPr>
        <w:t>art.</w:t>
      </w:r>
      <w:r>
        <w:rPr>
          <w:rFonts w:eastAsia="Calibri" w:cs="Times New Roman"/>
          <w:szCs w:val="24"/>
          <w:lang w:eastAsia="en-US"/>
        </w:rPr>
        <w:t xml:space="preserve"> </w:t>
      </w:r>
      <w:r w:rsidRPr="004229C4">
        <w:rPr>
          <w:rFonts w:eastAsia="Calibri" w:cs="Times New Roman"/>
          <w:szCs w:val="24"/>
          <w:lang w:eastAsia="en-US"/>
        </w:rPr>
        <w:t>60 ust.</w:t>
      </w:r>
      <w:r>
        <w:rPr>
          <w:rFonts w:eastAsia="Calibri" w:cs="Times New Roman"/>
          <w:szCs w:val="24"/>
          <w:lang w:eastAsia="en-US"/>
        </w:rPr>
        <w:t xml:space="preserve"> </w:t>
      </w:r>
      <w:r w:rsidRPr="004229C4">
        <w:rPr>
          <w:rFonts w:eastAsia="Calibri" w:cs="Times New Roman"/>
          <w:szCs w:val="24"/>
          <w:lang w:eastAsia="en-US"/>
        </w:rPr>
        <w:t>1</w:t>
      </w:r>
      <w:r>
        <w:rPr>
          <w:rFonts w:eastAsia="Calibri" w:cs="Times New Roman"/>
          <w:szCs w:val="24"/>
          <w:lang w:eastAsia="en-US"/>
        </w:rPr>
        <w:t xml:space="preserve"> </w:t>
      </w:r>
      <w:r w:rsidRPr="004229C4">
        <w:rPr>
          <w:rFonts w:eastAsia="Calibri" w:cs="Times New Roman"/>
          <w:szCs w:val="24"/>
          <w:lang w:eastAsia="en-US"/>
        </w:rPr>
        <w:t>ustawy dotychczasowe przepisy wykonawcze wydane na podstawie art.</w:t>
      </w:r>
      <w:r>
        <w:rPr>
          <w:rFonts w:eastAsia="Calibri" w:cs="Times New Roman"/>
          <w:szCs w:val="24"/>
          <w:lang w:eastAsia="en-US"/>
        </w:rPr>
        <w:t xml:space="preserve"> </w:t>
      </w:r>
      <w:r w:rsidRPr="004229C4">
        <w:rPr>
          <w:rFonts w:eastAsia="Calibri" w:cs="Times New Roman"/>
          <w:szCs w:val="24"/>
          <w:lang w:eastAsia="en-US"/>
        </w:rPr>
        <w:t>9b ust.</w:t>
      </w:r>
      <w:r>
        <w:rPr>
          <w:rFonts w:eastAsia="Calibri" w:cs="Times New Roman"/>
          <w:szCs w:val="24"/>
          <w:lang w:eastAsia="en-US"/>
        </w:rPr>
        <w:t xml:space="preserve"> </w:t>
      </w:r>
      <w:r w:rsidRPr="004229C4">
        <w:rPr>
          <w:rFonts w:eastAsia="Calibri" w:cs="Times New Roman"/>
          <w:szCs w:val="24"/>
          <w:lang w:eastAsia="en-US"/>
        </w:rPr>
        <w:t>6</w:t>
      </w:r>
      <w:r>
        <w:rPr>
          <w:rFonts w:eastAsia="Calibri" w:cs="Times New Roman"/>
          <w:szCs w:val="24"/>
          <w:lang w:eastAsia="en-US"/>
        </w:rPr>
        <w:t xml:space="preserve"> </w:t>
      </w:r>
      <w:r w:rsidRPr="004229C4">
        <w:rPr>
          <w:rFonts w:eastAsia="Calibri" w:cs="Times New Roman"/>
          <w:szCs w:val="24"/>
          <w:lang w:eastAsia="en-US"/>
        </w:rPr>
        <w:t>ustawy o</w:t>
      </w:r>
      <w:r>
        <w:rPr>
          <w:rFonts w:eastAsia="Calibri" w:cs="Times New Roman"/>
          <w:szCs w:val="24"/>
          <w:lang w:eastAsia="en-US"/>
        </w:rPr>
        <w:t xml:space="preserve"> </w:t>
      </w:r>
      <w:r w:rsidRPr="004229C4">
        <w:rPr>
          <w:rFonts w:eastAsia="Calibri" w:cs="Times New Roman"/>
          <w:szCs w:val="24"/>
          <w:lang w:eastAsia="en-US"/>
        </w:rPr>
        <w:t>dostępie do informacji publicznej oraz na podstawie art.</w:t>
      </w:r>
      <w:r>
        <w:rPr>
          <w:rFonts w:eastAsia="Calibri" w:cs="Times New Roman"/>
          <w:szCs w:val="24"/>
          <w:lang w:eastAsia="en-US"/>
        </w:rPr>
        <w:t xml:space="preserve"> </w:t>
      </w:r>
      <w:r w:rsidRPr="004229C4">
        <w:rPr>
          <w:rFonts w:eastAsia="Calibri" w:cs="Times New Roman"/>
          <w:szCs w:val="24"/>
          <w:lang w:eastAsia="en-US"/>
        </w:rPr>
        <w:t>18 ust.</w:t>
      </w:r>
      <w:r>
        <w:rPr>
          <w:rFonts w:eastAsia="Calibri" w:cs="Times New Roman"/>
          <w:szCs w:val="24"/>
          <w:lang w:eastAsia="en-US"/>
        </w:rPr>
        <w:t xml:space="preserve"> 3 </w:t>
      </w:r>
      <w:r w:rsidRPr="004229C4">
        <w:rPr>
          <w:rFonts w:eastAsia="Calibri" w:cs="Times New Roman"/>
          <w:szCs w:val="24"/>
          <w:lang w:eastAsia="en-US"/>
        </w:rPr>
        <w:t>ustawy o</w:t>
      </w:r>
      <w:r>
        <w:rPr>
          <w:rFonts w:eastAsia="Calibri" w:cs="Times New Roman"/>
          <w:szCs w:val="24"/>
          <w:lang w:eastAsia="en-US"/>
        </w:rPr>
        <w:t xml:space="preserve"> </w:t>
      </w:r>
      <w:r w:rsidRPr="004229C4">
        <w:rPr>
          <w:rFonts w:eastAsia="Calibri" w:cs="Times New Roman"/>
          <w:szCs w:val="24"/>
          <w:lang w:eastAsia="en-US"/>
        </w:rPr>
        <w:t>ponownym wykorzystywaniu informacji sektora publicznego (ustawy z</w:t>
      </w:r>
      <w:r>
        <w:rPr>
          <w:rFonts w:eastAsia="Calibri" w:cs="Times New Roman"/>
          <w:szCs w:val="24"/>
          <w:lang w:eastAsia="en-US"/>
        </w:rPr>
        <w:t xml:space="preserve"> </w:t>
      </w:r>
      <w:r w:rsidRPr="004229C4">
        <w:rPr>
          <w:rFonts w:eastAsia="Calibri" w:cs="Times New Roman"/>
          <w:szCs w:val="24"/>
          <w:lang w:eastAsia="en-US"/>
        </w:rPr>
        <w:t>2016</w:t>
      </w:r>
      <w:r>
        <w:rPr>
          <w:rFonts w:eastAsia="Calibri" w:cs="Times New Roman"/>
          <w:szCs w:val="24"/>
          <w:lang w:eastAsia="en-US"/>
        </w:rPr>
        <w:t xml:space="preserve"> </w:t>
      </w:r>
      <w:r w:rsidRPr="004229C4">
        <w:rPr>
          <w:rFonts w:eastAsia="Calibri" w:cs="Times New Roman"/>
          <w:szCs w:val="24"/>
          <w:lang w:eastAsia="en-US"/>
        </w:rPr>
        <w:t>r.), tj.:</w:t>
      </w:r>
    </w:p>
    <w:p w:rsidR="005D3F15" w:rsidRPr="004229C4" w:rsidRDefault="008C03BA" w:rsidP="001C2767">
      <w:pPr>
        <w:widowControl/>
        <w:autoSpaceDE/>
        <w:autoSpaceDN/>
        <w:adjustRightInd/>
        <w:spacing w:before="120"/>
        <w:ind w:left="714" w:hanging="354"/>
        <w:contextualSpacing/>
        <w:jc w:val="both"/>
        <w:rPr>
          <w:rFonts w:eastAsia="Calibri" w:cs="Times New Roman"/>
          <w:szCs w:val="24"/>
          <w:lang w:eastAsia="en-US"/>
        </w:rPr>
      </w:pPr>
      <w:r>
        <w:rPr>
          <w:rFonts w:eastAsia="Calibri" w:cs="Times New Roman"/>
          <w:szCs w:val="24"/>
          <w:lang w:eastAsia="en-US"/>
        </w:rPr>
        <w:t>–</w:t>
      </w:r>
      <w:r>
        <w:rPr>
          <w:rFonts w:eastAsia="Calibri" w:cs="Times New Roman"/>
          <w:szCs w:val="24"/>
          <w:lang w:eastAsia="en-US"/>
        </w:rPr>
        <w:tab/>
      </w:r>
      <w:r w:rsidR="005D3F15" w:rsidRPr="004229C4">
        <w:rPr>
          <w:rFonts w:eastAsia="Calibri" w:cs="Times New Roman"/>
          <w:szCs w:val="24"/>
          <w:lang w:eastAsia="en-US"/>
        </w:rPr>
        <w:t>rozporządzenie Rady Ministrów z</w:t>
      </w:r>
      <w:r w:rsidR="005D3F15">
        <w:rPr>
          <w:rFonts w:eastAsia="Calibri" w:cs="Times New Roman"/>
          <w:szCs w:val="24"/>
          <w:lang w:eastAsia="en-US"/>
        </w:rPr>
        <w:t xml:space="preserve"> </w:t>
      </w:r>
      <w:r w:rsidR="005D3F15" w:rsidRPr="004229C4">
        <w:rPr>
          <w:rFonts w:eastAsia="Calibri" w:cs="Times New Roman"/>
          <w:szCs w:val="24"/>
          <w:lang w:eastAsia="en-US"/>
        </w:rPr>
        <w:t>dnia 12</w:t>
      </w:r>
      <w:r w:rsidR="005D3F15">
        <w:rPr>
          <w:rFonts w:eastAsia="Calibri" w:cs="Times New Roman"/>
          <w:szCs w:val="24"/>
          <w:lang w:eastAsia="en-US"/>
        </w:rPr>
        <w:t xml:space="preserve"> </w:t>
      </w:r>
      <w:r w:rsidR="005D3F15" w:rsidRPr="004229C4">
        <w:rPr>
          <w:rFonts w:eastAsia="Calibri" w:cs="Times New Roman"/>
          <w:szCs w:val="24"/>
          <w:lang w:eastAsia="en-US"/>
        </w:rPr>
        <w:t>marca 2014</w:t>
      </w:r>
      <w:r w:rsidR="005D3F15">
        <w:rPr>
          <w:rFonts w:eastAsia="Calibri" w:cs="Times New Roman"/>
          <w:szCs w:val="24"/>
          <w:lang w:eastAsia="en-US"/>
        </w:rPr>
        <w:t xml:space="preserve"> </w:t>
      </w:r>
      <w:r w:rsidR="005D3F15" w:rsidRPr="004229C4">
        <w:rPr>
          <w:rFonts w:eastAsia="Calibri" w:cs="Times New Roman"/>
          <w:szCs w:val="24"/>
          <w:lang w:eastAsia="en-US"/>
        </w:rPr>
        <w:t>r. w</w:t>
      </w:r>
      <w:r w:rsidR="005D3F15">
        <w:rPr>
          <w:rFonts w:eastAsia="Calibri" w:cs="Times New Roman"/>
          <w:szCs w:val="24"/>
          <w:lang w:eastAsia="en-US"/>
        </w:rPr>
        <w:t xml:space="preserve"> </w:t>
      </w:r>
      <w:r w:rsidR="005D3F15" w:rsidRPr="004229C4">
        <w:rPr>
          <w:rFonts w:eastAsia="Calibri" w:cs="Times New Roman"/>
          <w:szCs w:val="24"/>
          <w:lang w:eastAsia="en-US"/>
        </w:rPr>
        <w:t>sprawie Centralnego Repozytorium Informacji Publicznej</w:t>
      </w:r>
      <w:r w:rsidR="005D3F15" w:rsidRPr="004229C4">
        <w:rPr>
          <w:rFonts w:eastAsia="Calibri" w:cs="Times New Roman"/>
          <w:szCs w:val="24"/>
          <w:vertAlign w:val="superscript"/>
          <w:lang w:eastAsia="en-US"/>
        </w:rPr>
        <w:footnoteReference w:id="39"/>
      </w:r>
      <w:r w:rsidR="005D3F15" w:rsidRPr="004229C4">
        <w:rPr>
          <w:rFonts w:eastAsia="Times New Roman" w:cs="Times New Roman"/>
          <w:szCs w:val="24"/>
          <w:vertAlign w:val="superscript"/>
        </w:rPr>
        <w:t>)</w:t>
      </w:r>
      <w:r w:rsidR="005D3F15" w:rsidRPr="004229C4">
        <w:rPr>
          <w:rFonts w:eastAsia="Calibri" w:cs="Times New Roman"/>
          <w:szCs w:val="24"/>
          <w:lang w:eastAsia="en-US"/>
        </w:rPr>
        <w:t>,</w:t>
      </w:r>
    </w:p>
    <w:p w:rsidR="005D3F15" w:rsidRPr="004229C4" w:rsidRDefault="008C03BA" w:rsidP="001C2767">
      <w:pPr>
        <w:widowControl/>
        <w:autoSpaceDE/>
        <w:autoSpaceDN/>
        <w:adjustRightInd/>
        <w:spacing w:before="120"/>
        <w:ind w:left="714" w:hanging="354"/>
        <w:contextualSpacing/>
        <w:jc w:val="both"/>
        <w:rPr>
          <w:rFonts w:eastAsia="Calibri" w:cs="Times New Roman"/>
          <w:szCs w:val="24"/>
          <w:lang w:eastAsia="en-US"/>
        </w:rPr>
      </w:pPr>
      <w:r>
        <w:rPr>
          <w:rFonts w:eastAsia="Calibri" w:cs="Times New Roman"/>
          <w:szCs w:val="24"/>
          <w:lang w:eastAsia="en-US"/>
        </w:rPr>
        <w:t>–</w:t>
      </w:r>
      <w:r>
        <w:rPr>
          <w:rFonts w:eastAsia="Calibri" w:cs="Times New Roman"/>
          <w:szCs w:val="24"/>
          <w:lang w:eastAsia="en-US"/>
        </w:rPr>
        <w:tab/>
      </w:r>
      <w:r w:rsidR="005D3F15" w:rsidRPr="004229C4">
        <w:rPr>
          <w:rFonts w:eastAsia="Calibri" w:cs="Times New Roman"/>
          <w:szCs w:val="24"/>
          <w:lang w:eastAsia="en-US"/>
        </w:rPr>
        <w:t>rozporządzenie Ministra Kultury i</w:t>
      </w:r>
      <w:r w:rsidR="005D3F15">
        <w:rPr>
          <w:rFonts w:eastAsia="Calibri" w:cs="Times New Roman"/>
          <w:szCs w:val="24"/>
          <w:lang w:eastAsia="en-US"/>
        </w:rPr>
        <w:t xml:space="preserve"> </w:t>
      </w:r>
      <w:r w:rsidR="005D3F15" w:rsidRPr="004229C4">
        <w:rPr>
          <w:rFonts w:eastAsia="Calibri" w:cs="Times New Roman"/>
          <w:szCs w:val="24"/>
          <w:lang w:eastAsia="en-US"/>
        </w:rPr>
        <w:t>Dziedzictwa Narodowego z</w:t>
      </w:r>
      <w:r w:rsidR="005D3F15">
        <w:rPr>
          <w:rFonts w:eastAsia="Calibri" w:cs="Times New Roman"/>
          <w:szCs w:val="24"/>
          <w:lang w:eastAsia="en-US"/>
        </w:rPr>
        <w:t xml:space="preserve"> </w:t>
      </w:r>
      <w:r w:rsidR="005D3F15" w:rsidRPr="004229C4">
        <w:rPr>
          <w:rFonts w:eastAsia="Calibri" w:cs="Times New Roman"/>
          <w:szCs w:val="24"/>
          <w:lang w:eastAsia="en-US"/>
        </w:rPr>
        <w:t>dnia 5</w:t>
      </w:r>
      <w:r w:rsidR="005D3F15">
        <w:rPr>
          <w:rFonts w:eastAsia="Calibri" w:cs="Times New Roman"/>
          <w:szCs w:val="24"/>
          <w:lang w:eastAsia="en-US"/>
        </w:rPr>
        <w:t xml:space="preserve"> </w:t>
      </w:r>
      <w:r w:rsidR="005D3F15" w:rsidRPr="004229C4">
        <w:rPr>
          <w:rFonts w:eastAsia="Calibri" w:cs="Times New Roman"/>
          <w:szCs w:val="24"/>
          <w:lang w:eastAsia="en-US"/>
        </w:rPr>
        <w:t>lipca 2016</w:t>
      </w:r>
      <w:r w:rsidR="005D3F15">
        <w:rPr>
          <w:rFonts w:eastAsia="Calibri" w:cs="Times New Roman"/>
          <w:szCs w:val="24"/>
          <w:lang w:eastAsia="en-US"/>
        </w:rPr>
        <w:t xml:space="preserve"> </w:t>
      </w:r>
      <w:r w:rsidR="005D3F15" w:rsidRPr="004229C4">
        <w:rPr>
          <w:rFonts w:eastAsia="Calibri" w:cs="Times New Roman"/>
          <w:szCs w:val="24"/>
          <w:lang w:eastAsia="en-US"/>
        </w:rPr>
        <w:t>r. w</w:t>
      </w:r>
      <w:r w:rsidR="005D3F15">
        <w:rPr>
          <w:rFonts w:eastAsia="Calibri" w:cs="Times New Roman"/>
          <w:szCs w:val="24"/>
          <w:lang w:eastAsia="en-US"/>
        </w:rPr>
        <w:t xml:space="preserve"> </w:t>
      </w:r>
      <w:r w:rsidR="005D3F15" w:rsidRPr="004229C4">
        <w:rPr>
          <w:rFonts w:eastAsia="Calibri" w:cs="Times New Roman"/>
          <w:szCs w:val="24"/>
          <w:lang w:eastAsia="en-US"/>
        </w:rPr>
        <w:t>sprawie maksymalnych stawek opłat za ponowne wykorzystywanie informacji sektora publicznego nakładanych przez muzea państwowe i</w:t>
      </w:r>
      <w:r w:rsidR="005D3F15">
        <w:rPr>
          <w:rFonts w:eastAsia="Calibri" w:cs="Times New Roman"/>
          <w:szCs w:val="24"/>
          <w:lang w:eastAsia="en-US"/>
        </w:rPr>
        <w:t xml:space="preserve"> </w:t>
      </w:r>
      <w:r w:rsidR="005D3F15" w:rsidRPr="004229C4">
        <w:rPr>
          <w:rFonts w:eastAsia="Calibri" w:cs="Times New Roman"/>
          <w:szCs w:val="24"/>
          <w:lang w:eastAsia="en-US"/>
        </w:rPr>
        <w:t>muzea samorządowe</w:t>
      </w:r>
      <w:r w:rsidR="005D3F15" w:rsidRPr="004229C4">
        <w:rPr>
          <w:rFonts w:eastAsia="Calibri" w:cs="Times New Roman"/>
          <w:szCs w:val="24"/>
          <w:vertAlign w:val="superscript"/>
          <w:lang w:eastAsia="en-US"/>
        </w:rPr>
        <w:footnoteReference w:id="40"/>
      </w:r>
      <w:r w:rsidR="005D3F15" w:rsidRPr="004229C4">
        <w:rPr>
          <w:rFonts w:eastAsia="Times New Roman" w:cs="Times New Roman"/>
          <w:szCs w:val="24"/>
          <w:vertAlign w:val="superscript"/>
        </w:rPr>
        <w:t>)</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w brzmieniu dotychczasowym, zachowują moc do dnia wejścia w</w:t>
      </w:r>
      <w:r>
        <w:rPr>
          <w:rFonts w:eastAsia="Calibri" w:cs="Times New Roman"/>
          <w:szCs w:val="24"/>
          <w:lang w:eastAsia="en-US"/>
        </w:rPr>
        <w:t xml:space="preserve"> </w:t>
      </w:r>
      <w:r w:rsidRPr="004229C4">
        <w:rPr>
          <w:rFonts w:eastAsia="Calibri" w:cs="Times New Roman"/>
          <w:szCs w:val="24"/>
          <w:lang w:eastAsia="en-US"/>
        </w:rPr>
        <w:t>życie przepisów wykonawczych wydanych odpowiednio na podstawie art.</w:t>
      </w:r>
      <w:r>
        <w:rPr>
          <w:rFonts w:eastAsia="Calibri" w:cs="Times New Roman"/>
          <w:szCs w:val="24"/>
          <w:lang w:eastAsia="en-US"/>
        </w:rPr>
        <w:t xml:space="preserve"> </w:t>
      </w:r>
      <w:r w:rsidRPr="004229C4">
        <w:rPr>
          <w:rFonts w:eastAsia="Calibri" w:cs="Times New Roman"/>
          <w:szCs w:val="24"/>
          <w:lang w:eastAsia="en-US"/>
        </w:rPr>
        <w:t>34 ust.</w:t>
      </w:r>
      <w:r>
        <w:rPr>
          <w:rFonts w:eastAsia="Calibri" w:cs="Times New Roman"/>
          <w:szCs w:val="24"/>
          <w:lang w:eastAsia="en-US"/>
        </w:rPr>
        <w:t xml:space="preserve"> 7</w:t>
      </w:r>
      <w:r w:rsidRPr="004229C4">
        <w:rPr>
          <w:rFonts w:eastAsia="Calibri" w:cs="Times New Roman"/>
          <w:szCs w:val="24"/>
          <w:lang w:eastAsia="en-US"/>
        </w:rPr>
        <w:t xml:space="preserve"> oraz art.</w:t>
      </w:r>
      <w:r>
        <w:rPr>
          <w:rFonts w:eastAsia="Calibri" w:cs="Times New Roman"/>
          <w:szCs w:val="24"/>
          <w:lang w:eastAsia="en-US"/>
        </w:rPr>
        <w:t xml:space="preserve"> </w:t>
      </w:r>
      <w:r w:rsidRPr="004229C4">
        <w:rPr>
          <w:rFonts w:eastAsia="Calibri" w:cs="Times New Roman"/>
          <w:szCs w:val="24"/>
          <w:lang w:eastAsia="en-US"/>
        </w:rPr>
        <w:t>19 ust.</w:t>
      </w:r>
      <w:r>
        <w:rPr>
          <w:rFonts w:eastAsia="Calibri" w:cs="Times New Roman"/>
          <w:szCs w:val="24"/>
          <w:lang w:eastAsia="en-US"/>
        </w:rPr>
        <w:t xml:space="preserve"> </w:t>
      </w:r>
      <w:r w:rsidRPr="004229C4">
        <w:rPr>
          <w:rFonts w:eastAsia="Calibri" w:cs="Times New Roman"/>
          <w:szCs w:val="24"/>
          <w:lang w:eastAsia="en-US"/>
        </w:rPr>
        <w:t>3</w:t>
      </w:r>
      <w:r>
        <w:rPr>
          <w:rFonts w:eastAsia="Calibri" w:cs="Times New Roman"/>
          <w:szCs w:val="24"/>
          <w:lang w:eastAsia="en-US"/>
        </w:rPr>
        <w:t xml:space="preserve"> </w:t>
      </w:r>
      <w:r w:rsidRPr="004229C4">
        <w:rPr>
          <w:rFonts w:eastAsia="Calibri" w:cs="Times New Roman"/>
          <w:szCs w:val="24"/>
          <w:lang w:eastAsia="en-US"/>
        </w:rPr>
        <w:t>projektu ustawy, jednak nie dłużej niż przez 12</w:t>
      </w:r>
      <w:r>
        <w:rPr>
          <w:rFonts w:eastAsia="Calibri" w:cs="Times New Roman"/>
          <w:szCs w:val="24"/>
          <w:lang w:eastAsia="en-US"/>
        </w:rPr>
        <w:t xml:space="preserve"> </w:t>
      </w:r>
      <w:r w:rsidRPr="004229C4">
        <w:rPr>
          <w:rFonts w:eastAsia="Calibri" w:cs="Times New Roman"/>
          <w:szCs w:val="24"/>
          <w:lang w:eastAsia="en-US"/>
        </w:rPr>
        <w:t>miesięcy od dnia wejścia w</w:t>
      </w:r>
      <w:r>
        <w:rPr>
          <w:rFonts w:eastAsia="Calibri" w:cs="Times New Roman"/>
          <w:szCs w:val="24"/>
          <w:lang w:eastAsia="en-US"/>
        </w:rPr>
        <w:t xml:space="preserve"> życie ustawy</w:t>
      </w:r>
      <w:r w:rsidRPr="004229C4">
        <w:rPr>
          <w:rFonts w:eastAsia="Calibri" w:cs="Times New Roman"/>
          <w:szCs w:val="24"/>
          <w:lang w:eastAsia="en-US"/>
        </w:rPr>
        <w:t>.</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Program otwierania danych na lata 2021</w:t>
      </w:r>
      <w:r>
        <w:rPr>
          <w:rFonts w:eastAsia="Calibri" w:cs="Times New Roman"/>
          <w:szCs w:val="24"/>
          <w:lang w:eastAsia="en-US"/>
        </w:rPr>
        <w:t>–</w:t>
      </w:r>
      <w:r w:rsidRPr="004229C4">
        <w:rPr>
          <w:rFonts w:eastAsia="Calibri" w:cs="Times New Roman"/>
          <w:szCs w:val="24"/>
          <w:lang w:eastAsia="en-US"/>
        </w:rPr>
        <w:t>2027, który został przyjęty w</w:t>
      </w:r>
      <w:r>
        <w:rPr>
          <w:rFonts w:eastAsia="Calibri" w:cs="Times New Roman"/>
          <w:szCs w:val="24"/>
          <w:lang w:eastAsia="en-US"/>
        </w:rPr>
        <w:t xml:space="preserve"> </w:t>
      </w:r>
      <w:r w:rsidRPr="004229C4">
        <w:rPr>
          <w:rFonts w:eastAsia="Calibri" w:cs="Times New Roman"/>
          <w:szCs w:val="24"/>
          <w:lang w:eastAsia="en-US"/>
        </w:rPr>
        <w:t>drodze uchwały nr 28 Rady Ministrów z dnia 18 lutego 2021 r. (M.P</w:t>
      </w:r>
      <w:r>
        <w:rPr>
          <w:rFonts w:eastAsia="Calibri" w:cs="Times New Roman"/>
          <w:szCs w:val="24"/>
          <w:lang w:eastAsia="en-US"/>
        </w:rPr>
        <w:t>.</w:t>
      </w:r>
      <w:r w:rsidRPr="004229C4">
        <w:rPr>
          <w:rFonts w:eastAsia="Calibri" w:cs="Times New Roman"/>
          <w:szCs w:val="24"/>
          <w:lang w:eastAsia="en-US"/>
        </w:rPr>
        <w:t xml:space="preserve"> </w:t>
      </w:r>
      <w:r>
        <w:rPr>
          <w:rFonts w:eastAsia="Calibri" w:cs="Times New Roman"/>
          <w:szCs w:val="24"/>
          <w:lang w:eastAsia="en-US"/>
        </w:rPr>
        <w:t xml:space="preserve">z </w:t>
      </w:r>
      <w:r w:rsidRPr="00033AD3">
        <w:rPr>
          <w:rFonts w:eastAsia="Calibri" w:cs="Times New Roman"/>
          <w:szCs w:val="24"/>
          <w:lang w:eastAsia="en-US"/>
        </w:rPr>
        <w:t>2021 r. poz. 290</w:t>
      </w:r>
      <w:r w:rsidRPr="004229C4">
        <w:rPr>
          <w:rFonts w:eastAsia="Calibri" w:cs="Times New Roman"/>
          <w:szCs w:val="24"/>
          <w:lang w:eastAsia="en-US"/>
        </w:rPr>
        <w:t>) na podstawie art.</w:t>
      </w:r>
      <w:r>
        <w:rPr>
          <w:rFonts w:eastAsia="Calibri" w:cs="Times New Roman"/>
          <w:szCs w:val="24"/>
          <w:lang w:eastAsia="en-US"/>
        </w:rPr>
        <w:t xml:space="preserve"> </w:t>
      </w:r>
      <w:r w:rsidRPr="004229C4">
        <w:rPr>
          <w:rFonts w:eastAsia="Calibri" w:cs="Times New Roman"/>
          <w:szCs w:val="24"/>
          <w:lang w:eastAsia="en-US"/>
        </w:rPr>
        <w:t>9e ustawy o</w:t>
      </w:r>
      <w:r>
        <w:rPr>
          <w:rFonts w:eastAsia="Calibri" w:cs="Times New Roman"/>
          <w:szCs w:val="24"/>
          <w:lang w:eastAsia="en-US"/>
        </w:rPr>
        <w:t xml:space="preserve"> </w:t>
      </w:r>
      <w:r w:rsidRPr="004229C4">
        <w:rPr>
          <w:rFonts w:eastAsia="Calibri" w:cs="Times New Roman"/>
          <w:szCs w:val="24"/>
          <w:lang w:eastAsia="en-US"/>
        </w:rPr>
        <w:t>d</w:t>
      </w:r>
      <w:r>
        <w:rPr>
          <w:rFonts w:eastAsia="Calibri" w:cs="Times New Roman"/>
          <w:szCs w:val="24"/>
          <w:lang w:eastAsia="en-US"/>
        </w:rPr>
        <w:t>o</w:t>
      </w:r>
      <w:r w:rsidRPr="004229C4">
        <w:rPr>
          <w:rFonts w:eastAsia="Calibri" w:cs="Times New Roman"/>
          <w:szCs w:val="24"/>
          <w:lang w:eastAsia="en-US"/>
        </w:rPr>
        <w:t>stępie do informacji publicznej stanie się Programem otwierania danych, o</w:t>
      </w:r>
      <w:r>
        <w:rPr>
          <w:rFonts w:eastAsia="Calibri" w:cs="Times New Roman"/>
          <w:szCs w:val="24"/>
          <w:lang w:eastAsia="en-US"/>
        </w:rPr>
        <w:t xml:space="preserve"> </w:t>
      </w:r>
      <w:r w:rsidRPr="004229C4">
        <w:rPr>
          <w:rFonts w:eastAsia="Calibri" w:cs="Times New Roman"/>
          <w:szCs w:val="24"/>
          <w:lang w:eastAsia="en-US"/>
        </w:rPr>
        <w:t>którym mowa w</w:t>
      </w:r>
      <w:r>
        <w:rPr>
          <w:rFonts w:eastAsia="Calibri" w:cs="Times New Roman"/>
          <w:szCs w:val="24"/>
          <w:lang w:eastAsia="en-US"/>
        </w:rPr>
        <w:t xml:space="preserve"> </w:t>
      </w:r>
      <w:r w:rsidRPr="004229C4">
        <w:rPr>
          <w:rFonts w:eastAsia="Calibri" w:cs="Times New Roman"/>
          <w:szCs w:val="24"/>
          <w:lang w:eastAsia="en-US"/>
        </w:rPr>
        <w:t>art.</w:t>
      </w:r>
      <w:r>
        <w:rPr>
          <w:rFonts w:eastAsia="Calibri" w:cs="Times New Roman"/>
          <w:szCs w:val="24"/>
          <w:lang w:eastAsia="en-US"/>
        </w:rPr>
        <w:t xml:space="preserve"> </w:t>
      </w:r>
      <w:r w:rsidRPr="004229C4">
        <w:rPr>
          <w:rFonts w:eastAsia="Calibri" w:cs="Times New Roman"/>
          <w:szCs w:val="24"/>
          <w:lang w:eastAsia="en-US"/>
        </w:rPr>
        <w:t>28</w:t>
      </w:r>
      <w:r>
        <w:rPr>
          <w:rFonts w:eastAsia="Calibri" w:cs="Times New Roman"/>
          <w:szCs w:val="24"/>
          <w:lang w:eastAsia="en-US"/>
        </w:rPr>
        <w:t xml:space="preserve"> </w:t>
      </w:r>
      <w:r w:rsidRPr="004229C4">
        <w:rPr>
          <w:rFonts w:eastAsia="Calibri" w:cs="Times New Roman"/>
          <w:szCs w:val="24"/>
          <w:lang w:eastAsia="en-US"/>
        </w:rPr>
        <w:t>projektu ustawy.</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 xml:space="preserve">Ponadto, dotychczas funkcjonujące centralne repozytorium </w:t>
      </w:r>
      <w:r>
        <w:rPr>
          <w:rFonts w:eastAsia="Calibri" w:cs="Times New Roman"/>
          <w:szCs w:val="24"/>
          <w:lang w:eastAsia="en-US"/>
        </w:rPr>
        <w:t xml:space="preserve">informacji publicznej </w:t>
      </w:r>
      <w:r w:rsidRPr="004229C4">
        <w:rPr>
          <w:rFonts w:eastAsia="Calibri" w:cs="Times New Roman"/>
          <w:szCs w:val="24"/>
          <w:lang w:eastAsia="en-US"/>
        </w:rPr>
        <w:t>prowadzone przez ministra właściwego do spraw informatyzacji na podstawie art.</w:t>
      </w:r>
      <w:r>
        <w:rPr>
          <w:rFonts w:eastAsia="Calibri" w:cs="Times New Roman"/>
          <w:szCs w:val="24"/>
          <w:lang w:eastAsia="en-US"/>
        </w:rPr>
        <w:t xml:space="preserve"> </w:t>
      </w:r>
      <w:r w:rsidRPr="004229C4">
        <w:rPr>
          <w:rFonts w:eastAsia="Calibri" w:cs="Times New Roman"/>
          <w:szCs w:val="24"/>
          <w:lang w:eastAsia="en-US"/>
        </w:rPr>
        <w:t>9b ustawy o</w:t>
      </w:r>
      <w:r>
        <w:rPr>
          <w:rFonts w:eastAsia="Calibri" w:cs="Times New Roman"/>
          <w:szCs w:val="24"/>
          <w:lang w:eastAsia="en-US"/>
        </w:rPr>
        <w:t xml:space="preserve"> dostępie do </w:t>
      </w:r>
      <w:r w:rsidRPr="004229C4">
        <w:rPr>
          <w:rFonts w:eastAsia="Calibri" w:cs="Times New Roman"/>
          <w:szCs w:val="24"/>
          <w:lang w:eastAsia="en-US"/>
        </w:rPr>
        <w:t>informacji publicznej, w</w:t>
      </w:r>
      <w:r>
        <w:rPr>
          <w:rFonts w:eastAsia="Calibri" w:cs="Times New Roman"/>
          <w:szCs w:val="24"/>
          <w:lang w:eastAsia="en-US"/>
        </w:rPr>
        <w:t xml:space="preserve"> </w:t>
      </w:r>
      <w:r w:rsidRPr="004229C4">
        <w:rPr>
          <w:rFonts w:eastAsia="Calibri" w:cs="Times New Roman"/>
          <w:szCs w:val="24"/>
          <w:lang w:eastAsia="en-US"/>
        </w:rPr>
        <w:t>projektowanej ustawie staje się portalem danych.</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Jednocześnie, projektowana ustawa uchyla ustawę z</w:t>
      </w:r>
      <w:r>
        <w:rPr>
          <w:rFonts w:eastAsia="Calibri" w:cs="Times New Roman"/>
          <w:szCs w:val="24"/>
          <w:lang w:eastAsia="en-US"/>
        </w:rPr>
        <w:t xml:space="preserve"> </w:t>
      </w:r>
      <w:r w:rsidRPr="004229C4">
        <w:rPr>
          <w:rFonts w:eastAsia="Calibri" w:cs="Times New Roman"/>
          <w:szCs w:val="24"/>
          <w:lang w:eastAsia="en-US"/>
        </w:rPr>
        <w:t>dnia 25</w:t>
      </w:r>
      <w:r>
        <w:rPr>
          <w:rFonts w:eastAsia="Calibri" w:cs="Times New Roman"/>
          <w:szCs w:val="24"/>
          <w:lang w:eastAsia="en-US"/>
        </w:rPr>
        <w:t xml:space="preserve"> </w:t>
      </w:r>
      <w:r w:rsidRPr="004229C4">
        <w:rPr>
          <w:rFonts w:eastAsia="Calibri" w:cs="Times New Roman"/>
          <w:szCs w:val="24"/>
          <w:lang w:eastAsia="en-US"/>
        </w:rPr>
        <w:t>lutego 2016</w:t>
      </w:r>
      <w:r>
        <w:rPr>
          <w:rFonts w:eastAsia="Calibri" w:cs="Times New Roman"/>
          <w:szCs w:val="24"/>
          <w:lang w:eastAsia="en-US"/>
        </w:rPr>
        <w:t xml:space="preserve"> </w:t>
      </w:r>
      <w:r w:rsidRPr="004229C4">
        <w:rPr>
          <w:rFonts w:eastAsia="Calibri" w:cs="Times New Roman"/>
          <w:szCs w:val="24"/>
          <w:lang w:eastAsia="en-US"/>
        </w:rPr>
        <w:t>r. o</w:t>
      </w:r>
      <w:r>
        <w:rPr>
          <w:rFonts w:eastAsia="Calibri" w:cs="Times New Roman"/>
          <w:szCs w:val="24"/>
          <w:lang w:eastAsia="en-US"/>
        </w:rPr>
        <w:t xml:space="preserve"> </w:t>
      </w:r>
      <w:r w:rsidRPr="004229C4">
        <w:rPr>
          <w:rFonts w:eastAsia="Calibri" w:cs="Times New Roman"/>
          <w:szCs w:val="24"/>
          <w:lang w:eastAsia="en-US"/>
        </w:rPr>
        <w:t>ponownym wykorzystywaniu informacji sektora publicznego.</w:t>
      </w:r>
    </w:p>
    <w:p w:rsidR="005D3F15" w:rsidRPr="004229C4" w:rsidRDefault="005D3F15" w:rsidP="001C2767">
      <w:pPr>
        <w:widowControl/>
        <w:spacing w:before="120"/>
        <w:jc w:val="both"/>
        <w:rPr>
          <w:rFonts w:eastAsia="Calibri" w:cs="Times New Roman"/>
          <w:b/>
          <w:szCs w:val="24"/>
          <w:lang w:eastAsia="en-US"/>
        </w:rPr>
      </w:pPr>
      <w:r>
        <w:rPr>
          <w:rFonts w:eastAsia="Calibri" w:cs="Times New Roman"/>
          <w:b/>
          <w:szCs w:val="24"/>
          <w:lang w:eastAsia="en-US"/>
        </w:rPr>
        <w:lastRenderedPageBreak/>
        <w:t>VI. Pozostałe informacje</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Projektowana ustawa nie zawiera przepisów technicznych w</w:t>
      </w:r>
      <w:r>
        <w:rPr>
          <w:rFonts w:eastAsia="Calibri" w:cs="Times New Roman"/>
          <w:szCs w:val="24"/>
          <w:lang w:eastAsia="en-US"/>
        </w:rPr>
        <w:t xml:space="preserve"> </w:t>
      </w:r>
      <w:r w:rsidRPr="004229C4">
        <w:rPr>
          <w:rFonts w:eastAsia="Calibri" w:cs="Times New Roman"/>
          <w:szCs w:val="24"/>
          <w:lang w:eastAsia="en-US"/>
        </w:rPr>
        <w:t>rozumieniu rozporządzenia Rady Ministrów z</w:t>
      </w:r>
      <w:r>
        <w:rPr>
          <w:rFonts w:eastAsia="Calibri" w:cs="Times New Roman"/>
          <w:szCs w:val="24"/>
          <w:lang w:eastAsia="en-US"/>
        </w:rPr>
        <w:t xml:space="preserve"> </w:t>
      </w:r>
      <w:r w:rsidRPr="004229C4">
        <w:rPr>
          <w:rFonts w:eastAsia="Calibri" w:cs="Times New Roman"/>
          <w:szCs w:val="24"/>
          <w:lang w:eastAsia="en-US"/>
        </w:rPr>
        <w:t>dnia 23</w:t>
      </w:r>
      <w:r>
        <w:rPr>
          <w:rFonts w:eastAsia="Calibri" w:cs="Times New Roman"/>
          <w:szCs w:val="24"/>
          <w:lang w:eastAsia="en-US"/>
        </w:rPr>
        <w:t xml:space="preserve"> </w:t>
      </w:r>
      <w:r w:rsidRPr="004229C4">
        <w:rPr>
          <w:rFonts w:eastAsia="Calibri" w:cs="Times New Roman"/>
          <w:szCs w:val="24"/>
          <w:lang w:eastAsia="en-US"/>
        </w:rPr>
        <w:t>grudnia 2002</w:t>
      </w:r>
      <w:r>
        <w:rPr>
          <w:rFonts w:eastAsia="Calibri" w:cs="Times New Roman"/>
          <w:szCs w:val="24"/>
          <w:lang w:eastAsia="en-US"/>
        </w:rPr>
        <w:t xml:space="preserve"> </w:t>
      </w:r>
      <w:r w:rsidRPr="004229C4">
        <w:rPr>
          <w:rFonts w:eastAsia="Calibri" w:cs="Times New Roman"/>
          <w:szCs w:val="24"/>
          <w:lang w:eastAsia="en-US"/>
        </w:rPr>
        <w:t>r. w</w:t>
      </w:r>
      <w:r>
        <w:rPr>
          <w:rFonts w:eastAsia="Calibri" w:cs="Times New Roman"/>
          <w:szCs w:val="24"/>
          <w:lang w:eastAsia="en-US"/>
        </w:rPr>
        <w:t xml:space="preserve"> </w:t>
      </w:r>
      <w:r w:rsidRPr="004229C4">
        <w:rPr>
          <w:rFonts w:eastAsia="Calibri" w:cs="Times New Roman"/>
          <w:szCs w:val="24"/>
          <w:lang w:eastAsia="en-US"/>
        </w:rPr>
        <w:t>sprawie sposobu funkcjonowania krajowego systemu notyfikacji norm i</w:t>
      </w:r>
      <w:r>
        <w:rPr>
          <w:rFonts w:eastAsia="Calibri" w:cs="Times New Roman"/>
          <w:szCs w:val="24"/>
          <w:lang w:eastAsia="en-US"/>
        </w:rPr>
        <w:t xml:space="preserve"> </w:t>
      </w:r>
      <w:r w:rsidRPr="004229C4">
        <w:rPr>
          <w:rFonts w:eastAsia="Calibri" w:cs="Times New Roman"/>
          <w:szCs w:val="24"/>
          <w:lang w:eastAsia="en-US"/>
        </w:rPr>
        <w:t>aktów prawnych (Dz.</w:t>
      </w:r>
      <w:r>
        <w:rPr>
          <w:rFonts w:eastAsia="Calibri" w:cs="Times New Roman"/>
          <w:szCs w:val="24"/>
          <w:lang w:eastAsia="en-US"/>
        </w:rPr>
        <w:t xml:space="preserve"> </w:t>
      </w:r>
      <w:r w:rsidRPr="004229C4">
        <w:rPr>
          <w:rFonts w:eastAsia="Calibri" w:cs="Times New Roman"/>
          <w:szCs w:val="24"/>
          <w:lang w:eastAsia="en-US"/>
        </w:rPr>
        <w:t xml:space="preserve">U. </w:t>
      </w:r>
      <w:r>
        <w:rPr>
          <w:rFonts w:eastAsia="Calibri" w:cs="Times New Roman"/>
          <w:szCs w:val="24"/>
          <w:lang w:eastAsia="en-US"/>
        </w:rPr>
        <w:t xml:space="preserve">z 2002 r. </w:t>
      </w:r>
      <w:r w:rsidRPr="004229C4">
        <w:rPr>
          <w:rFonts w:eastAsia="Calibri" w:cs="Times New Roman"/>
          <w:szCs w:val="24"/>
          <w:lang w:eastAsia="en-US"/>
        </w:rPr>
        <w:t>poz.</w:t>
      </w:r>
      <w:r>
        <w:rPr>
          <w:rFonts w:eastAsia="Calibri" w:cs="Times New Roman"/>
          <w:szCs w:val="24"/>
          <w:lang w:eastAsia="en-US"/>
        </w:rPr>
        <w:t xml:space="preserve"> </w:t>
      </w:r>
      <w:r w:rsidRPr="004229C4">
        <w:rPr>
          <w:rFonts w:eastAsia="Calibri" w:cs="Times New Roman"/>
          <w:szCs w:val="24"/>
          <w:lang w:eastAsia="en-US"/>
        </w:rPr>
        <w:t>2039, z</w:t>
      </w:r>
      <w:r>
        <w:rPr>
          <w:rFonts w:eastAsia="Calibri" w:cs="Times New Roman"/>
          <w:szCs w:val="24"/>
          <w:lang w:eastAsia="en-US"/>
        </w:rPr>
        <w:t xml:space="preserve"> </w:t>
      </w:r>
      <w:proofErr w:type="spellStart"/>
      <w:r w:rsidRPr="004229C4">
        <w:rPr>
          <w:rFonts w:eastAsia="Calibri" w:cs="Times New Roman"/>
          <w:szCs w:val="24"/>
          <w:lang w:eastAsia="en-US"/>
        </w:rPr>
        <w:t>późn</w:t>
      </w:r>
      <w:proofErr w:type="spellEnd"/>
      <w:r w:rsidRPr="004229C4">
        <w:rPr>
          <w:rFonts w:eastAsia="Calibri" w:cs="Times New Roman"/>
          <w:szCs w:val="24"/>
          <w:lang w:eastAsia="en-US"/>
        </w:rPr>
        <w:t>. zm.), w</w:t>
      </w:r>
      <w:r>
        <w:rPr>
          <w:rFonts w:eastAsia="Calibri" w:cs="Times New Roman"/>
          <w:szCs w:val="24"/>
          <w:lang w:eastAsia="en-US"/>
        </w:rPr>
        <w:t xml:space="preserve"> </w:t>
      </w:r>
      <w:r w:rsidRPr="004229C4">
        <w:rPr>
          <w:rFonts w:eastAsia="Calibri" w:cs="Times New Roman"/>
          <w:szCs w:val="24"/>
          <w:lang w:eastAsia="en-US"/>
        </w:rPr>
        <w:t>związku z</w:t>
      </w:r>
      <w:r>
        <w:rPr>
          <w:rFonts w:eastAsia="Calibri" w:cs="Times New Roman"/>
          <w:szCs w:val="24"/>
          <w:lang w:eastAsia="en-US"/>
        </w:rPr>
        <w:t xml:space="preserve"> </w:t>
      </w:r>
      <w:r w:rsidRPr="004229C4">
        <w:rPr>
          <w:rFonts w:eastAsia="Calibri" w:cs="Times New Roman"/>
          <w:szCs w:val="24"/>
          <w:lang w:eastAsia="en-US"/>
        </w:rPr>
        <w:t>czym nie podlega notyfikacji zgodnie z</w:t>
      </w:r>
      <w:r>
        <w:rPr>
          <w:rFonts w:eastAsia="Calibri" w:cs="Times New Roman"/>
          <w:szCs w:val="24"/>
          <w:lang w:eastAsia="en-US"/>
        </w:rPr>
        <w:t xml:space="preserve"> </w:t>
      </w:r>
      <w:r w:rsidRPr="004229C4">
        <w:rPr>
          <w:rFonts w:eastAsia="Calibri" w:cs="Times New Roman"/>
          <w:szCs w:val="24"/>
          <w:lang w:eastAsia="en-US"/>
        </w:rPr>
        <w:t>ww. przepisami.</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Przedmiot projektowanej regulacji jest zgodny z</w:t>
      </w:r>
      <w:r>
        <w:rPr>
          <w:rFonts w:eastAsia="Calibri" w:cs="Times New Roman"/>
          <w:szCs w:val="24"/>
          <w:lang w:eastAsia="en-US"/>
        </w:rPr>
        <w:t xml:space="preserve"> </w:t>
      </w:r>
      <w:r w:rsidRPr="004229C4">
        <w:rPr>
          <w:rFonts w:eastAsia="Calibri" w:cs="Times New Roman"/>
          <w:szCs w:val="24"/>
          <w:lang w:eastAsia="en-US"/>
        </w:rPr>
        <w:t>prawem Unii Europejskiej.</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Projekt ustawy nie wymaga przedstawienia właściwym organom i</w:t>
      </w:r>
      <w:r>
        <w:rPr>
          <w:rFonts w:eastAsia="Calibri" w:cs="Times New Roman"/>
          <w:szCs w:val="24"/>
          <w:lang w:eastAsia="en-US"/>
        </w:rPr>
        <w:t xml:space="preserve"> </w:t>
      </w:r>
      <w:r w:rsidRPr="004229C4">
        <w:rPr>
          <w:rFonts w:eastAsia="Calibri" w:cs="Times New Roman"/>
          <w:szCs w:val="24"/>
          <w:lang w:eastAsia="en-US"/>
        </w:rPr>
        <w:t>instytucjom Unii Europejskiej, w</w:t>
      </w:r>
      <w:r>
        <w:rPr>
          <w:rFonts w:eastAsia="Calibri" w:cs="Times New Roman"/>
          <w:szCs w:val="24"/>
          <w:lang w:eastAsia="en-US"/>
        </w:rPr>
        <w:t xml:space="preserve"> </w:t>
      </w:r>
      <w:r w:rsidRPr="004229C4">
        <w:rPr>
          <w:rFonts w:eastAsia="Calibri" w:cs="Times New Roman"/>
          <w:szCs w:val="24"/>
          <w:lang w:eastAsia="en-US"/>
        </w:rPr>
        <w:t>tym Europejskiemu Bankowi Centralnemu, w</w:t>
      </w:r>
      <w:r>
        <w:rPr>
          <w:rFonts w:eastAsia="Calibri" w:cs="Times New Roman"/>
          <w:szCs w:val="24"/>
          <w:lang w:eastAsia="en-US"/>
        </w:rPr>
        <w:t xml:space="preserve"> </w:t>
      </w:r>
      <w:r w:rsidRPr="004229C4">
        <w:rPr>
          <w:rFonts w:eastAsia="Calibri" w:cs="Times New Roman"/>
          <w:szCs w:val="24"/>
          <w:lang w:eastAsia="en-US"/>
        </w:rPr>
        <w:t>celu uzyskania opinii, dokonania powiadomienia, konsultacji albo uzgodnienia, o</w:t>
      </w:r>
      <w:r>
        <w:rPr>
          <w:rFonts w:eastAsia="Calibri" w:cs="Times New Roman"/>
          <w:szCs w:val="24"/>
          <w:lang w:eastAsia="en-US"/>
        </w:rPr>
        <w:t xml:space="preserve"> </w:t>
      </w:r>
      <w:r w:rsidRPr="004229C4">
        <w:rPr>
          <w:rFonts w:eastAsia="Calibri" w:cs="Times New Roman"/>
          <w:szCs w:val="24"/>
          <w:lang w:eastAsia="en-US"/>
        </w:rPr>
        <w:t>których mowa w</w:t>
      </w:r>
      <w:r>
        <w:rPr>
          <w:rFonts w:eastAsia="Calibri" w:cs="Times New Roman"/>
          <w:szCs w:val="24"/>
          <w:lang w:eastAsia="en-US"/>
        </w:rPr>
        <w:t xml:space="preserve"> </w:t>
      </w:r>
      <w:r w:rsidRPr="004229C4">
        <w:rPr>
          <w:rFonts w:eastAsia="Calibri" w:cs="Times New Roman"/>
          <w:szCs w:val="24"/>
          <w:lang w:eastAsia="en-US"/>
        </w:rPr>
        <w:t>§</w:t>
      </w:r>
      <w:r>
        <w:rPr>
          <w:rFonts w:eastAsia="Calibri" w:cs="Times New Roman"/>
          <w:szCs w:val="24"/>
          <w:lang w:eastAsia="en-US"/>
        </w:rPr>
        <w:t xml:space="preserve"> </w:t>
      </w:r>
      <w:r w:rsidRPr="004229C4">
        <w:rPr>
          <w:rFonts w:eastAsia="Calibri" w:cs="Times New Roman"/>
          <w:szCs w:val="24"/>
          <w:lang w:eastAsia="en-US"/>
        </w:rPr>
        <w:t>39</w:t>
      </w:r>
      <w:r>
        <w:rPr>
          <w:rFonts w:eastAsia="Calibri" w:cs="Times New Roman"/>
          <w:szCs w:val="24"/>
          <w:lang w:eastAsia="en-US"/>
        </w:rPr>
        <w:t xml:space="preserve"> </w:t>
      </w:r>
      <w:r w:rsidRPr="004229C4">
        <w:rPr>
          <w:rFonts w:eastAsia="Calibri" w:cs="Times New Roman"/>
          <w:szCs w:val="24"/>
          <w:lang w:eastAsia="en-US"/>
        </w:rPr>
        <w:t>uchwały nr</w:t>
      </w:r>
      <w:r>
        <w:rPr>
          <w:rFonts w:eastAsia="Calibri" w:cs="Times New Roman"/>
          <w:szCs w:val="24"/>
          <w:lang w:eastAsia="en-US"/>
        </w:rPr>
        <w:t xml:space="preserve"> </w:t>
      </w:r>
      <w:r w:rsidRPr="004229C4">
        <w:rPr>
          <w:rFonts w:eastAsia="Calibri" w:cs="Times New Roman"/>
          <w:szCs w:val="24"/>
          <w:lang w:eastAsia="en-US"/>
        </w:rPr>
        <w:t>190</w:t>
      </w:r>
      <w:r>
        <w:rPr>
          <w:rFonts w:eastAsia="Calibri" w:cs="Times New Roman"/>
          <w:szCs w:val="24"/>
          <w:lang w:eastAsia="en-US"/>
        </w:rPr>
        <w:t xml:space="preserve"> </w:t>
      </w:r>
      <w:r w:rsidRPr="004229C4">
        <w:rPr>
          <w:rFonts w:eastAsia="Calibri" w:cs="Times New Roman"/>
          <w:szCs w:val="24"/>
          <w:lang w:eastAsia="en-US"/>
        </w:rPr>
        <w:t>Rady Ministrów z</w:t>
      </w:r>
      <w:r>
        <w:rPr>
          <w:rFonts w:eastAsia="Calibri" w:cs="Times New Roman"/>
          <w:szCs w:val="24"/>
          <w:lang w:eastAsia="en-US"/>
        </w:rPr>
        <w:t xml:space="preserve"> </w:t>
      </w:r>
      <w:r w:rsidRPr="004229C4">
        <w:rPr>
          <w:rFonts w:eastAsia="Calibri" w:cs="Times New Roman"/>
          <w:szCs w:val="24"/>
          <w:lang w:eastAsia="en-US"/>
        </w:rPr>
        <w:t>dnia 29</w:t>
      </w:r>
      <w:r>
        <w:rPr>
          <w:rFonts w:eastAsia="Calibri" w:cs="Times New Roman"/>
          <w:szCs w:val="24"/>
          <w:lang w:eastAsia="en-US"/>
        </w:rPr>
        <w:t xml:space="preserve"> </w:t>
      </w:r>
      <w:r w:rsidRPr="004229C4">
        <w:rPr>
          <w:rFonts w:eastAsia="Calibri" w:cs="Times New Roman"/>
          <w:szCs w:val="24"/>
          <w:lang w:eastAsia="en-US"/>
        </w:rPr>
        <w:t>października 2013</w:t>
      </w:r>
      <w:r>
        <w:rPr>
          <w:rFonts w:eastAsia="Calibri" w:cs="Times New Roman"/>
          <w:szCs w:val="24"/>
          <w:lang w:eastAsia="en-US"/>
        </w:rPr>
        <w:t xml:space="preserve"> </w:t>
      </w:r>
      <w:r w:rsidRPr="004229C4">
        <w:rPr>
          <w:rFonts w:eastAsia="Calibri" w:cs="Times New Roman"/>
          <w:szCs w:val="24"/>
          <w:lang w:eastAsia="en-US"/>
        </w:rPr>
        <w:t>r. – Regulamin pracy Rady Ministrów (M.P. z</w:t>
      </w:r>
      <w:r>
        <w:rPr>
          <w:rFonts w:eastAsia="Calibri" w:cs="Times New Roman"/>
          <w:szCs w:val="24"/>
          <w:lang w:eastAsia="en-US"/>
        </w:rPr>
        <w:t xml:space="preserve"> </w:t>
      </w:r>
      <w:r w:rsidRPr="004229C4">
        <w:rPr>
          <w:rFonts w:eastAsia="Calibri" w:cs="Times New Roman"/>
          <w:szCs w:val="24"/>
          <w:lang w:eastAsia="en-US"/>
        </w:rPr>
        <w:t>2016</w:t>
      </w:r>
      <w:r>
        <w:rPr>
          <w:rFonts w:eastAsia="Calibri" w:cs="Times New Roman"/>
          <w:szCs w:val="24"/>
          <w:lang w:eastAsia="en-US"/>
        </w:rPr>
        <w:t xml:space="preserve"> </w:t>
      </w:r>
      <w:r w:rsidRPr="004229C4">
        <w:rPr>
          <w:rFonts w:eastAsia="Calibri" w:cs="Times New Roman"/>
          <w:szCs w:val="24"/>
          <w:lang w:eastAsia="en-US"/>
        </w:rPr>
        <w:t>r. poz.</w:t>
      </w:r>
      <w:r>
        <w:rPr>
          <w:rFonts w:eastAsia="Calibri" w:cs="Times New Roman"/>
          <w:szCs w:val="24"/>
          <w:lang w:eastAsia="en-US"/>
        </w:rPr>
        <w:t xml:space="preserve"> </w:t>
      </w:r>
      <w:r w:rsidRPr="004229C4">
        <w:rPr>
          <w:rFonts w:eastAsia="Calibri" w:cs="Times New Roman"/>
          <w:szCs w:val="24"/>
          <w:lang w:eastAsia="en-US"/>
        </w:rPr>
        <w:t>1006, z</w:t>
      </w:r>
      <w:r>
        <w:rPr>
          <w:rFonts w:eastAsia="Calibri" w:cs="Times New Roman"/>
          <w:szCs w:val="24"/>
          <w:lang w:eastAsia="en-US"/>
        </w:rPr>
        <w:t xml:space="preserve"> </w:t>
      </w:r>
      <w:proofErr w:type="spellStart"/>
      <w:r w:rsidRPr="004229C4">
        <w:rPr>
          <w:rFonts w:eastAsia="Calibri" w:cs="Times New Roman"/>
          <w:szCs w:val="24"/>
          <w:lang w:eastAsia="en-US"/>
        </w:rPr>
        <w:t>późn</w:t>
      </w:r>
      <w:proofErr w:type="spellEnd"/>
      <w:r w:rsidRPr="004229C4">
        <w:rPr>
          <w:rFonts w:eastAsia="Calibri" w:cs="Times New Roman"/>
          <w:szCs w:val="24"/>
          <w:lang w:eastAsia="en-US"/>
        </w:rPr>
        <w:t>. zm.).</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Ogłoszona w</w:t>
      </w:r>
      <w:r>
        <w:rPr>
          <w:rFonts w:eastAsia="Calibri" w:cs="Times New Roman"/>
          <w:szCs w:val="24"/>
          <w:lang w:eastAsia="en-US"/>
        </w:rPr>
        <w:t xml:space="preserve"> </w:t>
      </w:r>
      <w:r w:rsidRPr="004229C4">
        <w:rPr>
          <w:rFonts w:eastAsia="Calibri" w:cs="Times New Roman"/>
          <w:szCs w:val="24"/>
          <w:lang w:eastAsia="en-US"/>
        </w:rPr>
        <w:t>Dzienniku Ustaw ustawa zostanie przekazana do Komisji Europejskiej jako krajowy środek wykonawczy.</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Wejście w</w:t>
      </w:r>
      <w:r>
        <w:rPr>
          <w:rFonts w:eastAsia="Calibri" w:cs="Times New Roman"/>
          <w:szCs w:val="24"/>
          <w:lang w:eastAsia="en-US"/>
        </w:rPr>
        <w:t xml:space="preserve"> </w:t>
      </w:r>
      <w:r w:rsidRPr="004229C4">
        <w:rPr>
          <w:rFonts w:eastAsia="Calibri" w:cs="Times New Roman"/>
          <w:szCs w:val="24"/>
          <w:lang w:eastAsia="en-US"/>
        </w:rPr>
        <w:t>życie projektowanej ustawy nie będzie miało wpływu na konkurencyjność gospodarki i</w:t>
      </w:r>
      <w:r>
        <w:rPr>
          <w:rFonts w:eastAsia="Calibri" w:cs="Times New Roman"/>
          <w:szCs w:val="24"/>
          <w:lang w:eastAsia="en-US"/>
        </w:rPr>
        <w:t xml:space="preserve"> </w:t>
      </w:r>
      <w:r w:rsidRPr="004229C4">
        <w:rPr>
          <w:rFonts w:eastAsia="Calibri" w:cs="Times New Roman"/>
          <w:szCs w:val="24"/>
          <w:lang w:eastAsia="en-US"/>
        </w:rPr>
        <w:t>przedsiębiorczość, w</w:t>
      </w:r>
      <w:r>
        <w:rPr>
          <w:rFonts w:eastAsia="Calibri" w:cs="Times New Roman"/>
          <w:szCs w:val="24"/>
          <w:lang w:eastAsia="en-US"/>
        </w:rPr>
        <w:t xml:space="preserve"> </w:t>
      </w:r>
      <w:r w:rsidRPr="004229C4">
        <w:rPr>
          <w:rFonts w:eastAsia="Calibri" w:cs="Times New Roman"/>
          <w:szCs w:val="24"/>
          <w:lang w:eastAsia="en-US"/>
        </w:rPr>
        <w:t>tym funkcjonowanie przedsiębiorców, a</w:t>
      </w:r>
      <w:r>
        <w:rPr>
          <w:rFonts w:eastAsia="Calibri" w:cs="Times New Roman"/>
          <w:szCs w:val="24"/>
          <w:lang w:eastAsia="en-US"/>
        </w:rPr>
        <w:t xml:space="preserve"> </w:t>
      </w:r>
      <w:r w:rsidRPr="004229C4">
        <w:rPr>
          <w:rFonts w:eastAsia="Calibri" w:cs="Times New Roman"/>
          <w:szCs w:val="24"/>
          <w:lang w:eastAsia="en-US"/>
        </w:rPr>
        <w:t xml:space="preserve">zwłaszcza </w:t>
      </w:r>
      <w:proofErr w:type="spellStart"/>
      <w:r w:rsidRPr="004229C4">
        <w:rPr>
          <w:rFonts w:eastAsia="Calibri" w:cs="Times New Roman"/>
          <w:szCs w:val="24"/>
          <w:lang w:eastAsia="en-US"/>
        </w:rPr>
        <w:t>mikroprzedsiębiorców</w:t>
      </w:r>
      <w:proofErr w:type="spellEnd"/>
      <w:r w:rsidRPr="004229C4">
        <w:rPr>
          <w:rFonts w:eastAsia="Calibri" w:cs="Times New Roman"/>
          <w:szCs w:val="24"/>
          <w:lang w:eastAsia="en-US"/>
        </w:rPr>
        <w:t>, małych i</w:t>
      </w:r>
      <w:r>
        <w:rPr>
          <w:rFonts w:eastAsia="Calibri" w:cs="Times New Roman"/>
          <w:szCs w:val="24"/>
          <w:lang w:eastAsia="en-US"/>
        </w:rPr>
        <w:t xml:space="preserve"> </w:t>
      </w:r>
      <w:r w:rsidRPr="004229C4">
        <w:rPr>
          <w:rFonts w:eastAsia="Calibri" w:cs="Times New Roman"/>
          <w:szCs w:val="24"/>
          <w:lang w:eastAsia="en-US"/>
        </w:rPr>
        <w:t>średnich przedsiębiorców oraz na sytuację ekonomiczną i</w:t>
      </w:r>
      <w:r>
        <w:rPr>
          <w:rFonts w:eastAsia="Calibri" w:cs="Times New Roman"/>
          <w:szCs w:val="24"/>
          <w:lang w:eastAsia="en-US"/>
        </w:rPr>
        <w:t xml:space="preserve"> </w:t>
      </w:r>
      <w:r w:rsidRPr="004229C4">
        <w:rPr>
          <w:rFonts w:eastAsia="Calibri" w:cs="Times New Roman"/>
          <w:szCs w:val="24"/>
          <w:lang w:eastAsia="en-US"/>
        </w:rPr>
        <w:t>społeczną rodziny, a</w:t>
      </w:r>
      <w:r>
        <w:rPr>
          <w:rFonts w:eastAsia="Calibri" w:cs="Times New Roman"/>
          <w:szCs w:val="24"/>
          <w:lang w:eastAsia="en-US"/>
        </w:rPr>
        <w:t xml:space="preserve"> </w:t>
      </w:r>
      <w:r w:rsidRPr="004229C4">
        <w:rPr>
          <w:rFonts w:eastAsia="Calibri" w:cs="Times New Roman"/>
          <w:szCs w:val="24"/>
          <w:lang w:eastAsia="en-US"/>
        </w:rPr>
        <w:t>także osób niepełnosprawnych oraz osób starszych.</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Stosownie do art.</w:t>
      </w:r>
      <w:r>
        <w:rPr>
          <w:rFonts w:eastAsia="Calibri" w:cs="Times New Roman"/>
          <w:szCs w:val="24"/>
          <w:lang w:eastAsia="en-US"/>
        </w:rPr>
        <w:t xml:space="preserve"> </w:t>
      </w:r>
      <w:r w:rsidRPr="004229C4">
        <w:rPr>
          <w:rFonts w:eastAsia="Calibri" w:cs="Times New Roman"/>
          <w:szCs w:val="24"/>
          <w:lang w:eastAsia="en-US"/>
        </w:rPr>
        <w:t>5</w:t>
      </w:r>
      <w:r>
        <w:rPr>
          <w:rFonts w:eastAsia="Calibri" w:cs="Times New Roman"/>
          <w:szCs w:val="24"/>
          <w:lang w:eastAsia="en-US"/>
        </w:rPr>
        <w:t xml:space="preserve"> </w:t>
      </w:r>
      <w:r w:rsidRPr="004229C4">
        <w:rPr>
          <w:rFonts w:eastAsia="Calibri" w:cs="Times New Roman"/>
          <w:szCs w:val="24"/>
          <w:lang w:eastAsia="en-US"/>
        </w:rPr>
        <w:t>ustawy z</w:t>
      </w:r>
      <w:r>
        <w:rPr>
          <w:rFonts w:eastAsia="Calibri" w:cs="Times New Roman"/>
          <w:szCs w:val="24"/>
          <w:lang w:eastAsia="en-US"/>
        </w:rPr>
        <w:t xml:space="preserve"> </w:t>
      </w:r>
      <w:r w:rsidRPr="004229C4">
        <w:rPr>
          <w:rFonts w:eastAsia="Calibri" w:cs="Times New Roman"/>
          <w:szCs w:val="24"/>
          <w:lang w:eastAsia="en-US"/>
        </w:rPr>
        <w:t>dnia 7</w:t>
      </w:r>
      <w:r>
        <w:rPr>
          <w:rFonts w:eastAsia="Calibri" w:cs="Times New Roman"/>
          <w:szCs w:val="24"/>
          <w:lang w:eastAsia="en-US"/>
        </w:rPr>
        <w:t xml:space="preserve"> </w:t>
      </w:r>
      <w:r w:rsidRPr="004229C4">
        <w:rPr>
          <w:rFonts w:eastAsia="Calibri" w:cs="Times New Roman"/>
          <w:szCs w:val="24"/>
          <w:lang w:eastAsia="en-US"/>
        </w:rPr>
        <w:t>lipca 2005</w:t>
      </w:r>
      <w:r>
        <w:rPr>
          <w:rFonts w:eastAsia="Calibri" w:cs="Times New Roman"/>
          <w:szCs w:val="24"/>
          <w:lang w:eastAsia="en-US"/>
        </w:rPr>
        <w:t xml:space="preserve"> </w:t>
      </w:r>
      <w:r w:rsidRPr="004229C4">
        <w:rPr>
          <w:rFonts w:eastAsia="Calibri" w:cs="Times New Roman"/>
          <w:szCs w:val="24"/>
          <w:lang w:eastAsia="en-US"/>
        </w:rPr>
        <w:t>r. o</w:t>
      </w:r>
      <w:r>
        <w:rPr>
          <w:rFonts w:eastAsia="Calibri" w:cs="Times New Roman"/>
          <w:szCs w:val="24"/>
          <w:lang w:eastAsia="en-US"/>
        </w:rPr>
        <w:t xml:space="preserve"> </w:t>
      </w:r>
      <w:r w:rsidRPr="004229C4">
        <w:rPr>
          <w:rFonts w:eastAsia="Calibri" w:cs="Times New Roman"/>
          <w:szCs w:val="24"/>
          <w:lang w:eastAsia="en-US"/>
        </w:rPr>
        <w:t>działalności lobbingowej w</w:t>
      </w:r>
      <w:r>
        <w:rPr>
          <w:rFonts w:eastAsia="Calibri" w:cs="Times New Roman"/>
          <w:szCs w:val="24"/>
          <w:lang w:eastAsia="en-US"/>
        </w:rPr>
        <w:t xml:space="preserve"> </w:t>
      </w:r>
      <w:r w:rsidRPr="004229C4">
        <w:rPr>
          <w:rFonts w:eastAsia="Calibri" w:cs="Times New Roman"/>
          <w:szCs w:val="24"/>
          <w:lang w:eastAsia="en-US"/>
        </w:rPr>
        <w:t>procesie stanowienia prawa (Dz.</w:t>
      </w:r>
      <w:r>
        <w:rPr>
          <w:rFonts w:eastAsia="Calibri" w:cs="Times New Roman"/>
          <w:szCs w:val="24"/>
          <w:lang w:eastAsia="en-US"/>
        </w:rPr>
        <w:t xml:space="preserve"> </w:t>
      </w:r>
      <w:r w:rsidRPr="004229C4">
        <w:rPr>
          <w:rFonts w:eastAsia="Calibri" w:cs="Times New Roman"/>
          <w:szCs w:val="24"/>
          <w:lang w:eastAsia="en-US"/>
        </w:rPr>
        <w:t>U. z</w:t>
      </w:r>
      <w:r>
        <w:rPr>
          <w:rFonts w:eastAsia="Calibri" w:cs="Times New Roman"/>
          <w:szCs w:val="24"/>
          <w:lang w:eastAsia="en-US"/>
        </w:rPr>
        <w:t xml:space="preserve"> </w:t>
      </w:r>
      <w:r w:rsidRPr="004229C4">
        <w:rPr>
          <w:rFonts w:eastAsia="Calibri" w:cs="Times New Roman"/>
          <w:szCs w:val="24"/>
          <w:lang w:eastAsia="en-US"/>
        </w:rPr>
        <w:t>2017</w:t>
      </w:r>
      <w:r>
        <w:rPr>
          <w:rFonts w:eastAsia="Calibri" w:cs="Times New Roman"/>
          <w:szCs w:val="24"/>
          <w:lang w:eastAsia="en-US"/>
        </w:rPr>
        <w:t xml:space="preserve"> </w:t>
      </w:r>
      <w:r w:rsidRPr="004229C4">
        <w:rPr>
          <w:rFonts w:eastAsia="Calibri" w:cs="Times New Roman"/>
          <w:szCs w:val="24"/>
          <w:lang w:eastAsia="en-US"/>
        </w:rPr>
        <w:t>r. poz.</w:t>
      </w:r>
      <w:r>
        <w:rPr>
          <w:rFonts w:eastAsia="Calibri" w:cs="Times New Roman"/>
          <w:szCs w:val="24"/>
          <w:lang w:eastAsia="en-US"/>
        </w:rPr>
        <w:t xml:space="preserve"> </w:t>
      </w:r>
      <w:r w:rsidRPr="004229C4">
        <w:rPr>
          <w:rFonts w:eastAsia="Calibri" w:cs="Times New Roman"/>
          <w:szCs w:val="24"/>
          <w:lang w:eastAsia="en-US"/>
        </w:rPr>
        <w:t>248) oraz art.</w:t>
      </w:r>
      <w:r>
        <w:rPr>
          <w:rFonts w:eastAsia="Calibri" w:cs="Times New Roman"/>
          <w:szCs w:val="24"/>
          <w:lang w:eastAsia="en-US"/>
        </w:rPr>
        <w:t xml:space="preserve"> </w:t>
      </w:r>
      <w:r w:rsidRPr="004229C4">
        <w:rPr>
          <w:rFonts w:eastAsia="Calibri" w:cs="Times New Roman"/>
          <w:szCs w:val="24"/>
          <w:lang w:eastAsia="en-US"/>
        </w:rPr>
        <w:t>52 §</w:t>
      </w:r>
      <w:r>
        <w:rPr>
          <w:rFonts w:eastAsia="Calibri" w:cs="Times New Roman"/>
          <w:szCs w:val="24"/>
          <w:lang w:eastAsia="en-US"/>
        </w:rPr>
        <w:t xml:space="preserve"> </w:t>
      </w:r>
      <w:r w:rsidRPr="004229C4">
        <w:rPr>
          <w:rFonts w:eastAsia="Calibri" w:cs="Times New Roman"/>
          <w:szCs w:val="24"/>
          <w:lang w:eastAsia="en-US"/>
        </w:rPr>
        <w:t>1</w:t>
      </w:r>
      <w:r>
        <w:rPr>
          <w:rFonts w:eastAsia="Calibri" w:cs="Times New Roman"/>
          <w:szCs w:val="24"/>
          <w:lang w:eastAsia="en-US"/>
        </w:rPr>
        <w:t xml:space="preserve"> </w:t>
      </w:r>
      <w:r w:rsidRPr="004229C4">
        <w:rPr>
          <w:rFonts w:eastAsia="Calibri" w:cs="Times New Roman"/>
          <w:szCs w:val="24"/>
          <w:lang w:eastAsia="en-US"/>
        </w:rPr>
        <w:t xml:space="preserve">uchwały </w:t>
      </w:r>
      <w:r>
        <w:rPr>
          <w:rFonts w:eastAsia="Calibri" w:cs="Times New Roman"/>
          <w:szCs w:val="24"/>
          <w:lang w:eastAsia="en-US"/>
        </w:rPr>
        <w:t>n</w:t>
      </w:r>
      <w:r w:rsidRPr="004229C4">
        <w:rPr>
          <w:rFonts w:eastAsia="Calibri" w:cs="Times New Roman"/>
          <w:szCs w:val="24"/>
          <w:lang w:eastAsia="en-US"/>
        </w:rPr>
        <w:t>r</w:t>
      </w:r>
      <w:r>
        <w:rPr>
          <w:rFonts w:eastAsia="Calibri" w:cs="Times New Roman"/>
          <w:szCs w:val="24"/>
          <w:lang w:eastAsia="en-US"/>
        </w:rPr>
        <w:t xml:space="preserve"> </w:t>
      </w:r>
      <w:r w:rsidRPr="004229C4">
        <w:rPr>
          <w:rFonts w:eastAsia="Calibri" w:cs="Times New Roman"/>
          <w:szCs w:val="24"/>
          <w:lang w:eastAsia="en-US"/>
        </w:rPr>
        <w:t>190</w:t>
      </w:r>
      <w:r>
        <w:rPr>
          <w:rFonts w:eastAsia="Calibri" w:cs="Times New Roman"/>
          <w:szCs w:val="24"/>
          <w:lang w:eastAsia="en-US"/>
        </w:rPr>
        <w:t xml:space="preserve"> </w:t>
      </w:r>
      <w:r w:rsidRPr="004229C4">
        <w:rPr>
          <w:rFonts w:eastAsia="Calibri" w:cs="Times New Roman"/>
          <w:szCs w:val="24"/>
          <w:lang w:eastAsia="en-US"/>
        </w:rPr>
        <w:t>Rady Ministrów z</w:t>
      </w:r>
      <w:r>
        <w:rPr>
          <w:rFonts w:eastAsia="Calibri" w:cs="Times New Roman"/>
          <w:szCs w:val="24"/>
          <w:lang w:eastAsia="en-US"/>
        </w:rPr>
        <w:t xml:space="preserve"> </w:t>
      </w:r>
      <w:r w:rsidRPr="004229C4">
        <w:rPr>
          <w:rFonts w:eastAsia="Calibri" w:cs="Times New Roman"/>
          <w:szCs w:val="24"/>
          <w:lang w:eastAsia="en-US"/>
        </w:rPr>
        <w:t>29</w:t>
      </w:r>
      <w:r>
        <w:rPr>
          <w:rFonts w:eastAsia="Calibri" w:cs="Times New Roman"/>
          <w:szCs w:val="24"/>
          <w:lang w:eastAsia="en-US"/>
        </w:rPr>
        <w:t xml:space="preserve"> </w:t>
      </w:r>
      <w:r w:rsidRPr="004229C4">
        <w:rPr>
          <w:rFonts w:eastAsia="Calibri" w:cs="Times New Roman"/>
          <w:szCs w:val="24"/>
          <w:lang w:eastAsia="en-US"/>
        </w:rPr>
        <w:t>października 201</w:t>
      </w:r>
      <w:r>
        <w:rPr>
          <w:rFonts w:eastAsia="Calibri" w:cs="Times New Roman"/>
          <w:szCs w:val="24"/>
          <w:lang w:eastAsia="en-US"/>
        </w:rPr>
        <w:t xml:space="preserve">3 </w:t>
      </w:r>
      <w:r w:rsidRPr="004229C4">
        <w:rPr>
          <w:rFonts w:eastAsia="Calibri" w:cs="Times New Roman"/>
          <w:szCs w:val="24"/>
          <w:lang w:eastAsia="en-US"/>
        </w:rPr>
        <w:t xml:space="preserve">r. </w:t>
      </w:r>
      <w:r>
        <w:rPr>
          <w:rFonts w:eastAsia="Calibri" w:cs="Times New Roman"/>
          <w:szCs w:val="24"/>
          <w:lang w:eastAsia="en-US"/>
        </w:rPr>
        <w:t>–</w:t>
      </w:r>
      <w:r w:rsidRPr="004229C4">
        <w:rPr>
          <w:rFonts w:eastAsia="Calibri" w:cs="Times New Roman"/>
          <w:szCs w:val="24"/>
          <w:lang w:eastAsia="en-US"/>
        </w:rPr>
        <w:t xml:space="preserve"> Regulamin pracy Rady Ministrów, z</w:t>
      </w:r>
      <w:r>
        <w:rPr>
          <w:rFonts w:eastAsia="Calibri" w:cs="Times New Roman"/>
          <w:szCs w:val="24"/>
          <w:lang w:eastAsia="en-US"/>
        </w:rPr>
        <w:t xml:space="preserve"> </w:t>
      </w:r>
      <w:r w:rsidRPr="004229C4">
        <w:rPr>
          <w:rFonts w:eastAsia="Calibri" w:cs="Times New Roman"/>
          <w:szCs w:val="24"/>
          <w:lang w:eastAsia="en-US"/>
        </w:rPr>
        <w:t>chwilą skierowania do</w:t>
      </w:r>
      <w:r>
        <w:rPr>
          <w:rFonts w:eastAsia="Calibri" w:cs="Times New Roman"/>
          <w:szCs w:val="24"/>
          <w:lang w:eastAsia="en-US"/>
        </w:rPr>
        <w:t xml:space="preserve"> </w:t>
      </w:r>
      <w:r w:rsidRPr="004229C4">
        <w:rPr>
          <w:rFonts w:eastAsia="Calibri" w:cs="Times New Roman"/>
          <w:szCs w:val="24"/>
          <w:lang w:eastAsia="en-US"/>
        </w:rPr>
        <w:t>uzgodnień międzyresortowych i</w:t>
      </w:r>
      <w:r>
        <w:rPr>
          <w:rFonts w:eastAsia="Calibri" w:cs="Times New Roman"/>
          <w:szCs w:val="24"/>
          <w:lang w:eastAsia="en-US"/>
        </w:rPr>
        <w:t xml:space="preserve"> </w:t>
      </w:r>
      <w:r w:rsidRPr="004229C4">
        <w:rPr>
          <w:rFonts w:eastAsia="Calibri" w:cs="Times New Roman"/>
          <w:szCs w:val="24"/>
          <w:lang w:eastAsia="en-US"/>
        </w:rPr>
        <w:t>konsultacji publicznych projekt ustawy zostanie udostępniony w</w:t>
      </w:r>
      <w:r>
        <w:rPr>
          <w:rFonts w:eastAsia="Calibri" w:cs="Times New Roman"/>
          <w:szCs w:val="24"/>
          <w:lang w:eastAsia="en-US"/>
        </w:rPr>
        <w:t xml:space="preserve"> </w:t>
      </w:r>
      <w:r w:rsidRPr="004229C4">
        <w:rPr>
          <w:rFonts w:eastAsia="Calibri" w:cs="Times New Roman"/>
          <w:szCs w:val="24"/>
          <w:lang w:eastAsia="en-US"/>
        </w:rPr>
        <w:t>Biuletynie Informacji Publicznej Rządowego Centrum Legislacji w</w:t>
      </w:r>
      <w:r>
        <w:rPr>
          <w:rFonts w:eastAsia="Calibri" w:cs="Times New Roman"/>
          <w:szCs w:val="24"/>
          <w:lang w:eastAsia="en-US"/>
        </w:rPr>
        <w:t xml:space="preserve"> </w:t>
      </w:r>
      <w:r w:rsidRPr="004229C4">
        <w:rPr>
          <w:rFonts w:eastAsia="Calibri" w:cs="Times New Roman"/>
          <w:szCs w:val="24"/>
          <w:lang w:eastAsia="en-US"/>
        </w:rPr>
        <w:t>serwisie Rządowy Proces Legislacyjny.</w:t>
      </w:r>
    </w:p>
    <w:p w:rsidR="005D3F15" w:rsidRPr="004229C4" w:rsidRDefault="005D3F15" w:rsidP="001C2767">
      <w:pPr>
        <w:widowControl/>
        <w:spacing w:before="120"/>
        <w:jc w:val="both"/>
        <w:rPr>
          <w:rFonts w:eastAsia="Calibri" w:cs="Times New Roman"/>
          <w:szCs w:val="24"/>
          <w:lang w:eastAsia="en-US"/>
        </w:rPr>
      </w:pPr>
      <w:r w:rsidRPr="004229C4">
        <w:rPr>
          <w:rFonts w:eastAsia="Calibri" w:cs="Times New Roman"/>
          <w:szCs w:val="24"/>
          <w:lang w:eastAsia="en-US"/>
        </w:rPr>
        <w:t>Planuje się, że ustawa wejdzie w</w:t>
      </w:r>
      <w:r>
        <w:rPr>
          <w:rFonts w:eastAsia="Calibri" w:cs="Times New Roman"/>
          <w:szCs w:val="24"/>
          <w:lang w:eastAsia="en-US"/>
        </w:rPr>
        <w:t xml:space="preserve"> </w:t>
      </w:r>
      <w:r w:rsidRPr="004229C4">
        <w:rPr>
          <w:rFonts w:eastAsia="Calibri" w:cs="Times New Roman"/>
          <w:szCs w:val="24"/>
          <w:lang w:eastAsia="en-US"/>
        </w:rPr>
        <w:t>życie po upływie 3</w:t>
      </w:r>
      <w:r>
        <w:rPr>
          <w:rFonts w:eastAsia="Calibri" w:cs="Times New Roman"/>
          <w:szCs w:val="24"/>
          <w:lang w:eastAsia="en-US"/>
        </w:rPr>
        <w:t xml:space="preserve"> </w:t>
      </w:r>
      <w:r w:rsidRPr="004229C4">
        <w:rPr>
          <w:rFonts w:eastAsia="Calibri" w:cs="Times New Roman"/>
          <w:szCs w:val="24"/>
          <w:lang w:eastAsia="en-US"/>
        </w:rPr>
        <w:t>miesięcy od dnia ogłoszenia</w:t>
      </w:r>
      <w:r>
        <w:rPr>
          <w:rFonts w:eastAsia="Calibri" w:cs="Times New Roman"/>
          <w:szCs w:val="24"/>
          <w:lang w:eastAsia="en-US"/>
        </w:rPr>
        <w:t>, z</w:t>
      </w:r>
      <w:r w:rsidR="00F365FE">
        <w:rPr>
          <w:rFonts w:eastAsia="Calibri" w:cs="Times New Roman"/>
          <w:szCs w:val="24"/>
          <w:lang w:eastAsia="en-US"/>
        </w:rPr>
        <w:t> </w:t>
      </w:r>
      <w:r w:rsidRPr="004229C4">
        <w:rPr>
          <w:rFonts w:eastAsia="Calibri" w:cs="Times New Roman"/>
          <w:szCs w:val="24"/>
          <w:lang w:eastAsia="en-US"/>
        </w:rPr>
        <w:t>wyjątkiem przepisów dot. danych dynamicznych (art. 24 projektu ustawy).</w:t>
      </w:r>
    </w:p>
    <w:sectPr w:rsidR="005D3F15" w:rsidRPr="004229C4" w:rsidSect="001C2767">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84C" w:rsidRDefault="00D5484C" w:rsidP="005D3F15">
      <w:pPr>
        <w:spacing w:line="240" w:lineRule="auto"/>
      </w:pPr>
      <w:r>
        <w:separator/>
      </w:r>
    </w:p>
  </w:endnote>
  <w:endnote w:type="continuationSeparator" w:id="0">
    <w:p w:rsidR="00D5484C" w:rsidRDefault="00D5484C" w:rsidP="005D3F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ira Sans">
    <w:altName w:val="Arial"/>
    <w:charset w:val="EE"/>
    <w:family w:val="swiss"/>
    <w:pitch w:val="variable"/>
    <w:sig w:usb0="00000001"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6618931"/>
      <w:docPartObj>
        <w:docPartGallery w:val="Page Numbers (Bottom of Page)"/>
        <w:docPartUnique/>
      </w:docPartObj>
    </w:sdtPr>
    <w:sdtEndPr/>
    <w:sdtContent>
      <w:p w:rsidR="00510B18" w:rsidRDefault="00510B18" w:rsidP="001C2767">
        <w:pPr>
          <w:pStyle w:val="Stopka"/>
          <w:jc w:val="center"/>
        </w:pPr>
        <w:r>
          <w:fldChar w:fldCharType="begin"/>
        </w:r>
        <w:r>
          <w:instrText>PAGE   \* MERGEFORMAT</w:instrText>
        </w:r>
        <w:r>
          <w:fldChar w:fldCharType="separate"/>
        </w:r>
        <w:r w:rsidR="00CC47C5">
          <w:rPr>
            <w:noProof/>
          </w:rPr>
          <w:t>65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84C" w:rsidRDefault="00D5484C" w:rsidP="005D3F15">
      <w:pPr>
        <w:spacing w:line="240" w:lineRule="auto"/>
      </w:pPr>
      <w:r>
        <w:separator/>
      </w:r>
    </w:p>
  </w:footnote>
  <w:footnote w:type="continuationSeparator" w:id="0">
    <w:p w:rsidR="00D5484C" w:rsidRDefault="00D5484C" w:rsidP="005D3F15">
      <w:pPr>
        <w:spacing w:line="240" w:lineRule="auto"/>
      </w:pPr>
      <w:r>
        <w:continuationSeparator/>
      </w:r>
    </w:p>
  </w:footnote>
  <w:footnote w:id="1">
    <w:p w:rsidR="00510B18" w:rsidRPr="0082058E" w:rsidRDefault="00510B18" w:rsidP="005D3F15">
      <w:pPr>
        <w:pStyle w:val="ODNONIKtreodnonika"/>
      </w:pPr>
      <w:r w:rsidRPr="006A491B">
        <w:rPr>
          <w:rStyle w:val="Odwoanieprzypisudolnego"/>
        </w:rPr>
        <w:footnoteRef/>
      </w:r>
      <w:r w:rsidRPr="006A491B">
        <w:rPr>
          <w:rFonts w:eastAsia="Times New Roman"/>
          <w:vertAlign w:val="superscript"/>
        </w:rPr>
        <w:t>)</w:t>
      </w:r>
      <w:r>
        <w:rPr>
          <w:rFonts w:eastAsia="Times New Roman"/>
          <w:vertAlign w:val="superscript"/>
        </w:rPr>
        <w:tab/>
      </w:r>
      <w:r w:rsidRPr="006A491B">
        <w:t>(</w:t>
      </w:r>
      <w:r w:rsidRPr="0082058E">
        <w:t xml:space="preserve">Dz. Urz. UE L 172 </w:t>
      </w:r>
      <w:r>
        <w:t xml:space="preserve">z </w:t>
      </w:r>
      <w:r w:rsidRPr="0082058E">
        <w:t>26.06.2019, s</w:t>
      </w:r>
      <w:r>
        <w:t>tr.</w:t>
      </w:r>
      <w:r w:rsidRPr="0082058E">
        <w:t xml:space="preserve"> 56), zwana dalej „dyrektyw</w:t>
      </w:r>
      <w:r>
        <w:t>ą</w:t>
      </w:r>
      <w:r w:rsidRPr="0082058E">
        <w:t xml:space="preserve"> 2019/1024/UE” lub „dyrektyw</w:t>
      </w:r>
      <w:r>
        <w:t>ą</w:t>
      </w:r>
      <w:r w:rsidRPr="0082058E">
        <w:t>”.</w:t>
      </w:r>
    </w:p>
  </w:footnote>
  <w:footnote w:id="2">
    <w:p w:rsidR="00510B18" w:rsidRPr="006A491B" w:rsidRDefault="00510B18" w:rsidP="005D3F15">
      <w:pPr>
        <w:pStyle w:val="ODNONIKtreodnonika"/>
      </w:pPr>
      <w:r w:rsidRPr="006A491B">
        <w:rPr>
          <w:rStyle w:val="Odwoanieprzypisudolnego"/>
        </w:rPr>
        <w:footnoteRef/>
      </w:r>
      <w:r w:rsidRPr="006A491B">
        <w:rPr>
          <w:rFonts w:eastAsia="Times New Roman"/>
          <w:vertAlign w:val="superscript"/>
        </w:rPr>
        <w:t>)</w:t>
      </w:r>
      <w:r>
        <w:rPr>
          <w:rFonts w:eastAsia="Times New Roman"/>
          <w:vertAlign w:val="superscript"/>
        </w:rPr>
        <w:tab/>
      </w:r>
      <w:r w:rsidRPr="006A491B">
        <w:t>(</w:t>
      </w:r>
      <w:r w:rsidRPr="0082058E">
        <w:t>Dz. U. z 2019 r. poz. 1446)</w:t>
      </w:r>
      <w:r>
        <w:t>,</w:t>
      </w:r>
      <w:r w:rsidRPr="003C4C7E">
        <w:t xml:space="preserve"> zwana dalej</w:t>
      </w:r>
      <w:r>
        <w:t xml:space="preserve"> </w:t>
      </w:r>
      <w:r w:rsidRPr="003C4C7E">
        <w:t xml:space="preserve"> „ustaw</w:t>
      </w:r>
      <w:r>
        <w:t>ą</w:t>
      </w:r>
      <w:r w:rsidRPr="003C4C7E">
        <w:t xml:space="preserve"> o ponownym wykorzystywaniu informacji sektora publicznego” lub „ustaw</w:t>
      </w:r>
      <w:r>
        <w:t>ą</w:t>
      </w:r>
      <w:r w:rsidRPr="003C4C7E">
        <w:t xml:space="preserve"> z 2016 r.”</w:t>
      </w:r>
      <w:r w:rsidRPr="0082058E">
        <w:t>.</w:t>
      </w:r>
    </w:p>
  </w:footnote>
  <w:footnote w:id="3">
    <w:p w:rsidR="00510B18" w:rsidRDefault="00510B18" w:rsidP="005D3F15">
      <w:pPr>
        <w:pStyle w:val="ODNONIKtreodnonika"/>
      </w:pPr>
      <w:r w:rsidRPr="0082058E">
        <w:rPr>
          <w:rStyle w:val="Odwoanieprzypisudolnego"/>
        </w:rPr>
        <w:footnoteRef/>
      </w:r>
      <w:r w:rsidRPr="006A491B">
        <w:rPr>
          <w:rFonts w:eastAsia="Times New Roman"/>
          <w:vertAlign w:val="superscript"/>
        </w:rPr>
        <w:t>)</w:t>
      </w:r>
      <w:r>
        <w:rPr>
          <w:rFonts w:eastAsia="Times New Roman"/>
          <w:vertAlign w:val="superscript"/>
        </w:rPr>
        <w:tab/>
      </w:r>
      <w:r w:rsidRPr="0082058E">
        <w:t>(Dz. U. z 20</w:t>
      </w:r>
      <w:r>
        <w:t>20</w:t>
      </w:r>
      <w:r w:rsidRPr="0082058E">
        <w:t xml:space="preserve"> r. poz. </w:t>
      </w:r>
      <w:r>
        <w:t>2176</w:t>
      </w:r>
      <w:r w:rsidRPr="0082058E">
        <w:t>), zwana dalej</w:t>
      </w:r>
      <w:r>
        <w:t xml:space="preserve"> </w:t>
      </w:r>
      <w:r w:rsidRPr="0082058E">
        <w:t xml:space="preserve"> „ustaw</w:t>
      </w:r>
      <w:r>
        <w:t>ą</w:t>
      </w:r>
      <w:r w:rsidRPr="0082058E">
        <w:t xml:space="preserve"> o dostępie do informacji publicznej”.</w:t>
      </w:r>
    </w:p>
  </w:footnote>
  <w:footnote w:id="4">
    <w:p w:rsidR="00510B18" w:rsidRPr="00E40AC1" w:rsidRDefault="00510B18" w:rsidP="005D3F15">
      <w:pPr>
        <w:pStyle w:val="Tekstprzypisudolnego"/>
        <w:spacing w:line="240" w:lineRule="auto"/>
        <w:ind w:left="284" w:hanging="284"/>
        <w:jc w:val="both"/>
        <w:rPr>
          <w:rFonts w:ascii="Times New Roman" w:hAnsi="Times New Roman"/>
        </w:rPr>
      </w:pPr>
      <w:r w:rsidRPr="00884F50">
        <w:rPr>
          <w:rStyle w:val="Odwoanieprzypisudolnego"/>
          <w:rFonts w:ascii="Times New Roman" w:hAnsi="Times New Roman"/>
          <w:sz w:val="20"/>
          <w:szCs w:val="20"/>
        </w:rPr>
        <w:footnoteRef/>
      </w:r>
      <w:r w:rsidRPr="00884F50">
        <w:rPr>
          <w:rFonts w:ascii="Times New Roman" w:hAnsi="Times New Roman"/>
          <w:sz w:val="20"/>
          <w:szCs w:val="20"/>
          <w:vertAlign w:val="superscript"/>
        </w:rPr>
        <w:t>)</w:t>
      </w:r>
      <w:r>
        <w:rPr>
          <w:rFonts w:ascii="Times New Roman" w:hAnsi="Times New Roman"/>
          <w:sz w:val="20"/>
          <w:szCs w:val="20"/>
          <w:vertAlign w:val="superscript"/>
        </w:rPr>
        <w:tab/>
      </w:r>
      <w:r w:rsidRPr="00884F50">
        <w:rPr>
          <w:rFonts w:ascii="Times New Roman" w:hAnsi="Times New Roman"/>
          <w:sz w:val="20"/>
          <w:szCs w:val="20"/>
        </w:rPr>
        <w:t xml:space="preserve">Konstytucja Rzeczypospolitej Polskiej z dnia 2 kwietnia 1997 r. (Dz. U.  poz. 483, z </w:t>
      </w:r>
      <w:proofErr w:type="spellStart"/>
      <w:r w:rsidRPr="00884F50">
        <w:rPr>
          <w:rFonts w:ascii="Times New Roman" w:hAnsi="Times New Roman"/>
          <w:sz w:val="20"/>
          <w:szCs w:val="20"/>
        </w:rPr>
        <w:t>późn</w:t>
      </w:r>
      <w:proofErr w:type="spellEnd"/>
      <w:r w:rsidRPr="00884F50">
        <w:rPr>
          <w:rFonts w:ascii="Times New Roman" w:hAnsi="Times New Roman"/>
          <w:sz w:val="20"/>
          <w:szCs w:val="20"/>
        </w:rPr>
        <w:t>. zm.).</w:t>
      </w:r>
    </w:p>
  </w:footnote>
  <w:footnote w:id="5">
    <w:p w:rsidR="00510B18" w:rsidRPr="00E40AC1" w:rsidRDefault="00510B18" w:rsidP="005D3F15">
      <w:pPr>
        <w:pStyle w:val="ODNONIKtreodnonika"/>
      </w:pPr>
      <w:r w:rsidRPr="00E40AC1">
        <w:rPr>
          <w:rStyle w:val="Odwoanieprzypisudolnego"/>
        </w:rPr>
        <w:footnoteRef/>
      </w:r>
      <w:r w:rsidRPr="00E40AC1">
        <w:rPr>
          <w:vertAlign w:val="superscript"/>
        </w:rPr>
        <w:t>)</w:t>
      </w:r>
      <w:r>
        <w:rPr>
          <w:vertAlign w:val="superscript"/>
        </w:rPr>
        <w:tab/>
      </w:r>
      <w:r w:rsidRPr="00E40AC1">
        <w:t xml:space="preserve">Wniosek Dyrektywa Parlamentu Europejskiego i Rady w sprawie ponownego wykorzystywania informacji sektora publicznego (wersja przekształcona), 25.04.2018 r., COM/2018/234 </w:t>
      </w:r>
      <w:proofErr w:type="spellStart"/>
      <w:r w:rsidRPr="00E40AC1">
        <w:t>final</w:t>
      </w:r>
      <w:proofErr w:type="spellEnd"/>
      <w:r w:rsidRPr="00E40AC1">
        <w:t>.</w:t>
      </w:r>
    </w:p>
  </w:footnote>
  <w:footnote w:id="6">
    <w:p w:rsidR="00510B18" w:rsidRPr="00E40AC1" w:rsidRDefault="00510B18" w:rsidP="005D3F15">
      <w:pPr>
        <w:pStyle w:val="ODNONIKtreodnonika"/>
      </w:pPr>
      <w:r w:rsidRPr="00E40AC1">
        <w:rPr>
          <w:rStyle w:val="Odwoanieprzypisudolnego"/>
        </w:rPr>
        <w:footnoteRef/>
      </w:r>
      <w:r w:rsidRPr="00582A4C">
        <w:rPr>
          <w:vertAlign w:val="superscript"/>
        </w:rPr>
        <w:t>)</w:t>
      </w:r>
      <w:r>
        <w:tab/>
      </w:r>
      <w:r w:rsidRPr="00E40AC1">
        <w:t>(Dz. Urz. UE L 345 z 31.12.2003, s</w:t>
      </w:r>
      <w:r>
        <w:t>tr</w:t>
      </w:r>
      <w:r w:rsidRPr="00E40AC1">
        <w:t>. 90), zwana dalej</w:t>
      </w:r>
      <w:r>
        <w:t xml:space="preserve"> </w:t>
      </w:r>
      <w:r w:rsidRPr="00E40AC1">
        <w:t xml:space="preserve"> „dyrektyw</w:t>
      </w:r>
      <w:r>
        <w:t>ą</w:t>
      </w:r>
      <w:r w:rsidRPr="00E40AC1">
        <w:t xml:space="preserve"> 2003/98/WE”.</w:t>
      </w:r>
    </w:p>
  </w:footnote>
  <w:footnote w:id="7">
    <w:p w:rsidR="00510B18" w:rsidRPr="00E40AC1" w:rsidRDefault="00510B18" w:rsidP="005D3F15">
      <w:pPr>
        <w:pStyle w:val="ODNONIKtreodnonika"/>
      </w:pPr>
      <w:r w:rsidRPr="00E40AC1">
        <w:rPr>
          <w:rStyle w:val="Odwoanieprzypisudolnego"/>
        </w:rPr>
        <w:footnoteRef/>
      </w:r>
      <w:r w:rsidRPr="00582A4C">
        <w:rPr>
          <w:vertAlign w:val="superscript"/>
        </w:rPr>
        <w:t>)</w:t>
      </w:r>
      <w:r>
        <w:tab/>
      </w:r>
      <w:r w:rsidRPr="00E40AC1">
        <w:t>W dyrektywach regulujących ponowne wykorzystywanie informacji sektora publicznego prawodawca unijny posługuje się pojęciem „dokument”, którego odpowiednikiem w prawie polskim jest „informacja sektora publicznego”.</w:t>
      </w:r>
    </w:p>
  </w:footnote>
  <w:footnote w:id="8">
    <w:p w:rsidR="00510B18" w:rsidRDefault="00510B18" w:rsidP="005D3F15">
      <w:pPr>
        <w:pStyle w:val="ODNONIKtreodnonika"/>
      </w:pPr>
      <w:r w:rsidRPr="00E40AC1">
        <w:rPr>
          <w:rStyle w:val="Odwoanieprzypisudolnego"/>
        </w:rPr>
        <w:footnoteRef/>
      </w:r>
      <w:r w:rsidRPr="00582A4C">
        <w:rPr>
          <w:vertAlign w:val="superscript"/>
        </w:rPr>
        <w:t>)</w:t>
      </w:r>
      <w:r>
        <w:tab/>
      </w:r>
      <w:r w:rsidRPr="00E40AC1">
        <w:t>(Dz. Urz. UE L 175 z 27.06.2013, s</w:t>
      </w:r>
      <w:r>
        <w:t>tr.</w:t>
      </w:r>
      <w:r w:rsidRPr="00E40AC1">
        <w:t xml:space="preserve"> 1).</w:t>
      </w:r>
    </w:p>
  </w:footnote>
  <w:footnote w:id="9">
    <w:p w:rsidR="00510B18" w:rsidRPr="00A02B77" w:rsidRDefault="00510B18" w:rsidP="005D3F15">
      <w:pPr>
        <w:pStyle w:val="ODNONIKtreodnonika"/>
      </w:pPr>
      <w:r w:rsidRPr="00A02B77">
        <w:rPr>
          <w:rStyle w:val="Odwoanieprzypisudolnego"/>
        </w:rPr>
        <w:footnoteRef/>
      </w:r>
      <w:r w:rsidRPr="00582A4C">
        <w:rPr>
          <w:vertAlign w:val="superscript"/>
        </w:rPr>
        <w:t>)</w:t>
      </w:r>
      <w:r>
        <w:tab/>
      </w:r>
      <w:r w:rsidRPr="00A02B77">
        <w:t>Motyw 10 preambuły dyrektywy 2003/98/WE.</w:t>
      </w:r>
    </w:p>
  </w:footnote>
  <w:footnote w:id="10">
    <w:p w:rsidR="00510B18" w:rsidRPr="000B27BA" w:rsidRDefault="00510B18" w:rsidP="005D3F15">
      <w:pPr>
        <w:pStyle w:val="ODNONIKtreodnonika"/>
        <w:rPr>
          <w:rFonts w:cs="Times New Roman"/>
        </w:rPr>
      </w:pPr>
      <w:r w:rsidRPr="000B27BA">
        <w:rPr>
          <w:rStyle w:val="Odwoanieprzypisudolnego"/>
        </w:rPr>
        <w:footnoteRef/>
      </w:r>
      <w:r w:rsidRPr="000B27BA">
        <w:rPr>
          <w:rFonts w:cs="Times New Roman"/>
          <w:vertAlign w:val="superscript"/>
        </w:rPr>
        <w:t>)</w:t>
      </w:r>
      <w:r w:rsidRPr="000B27BA">
        <w:rPr>
          <w:rFonts w:cs="Times New Roman"/>
          <w:vertAlign w:val="superscript"/>
        </w:rPr>
        <w:tab/>
      </w:r>
      <w:r w:rsidRPr="000B27BA">
        <w:rPr>
          <w:rFonts w:cs="Times New Roman"/>
        </w:rPr>
        <w:t>Program otwierania danych publicznych przyjęty uchwałą nr 107/2016 Rady Ministrów z dnia 20 września 2016 r.</w:t>
      </w:r>
    </w:p>
  </w:footnote>
  <w:footnote w:id="11">
    <w:p w:rsidR="00510B18" w:rsidRPr="007271B1" w:rsidRDefault="00510B18" w:rsidP="005D3F15">
      <w:pPr>
        <w:pStyle w:val="Tekstprzypisudolnego"/>
        <w:spacing w:line="240" w:lineRule="auto"/>
        <w:ind w:left="284" w:hanging="284"/>
        <w:rPr>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r>
      <w:hyperlink r:id="rId1" w:history="1">
        <w:r w:rsidRPr="001C2767">
          <w:rPr>
            <w:rStyle w:val="Hipercze"/>
            <w:rFonts w:ascii="Times New Roman" w:hAnsi="Times New Roman"/>
            <w:color w:val="auto"/>
            <w:sz w:val="20"/>
            <w:szCs w:val="20"/>
            <w:u w:val="none"/>
          </w:rPr>
          <w:t>https://dane.gov.pl/pl/knowledgebase/useful-materials/standardy-otwartosci-danych</w:t>
        </w:r>
      </w:hyperlink>
      <w:r w:rsidRPr="007271B1">
        <w:rPr>
          <w:sz w:val="20"/>
          <w:szCs w:val="20"/>
        </w:rPr>
        <w:t xml:space="preserve"> </w:t>
      </w:r>
    </w:p>
  </w:footnote>
  <w:footnote w:id="12">
    <w:p w:rsidR="00510B18" w:rsidRPr="00A02B77" w:rsidRDefault="00510B18" w:rsidP="005D3F15">
      <w:pPr>
        <w:pStyle w:val="ODNONIKtreodnonika"/>
      </w:pPr>
      <w:r w:rsidRPr="00A02B77">
        <w:rPr>
          <w:rStyle w:val="Odwoanieprzypisudolnego"/>
        </w:rPr>
        <w:footnoteRef/>
      </w:r>
      <w:r w:rsidRPr="00F6598B">
        <w:rPr>
          <w:vertAlign w:val="superscript"/>
        </w:rPr>
        <w:t>)</w:t>
      </w:r>
      <w:r>
        <w:rPr>
          <w:vertAlign w:val="superscript"/>
        </w:rPr>
        <w:tab/>
      </w:r>
      <w:r w:rsidRPr="00A02B77">
        <w:t xml:space="preserve">Zgodnie z art. 2 </w:t>
      </w:r>
      <w:r>
        <w:t>ust. 1</w:t>
      </w:r>
      <w:r w:rsidRPr="00A02B77">
        <w:t xml:space="preserve"> </w:t>
      </w:r>
      <w:r>
        <w:t>ustawy z 2016 r</w:t>
      </w:r>
      <w:r w:rsidRPr="00A02B77">
        <w:t>. przez informację sektora publicznego należy rozumieć każdą treść lub jej część, niezależnie od sposobu utrwalenia, w szczególności w postaci papierowej, elektronicznej, dźwiękowej, wizualnej lub audiowizualnej, będącą w posiadaniu podmiotów, o których mowa w art. 3 ustawy.</w:t>
      </w:r>
    </w:p>
  </w:footnote>
  <w:footnote w:id="13">
    <w:p w:rsidR="00510B18" w:rsidRDefault="00510B18" w:rsidP="005D3F15">
      <w:pPr>
        <w:pStyle w:val="ODNONIKtreodnonika"/>
      </w:pPr>
      <w:r w:rsidRPr="00A02B77">
        <w:rPr>
          <w:rStyle w:val="Odwoanieprzypisudolnego"/>
        </w:rPr>
        <w:footnoteRef/>
      </w:r>
      <w:r w:rsidRPr="00F6598B">
        <w:rPr>
          <w:vertAlign w:val="superscript"/>
        </w:rPr>
        <w:t>)</w:t>
      </w:r>
      <w:r>
        <w:rPr>
          <w:vertAlign w:val="superscript"/>
        </w:rPr>
        <w:tab/>
      </w:r>
      <w:r w:rsidRPr="00A02B77">
        <w:t>Art. 2 ust. 2 ustawy z 2016 r.</w:t>
      </w:r>
    </w:p>
  </w:footnote>
  <w:footnote w:id="14">
    <w:p w:rsidR="00510B18" w:rsidRPr="001C2767" w:rsidRDefault="00510B18" w:rsidP="000B27BA">
      <w:pPr>
        <w:pStyle w:val="Tekstprzypisudolnego"/>
        <w:spacing w:line="240" w:lineRule="auto"/>
        <w:ind w:left="284" w:hanging="284"/>
        <w:jc w:val="both"/>
        <w:rPr>
          <w:rFonts w:ascii="Times New Roman" w:hAnsi="Times New Roman"/>
          <w:sz w:val="20"/>
          <w:szCs w:val="20"/>
          <w:lang w:val="en-US"/>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lang w:val="en-US"/>
        </w:rPr>
        <w:t>)</w:t>
      </w:r>
      <w:r w:rsidRPr="001C2767">
        <w:rPr>
          <w:rFonts w:ascii="Times New Roman" w:hAnsi="Times New Roman"/>
          <w:sz w:val="20"/>
          <w:szCs w:val="20"/>
          <w:lang w:val="en-US"/>
        </w:rPr>
        <w:tab/>
      </w:r>
      <w:proofErr w:type="spellStart"/>
      <w:r w:rsidRPr="001C2767">
        <w:rPr>
          <w:rFonts w:ascii="Times New Roman" w:hAnsi="Times New Roman"/>
          <w:sz w:val="20"/>
          <w:szCs w:val="20"/>
          <w:lang w:val="en-US"/>
        </w:rPr>
        <w:t>Angielska</w:t>
      </w:r>
      <w:proofErr w:type="spellEnd"/>
      <w:r w:rsidRPr="001C2767">
        <w:rPr>
          <w:rFonts w:ascii="Times New Roman" w:hAnsi="Times New Roman"/>
          <w:sz w:val="20"/>
          <w:szCs w:val="20"/>
          <w:lang w:val="en-US"/>
        </w:rPr>
        <w:t xml:space="preserve"> </w:t>
      </w:r>
      <w:proofErr w:type="spellStart"/>
      <w:r w:rsidRPr="001C2767">
        <w:rPr>
          <w:rFonts w:ascii="Times New Roman" w:hAnsi="Times New Roman"/>
          <w:sz w:val="20"/>
          <w:szCs w:val="20"/>
          <w:lang w:val="en-US"/>
        </w:rPr>
        <w:t>wersja</w:t>
      </w:r>
      <w:proofErr w:type="spellEnd"/>
      <w:r w:rsidRPr="001C2767">
        <w:rPr>
          <w:rFonts w:ascii="Times New Roman" w:hAnsi="Times New Roman"/>
          <w:sz w:val="20"/>
          <w:szCs w:val="20"/>
          <w:lang w:val="en-US"/>
        </w:rPr>
        <w:t xml:space="preserve"> </w:t>
      </w:r>
      <w:proofErr w:type="spellStart"/>
      <w:r w:rsidRPr="001C2767">
        <w:rPr>
          <w:rFonts w:ascii="Times New Roman" w:hAnsi="Times New Roman"/>
          <w:sz w:val="20"/>
          <w:szCs w:val="20"/>
          <w:lang w:val="en-US"/>
        </w:rPr>
        <w:t>językowa</w:t>
      </w:r>
      <w:proofErr w:type="spellEnd"/>
      <w:r w:rsidRPr="001C2767">
        <w:rPr>
          <w:rFonts w:ascii="Times New Roman" w:hAnsi="Times New Roman"/>
          <w:sz w:val="20"/>
          <w:szCs w:val="20"/>
          <w:lang w:val="en-US"/>
        </w:rPr>
        <w:t>: ‘</w:t>
      </w:r>
      <w:proofErr w:type="spellStart"/>
      <w:r w:rsidRPr="001C2767">
        <w:rPr>
          <w:rFonts w:ascii="Times New Roman" w:hAnsi="Times New Roman"/>
          <w:sz w:val="20"/>
          <w:szCs w:val="20"/>
          <w:lang w:val="en-US"/>
        </w:rPr>
        <w:t>anonymisation</w:t>
      </w:r>
      <w:proofErr w:type="spellEnd"/>
      <w:r w:rsidRPr="001C2767">
        <w:rPr>
          <w:rFonts w:ascii="Times New Roman" w:hAnsi="Times New Roman"/>
          <w:sz w:val="20"/>
          <w:szCs w:val="20"/>
          <w:lang w:val="en-US"/>
        </w:rPr>
        <w:t>’ means the process of changing documents into anonymous documents which do not relate to an identified or identifiable natural person, or the process of rendering personal data anonymous in such a manner that the data subject is not or no longer identifiable.</w:t>
      </w:r>
    </w:p>
  </w:footnote>
  <w:footnote w:id="15">
    <w:p w:rsidR="00510B18" w:rsidRPr="007271B1" w:rsidRDefault="00510B18" w:rsidP="000B27BA">
      <w:pPr>
        <w:pStyle w:val="Tekstprzypisudolnego"/>
        <w:spacing w:line="240" w:lineRule="auto"/>
        <w:ind w:left="284" w:hanging="284"/>
        <w:rPr>
          <w:rFonts w:ascii="Times New Roman" w:hAnsi="Times New Roman"/>
          <w:sz w:val="20"/>
          <w:szCs w:val="20"/>
          <w:lang w:val="en-US"/>
        </w:rPr>
      </w:pPr>
      <w:r w:rsidRPr="006A6376">
        <w:rPr>
          <w:rStyle w:val="Odwoanieprzypisudolnego"/>
          <w:rFonts w:ascii="Times New Roman" w:hAnsi="Times New Roman"/>
          <w:sz w:val="20"/>
          <w:szCs w:val="20"/>
        </w:rPr>
        <w:footnoteRef/>
      </w:r>
      <w:r w:rsidRPr="006A6376">
        <w:rPr>
          <w:rFonts w:ascii="Times New Roman" w:hAnsi="Times New Roman"/>
          <w:sz w:val="20"/>
          <w:szCs w:val="20"/>
          <w:vertAlign w:val="superscript"/>
          <w:lang w:val="en-US"/>
        </w:rPr>
        <w:t>)</w:t>
      </w:r>
      <w:r w:rsidRPr="006A6376">
        <w:rPr>
          <w:rFonts w:ascii="Times New Roman" w:hAnsi="Times New Roman"/>
          <w:sz w:val="20"/>
          <w:szCs w:val="20"/>
          <w:lang w:val="en-US"/>
        </w:rPr>
        <w:tab/>
      </w:r>
      <w:r w:rsidRPr="001C2767">
        <w:t>https://dane.gov.pl/pl/knowledgebase/useful-materials/standardy-otwartosci-danych</w:t>
      </w:r>
      <w:r>
        <w:rPr>
          <w:rFonts w:ascii="Times New Roman" w:hAnsi="Times New Roman"/>
          <w:sz w:val="20"/>
          <w:szCs w:val="20"/>
          <w:lang w:val="en-US"/>
        </w:rPr>
        <w:t xml:space="preserve"> </w:t>
      </w:r>
    </w:p>
  </w:footnote>
  <w:footnote w:id="16">
    <w:p w:rsidR="00510B18" w:rsidRPr="001C2767" w:rsidRDefault="00510B18" w:rsidP="000B27BA">
      <w:pPr>
        <w:pStyle w:val="Tekstprzypisudolnego"/>
        <w:spacing w:line="240" w:lineRule="auto"/>
        <w:ind w:left="284" w:hanging="284"/>
        <w:rPr>
          <w:rFonts w:ascii="Times New Roman" w:hAnsi="Times New Roman"/>
          <w:sz w:val="20"/>
          <w:szCs w:val="20"/>
          <w:lang w:val="en-US"/>
        </w:rPr>
      </w:pPr>
      <w:r w:rsidRPr="006A6376">
        <w:rPr>
          <w:rStyle w:val="Odwoanieprzypisudolnego"/>
          <w:rFonts w:ascii="Times New Roman" w:hAnsi="Times New Roman"/>
          <w:sz w:val="20"/>
          <w:szCs w:val="20"/>
        </w:rPr>
        <w:footnoteRef/>
      </w:r>
      <w:r w:rsidRPr="006A6376">
        <w:rPr>
          <w:rFonts w:ascii="Times New Roman" w:hAnsi="Times New Roman"/>
          <w:sz w:val="20"/>
          <w:szCs w:val="20"/>
          <w:vertAlign w:val="superscript"/>
          <w:lang w:val="en-US"/>
        </w:rPr>
        <w:t>)</w:t>
      </w:r>
      <w:r w:rsidRPr="006A6376">
        <w:rPr>
          <w:rFonts w:ascii="Times New Roman" w:hAnsi="Times New Roman"/>
          <w:sz w:val="20"/>
          <w:szCs w:val="20"/>
          <w:lang w:val="en-US"/>
        </w:rPr>
        <w:tab/>
      </w:r>
      <w:hyperlink r:id="rId2" w:history="1">
        <w:r w:rsidRPr="000B27BA">
          <w:rPr>
            <w:rStyle w:val="Hipercze"/>
            <w:rFonts w:ascii="Times New Roman" w:hAnsi="Times New Roman"/>
            <w:color w:val="auto"/>
            <w:sz w:val="20"/>
            <w:szCs w:val="20"/>
            <w:u w:val="none"/>
            <w:lang w:val="en-US"/>
          </w:rPr>
          <w:t>https://ec.europa.eu/justice/article-29/documentation/opinion recommendation/index_en.htm</w:t>
        </w:r>
      </w:hyperlink>
      <w:r w:rsidRPr="001C2767">
        <w:rPr>
          <w:rFonts w:ascii="Times New Roman" w:hAnsi="Times New Roman"/>
          <w:sz w:val="20"/>
          <w:szCs w:val="20"/>
          <w:lang w:val="en-US"/>
        </w:rPr>
        <w:t xml:space="preserve"> </w:t>
      </w:r>
    </w:p>
  </w:footnote>
  <w:footnote w:id="17">
    <w:p w:rsidR="00510B18" w:rsidRPr="00BE3AFF" w:rsidRDefault="00510B18" w:rsidP="005D3F15">
      <w:pPr>
        <w:pStyle w:val="ODNONIKtreodnonika"/>
      </w:pPr>
      <w:r w:rsidRPr="00BE3AFF">
        <w:rPr>
          <w:rStyle w:val="Odwoanieprzypisudolnego"/>
        </w:rPr>
        <w:footnoteRef/>
      </w:r>
      <w:r w:rsidRPr="00F6598B">
        <w:rPr>
          <w:vertAlign w:val="superscript"/>
        </w:rPr>
        <w:t>)</w:t>
      </w:r>
      <w:r>
        <w:rPr>
          <w:vertAlign w:val="superscript"/>
        </w:rPr>
        <w:tab/>
      </w:r>
      <w:r w:rsidRPr="007271B1">
        <w:t xml:space="preserve">A. Piskorz-Ryń (praca zbiorowa), Ponowne wykorzystywanie informacji sektora publicznego, Ministerstwo Cyfryzacji, Warszawa 2016, s. 40, </w:t>
      </w:r>
      <w:hyperlink r:id="rId3" w:history="1">
        <w:r w:rsidRPr="007271B1">
          <w:rPr>
            <w:rStyle w:val="Hipercze"/>
            <w:color w:val="auto"/>
            <w:u w:val="none"/>
          </w:rPr>
          <w:t>https://www.gov.pl/web/cyfryzacja/udostepniamy-podrecznik-ponowne-wykorzystywanie-informacji-sektora-publicznego</w:t>
        </w:r>
      </w:hyperlink>
      <w:r w:rsidRPr="007271B1">
        <w:t xml:space="preserve"> (dostęp 03.04.2020 r.).</w:t>
      </w:r>
    </w:p>
  </w:footnote>
  <w:footnote w:id="18">
    <w:p w:rsidR="00510B18" w:rsidRPr="00A02B77" w:rsidRDefault="00510B18" w:rsidP="005D3F15">
      <w:pPr>
        <w:pStyle w:val="ODNONIKtreodnonika"/>
      </w:pPr>
      <w:r w:rsidRPr="00A02B77">
        <w:rPr>
          <w:rStyle w:val="Odwoanieprzypisudolnego"/>
        </w:rPr>
        <w:footnoteRef/>
      </w:r>
      <w:r w:rsidRPr="003D645B">
        <w:rPr>
          <w:vertAlign w:val="superscript"/>
        </w:rPr>
        <w:t>)</w:t>
      </w:r>
      <w:r>
        <w:tab/>
      </w:r>
      <w:r w:rsidRPr="00A02B77">
        <w:t>(Dz. Urz. UE L 94 z 28.03.2014, s</w:t>
      </w:r>
      <w:r>
        <w:t>tr</w:t>
      </w:r>
      <w:r w:rsidRPr="00A02B77">
        <w:t>. 243</w:t>
      </w:r>
      <w:r>
        <w:t xml:space="preserve">, z </w:t>
      </w:r>
      <w:proofErr w:type="spellStart"/>
      <w:r>
        <w:t>późn</w:t>
      </w:r>
      <w:proofErr w:type="spellEnd"/>
      <w:r>
        <w:t>. zm.</w:t>
      </w:r>
      <w:r w:rsidRPr="00A02B77">
        <w:t>)</w:t>
      </w:r>
      <w:r>
        <w:t>, zwana dalej „dyrektyw</w:t>
      </w:r>
      <w:r>
        <w:t>ą</w:t>
      </w:r>
      <w:r>
        <w:t xml:space="preserve"> </w:t>
      </w:r>
      <w:r w:rsidRPr="00117211">
        <w:rPr>
          <w:rFonts w:eastAsia="Times New Roman" w:cs="Times New Roman"/>
          <w:szCs w:val="24"/>
        </w:rPr>
        <w:t>2014/25/UE</w:t>
      </w:r>
      <w:r>
        <w:rPr>
          <w:rFonts w:eastAsia="Times New Roman" w:cs="Times New Roman"/>
          <w:szCs w:val="24"/>
        </w:rPr>
        <w:t>”</w:t>
      </w:r>
      <w:r w:rsidRPr="00A02B77">
        <w:t>.</w:t>
      </w:r>
    </w:p>
  </w:footnote>
  <w:footnote w:id="19">
    <w:p w:rsidR="00510B18" w:rsidRPr="00A02B77" w:rsidRDefault="00510B18" w:rsidP="005D3F15">
      <w:pPr>
        <w:pStyle w:val="ODNONIKtreodnonika"/>
      </w:pPr>
      <w:r w:rsidRPr="00A02B77">
        <w:rPr>
          <w:rStyle w:val="Odwoanieprzypisudolnego"/>
        </w:rPr>
        <w:footnoteRef/>
      </w:r>
      <w:r w:rsidRPr="003D645B">
        <w:rPr>
          <w:vertAlign w:val="superscript"/>
        </w:rPr>
        <w:t>)</w:t>
      </w:r>
      <w:r>
        <w:tab/>
      </w:r>
      <w:r w:rsidRPr="00A02B77">
        <w:t>(Dz. Urz. UE L 315 z 03.12.2007, s</w:t>
      </w:r>
      <w:r>
        <w:t>tr</w:t>
      </w:r>
      <w:r w:rsidRPr="00A02B77">
        <w:t>. 1</w:t>
      </w:r>
      <w:r>
        <w:t xml:space="preserve">, z </w:t>
      </w:r>
      <w:proofErr w:type="spellStart"/>
      <w:r>
        <w:t>późn</w:t>
      </w:r>
      <w:proofErr w:type="spellEnd"/>
      <w:r>
        <w:t>. zm.</w:t>
      </w:r>
      <w:r w:rsidRPr="00A02B77">
        <w:t>)</w:t>
      </w:r>
      <w:r>
        <w:t xml:space="preserve">, zwane dalej „rozporządzeniem </w:t>
      </w:r>
      <w:r w:rsidRPr="00744574">
        <w:rPr>
          <w:rFonts w:eastAsia="Calibri" w:cs="Times New Roman"/>
          <w:szCs w:val="24"/>
          <w:lang w:eastAsia="en-US"/>
        </w:rPr>
        <w:t>(WE) nr 1370/2007</w:t>
      </w:r>
      <w:r>
        <w:rPr>
          <w:rFonts w:eastAsia="Calibri" w:cs="Times New Roman"/>
          <w:szCs w:val="24"/>
          <w:lang w:eastAsia="en-US"/>
        </w:rPr>
        <w:t>”</w:t>
      </w:r>
      <w:r>
        <w:t>.</w:t>
      </w:r>
    </w:p>
  </w:footnote>
  <w:footnote w:id="20">
    <w:p w:rsidR="00510B18" w:rsidRPr="00A02B77" w:rsidRDefault="00510B18" w:rsidP="005D3F15">
      <w:pPr>
        <w:pStyle w:val="ODNONIKtreodnonika"/>
      </w:pPr>
      <w:r w:rsidRPr="00A02B77">
        <w:rPr>
          <w:rStyle w:val="Odwoanieprzypisudolnego"/>
        </w:rPr>
        <w:footnoteRef/>
      </w:r>
      <w:r w:rsidRPr="003D645B">
        <w:rPr>
          <w:vertAlign w:val="superscript"/>
        </w:rPr>
        <w:t>)</w:t>
      </w:r>
      <w:r>
        <w:tab/>
      </w:r>
      <w:r w:rsidRPr="00A02B77">
        <w:t>(Dz. Urz. UE L 293 z 31.10.2008, s</w:t>
      </w:r>
      <w:r>
        <w:t>tr</w:t>
      </w:r>
      <w:r w:rsidRPr="00A02B77">
        <w:t>. 3</w:t>
      </w:r>
      <w:r>
        <w:t xml:space="preserve">, z </w:t>
      </w:r>
      <w:proofErr w:type="spellStart"/>
      <w:r>
        <w:t>późn</w:t>
      </w:r>
      <w:proofErr w:type="spellEnd"/>
      <w:r>
        <w:t>. zm.</w:t>
      </w:r>
      <w:r w:rsidRPr="00A02B77">
        <w:t>)</w:t>
      </w:r>
      <w:r>
        <w:t xml:space="preserve">, zwane dalej „rozporządzeniem (WE) </w:t>
      </w:r>
      <w:r w:rsidRPr="00744574">
        <w:rPr>
          <w:rFonts w:eastAsia="Calibri" w:cs="Times New Roman"/>
          <w:szCs w:val="24"/>
          <w:lang w:eastAsia="en-US"/>
        </w:rPr>
        <w:t>nr 1008/2008</w:t>
      </w:r>
      <w:r>
        <w:rPr>
          <w:rFonts w:eastAsia="Calibri" w:cs="Times New Roman"/>
          <w:szCs w:val="24"/>
          <w:lang w:eastAsia="en-US"/>
        </w:rPr>
        <w:t>”.</w:t>
      </w:r>
    </w:p>
  </w:footnote>
  <w:footnote w:id="21">
    <w:p w:rsidR="00510B18" w:rsidRPr="00A02B77" w:rsidRDefault="00510B18" w:rsidP="005D3F15">
      <w:pPr>
        <w:pStyle w:val="ODNONIKtreodnonika"/>
      </w:pPr>
      <w:r w:rsidRPr="00A02B77">
        <w:rPr>
          <w:rStyle w:val="Odwoanieprzypisudolnego"/>
        </w:rPr>
        <w:footnoteRef/>
      </w:r>
      <w:r w:rsidRPr="003D645B">
        <w:rPr>
          <w:vertAlign w:val="superscript"/>
        </w:rPr>
        <w:t>)</w:t>
      </w:r>
      <w:r>
        <w:tab/>
      </w:r>
      <w:r w:rsidRPr="00A02B77">
        <w:t xml:space="preserve">(Dz. Urz. </w:t>
      </w:r>
      <w:r>
        <w:t>WE</w:t>
      </w:r>
      <w:r w:rsidRPr="00A02B77">
        <w:t xml:space="preserve"> L 364 z 12.12.1992, s</w:t>
      </w:r>
      <w:r>
        <w:t>tr</w:t>
      </w:r>
      <w:r w:rsidRPr="00A02B77">
        <w:t>. 7</w:t>
      </w:r>
      <w:r>
        <w:t xml:space="preserve">, z </w:t>
      </w:r>
      <w:proofErr w:type="spellStart"/>
      <w:r>
        <w:t>późn</w:t>
      </w:r>
      <w:proofErr w:type="spellEnd"/>
      <w:r>
        <w:t xml:space="preserve">. zm.; </w:t>
      </w:r>
      <w:r w:rsidRPr="003E760C">
        <w:t>Dz. Urz. UE Polskie wydanie sp</w:t>
      </w:r>
      <w:r>
        <w:t>ecjalne rozdz. 6, t. 2, str. 10</w:t>
      </w:r>
      <w:r w:rsidRPr="00A02B77">
        <w:t>)</w:t>
      </w:r>
      <w:r>
        <w:t>, zwane dalej „</w:t>
      </w:r>
      <w:r w:rsidRPr="00744574">
        <w:rPr>
          <w:rFonts w:eastAsia="Calibri" w:cs="Times New Roman"/>
          <w:szCs w:val="24"/>
          <w:lang w:eastAsia="en-US"/>
        </w:rPr>
        <w:t>rozporządzenia Rady (EWG) nr 3577/92</w:t>
      </w:r>
      <w:r>
        <w:rPr>
          <w:rFonts w:eastAsia="Calibri" w:cs="Times New Roman"/>
          <w:szCs w:val="24"/>
          <w:lang w:eastAsia="en-US"/>
        </w:rPr>
        <w:t>”.</w:t>
      </w:r>
    </w:p>
  </w:footnote>
  <w:footnote w:id="22">
    <w:p w:rsidR="00510B18" w:rsidRDefault="00510B18" w:rsidP="005D3F15">
      <w:pPr>
        <w:pStyle w:val="ODNONIKtreodnonika"/>
      </w:pPr>
      <w:r w:rsidRPr="00A02B77">
        <w:rPr>
          <w:rStyle w:val="Odwoanieprzypisudolnego"/>
        </w:rPr>
        <w:footnoteRef/>
      </w:r>
      <w:r w:rsidRPr="003D645B">
        <w:rPr>
          <w:vertAlign w:val="superscript"/>
        </w:rPr>
        <w:t>)</w:t>
      </w:r>
      <w:r>
        <w:tab/>
      </w:r>
      <w:r w:rsidRPr="00A02B77">
        <w:t xml:space="preserve">(Dz. U.  poz. 2019, z </w:t>
      </w:r>
      <w:proofErr w:type="spellStart"/>
      <w:r w:rsidRPr="00A02B77">
        <w:t>późn</w:t>
      </w:r>
      <w:proofErr w:type="spellEnd"/>
      <w:r w:rsidRPr="00A02B77">
        <w:t>. zm.), zwana dalej</w:t>
      </w:r>
      <w:r>
        <w:t xml:space="preserve"> </w:t>
      </w:r>
      <w:r w:rsidRPr="00A02B77">
        <w:t>: „ustaw</w:t>
      </w:r>
      <w:r>
        <w:t>ą</w:t>
      </w:r>
      <w:r w:rsidRPr="00A02B77">
        <w:t xml:space="preserve"> – Prawo zamówień publicznych</w:t>
      </w:r>
      <w:r>
        <w:t>”.</w:t>
      </w:r>
    </w:p>
  </w:footnote>
  <w:footnote w:id="23">
    <w:p w:rsidR="00510B18" w:rsidRPr="001C2767" w:rsidRDefault="00510B18" w:rsidP="000B27BA">
      <w:pPr>
        <w:pStyle w:val="Tekstprzypisudolnego"/>
        <w:ind w:left="284" w:hanging="284"/>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r>
      <w:hyperlink r:id="rId4" w:history="1">
        <w:r w:rsidRPr="001C2767">
          <w:rPr>
            <w:rStyle w:val="Hipercze"/>
            <w:rFonts w:ascii="Times New Roman" w:hAnsi="Times New Roman"/>
            <w:color w:val="auto"/>
            <w:sz w:val="20"/>
            <w:szCs w:val="20"/>
            <w:u w:val="none"/>
          </w:rPr>
          <w:t>https://polon.nauka.gov.pl/opi/aa/rejestry/nauka?execution=e1s1</w:t>
        </w:r>
      </w:hyperlink>
      <w:r w:rsidRPr="001C2767">
        <w:rPr>
          <w:rFonts w:ascii="Times New Roman" w:hAnsi="Times New Roman"/>
          <w:sz w:val="20"/>
          <w:szCs w:val="20"/>
        </w:rPr>
        <w:t xml:space="preserve"> </w:t>
      </w:r>
    </w:p>
  </w:footnote>
  <w:footnote w:id="24">
    <w:p w:rsidR="00510B18" w:rsidRPr="001C2767" w:rsidRDefault="00510B18" w:rsidP="005D3F15">
      <w:pPr>
        <w:pStyle w:val="Tekstprzypisudolnego"/>
        <w:spacing w:line="240" w:lineRule="auto"/>
        <w:ind w:left="284" w:hanging="284"/>
        <w:jc w:val="both"/>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t>Prawa własności przemysłowej w rozumieniu przepisów ustawy z dnia 30 czerwca 2000 r. – Prawo własności przemysłowej (Dz. U. z 2021 r. poz. 324).</w:t>
      </w:r>
    </w:p>
  </w:footnote>
  <w:footnote w:id="25">
    <w:p w:rsidR="00510B18" w:rsidRPr="001C2767" w:rsidRDefault="00510B18" w:rsidP="005D3F15">
      <w:pPr>
        <w:pStyle w:val="ODNONIKtreodnonika"/>
        <w:rPr>
          <w:rFonts w:cs="Times New Roman"/>
        </w:rPr>
      </w:pPr>
      <w:r w:rsidRPr="006A6376">
        <w:rPr>
          <w:rStyle w:val="Odwoanieprzypisudolnego"/>
        </w:rPr>
        <w:footnoteRef/>
      </w:r>
      <w:r w:rsidRPr="006A6376">
        <w:rPr>
          <w:rFonts w:cs="Times New Roman"/>
          <w:vertAlign w:val="superscript"/>
        </w:rPr>
        <w:t>)</w:t>
      </w:r>
      <w:r w:rsidRPr="006A6376">
        <w:rPr>
          <w:rFonts w:cs="Times New Roman"/>
        </w:rPr>
        <w:tab/>
      </w:r>
      <w:r w:rsidRPr="008C03BA">
        <w:rPr>
          <w:rFonts w:cs="Times New Roman"/>
        </w:rPr>
        <w:t>Prawa autorskie i prawa pokrewne w rozumieniu przepisów ustawy z dnia 4 lutego 1994 r. o prawie autorskim i prawach pokrewnych (Dz. U. z 20</w:t>
      </w:r>
      <w:r w:rsidR="00C81963">
        <w:rPr>
          <w:rFonts w:cs="Times New Roman"/>
        </w:rPr>
        <w:t>21</w:t>
      </w:r>
      <w:r w:rsidRPr="008C03BA">
        <w:rPr>
          <w:rFonts w:cs="Times New Roman"/>
        </w:rPr>
        <w:t xml:space="preserve"> r. poz.</w:t>
      </w:r>
      <w:r w:rsidR="00C81963">
        <w:rPr>
          <w:rFonts w:cs="Times New Roman"/>
        </w:rPr>
        <w:t xml:space="preserve"> 1062</w:t>
      </w:r>
      <w:r w:rsidRPr="008C03BA">
        <w:rPr>
          <w:rFonts w:cs="Times New Roman"/>
        </w:rPr>
        <w:t>).</w:t>
      </w:r>
    </w:p>
  </w:footnote>
  <w:footnote w:id="26">
    <w:p w:rsidR="00510B18" w:rsidRPr="001C2767" w:rsidRDefault="00510B18" w:rsidP="005D3F15">
      <w:pPr>
        <w:pStyle w:val="ODNONIKtreodnonika"/>
        <w:rPr>
          <w:rFonts w:cs="Times New Roman"/>
        </w:rPr>
      </w:pPr>
      <w:r w:rsidRPr="006A6376">
        <w:rPr>
          <w:rStyle w:val="Odwoanieprzypisudolnego"/>
        </w:rPr>
        <w:footnoteRef/>
      </w:r>
      <w:r w:rsidRPr="006A6376">
        <w:rPr>
          <w:rFonts w:cs="Times New Roman"/>
          <w:vertAlign w:val="superscript"/>
        </w:rPr>
        <w:t>)</w:t>
      </w:r>
      <w:r w:rsidRPr="006A6376">
        <w:rPr>
          <w:rFonts w:cs="Times New Roman"/>
        </w:rPr>
        <w:tab/>
      </w:r>
      <w:r w:rsidRPr="008C03BA">
        <w:rPr>
          <w:rFonts w:cs="Times New Roman"/>
        </w:rPr>
        <w:t>Prawa do baz danych w rozumieniu prz</w:t>
      </w:r>
      <w:r w:rsidRPr="001C2767">
        <w:rPr>
          <w:rFonts w:cs="Times New Roman"/>
        </w:rPr>
        <w:t>episów ustawy z dnia 27 lipca 2001 r. o ochronie baz danych (Dz. U. z 2021 r. poz. 386).</w:t>
      </w:r>
    </w:p>
  </w:footnote>
  <w:footnote w:id="27">
    <w:p w:rsidR="00510B18" w:rsidRPr="001C2767" w:rsidRDefault="00510B18" w:rsidP="005D3F15">
      <w:pPr>
        <w:pStyle w:val="ODNONIKtreodnonika"/>
        <w:rPr>
          <w:rFonts w:cs="Times New Roman"/>
        </w:rPr>
      </w:pPr>
      <w:r w:rsidRPr="006A6376">
        <w:rPr>
          <w:rStyle w:val="Odwoanieprzypisudolnego"/>
        </w:rPr>
        <w:footnoteRef/>
      </w:r>
      <w:r w:rsidRPr="006A6376">
        <w:rPr>
          <w:rFonts w:cs="Times New Roman"/>
          <w:vertAlign w:val="superscript"/>
        </w:rPr>
        <w:t>)</w:t>
      </w:r>
      <w:r w:rsidRPr="006A6376">
        <w:rPr>
          <w:rFonts w:cs="Times New Roman"/>
          <w:vertAlign w:val="superscript"/>
        </w:rPr>
        <w:tab/>
      </w:r>
      <w:r w:rsidRPr="008C03BA">
        <w:rPr>
          <w:rFonts w:cs="Times New Roman"/>
        </w:rPr>
        <w:t>Prawa do odmian roślin w rozumieniu przepisów ustawy z dnia 26 czerwca 2003 r. o ochronie prawnej odmian roślin (Dz. U. z 2021 r. poz. 213).</w:t>
      </w:r>
    </w:p>
  </w:footnote>
  <w:footnote w:id="28">
    <w:p w:rsidR="00510B18" w:rsidRPr="0078646F" w:rsidRDefault="00510B18" w:rsidP="005D3F15">
      <w:pPr>
        <w:pStyle w:val="Tekstprzypisudolnego"/>
        <w:spacing w:line="240" w:lineRule="auto"/>
        <w:ind w:left="284" w:hanging="284"/>
        <w:jc w:val="both"/>
        <w:rPr>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t>Jednostek organizacyjnych, o których mowa w art. 22 ust. 1 pkt 1 i ust. 2 ustawy z dnia 14 lipca 1983 r. o narodowym zasobie archiwalnym i archiwach (Dz. U. z 2020 r. poz. 164), a także jednostek organizacyjnych będących archiwami wyodrębnionymi albo prowadzącymi archiwa wyodrębnione, o których mowa w art. 22 ust. 1 pkt 2 tej ustawy, zwanych dalej „archiwami” – w odniesieniu do działalności archiwalnej w zakresie państwowego zasobu archiwalnego.</w:t>
      </w:r>
    </w:p>
  </w:footnote>
  <w:footnote w:id="29">
    <w:p w:rsidR="00510B18" w:rsidRPr="00A02B77" w:rsidRDefault="00510B18" w:rsidP="005D3F15">
      <w:pPr>
        <w:pStyle w:val="ODNONIKtreodnonika"/>
      </w:pPr>
      <w:r w:rsidRPr="00A02B77">
        <w:rPr>
          <w:rStyle w:val="Odwoanieprzypisudolnego"/>
        </w:rPr>
        <w:footnoteRef/>
      </w:r>
      <w:r w:rsidRPr="005E762E">
        <w:rPr>
          <w:vertAlign w:val="superscript"/>
        </w:rPr>
        <w:t>)</w:t>
      </w:r>
      <w:r>
        <w:tab/>
      </w:r>
      <w:r w:rsidRPr="00A02B77">
        <w:t xml:space="preserve">(Dz. Urz. UE L 345 z 23.12.2008, str. 75). </w:t>
      </w:r>
    </w:p>
  </w:footnote>
  <w:footnote w:id="30">
    <w:p w:rsidR="00510B18" w:rsidRPr="001C2767" w:rsidRDefault="00510B18" w:rsidP="000B27BA">
      <w:pPr>
        <w:pStyle w:val="Tekstprzypisudolnego"/>
        <w:ind w:left="284" w:hanging="284"/>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t xml:space="preserve">(Dz. U. 2020 r. poz. 1740, z </w:t>
      </w:r>
      <w:proofErr w:type="spellStart"/>
      <w:r w:rsidRPr="001C2767">
        <w:rPr>
          <w:rFonts w:ascii="Times New Roman" w:hAnsi="Times New Roman"/>
          <w:sz w:val="20"/>
          <w:szCs w:val="20"/>
        </w:rPr>
        <w:t>późn</w:t>
      </w:r>
      <w:proofErr w:type="spellEnd"/>
      <w:r w:rsidRPr="001C2767">
        <w:rPr>
          <w:rFonts w:ascii="Times New Roman" w:hAnsi="Times New Roman"/>
          <w:sz w:val="20"/>
          <w:szCs w:val="20"/>
        </w:rPr>
        <w:t>. zm.), zwana dalej  „Kodeks</w:t>
      </w:r>
      <w:r w:rsidR="00C81963">
        <w:rPr>
          <w:rFonts w:ascii="Times New Roman" w:hAnsi="Times New Roman"/>
          <w:sz w:val="20"/>
          <w:szCs w:val="20"/>
        </w:rPr>
        <w:t>em</w:t>
      </w:r>
      <w:r w:rsidRPr="001C2767">
        <w:rPr>
          <w:rFonts w:ascii="Times New Roman" w:hAnsi="Times New Roman"/>
          <w:sz w:val="20"/>
          <w:szCs w:val="20"/>
        </w:rPr>
        <w:t xml:space="preserve"> cywilny</w:t>
      </w:r>
      <w:r w:rsidR="00C81963">
        <w:rPr>
          <w:rFonts w:ascii="Times New Roman" w:hAnsi="Times New Roman"/>
          <w:sz w:val="20"/>
          <w:szCs w:val="20"/>
        </w:rPr>
        <w:t>m</w:t>
      </w:r>
      <w:r w:rsidRPr="001C2767">
        <w:rPr>
          <w:rFonts w:ascii="Times New Roman" w:hAnsi="Times New Roman"/>
          <w:sz w:val="20"/>
          <w:szCs w:val="20"/>
        </w:rPr>
        <w:t>” lub „k.c.”.</w:t>
      </w:r>
    </w:p>
  </w:footnote>
  <w:footnote w:id="31">
    <w:p w:rsidR="00510B18" w:rsidRPr="001C2767" w:rsidRDefault="00510B18" w:rsidP="000B27BA">
      <w:pPr>
        <w:pStyle w:val="Tekstprzypisudolnego"/>
        <w:ind w:left="284" w:hanging="284"/>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t>(Dz. U. z 202</w:t>
      </w:r>
      <w:r w:rsidR="00F64B8F">
        <w:rPr>
          <w:rFonts w:ascii="Times New Roman" w:hAnsi="Times New Roman"/>
          <w:sz w:val="20"/>
          <w:szCs w:val="20"/>
        </w:rPr>
        <w:t>1</w:t>
      </w:r>
      <w:r w:rsidRPr="001C2767">
        <w:rPr>
          <w:rFonts w:ascii="Times New Roman" w:hAnsi="Times New Roman"/>
          <w:sz w:val="20"/>
          <w:szCs w:val="20"/>
        </w:rPr>
        <w:t xml:space="preserve"> r. poz. </w:t>
      </w:r>
      <w:r w:rsidR="00F64B8F">
        <w:rPr>
          <w:rFonts w:ascii="Times New Roman" w:hAnsi="Times New Roman"/>
          <w:sz w:val="20"/>
          <w:szCs w:val="20"/>
        </w:rPr>
        <w:t>670</w:t>
      </w:r>
      <w:r w:rsidRPr="001C2767">
        <w:rPr>
          <w:rFonts w:ascii="Times New Roman" w:hAnsi="Times New Roman"/>
          <w:sz w:val="20"/>
          <w:szCs w:val="20"/>
        </w:rPr>
        <w:t xml:space="preserve">, z </w:t>
      </w:r>
      <w:proofErr w:type="spellStart"/>
      <w:r w:rsidRPr="001C2767">
        <w:rPr>
          <w:rFonts w:ascii="Times New Roman" w:hAnsi="Times New Roman"/>
          <w:sz w:val="20"/>
          <w:szCs w:val="20"/>
        </w:rPr>
        <w:t>późn</w:t>
      </w:r>
      <w:proofErr w:type="spellEnd"/>
      <w:r w:rsidRPr="001C2767">
        <w:rPr>
          <w:rFonts w:ascii="Times New Roman" w:hAnsi="Times New Roman"/>
          <w:sz w:val="20"/>
          <w:szCs w:val="20"/>
        </w:rPr>
        <w:t>. zm.).</w:t>
      </w:r>
    </w:p>
  </w:footnote>
  <w:footnote w:id="32">
    <w:p w:rsidR="00510B18" w:rsidRPr="001C2767" w:rsidRDefault="00510B18" w:rsidP="000B27BA">
      <w:pPr>
        <w:pStyle w:val="Tekstprzypisudolnego"/>
        <w:spacing w:line="240" w:lineRule="auto"/>
        <w:ind w:left="284" w:hanging="284"/>
        <w:jc w:val="both"/>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sidRPr="001C2767">
        <w:rPr>
          <w:rFonts w:ascii="Times New Roman" w:hAnsi="Times New Roman"/>
          <w:sz w:val="20"/>
          <w:szCs w:val="20"/>
        </w:rPr>
        <w:tab/>
        <w:t>W omawianym zakresie art. 15 projektu ustawy jest co do zasady tożsamy z art. 14 ustawy z dnia 25 lutego 2016 r. o ponownym wykorzystywaniu informacji sektora publicznego (Dz. U. z 2019 r. poz. 1446).</w:t>
      </w:r>
    </w:p>
  </w:footnote>
  <w:footnote w:id="33">
    <w:p w:rsidR="00510B18" w:rsidRPr="001C2767" w:rsidRDefault="00510B18" w:rsidP="000B27BA">
      <w:pPr>
        <w:pStyle w:val="Tekstprzypisudolnego"/>
        <w:spacing w:line="240" w:lineRule="auto"/>
        <w:ind w:left="284" w:hanging="284"/>
        <w:jc w:val="both"/>
        <w:rPr>
          <w:rFonts w:ascii="Times New Roman" w:hAnsi="Times New Roman"/>
          <w:sz w:val="20"/>
          <w:szCs w:val="20"/>
        </w:rPr>
      </w:pPr>
      <w:r w:rsidRPr="001C2767">
        <w:rPr>
          <w:rStyle w:val="Odwoanieprzypisudolnego"/>
          <w:rFonts w:ascii="Times New Roman" w:hAnsi="Times New Roman"/>
          <w:sz w:val="20"/>
          <w:szCs w:val="20"/>
        </w:rPr>
        <w:footnoteRef/>
      </w:r>
      <w:r w:rsidRPr="001C2767">
        <w:rPr>
          <w:rFonts w:ascii="Times New Roman" w:hAnsi="Times New Roman"/>
          <w:sz w:val="20"/>
          <w:szCs w:val="20"/>
          <w:vertAlign w:val="superscript"/>
        </w:rPr>
        <w:t>)</w:t>
      </w:r>
      <w:r>
        <w:rPr>
          <w:rFonts w:ascii="Times New Roman" w:hAnsi="Times New Roman"/>
          <w:sz w:val="20"/>
          <w:szCs w:val="20"/>
        </w:rPr>
        <w:tab/>
      </w:r>
      <w:r w:rsidRPr="001C2767">
        <w:rPr>
          <w:rFonts w:ascii="Times New Roman" w:hAnsi="Times New Roman"/>
          <w:sz w:val="20"/>
          <w:szCs w:val="20"/>
        </w:rPr>
        <w:t xml:space="preserve">Np. standard technicznych i standard API, </w:t>
      </w:r>
      <w:hyperlink r:id="rId5" w:history="1">
        <w:r w:rsidRPr="001C2767">
          <w:rPr>
            <w:rStyle w:val="Hipercze"/>
            <w:rFonts w:ascii="Times New Roman" w:hAnsi="Times New Roman"/>
            <w:color w:val="auto"/>
            <w:sz w:val="20"/>
            <w:szCs w:val="20"/>
            <w:u w:val="none"/>
          </w:rPr>
          <w:t xml:space="preserve">https://dane.gov.pl/pl/knowledgebase/useful-materials/standardy- </w:t>
        </w:r>
        <w:proofErr w:type="spellStart"/>
        <w:r w:rsidRPr="001C2767">
          <w:rPr>
            <w:rStyle w:val="Hipercze"/>
            <w:rFonts w:ascii="Times New Roman" w:hAnsi="Times New Roman"/>
            <w:color w:val="auto"/>
            <w:sz w:val="20"/>
            <w:szCs w:val="20"/>
            <w:u w:val="none"/>
          </w:rPr>
          <w:t>otwartosci-danych</w:t>
        </w:r>
        <w:proofErr w:type="spellEnd"/>
      </w:hyperlink>
      <w:r w:rsidRPr="001C2767">
        <w:rPr>
          <w:rFonts w:ascii="Times New Roman" w:hAnsi="Times New Roman"/>
          <w:sz w:val="20"/>
          <w:szCs w:val="20"/>
        </w:rPr>
        <w:t xml:space="preserve"> </w:t>
      </w:r>
    </w:p>
  </w:footnote>
  <w:footnote w:id="34">
    <w:p w:rsidR="00510B18" w:rsidRPr="006A6376" w:rsidRDefault="00510B18" w:rsidP="000B27BA">
      <w:pPr>
        <w:pStyle w:val="Tekstprzypisudolnego"/>
        <w:spacing w:line="240" w:lineRule="auto"/>
        <w:ind w:left="284" w:hanging="284"/>
        <w:jc w:val="both"/>
        <w:rPr>
          <w:rFonts w:ascii="Times New Roman" w:hAnsi="Times New Roman"/>
          <w:sz w:val="20"/>
          <w:szCs w:val="20"/>
          <w:lang w:val="en-US"/>
        </w:rPr>
      </w:pPr>
      <w:r w:rsidRPr="006A6376">
        <w:rPr>
          <w:rStyle w:val="Odwoanieprzypisudolnego"/>
          <w:rFonts w:ascii="Times New Roman" w:hAnsi="Times New Roman"/>
          <w:sz w:val="20"/>
          <w:szCs w:val="20"/>
        </w:rPr>
        <w:footnoteRef/>
      </w:r>
      <w:r w:rsidRPr="006A6376">
        <w:rPr>
          <w:rFonts w:ascii="Times New Roman" w:hAnsi="Times New Roman"/>
          <w:sz w:val="20"/>
          <w:szCs w:val="20"/>
          <w:vertAlign w:val="superscript"/>
        </w:rPr>
        <w:t>)</w:t>
      </w:r>
      <w:r w:rsidRPr="006A6376">
        <w:rPr>
          <w:rFonts w:ascii="Times New Roman" w:hAnsi="Times New Roman"/>
          <w:sz w:val="20"/>
          <w:szCs w:val="20"/>
        </w:rPr>
        <w:tab/>
        <w:t xml:space="preserve">Obwieszczenie Komisji „Wytyczne sprawie zalecanych licencji standardowych, zbiorów danych i opłat za ponowne wykorzystanie dokumentów” 2014/C 240/01, Dz. Urz. </w:t>
      </w:r>
      <w:r w:rsidRPr="000B27BA">
        <w:rPr>
          <w:rFonts w:ascii="Times New Roman" w:hAnsi="Times New Roman"/>
          <w:sz w:val="20"/>
          <w:szCs w:val="20"/>
          <w:lang w:val="en-US"/>
        </w:rPr>
        <w:t xml:space="preserve">UE C 240 z 24.07.2014, str. 1; </w:t>
      </w:r>
      <w:hyperlink r:id="rId6" w:history="1">
        <w:r w:rsidRPr="000B27BA">
          <w:rPr>
            <w:rStyle w:val="Hipercze"/>
            <w:rFonts w:ascii="Times New Roman" w:hAnsi="Times New Roman"/>
            <w:color w:val="auto"/>
            <w:sz w:val="20"/>
            <w:szCs w:val="20"/>
            <w:u w:val="none"/>
            <w:lang w:val="en-US"/>
          </w:rPr>
          <w:t>https://eur-lex.europa.eu/legal content/PL/TXT/?</w:t>
        </w:r>
        <w:proofErr w:type="spellStart"/>
        <w:r w:rsidRPr="000B27BA">
          <w:rPr>
            <w:rStyle w:val="Hipercze"/>
            <w:rFonts w:ascii="Times New Roman" w:hAnsi="Times New Roman"/>
            <w:color w:val="auto"/>
            <w:sz w:val="20"/>
            <w:szCs w:val="20"/>
            <w:u w:val="none"/>
            <w:lang w:val="en-US"/>
          </w:rPr>
          <w:t>uri</w:t>
        </w:r>
        <w:proofErr w:type="spellEnd"/>
        <w:r w:rsidRPr="000B27BA">
          <w:rPr>
            <w:rStyle w:val="Hipercze"/>
            <w:rFonts w:ascii="Times New Roman" w:hAnsi="Times New Roman"/>
            <w:color w:val="auto"/>
            <w:sz w:val="20"/>
            <w:szCs w:val="20"/>
            <w:u w:val="none"/>
            <w:lang w:val="en-US"/>
          </w:rPr>
          <w:t>=CELEX%3A52014XC0724%2801%29</w:t>
        </w:r>
      </w:hyperlink>
      <w:r w:rsidRPr="006A6376">
        <w:rPr>
          <w:rFonts w:ascii="Times New Roman" w:hAnsi="Times New Roman"/>
          <w:sz w:val="20"/>
          <w:szCs w:val="20"/>
          <w:lang w:val="en-US"/>
        </w:rPr>
        <w:t>.</w:t>
      </w:r>
    </w:p>
  </w:footnote>
  <w:footnote w:id="35">
    <w:p w:rsidR="00510B18" w:rsidRPr="006A6376" w:rsidRDefault="00510B18" w:rsidP="000B27BA">
      <w:pPr>
        <w:pStyle w:val="Tekstprzypisudolnego"/>
        <w:spacing w:line="240" w:lineRule="auto"/>
        <w:ind w:left="284" w:hanging="284"/>
        <w:rPr>
          <w:rFonts w:ascii="Times New Roman" w:hAnsi="Times New Roman"/>
          <w:sz w:val="20"/>
          <w:szCs w:val="20"/>
          <w:lang w:val="en-US"/>
        </w:rPr>
      </w:pPr>
      <w:r w:rsidRPr="006A6376">
        <w:rPr>
          <w:rStyle w:val="Odwoanieprzypisudolnego"/>
          <w:rFonts w:ascii="Times New Roman" w:hAnsi="Times New Roman"/>
          <w:sz w:val="20"/>
          <w:szCs w:val="20"/>
        </w:rPr>
        <w:footnoteRef/>
      </w:r>
      <w:r w:rsidRPr="006A6376">
        <w:rPr>
          <w:rFonts w:ascii="Times New Roman" w:hAnsi="Times New Roman"/>
          <w:sz w:val="20"/>
          <w:szCs w:val="20"/>
          <w:vertAlign w:val="superscript"/>
          <w:lang w:val="en-US"/>
        </w:rPr>
        <w:t>)</w:t>
      </w:r>
      <w:r w:rsidRPr="006A6376">
        <w:rPr>
          <w:rFonts w:ascii="Times New Roman" w:hAnsi="Times New Roman"/>
          <w:sz w:val="20"/>
          <w:szCs w:val="20"/>
          <w:lang w:val="en-US"/>
        </w:rPr>
        <w:tab/>
      </w:r>
      <w:hyperlink r:id="rId7" w:history="1">
        <w:r w:rsidRPr="000B27BA">
          <w:rPr>
            <w:rStyle w:val="Hipercze"/>
            <w:rFonts w:ascii="Times New Roman" w:hAnsi="Times New Roman"/>
            <w:color w:val="auto"/>
            <w:sz w:val="20"/>
            <w:szCs w:val="20"/>
            <w:u w:val="none"/>
            <w:lang w:val="en-US"/>
          </w:rPr>
          <w:t>http://opendefinition.org/</w:t>
        </w:r>
      </w:hyperlink>
    </w:p>
  </w:footnote>
  <w:footnote w:id="36">
    <w:p w:rsidR="00510B18" w:rsidRPr="009914EF" w:rsidRDefault="00510B18" w:rsidP="000B27BA">
      <w:pPr>
        <w:pStyle w:val="Tekstprzypisudolnego"/>
        <w:spacing w:line="240" w:lineRule="auto"/>
        <w:ind w:left="284" w:hanging="284"/>
        <w:rPr>
          <w:rFonts w:ascii="Times New Roman" w:hAnsi="Times New Roman"/>
          <w:sz w:val="20"/>
          <w:szCs w:val="20"/>
          <w:lang w:val="en-US"/>
        </w:rPr>
      </w:pPr>
      <w:r w:rsidRPr="006A6376">
        <w:rPr>
          <w:rStyle w:val="Odwoanieprzypisudolnego"/>
          <w:rFonts w:ascii="Times New Roman" w:hAnsi="Times New Roman"/>
          <w:sz w:val="20"/>
          <w:szCs w:val="20"/>
        </w:rPr>
        <w:footnoteRef/>
      </w:r>
      <w:r w:rsidRPr="006A6376">
        <w:rPr>
          <w:rFonts w:ascii="Times New Roman" w:hAnsi="Times New Roman"/>
          <w:sz w:val="20"/>
          <w:szCs w:val="20"/>
          <w:vertAlign w:val="superscript"/>
          <w:lang w:val="en-US"/>
        </w:rPr>
        <w:t>)</w:t>
      </w:r>
      <w:r w:rsidRPr="006A6376">
        <w:rPr>
          <w:rFonts w:ascii="Times New Roman" w:hAnsi="Times New Roman"/>
          <w:sz w:val="20"/>
          <w:szCs w:val="20"/>
          <w:vertAlign w:val="superscript"/>
          <w:lang w:val="en-US"/>
        </w:rPr>
        <w:tab/>
      </w:r>
      <w:hyperlink r:id="rId8" w:history="1">
        <w:r w:rsidRPr="000B27BA">
          <w:rPr>
            <w:rStyle w:val="Hipercze"/>
            <w:rFonts w:ascii="Times New Roman" w:hAnsi="Times New Roman"/>
            <w:color w:val="auto"/>
            <w:sz w:val="20"/>
            <w:szCs w:val="20"/>
            <w:u w:val="none"/>
            <w:lang w:val="en-US"/>
          </w:rPr>
          <w:t>http://creativecommons.org/licenses/</w:t>
        </w:r>
      </w:hyperlink>
    </w:p>
  </w:footnote>
  <w:footnote w:id="37">
    <w:p w:rsidR="00510B18" w:rsidRPr="00A02B77" w:rsidRDefault="00510B18" w:rsidP="005D3F15">
      <w:pPr>
        <w:pStyle w:val="ODNONIKtreodnonika"/>
      </w:pPr>
      <w:r w:rsidRPr="00A02B77">
        <w:rPr>
          <w:rStyle w:val="Odwoanieprzypisudolnego"/>
        </w:rPr>
        <w:footnoteRef/>
      </w:r>
      <w:r w:rsidRPr="00C35203">
        <w:rPr>
          <w:vertAlign w:val="superscript"/>
        </w:rPr>
        <w:t>)</w:t>
      </w:r>
      <w:r>
        <w:tab/>
      </w:r>
      <w:r w:rsidRPr="00A02B77">
        <w:t>(Dz. U. z 202</w:t>
      </w:r>
      <w:r w:rsidR="00601DF0">
        <w:t>1</w:t>
      </w:r>
      <w:r w:rsidRPr="00A02B77">
        <w:t xml:space="preserve"> r. poz. </w:t>
      </w:r>
      <w:r w:rsidR="00601DF0">
        <w:t>735</w:t>
      </w:r>
      <w:bookmarkStart w:id="0" w:name="_GoBack"/>
      <w:bookmarkEnd w:id="0"/>
      <w:r w:rsidRPr="00A02B77">
        <w:t>)</w:t>
      </w:r>
      <w:r w:rsidR="00DA7E47">
        <w:t>, zwanego dalej „k.p.a.”</w:t>
      </w:r>
      <w:r w:rsidRPr="00A02B77">
        <w:t>.</w:t>
      </w:r>
    </w:p>
  </w:footnote>
  <w:footnote w:id="38">
    <w:p w:rsidR="00510B18" w:rsidRPr="00A02B77" w:rsidRDefault="00510B18" w:rsidP="005D3F15">
      <w:pPr>
        <w:pStyle w:val="ODNONIKtreodnonika"/>
      </w:pPr>
      <w:r w:rsidRPr="00A02B77">
        <w:rPr>
          <w:rStyle w:val="Odwoanieprzypisudolnego"/>
        </w:rPr>
        <w:footnoteRef/>
      </w:r>
      <w:r w:rsidRPr="00FC3CFF">
        <w:rPr>
          <w:vertAlign w:val="superscript"/>
        </w:rPr>
        <w:t>)</w:t>
      </w:r>
      <w:r>
        <w:tab/>
      </w:r>
      <w:r w:rsidRPr="00A02B77">
        <w:t xml:space="preserve">(Dz. U. z 2019 r. poz. 2325, z </w:t>
      </w:r>
      <w:proofErr w:type="spellStart"/>
      <w:r w:rsidRPr="00A02B77">
        <w:t>późn</w:t>
      </w:r>
      <w:proofErr w:type="spellEnd"/>
      <w:r w:rsidRPr="00A02B77">
        <w:t>. zm.).</w:t>
      </w:r>
    </w:p>
  </w:footnote>
  <w:footnote w:id="39">
    <w:p w:rsidR="00510B18" w:rsidRPr="00A02B77" w:rsidRDefault="00510B18" w:rsidP="005D3F15">
      <w:pPr>
        <w:pStyle w:val="ODNONIKtreodnonika"/>
      </w:pPr>
      <w:r w:rsidRPr="00A02B77">
        <w:rPr>
          <w:rStyle w:val="Odwoanieprzypisudolnego"/>
        </w:rPr>
        <w:footnoteRef/>
      </w:r>
      <w:r w:rsidRPr="00FC3CFF">
        <w:rPr>
          <w:vertAlign w:val="superscript"/>
        </w:rPr>
        <w:t>)</w:t>
      </w:r>
      <w:r>
        <w:tab/>
      </w:r>
      <w:r w:rsidRPr="00A02B77">
        <w:t xml:space="preserve">(Dz. U. z 2014 r. poz. 361, z </w:t>
      </w:r>
      <w:proofErr w:type="spellStart"/>
      <w:r w:rsidRPr="00A02B77">
        <w:t>późn</w:t>
      </w:r>
      <w:proofErr w:type="spellEnd"/>
      <w:r w:rsidRPr="00A02B77">
        <w:t>. zm.).</w:t>
      </w:r>
    </w:p>
  </w:footnote>
  <w:footnote w:id="40">
    <w:p w:rsidR="00510B18" w:rsidRDefault="00510B18" w:rsidP="005D3F15">
      <w:pPr>
        <w:pStyle w:val="ODNONIKtreodnonika"/>
      </w:pPr>
      <w:r w:rsidRPr="00A02B77">
        <w:rPr>
          <w:rStyle w:val="Odwoanieprzypisudolnego"/>
        </w:rPr>
        <w:footnoteRef/>
      </w:r>
      <w:r w:rsidRPr="00FC3CFF">
        <w:rPr>
          <w:vertAlign w:val="superscript"/>
        </w:rPr>
        <w:t>)</w:t>
      </w:r>
      <w:r>
        <w:tab/>
      </w:r>
      <w:r w:rsidRPr="00A02B77">
        <w:t>(Dz. U. z 2016 r. poz. 1011).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845"/>
    <w:multiLevelType w:val="hybridMultilevel"/>
    <w:tmpl w:val="B5309C82"/>
    <w:lvl w:ilvl="0" w:tplc="9EA818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9A3239"/>
    <w:multiLevelType w:val="hybridMultilevel"/>
    <w:tmpl w:val="EA123D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7741D1"/>
    <w:multiLevelType w:val="hybridMultilevel"/>
    <w:tmpl w:val="B48CEB9C"/>
    <w:lvl w:ilvl="0" w:tplc="6B2263D2">
      <w:start w:val="1"/>
      <w:numFmt w:val="decimal"/>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A258E9"/>
    <w:multiLevelType w:val="hybridMultilevel"/>
    <w:tmpl w:val="5FEA0A78"/>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1D01E5F"/>
    <w:multiLevelType w:val="hybridMultilevel"/>
    <w:tmpl w:val="C8FE7544"/>
    <w:lvl w:ilvl="0" w:tplc="22FC9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F10A71"/>
    <w:multiLevelType w:val="hybridMultilevel"/>
    <w:tmpl w:val="702250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4CF6BCA"/>
    <w:multiLevelType w:val="hybridMultilevel"/>
    <w:tmpl w:val="42AA09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842F75"/>
    <w:multiLevelType w:val="hybridMultilevel"/>
    <w:tmpl w:val="3A9034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926F73"/>
    <w:multiLevelType w:val="hybridMultilevel"/>
    <w:tmpl w:val="E3CA4740"/>
    <w:lvl w:ilvl="0" w:tplc="22FC9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767BC8"/>
    <w:multiLevelType w:val="multilevel"/>
    <w:tmpl w:val="10140E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07B34AE"/>
    <w:multiLevelType w:val="hybridMultilevel"/>
    <w:tmpl w:val="598CD6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B873F6"/>
    <w:multiLevelType w:val="hybridMultilevel"/>
    <w:tmpl w:val="FA68FA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8F2954"/>
    <w:multiLevelType w:val="hybridMultilevel"/>
    <w:tmpl w:val="A39865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08096B"/>
    <w:multiLevelType w:val="hybridMultilevel"/>
    <w:tmpl w:val="F32C97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507A53"/>
    <w:multiLevelType w:val="hybridMultilevel"/>
    <w:tmpl w:val="D8E42F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5718AC"/>
    <w:multiLevelType w:val="hybridMultilevel"/>
    <w:tmpl w:val="77EADA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E25E1B"/>
    <w:multiLevelType w:val="hybridMultilevel"/>
    <w:tmpl w:val="F6A60A4A"/>
    <w:lvl w:ilvl="0" w:tplc="9EA818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A1443BA"/>
    <w:multiLevelType w:val="hybridMultilevel"/>
    <w:tmpl w:val="F5EE413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E78378A"/>
    <w:multiLevelType w:val="hybridMultilevel"/>
    <w:tmpl w:val="9F38D062"/>
    <w:lvl w:ilvl="0" w:tplc="9EA818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07757D9"/>
    <w:multiLevelType w:val="hybridMultilevel"/>
    <w:tmpl w:val="8D2E9D6A"/>
    <w:lvl w:ilvl="0" w:tplc="6C6CDF5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5B13C2"/>
    <w:multiLevelType w:val="hybridMultilevel"/>
    <w:tmpl w:val="1088A0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625D50"/>
    <w:multiLevelType w:val="hybridMultilevel"/>
    <w:tmpl w:val="8E3644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6875EB3"/>
    <w:multiLevelType w:val="hybridMultilevel"/>
    <w:tmpl w:val="67F20F1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52887965"/>
    <w:multiLevelType w:val="hybridMultilevel"/>
    <w:tmpl w:val="2C76F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7245141"/>
    <w:multiLevelType w:val="hybridMultilevel"/>
    <w:tmpl w:val="56683C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D4E547B"/>
    <w:multiLevelType w:val="hybridMultilevel"/>
    <w:tmpl w:val="967C93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F101BC"/>
    <w:multiLevelType w:val="hybridMultilevel"/>
    <w:tmpl w:val="521A2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F562DC3"/>
    <w:multiLevelType w:val="hybridMultilevel"/>
    <w:tmpl w:val="8CC270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487C39"/>
    <w:multiLevelType w:val="hybridMultilevel"/>
    <w:tmpl w:val="8D70A60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226089A"/>
    <w:multiLevelType w:val="hybridMultilevel"/>
    <w:tmpl w:val="C666BA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9D5CB4"/>
    <w:multiLevelType w:val="hybridMultilevel"/>
    <w:tmpl w:val="B3BE30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50A75E3"/>
    <w:multiLevelType w:val="singleLevel"/>
    <w:tmpl w:val="EEC6E872"/>
    <w:lvl w:ilvl="0">
      <w:start w:val="1"/>
      <w:numFmt w:val="decimal"/>
      <w:lvlText w:val="%1."/>
      <w:lvlJc w:val="left"/>
      <w:pPr>
        <w:tabs>
          <w:tab w:val="num" w:pos="785"/>
        </w:tabs>
        <w:ind w:left="785" w:hanging="360"/>
      </w:pPr>
      <w:rPr>
        <w:rFonts w:ascii="Times New Roman" w:eastAsia="Times New Roman" w:hAnsi="Times New Roman" w:cs="Times New Roman"/>
      </w:rPr>
    </w:lvl>
  </w:abstractNum>
  <w:abstractNum w:abstractNumId="33" w15:restartNumberingAfterBreak="0">
    <w:nsid w:val="65693335"/>
    <w:multiLevelType w:val="hybridMultilevel"/>
    <w:tmpl w:val="1088A0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4B6827"/>
    <w:multiLevelType w:val="hybridMultilevel"/>
    <w:tmpl w:val="F68E2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1E80FF0"/>
    <w:multiLevelType w:val="hybridMultilevel"/>
    <w:tmpl w:val="1CA40C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34A2FDE"/>
    <w:multiLevelType w:val="singleLevel"/>
    <w:tmpl w:val="EEC6E872"/>
    <w:lvl w:ilvl="0">
      <w:start w:val="1"/>
      <w:numFmt w:val="decimal"/>
      <w:lvlText w:val="%1."/>
      <w:lvlJc w:val="left"/>
      <w:pPr>
        <w:tabs>
          <w:tab w:val="num" w:pos="785"/>
        </w:tabs>
        <w:ind w:left="785" w:hanging="360"/>
      </w:pPr>
      <w:rPr>
        <w:rFonts w:ascii="Times New Roman" w:eastAsia="Times New Roman" w:hAnsi="Times New Roman" w:cs="Times New Roman"/>
      </w:rPr>
    </w:lvl>
  </w:abstractNum>
  <w:abstractNum w:abstractNumId="37" w15:restartNumberingAfterBreak="0">
    <w:nsid w:val="770E2DFE"/>
    <w:multiLevelType w:val="hybridMultilevel"/>
    <w:tmpl w:val="2A9CF5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F47A77"/>
    <w:multiLevelType w:val="hybridMultilevel"/>
    <w:tmpl w:val="E6DACA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993467B"/>
    <w:multiLevelType w:val="hybridMultilevel"/>
    <w:tmpl w:val="49500B5C"/>
    <w:lvl w:ilvl="0" w:tplc="7326F0B6">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B7C23D7"/>
    <w:multiLevelType w:val="hybridMultilevel"/>
    <w:tmpl w:val="157C95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BEB4B46"/>
    <w:multiLevelType w:val="hybridMultilevel"/>
    <w:tmpl w:val="41585D00"/>
    <w:lvl w:ilvl="0" w:tplc="CAEE8044">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6C59F6"/>
    <w:multiLevelType w:val="hybridMultilevel"/>
    <w:tmpl w:val="5B60FA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0"/>
  </w:num>
  <w:num w:numId="3">
    <w:abstractNumId w:val="34"/>
  </w:num>
  <w:num w:numId="4">
    <w:abstractNumId w:val="31"/>
  </w:num>
  <w:num w:numId="5">
    <w:abstractNumId w:val="27"/>
  </w:num>
  <w:num w:numId="6">
    <w:abstractNumId w:val="19"/>
  </w:num>
  <w:num w:numId="7">
    <w:abstractNumId w:val="22"/>
  </w:num>
  <w:num w:numId="8">
    <w:abstractNumId w:val="25"/>
  </w:num>
  <w:num w:numId="9">
    <w:abstractNumId w:val="13"/>
  </w:num>
  <w:num w:numId="10">
    <w:abstractNumId w:val="41"/>
  </w:num>
  <w:num w:numId="11">
    <w:abstractNumId w:val="26"/>
  </w:num>
  <w:num w:numId="12">
    <w:abstractNumId w:val="30"/>
  </w:num>
  <w:num w:numId="13">
    <w:abstractNumId w:val="33"/>
  </w:num>
  <w:num w:numId="14">
    <w:abstractNumId w:val="21"/>
  </w:num>
  <w:num w:numId="15">
    <w:abstractNumId w:val="20"/>
  </w:num>
  <w:num w:numId="16">
    <w:abstractNumId w:val="3"/>
  </w:num>
  <w:num w:numId="17">
    <w:abstractNumId w:val="18"/>
  </w:num>
  <w:num w:numId="18">
    <w:abstractNumId w:val="12"/>
  </w:num>
  <w:num w:numId="19">
    <w:abstractNumId w:val="23"/>
  </w:num>
  <w:num w:numId="20">
    <w:abstractNumId w:val="14"/>
  </w:num>
  <w:num w:numId="21">
    <w:abstractNumId w:val="42"/>
  </w:num>
  <w:num w:numId="22">
    <w:abstractNumId w:val="6"/>
  </w:num>
  <w:num w:numId="23">
    <w:abstractNumId w:val="24"/>
  </w:num>
  <w:num w:numId="24">
    <w:abstractNumId w:val="35"/>
  </w:num>
  <w:num w:numId="25">
    <w:abstractNumId w:val="39"/>
  </w:num>
  <w:num w:numId="26">
    <w:abstractNumId w:val="7"/>
  </w:num>
  <w:num w:numId="27">
    <w:abstractNumId w:val="11"/>
  </w:num>
  <w:num w:numId="28">
    <w:abstractNumId w:val="40"/>
  </w:num>
  <w:num w:numId="29">
    <w:abstractNumId w:val="37"/>
  </w:num>
  <w:num w:numId="30">
    <w:abstractNumId w:val="15"/>
  </w:num>
  <w:num w:numId="31">
    <w:abstractNumId w:val="36"/>
  </w:num>
  <w:num w:numId="32">
    <w:abstractNumId w:val="32"/>
  </w:num>
  <w:num w:numId="33">
    <w:abstractNumId w:val="0"/>
  </w:num>
  <w:num w:numId="34">
    <w:abstractNumId w:val="17"/>
  </w:num>
  <w:num w:numId="35">
    <w:abstractNumId w:val="28"/>
  </w:num>
  <w:num w:numId="36">
    <w:abstractNumId w:val="1"/>
  </w:num>
  <w:num w:numId="37">
    <w:abstractNumId w:val="4"/>
  </w:num>
  <w:num w:numId="38">
    <w:abstractNumId w:val="9"/>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38"/>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F15"/>
    <w:rsid w:val="000B27BA"/>
    <w:rsid w:val="00171F35"/>
    <w:rsid w:val="001C2767"/>
    <w:rsid w:val="002A0834"/>
    <w:rsid w:val="00457233"/>
    <w:rsid w:val="00510B18"/>
    <w:rsid w:val="00520631"/>
    <w:rsid w:val="00531B4D"/>
    <w:rsid w:val="00533CEF"/>
    <w:rsid w:val="00571292"/>
    <w:rsid w:val="005B6FB6"/>
    <w:rsid w:val="005D3F15"/>
    <w:rsid w:val="00601DF0"/>
    <w:rsid w:val="00640AB6"/>
    <w:rsid w:val="006A6376"/>
    <w:rsid w:val="00744574"/>
    <w:rsid w:val="007C4E61"/>
    <w:rsid w:val="008C03BA"/>
    <w:rsid w:val="008C7903"/>
    <w:rsid w:val="008F6279"/>
    <w:rsid w:val="00942468"/>
    <w:rsid w:val="009950E2"/>
    <w:rsid w:val="009E7F01"/>
    <w:rsid w:val="00A61B6C"/>
    <w:rsid w:val="00B847CE"/>
    <w:rsid w:val="00C30974"/>
    <w:rsid w:val="00C55ED6"/>
    <w:rsid w:val="00C81963"/>
    <w:rsid w:val="00CA44C2"/>
    <w:rsid w:val="00CC47C5"/>
    <w:rsid w:val="00D5484C"/>
    <w:rsid w:val="00DA7E47"/>
    <w:rsid w:val="00DD7E5C"/>
    <w:rsid w:val="00DF00B4"/>
    <w:rsid w:val="00E36F2B"/>
    <w:rsid w:val="00F365FE"/>
    <w:rsid w:val="00F64B8F"/>
    <w:rsid w:val="00F67C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069DA-B1CF-408C-A1B2-0DB222FD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D3F15"/>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qFormat/>
    <w:rsid w:val="005D3F15"/>
    <w:pPr>
      <w:keepNext/>
      <w:keepLines/>
      <w:suppressAutoHyphens/>
      <w:autoSpaceDE/>
      <w:autoSpaceDN/>
      <w:adjustRightInd/>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3">
    <w:name w:val="heading 3"/>
    <w:basedOn w:val="Normalny"/>
    <w:next w:val="Normalny"/>
    <w:link w:val="Nagwek3Znak"/>
    <w:qFormat/>
    <w:rsid w:val="005D3F15"/>
    <w:pPr>
      <w:keepNext/>
      <w:widowControl/>
      <w:autoSpaceDE/>
      <w:autoSpaceDN/>
      <w:adjustRightInd/>
      <w:spacing w:before="240" w:after="60" w:line="240" w:lineRule="auto"/>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D3F15"/>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3Znak">
    <w:name w:val="Nagłówek 3 Znak"/>
    <w:basedOn w:val="Domylnaczcionkaakapitu"/>
    <w:link w:val="Nagwek3"/>
    <w:rsid w:val="005D3F15"/>
    <w:rPr>
      <w:rFonts w:ascii="Arial" w:eastAsia="Times New Roman" w:hAnsi="Arial" w:cs="Arial"/>
      <w:b/>
      <w:bCs/>
      <w:sz w:val="26"/>
      <w:szCs w:val="26"/>
      <w:lang w:eastAsia="pl-PL"/>
    </w:rPr>
  </w:style>
  <w:style w:type="paragraph" w:customStyle="1" w:styleId="ZLITwPKTzmlitwpktartykuempunktem">
    <w:name w:val="Z/LIT_w_PKT – zm. lit. w pkt artykułem (punktem)"/>
    <w:basedOn w:val="LITlitera"/>
    <w:uiPriority w:val="32"/>
    <w:qFormat/>
    <w:rsid w:val="005D3F15"/>
    <w:pPr>
      <w:ind w:left="1497"/>
    </w:pPr>
  </w:style>
  <w:style w:type="paragraph" w:customStyle="1" w:styleId="LITlitera">
    <w:name w:val="LIT – litera"/>
    <w:basedOn w:val="PKTpunkt"/>
    <w:uiPriority w:val="14"/>
    <w:qFormat/>
    <w:rsid w:val="005D3F15"/>
    <w:pPr>
      <w:ind w:left="986" w:hanging="476"/>
    </w:pPr>
  </w:style>
  <w:style w:type="paragraph" w:customStyle="1" w:styleId="PKTpunkt">
    <w:name w:val="PKT – punkt"/>
    <w:uiPriority w:val="13"/>
    <w:qFormat/>
    <w:rsid w:val="005D3F15"/>
    <w:pPr>
      <w:spacing w:after="0" w:line="360" w:lineRule="auto"/>
      <w:ind w:left="510" w:hanging="510"/>
      <w:jc w:val="both"/>
    </w:pPr>
    <w:rPr>
      <w:rFonts w:ascii="Times" w:eastAsiaTheme="minorEastAsia" w:hAnsi="Times" w:cs="Arial"/>
      <w:bCs/>
      <w:sz w:val="24"/>
      <w:szCs w:val="20"/>
      <w:lang w:eastAsia="pl-PL"/>
    </w:rPr>
  </w:style>
  <w:style w:type="paragraph" w:customStyle="1" w:styleId="ZTIRwPKTzmtirwpktartykuempunktem">
    <w:name w:val="Z/TIR_w_PKT – zm. tir. w pkt artykułem (punktem)"/>
    <w:basedOn w:val="TIRtiret"/>
    <w:uiPriority w:val="33"/>
    <w:qFormat/>
    <w:rsid w:val="005D3F15"/>
    <w:pPr>
      <w:ind w:left="1894"/>
    </w:pPr>
  </w:style>
  <w:style w:type="paragraph" w:customStyle="1" w:styleId="TIRtiret">
    <w:name w:val="TIR – tiret"/>
    <w:basedOn w:val="LITlitera"/>
    <w:uiPriority w:val="15"/>
    <w:qFormat/>
    <w:rsid w:val="005D3F15"/>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D3F15"/>
    <w:pPr>
      <w:ind w:left="1021"/>
    </w:pPr>
  </w:style>
  <w:style w:type="paragraph" w:customStyle="1" w:styleId="CZWSPLITczwsplnaliter">
    <w:name w:val="CZ_WSP_LIT – część wspólna liter"/>
    <w:basedOn w:val="LITlitera"/>
    <w:next w:val="USTustnpkodeksu"/>
    <w:uiPriority w:val="17"/>
    <w:qFormat/>
    <w:rsid w:val="005D3F15"/>
    <w:pPr>
      <w:ind w:left="510" w:firstLine="0"/>
    </w:pPr>
    <w:rPr>
      <w:szCs w:val="24"/>
    </w:rPr>
  </w:style>
  <w:style w:type="paragraph" w:customStyle="1" w:styleId="USTustnpkodeksu">
    <w:name w:val="UST(§) – ust. (§ np. kodeksu)"/>
    <w:basedOn w:val="ARTartustawynprozporzdzenia"/>
    <w:uiPriority w:val="12"/>
    <w:qFormat/>
    <w:rsid w:val="005D3F15"/>
    <w:pPr>
      <w:spacing w:before="0"/>
    </w:pPr>
    <w:rPr>
      <w:bCs/>
    </w:rPr>
  </w:style>
  <w:style w:type="paragraph" w:customStyle="1" w:styleId="ARTartustawynprozporzdzenia">
    <w:name w:val="ART(§) – art. ustawy (§ np. rozporządzenia)"/>
    <w:uiPriority w:val="11"/>
    <w:qFormat/>
    <w:rsid w:val="005D3F1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5D3F15"/>
    <w:pPr>
      <w:spacing w:before="0"/>
      <w:ind w:left="510"/>
    </w:pPr>
  </w:style>
  <w:style w:type="paragraph" w:customStyle="1" w:styleId="2TIRpodwjnytiret">
    <w:name w:val="2TIR – podwójny tiret"/>
    <w:basedOn w:val="TIRtiret"/>
    <w:uiPriority w:val="73"/>
    <w:qFormat/>
    <w:rsid w:val="005D3F15"/>
    <w:pPr>
      <w:ind w:left="1780"/>
    </w:pPr>
  </w:style>
  <w:style w:type="character" w:styleId="Odwoanieprzypisudolnego">
    <w:name w:val="footnote reference"/>
    <w:uiPriority w:val="99"/>
    <w:semiHidden/>
    <w:rsid w:val="005D3F15"/>
    <w:rPr>
      <w:rFonts w:cs="Times New Roman"/>
      <w:vertAlign w:val="superscript"/>
    </w:rPr>
  </w:style>
  <w:style w:type="paragraph" w:styleId="Nagwek">
    <w:name w:val="header"/>
    <w:basedOn w:val="Normalny"/>
    <w:link w:val="NagwekZnak"/>
    <w:uiPriority w:val="99"/>
    <w:rsid w:val="005D3F1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5D3F15"/>
    <w:rPr>
      <w:rFonts w:ascii="Times" w:eastAsia="Times New Roman" w:hAnsi="Times" w:cs="Times New Roman"/>
      <w:kern w:val="1"/>
      <w:sz w:val="24"/>
      <w:szCs w:val="24"/>
      <w:lang w:eastAsia="ar-SA"/>
    </w:rPr>
  </w:style>
  <w:style w:type="paragraph" w:styleId="Stopka">
    <w:name w:val="footer"/>
    <w:basedOn w:val="Normalny"/>
    <w:link w:val="StopkaZnak"/>
    <w:uiPriority w:val="99"/>
    <w:rsid w:val="005D3F1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5D3F15"/>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5D3F1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5D3F15"/>
    <w:rPr>
      <w:rFonts w:ascii="Tahoma" w:eastAsia="Times New Roman" w:hAnsi="Tahoma" w:cs="Tahoma"/>
      <w:kern w:val="1"/>
      <w:sz w:val="24"/>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D3F15"/>
    <w:pPr>
      <w:ind w:left="1497"/>
    </w:pPr>
  </w:style>
  <w:style w:type="paragraph" w:customStyle="1" w:styleId="CZWSPTIRczwsplnatiret">
    <w:name w:val="CZ_WSP_TIR – część wspólna tiret"/>
    <w:basedOn w:val="TIRtiret"/>
    <w:next w:val="USTustnpkodeksu"/>
    <w:uiPriority w:val="17"/>
    <w:qFormat/>
    <w:rsid w:val="005D3F15"/>
    <w:pPr>
      <w:ind w:left="987" w:firstLine="0"/>
    </w:pPr>
  </w:style>
  <w:style w:type="paragraph" w:customStyle="1" w:styleId="ZPKTzmpktartykuempunktem">
    <w:name w:val="Z/PKT – zm. pkt artykułem (punktem)"/>
    <w:basedOn w:val="PKTpunkt"/>
    <w:uiPriority w:val="31"/>
    <w:qFormat/>
    <w:rsid w:val="005D3F15"/>
    <w:pPr>
      <w:ind w:left="1020"/>
    </w:pPr>
  </w:style>
  <w:style w:type="paragraph" w:customStyle="1" w:styleId="ZTIRwLITzmtirwlitartykuempunktem">
    <w:name w:val="Z/TIR_w_LIT – zm. tir. w lit. artykułem (punktem)"/>
    <w:basedOn w:val="TIRtiret"/>
    <w:uiPriority w:val="33"/>
    <w:qFormat/>
    <w:rsid w:val="005D3F1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D3F15"/>
  </w:style>
  <w:style w:type="paragraph" w:customStyle="1" w:styleId="ZLITzmlitartykuempunktem">
    <w:name w:val="Z/LIT – zm. lit. artykułem (punktem)"/>
    <w:basedOn w:val="LITlitera"/>
    <w:uiPriority w:val="32"/>
    <w:qFormat/>
    <w:rsid w:val="005D3F15"/>
  </w:style>
  <w:style w:type="paragraph" w:styleId="Bezodstpw">
    <w:name w:val="No Spacing"/>
    <w:uiPriority w:val="99"/>
    <w:rsid w:val="005D3F15"/>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5D3F15"/>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5D3F1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5D3F15"/>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D3F15"/>
    <w:rPr>
      <w:bCs/>
    </w:rPr>
  </w:style>
  <w:style w:type="paragraph" w:customStyle="1" w:styleId="OZNRODZAKTUtznustawalubrozporzdzenieiorganwydajcy">
    <w:name w:val="OZN_RODZ_AKTU – tzn. ustawa lub rozporządzenie i organ wydający"/>
    <w:next w:val="DATAAKTUdatauchwalenialubwydaniaaktu"/>
    <w:uiPriority w:val="5"/>
    <w:qFormat/>
    <w:rsid w:val="005D3F1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uiPriority w:val="16"/>
    <w:qFormat/>
    <w:rsid w:val="005D3F15"/>
    <w:pPr>
      <w:ind w:left="0" w:firstLine="0"/>
    </w:pPr>
  </w:style>
  <w:style w:type="paragraph" w:customStyle="1" w:styleId="CYTcytatnpprzysigi">
    <w:name w:val="CYT – cytat np. przysięgi"/>
    <w:basedOn w:val="USTustnpkodeksu"/>
    <w:next w:val="USTustnpkodeksu"/>
    <w:uiPriority w:val="18"/>
    <w:qFormat/>
    <w:rsid w:val="005D3F1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D3F15"/>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5D3F15"/>
    <w:pPr>
      <w:ind w:left="1463"/>
    </w:pPr>
  </w:style>
  <w:style w:type="paragraph" w:customStyle="1" w:styleId="ZLITTIRwLITzmtirwlitliter">
    <w:name w:val="Z_LIT/TIR_w_LIT – zm. tir. w lit. literą"/>
    <w:basedOn w:val="TIRtiret"/>
    <w:uiPriority w:val="49"/>
    <w:qFormat/>
    <w:rsid w:val="005D3F15"/>
    <w:pPr>
      <w:ind w:left="1860"/>
    </w:pPr>
  </w:style>
  <w:style w:type="paragraph" w:customStyle="1" w:styleId="TYTDZOZNoznaczenietytuulubdziau">
    <w:name w:val="TYT(DZ)_OZN – oznaczenie tytułu lub działu"/>
    <w:next w:val="Normalny"/>
    <w:uiPriority w:val="9"/>
    <w:qFormat/>
    <w:rsid w:val="005D3F15"/>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5D3F15"/>
    <w:pPr>
      <w:ind w:left="510"/>
    </w:pPr>
  </w:style>
  <w:style w:type="paragraph" w:customStyle="1" w:styleId="WMATFIZCHEMwzrmatfizlubchem">
    <w:name w:val="W_MAT(FIZ|CHEM) – wzór mat. (fiz. lub chem.)"/>
    <w:uiPriority w:val="18"/>
    <w:qFormat/>
    <w:rsid w:val="005D3F15"/>
    <w:pPr>
      <w:spacing w:after="0" w:line="360" w:lineRule="auto"/>
      <w:jc w:val="center"/>
    </w:pPr>
    <w:rPr>
      <w:rFonts w:ascii="Times New Roman" w:eastAsiaTheme="minorEastAsia"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D3F1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D3F15"/>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5D3F1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5D3F15"/>
    <w:pPr>
      <w:ind w:left="510"/>
    </w:pPr>
  </w:style>
  <w:style w:type="paragraph" w:customStyle="1" w:styleId="ZZLITzmianazmlit">
    <w:name w:val="ZZ/LIT – zmiana zm. lit."/>
    <w:basedOn w:val="ZZPKTzmianazmpkt"/>
    <w:uiPriority w:val="67"/>
    <w:qFormat/>
    <w:rsid w:val="005D3F15"/>
    <w:pPr>
      <w:ind w:left="2370" w:hanging="476"/>
    </w:pPr>
  </w:style>
  <w:style w:type="paragraph" w:customStyle="1" w:styleId="ZZPKTzmianazmpkt">
    <w:name w:val="ZZ/PKT – zmiana zm. pkt"/>
    <w:basedOn w:val="ZPKTzmpktartykuempunktem"/>
    <w:uiPriority w:val="66"/>
    <w:qFormat/>
    <w:rsid w:val="005D3F15"/>
    <w:pPr>
      <w:ind w:left="2404"/>
    </w:pPr>
  </w:style>
  <w:style w:type="paragraph" w:customStyle="1" w:styleId="ZZTIRzmianazmtir">
    <w:name w:val="ZZ/TIR – zmiana zm. tir."/>
    <w:basedOn w:val="ZZLITzmianazmlit"/>
    <w:uiPriority w:val="67"/>
    <w:qFormat/>
    <w:rsid w:val="005D3F1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D3F15"/>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D3F15"/>
    <w:pPr>
      <w:spacing w:after="120"/>
      <w:ind w:left="510"/>
    </w:pPr>
    <w:rPr>
      <w:b w:val="0"/>
    </w:rPr>
  </w:style>
  <w:style w:type="paragraph" w:customStyle="1" w:styleId="ZLITUSTzmustliter">
    <w:name w:val="Z_LIT/UST(§) – zm. ust. (§) literą"/>
    <w:basedOn w:val="USTustnpkodeksu"/>
    <w:uiPriority w:val="46"/>
    <w:qFormat/>
    <w:rsid w:val="005D3F15"/>
    <w:pPr>
      <w:ind w:left="987"/>
    </w:pPr>
  </w:style>
  <w:style w:type="paragraph" w:customStyle="1" w:styleId="ZLITPKTzmpktliter">
    <w:name w:val="Z_LIT/PKT – zm. pkt literą"/>
    <w:basedOn w:val="PKTpunkt"/>
    <w:uiPriority w:val="47"/>
    <w:qFormat/>
    <w:rsid w:val="005D3F15"/>
    <w:pPr>
      <w:ind w:left="1497"/>
    </w:pPr>
  </w:style>
  <w:style w:type="paragraph" w:customStyle="1" w:styleId="ZZCZWSPPKTzmianazmczciwsppkt">
    <w:name w:val="ZZ/CZ_WSP_PKT – zmiana. zm. części wsp. pkt"/>
    <w:basedOn w:val="ZZARTzmianazmart"/>
    <w:next w:val="ZPKTzmpktartykuempunktem"/>
    <w:uiPriority w:val="68"/>
    <w:qFormat/>
    <w:rsid w:val="005D3F15"/>
    <w:pPr>
      <w:ind w:firstLine="0"/>
    </w:pPr>
  </w:style>
  <w:style w:type="paragraph" w:customStyle="1" w:styleId="ZZARTzmianazmart">
    <w:name w:val="ZZ/ART(§) – zmiana zm. art. (§)"/>
    <w:basedOn w:val="ZARTzmartartykuempunktem"/>
    <w:uiPriority w:val="65"/>
    <w:qFormat/>
    <w:rsid w:val="005D3F15"/>
    <w:pPr>
      <w:ind w:left="1894"/>
    </w:pPr>
  </w:style>
  <w:style w:type="paragraph" w:customStyle="1" w:styleId="ZLITLITzmlitliter">
    <w:name w:val="Z_LIT/LIT – zm. lit. literą"/>
    <w:basedOn w:val="LITlitera"/>
    <w:uiPriority w:val="48"/>
    <w:qFormat/>
    <w:rsid w:val="005D3F15"/>
    <w:pPr>
      <w:ind w:left="1463"/>
    </w:pPr>
  </w:style>
  <w:style w:type="paragraph" w:customStyle="1" w:styleId="ZLITCZWSPPKTzmczciwsppktliter">
    <w:name w:val="Z_LIT/CZ_WSP_PKT – zm. części wsp. pkt literą"/>
    <w:basedOn w:val="CZWSPLITczwsplnaliter"/>
    <w:next w:val="LITlitera"/>
    <w:uiPriority w:val="50"/>
    <w:qFormat/>
    <w:rsid w:val="005D3F15"/>
    <w:pPr>
      <w:ind w:left="987"/>
    </w:pPr>
  </w:style>
  <w:style w:type="paragraph" w:customStyle="1" w:styleId="ZLITTIRzmtirliter">
    <w:name w:val="Z_LIT/TIR – zm. tir. literą"/>
    <w:basedOn w:val="TIRtiret"/>
    <w:uiPriority w:val="49"/>
    <w:qFormat/>
    <w:rsid w:val="005D3F15"/>
  </w:style>
  <w:style w:type="paragraph" w:customStyle="1" w:styleId="ZZCZWSPLITwPKTzmianazmczciwsplitwpkt">
    <w:name w:val="ZZ/CZ_WSP_LIT_w_PKT – zmiana zm. części wsp. lit. w pkt"/>
    <w:basedOn w:val="ZZLITwPKTzmianazmlitwpkt"/>
    <w:uiPriority w:val="69"/>
    <w:qFormat/>
    <w:rsid w:val="005D3F15"/>
    <w:pPr>
      <w:ind w:left="2404" w:firstLine="0"/>
    </w:pPr>
  </w:style>
  <w:style w:type="paragraph" w:customStyle="1" w:styleId="ZZLITwPKTzmianazmlitwpkt">
    <w:name w:val="ZZ/LIT_w_PKT – zmiana zm. lit. w pkt"/>
    <w:basedOn w:val="ZLITwPKTzmlitwpktartykuempunktem"/>
    <w:uiPriority w:val="67"/>
    <w:qFormat/>
    <w:rsid w:val="005D3F15"/>
    <w:pPr>
      <w:ind w:left="2880"/>
    </w:pPr>
  </w:style>
  <w:style w:type="paragraph" w:customStyle="1" w:styleId="ZLITLITwPKTzmlitwpktliter">
    <w:name w:val="Z_LIT/LIT_w_PKT – zm. lit. w pkt literą"/>
    <w:basedOn w:val="LITlitera"/>
    <w:uiPriority w:val="48"/>
    <w:qFormat/>
    <w:rsid w:val="005D3F15"/>
    <w:pPr>
      <w:ind w:left="1973"/>
    </w:pPr>
  </w:style>
  <w:style w:type="paragraph" w:customStyle="1" w:styleId="ZLITCZWSPLITwPKTzmczciwsplitwpktliter">
    <w:name w:val="Z_LIT/CZ_WSP_LIT_w_PKT – zm. części wsp. lit. w pkt literą"/>
    <w:basedOn w:val="CZWSPLITczwsplnaliter"/>
    <w:next w:val="LITlitera"/>
    <w:uiPriority w:val="51"/>
    <w:qFormat/>
    <w:rsid w:val="005D3F15"/>
    <w:pPr>
      <w:ind w:left="1497"/>
    </w:pPr>
  </w:style>
  <w:style w:type="paragraph" w:customStyle="1" w:styleId="ZLITTIRwPKTzmtirwpktliter">
    <w:name w:val="Z_LIT/TIR_w_PKT – zm. tir. w pkt literą"/>
    <w:basedOn w:val="TIRtiret"/>
    <w:uiPriority w:val="49"/>
    <w:qFormat/>
    <w:rsid w:val="005D3F15"/>
    <w:pPr>
      <w:ind w:left="2370"/>
    </w:pPr>
  </w:style>
  <w:style w:type="paragraph" w:customStyle="1" w:styleId="ZLITCZWSPTIRwPKTzmczciwsptirwpktliter">
    <w:name w:val="Z_LIT/CZ_WSP_TIR_w_PKT – zm. części wsp. tir. w pkt literą"/>
    <w:basedOn w:val="CZWSPTIRczwsplnatiret"/>
    <w:next w:val="LITlitera"/>
    <w:uiPriority w:val="51"/>
    <w:qFormat/>
    <w:rsid w:val="005D3F15"/>
    <w:pPr>
      <w:ind w:left="1973"/>
    </w:pPr>
  </w:style>
  <w:style w:type="paragraph" w:styleId="Tekstprzypisudolnego">
    <w:name w:val="footnote text"/>
    <w:basedOn w:val="Normalny"/>
    <w:link w:val="TekstprzypisudolnegoZnak"/>
    <w:uiPriority w:val="99"/>
    <w:semiHidden/>
    <w:qFormat/>
    <w:rsid w:val="005D3F15"/>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5D3F15"/>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5D3F15"/>
    <w:pPr>
      <w:ind w:left="1859"/>
    </w:pPr>
  </w:style>
  <w:style w:type="paragraph" w:customStyle="1" w:styleId="ZTIRCZWSPPKTzmczciwsppkttiret">
    <w:name w:val="Z_TIR/CZ_WSP_PKT – zm. części wsp. pkt tiret"/>
    <w:basedOn w:val="CZWSPLITczwsplnaliter"/>
    <w:next w:val="TIRtiret"/>
    <w:uiPriority w:val="58"/>
    <w:qFormat/>
    <w:rsid w:val="005D3F15"/>
    <w:pPr>
      <w:ind w:left="1383"/>
    </w:pPr>
  </w:style>
  <w:style w:type="paragraph" w:customStyle="1" w:styleId="ZTIRTIRzmtirtiret">
    <w:name w:val="Z_TIR/TIR – zm. tir. tiret"/>
    <w:basedOn w:val="TIRtiret"/>
    <w:uiPriority w:val="57"/>
    <w:qFormat/>
    <w:rsid w:val="005D3F15"/>
    <w:pPr>
      <w:ind w:left="1780"/>
    </w:pPr>
  </w:style>
  <w:style w:type="paragraph" w:customStyle="1" w:styleId="ZZCZWSPTIRwPKTzmianazmczciwsptirwpkt">
    <w:name w:val="ZZ/CZ_WSP_TIR_w_PKT – zmiana zm. części wsp. tir. w pkt"/>
    <w:basedOn w:val="ZZTIRwPKTzmianazmtirwpkt"/>
    <w:uiPriority w:val="70"/>
    <w:qFormat/>
    <w:rsid w:val="005D3F15"/>
    <w:pPr>
      <w:ind w:left="2880" w:firstLine="0"/>
    </w:pPr>
  </w:style>
  <w:style w:type="paragraph" w:customStyle="1" w:styleId="ZZTIRwPKTzmianazmtirwpkt">
    <w:name w:val="ZZ/TIR_w_PKT – zmiana zm. tir. w pkt"/>
    <w:basedOn w:val="ZTIRwPKTzmtirwpktartykuempunktem"/>
    <w:uiPriority w:val="67"/>
    <w:qFormat/>
    <w:rsid w:val="005D3F15"/>
    <w:pPr>
      <w:ind w:left="3277"/>
    </w:pPr>
  </w:style>
  <w:style w:type="paragraph" w:customStyle="1" w:styleId="ZZTIRwLITzmianazmtirwlit">
    <w:name w:val="ZZ/TIR_w_LIT – zmiana zm. tir. w lit."/>
    <w:basedOn w:val="ZZTIRzmianazmtir"/>
    <w:uiPriority w:val="67"/>
    <w:qFormat/>
    <w:rsid w:val="005D3F15"/>
    <w:pPr>
      <w:ind w:left="2767"/>
    </w:pPr>
  </w:style>
  <w:style w:type="paragraph" w:customStyle="1" w:styleId="ZTIRTIRwLITzmtirwlittiret">
    <w:name w:val="Z_TIR/TIR_w_LIT – zm. tir. w lit. tiret"/>
    <w:basedOn w:val="TIRtiret"/>
    <w:uiPriority w:val="57"/>
    <w:qFormat/>
    <w:rsid w:val="005D3F15"/>
    <w:pPr>
      <w:ind w:left="2257"/>
    </w:pPr>
  </w:style>
  <w:style w:type="paragraph" w:customStyle="1" w:styleId="ZTIRCZWSPTIRwLITzmczciwsptirwlittiret">
    <w:name w:val="Z_TIR/CZ_WSP_TIR_w_LIT – zm. części wsp. tir. w lit. tiret"/>
    <w:basedOn w:val="CZWSPTIRczwsplnatiret"/>
    <w:next w:val="TIRtiret"/>
    <w:uiPriority w:val="60"/>
    <w:qFormat/>
    <w:rsid w:val="005D3F15"/>
    <w:pPr>
      <w:ind w:left="1860"/>
    </w:pPr>
  </w:style>
  <w:style w:type="paragraph" w:customStyle="1" w:styleId="CZWSP2TIRczwsplnapodwjnychtiret">
    <w:name w:val="CZ_WSP_2TIR – część wspólna podwójnych tiret"/>
    <w:basedOn w:val="CZWSPTIRczwsplnatiret"/>
    <w:next w:val="TIRtiret"/>
    <w:uiPriority w:val="73"/>
    <w:qFormat/>
    <w:rsid w:val="005D3F15"/>
    <w:pPr>
      <w:ind w:left="1780"/>
    </w:pPr>
  </w:style>
  <w:style w:type="paragraph" w:customStyle="1" w:styleId="Z2TIRzmpodwtirartykuempunktem">
    <w:name w:val="Z/2TIR – zm. podw. tir. artykułem (punktem)"/>
    <w:basedOn w:val="TIRtiret"/>
    <w:uiPriority w:val="73"/>
    <w:qFormat/>
    <w:rsid w:val="005D3F15"/>
    <w:pPr>
      <w:ind w:left="907"/>
    </w:pPr>
  </w:style>
  <w:style w:type="paragraph" w:customStyle="1" w:styleId="ZZCZWSPTIRwLITzmianazmczciwsptirwlit">
    <w:name w:val="ZZ/CZ_WSP_TIR_w_LIT – zmiana zm. części wsp. tir. w lit."/>
    <w:basedOn w:val="ZZTIRwLITzmianazmtirwlit"/>
    <w:uiPriority w:val="70"/>
    <w:qFormat/>
    <w:rsid w:val="005D3F15"/>
    <w:pPr>
      <w:ind w:left="2370" w:firstLine="0"/>
    </w:pPr>
  </w:style>
  <w:style w:type="paragraph" w:customStyle="1" w:styleId="ZLIT2TIRzmpodwtirliter">
    <w:name w:val="Z_LIT/2TIR – zm. podw. tir. literą"/>
    <w:basedOn w:val="TIRtiret"/>
    <w:uiPriority w:val="75"/>
    <w:qFormat/>
    <w:rsid w:val="005D3F15"/>
  </w:style>
  <w:style w:type="paragraph" w:customStyle="1" w:styleId="ZTIR2TIRzmpodwtirtiret">
    <w:name w:val="Z_TIR/2TIR – zm. podw. tir. tiret"/>
    <w:basedOn w:val="TIRtiret"/>
    <w:uiPriority w:val="78"/>
    <w:qFormat/>
    <w:rsid w:val="005D3F1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D3F15"/>
    <w:pPr>
      <w:ind w:left="1780"/>
    </w:pPr>
  </w:style>
  <w:style w:type="paragraph" w:customStyle="1" w:styleId="Z2TIRwPKTzmpodwtirwpktartykuempunktem">
    <w:name w:val="Z/2TIR_w_PKT – zm. podw. tir. w pkt artykułem (punktem)"/>
    <w:basedOn w:val="TIRtiret"/>
    <w:next w:val="ZPKTzmpktartykuempunktem"/>
    <w:uiPriority w:val="74"/>
    <w:qFormat/>
    <w:rsid w:val="005D3F15"/>
    <w:pPr>
      <w:ind w:left="2291"/>
    </w:pPr>
  </w:style>
  <w:style w:type="paragraph" w:customStyle="1" w:styleId="ZTIRPKTzmpkttiret">
    <w:name w:val="Z_TIR/PKT – zm. pkt tiret"/>
    <w:basedOn w:val="PKTpunkt"/>
    <w:uiPriority w:val="56"/>
    <w:qFormat/>
    <w:rsid w:val="005D3F15"/>
    <w:pPr>
      <w:ind w:left="1893"/>
    </w:pPr>
  </w:style>
  <w:style w:type="paragraph" w:customStyle="1" w:styleId="ZTIRLITwPKTzmlitwpkttiret">
    <w:name w:val="Z_TIR/LIT_w_PKT – zm. lit. w pkt tiret"/>
    <w:basedOn w:val="LITlitera"/>
    <w:uiPriority w:val="57"/>
    <w:qFormat/>
    <w:rsid w:val="005D3F15"/>
    <w:pPr>
      <w:ind w:left="2336"/>
    </w:pPr>
  </w:style>
  <w:style w:type="paragraph" w:customStyle="1" w:styleId="ZTIRCZWSPLITwPKTzmczciwsplitwpkttiret">
    <w:name w:val="Z_TIR/CZ_WSP_LIT_w_PKT – zm. części wsp. lit. w pkt tiret"/>
    <w:basedOn w:val="CZWSPLITczwsplnaliter"/>
    <w:uiPriority w:val="59"/>
    <w:qFormat/>
    <w:rsid w:val="005D3F15"/>
    <w:pPr>
      <w:ind w:left="1860"/>
    </w:pPr>
  </w:style>
  <w:style w:type="paragraph" w:customStyle="1" w:styleId="ZTIR2TIRwLITzmpodwtirwlittiret">
    <w:name w:val="Z_TIR/2TIR_w_LIT – zm. podw. tir. w lit. tiret"/>
    <w:basedOn w:val="TIRtiret"/>
    <w:uiPriority w:val="79"/>
    <w:qFormat/>
    <w:rsid w:val="005D3F1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D3F15"/>
    <w:pPr>
      <w:ind w:left="2257"/>
    </w:pPr>
  </w:style>
  <w:style w:type="paragraph" w:customStyle="1" w:styleId="ZTIR2TIRwTIRzmpodwtirwtirtiret">
    <w:name w:val="Z_TIR/2TIR_w_TIR – zm. podw. tir. w tir. tiret"/>
    <w:basedOn w:val="TIRtiret"/>
    <w:uiPriority w:val="78"/>
    <w:qFormat/>
    <w:rsid w:val="005D3F15"/>
    <w:pPr>
      <w:ind w:left="2177"/>
    </w:pPr>
  </w:style>
  <w:style w:type="paragraph" w:customStyle="1" w:styleId="ZTIRCZWSP2TIRwTIRzmczciwsppodwtirwtirtiret">
    <w:name w:val="Z_TIR/CZ_WSP_2TIR_w_TIR – zm. części wsp. podw. tir. w tir. tiret"/>
    <w:basedOn w:val="CZWSPTIRczwsplnatiret"/>
    <w:uiPriority w:val="79"/>
    <w:qFormat/>
    <w:rsid w:val="005D3F15"/>
    <w:pPr>
      <w:ind w:left="1780"/>
    </w:pPr>
  </w:style>
  <w:style w:type="paragraph" w:customStyle="1" w:styleId="Z2TIRLITzmlitpodwjnymtiret">
    <w:name w:val="Z_2TIR/LIT – zm. lit. podwójnym tiret"/>
    <w:basedOn w:val="LITlitera"/>
    <w:uiPriority w:val="84"/>
    <w:qFormat/>
    <w:rsid w:val="005D3F15"/>
    <w:pPr>
      <w:ind w:left="2256"/>
    </w:pPr>
  </w:style>
  <w:style w:type="paragraph" w:customStyle="1" w:styleId="ZZ2TIRwTIRzmianazmpodwtirwtir">
    <w:name w:val="ZZ/2TIR_w_TIR – zmiana zm. podw. tir. w tir."/>
    <w:basedOn w:val="ZZCZWSP2TIRzmianazmczciwsppodwtir"/>
    <w:uiPriority w:val="93"/>
    <w:qFormat/>
    <w:rsid w:val="005D3F15"/>
    <w:pPr>
      <w:ind w:left="2688" w:hanging="397"/>
    </w:pPr>
  </w:style>
  <w:style w:type="paragraph" w:customStyle="1" w:styleId="ZZCZWSP2TIRzmianazmczciwsppodwtir">
    <w:name w:val="ZZ/CZ_WSP_2TIR – zmiana zm. części wsp. podw. tir."/>
    <w:basedOn w:val="ZZTIRzmianazmtir"/>
    <w:next w:val="ZZUSTzmianazmust"/>
    <w:uiPriority w:val="94"/>
    <w:qFormat/>
    <w:rsid w:val="005D3F15"/>
    <w:pPr>
      <w:ind w:left="1894" w:firstLine="0"/>
    </w:pPr>
  </w:style>
  <w:style w:type="paragraph" w:customStyle="1" w:styleId="ZZUSTzmianazmust">
    <w:name w:val="ZZ/UST(§) – zmiana zm. ust. (§)"/>
    <w:basedOn w:val="ZZARTzmianazmart"/>
    <w:uiPriority w:val="65"/>
    <w:qFormat/>
    <w:rsid w:val="005D3F15"/>
  </w:style>
  <w:style w:type="paragraph" w:customStyle="1" w:styleId="ZZ2TIRwLITzmianazmpodwtirwlit">
    <w:name w:val="ZZ/2TIR_w_LIT – zmiana zm. podw. tir. w lit."/>
    <w:basedOn w:val="ZZ2TIRwTIRzmianazmpodwtirwtir"/>
    <w:uiPriority w:val="94"/>
    <w:qFormat/>
    <w:rsid w:val="005D3F15"/>
    <w:pPr>
      <w:ind w:left="3164"/>
    </w:pPr>
  </w:style>
  <w:style w:type="paragraph" w:customStyle="1" w:styleId="Z2TIRTIRwLITzmtirwlitpodwjnymtiret">
    <w:name w:val="Z_2TIR/TIR_w_LIT – zm. tir. w lit. podwójnym tiret"/>
    <w:basedOn w:val="TIRtiret"/>
    <w:uiPriority w:val="84"/>
    <w:qFormat/>
    <w:rsid w:val="005D3F1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D3F15"/>
    <w:pPr>
      <w:ind w:left="2257"/>
    </w:pPr>
  </w:style>
  <w:style w:type="paragraph" w:customStyle="1" w:styleId="ZZ2TIRwPKTzmianazmpodwtirwpkt">
    <w:name w:val="ZZ/2TIR_w_PKT – zmiana zm. podw. tir. w pkt"/>
    <w:basedOn w:val="ZZ2TIRwLITzmianazmpodwtirwlit"/>
    <w:uiPriority w:val="94"/>
    <w:qFormat/>
    <w:rsid w:val="005D3F15"/>
    <w:pPr>
      <w:ind w:left="3674"/>
    </w:pPr>
  </w:style>
  <w:style w:type="paragraph" w:customStyle="1" w:styleId="ZZCZWSP2TIRwTIRzmianazmczciwsppodwtirwtir">
    <w:name w:val="ZZ/CZ_WSP_2TIR_w_TIR – zmiana zm. części wsp. podw. tir. w tir."/>
    <w:basedOn w:val="ZZ2TIRwLITzmianazmpodwtirwlit"/>
    <w:uiPriority w:val="94"/>
    <w:qFormat/>
    <w:rsid w:val="005D3F15"/>
    <w:pPr>
      <w:ind w:left="2291" w:firstLine="0"/>
    </w:pPr>
  </w:style>
  <w:style w:type="paragraph" w:customStyle="1" w:styleId="Z2TIR2TIRwTIRzmpodwtirwtirpodwjnymtiret">
    <w:name w:val="Z_2TIR/2TIR_w_TIR – zm. podw. tir. w tir. podwójnym tiret"/>
    <w:basedOn w:val="TIRtiret"/>
    <w:uiPriority w:val="85"/>
    <w:qFormat/>
    <w:rsid w:val="005D3F1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D3F15"/>
    <w:pPr>
      <w:ind w:left="2177"/>
    </w:pPr>
  </w:style>
  <w:style w:type="paragraph" w:customStyle="1" w:styleId="Z2TIR2TIRwLITzmpodwtirwlitpodwjnymtiret">
    <w:name w:val="Z_2TIR/2TIR_w_LIT – zm. podw. tir. w lit. podwójnym tiret"/>
    <w:basedOn w:val="TIRtiret"/>
    <w:uiPriority w:val="86"/>
    <w:qFormat/>
    <w:rsid w:val="005D3F1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D3F1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D3F15"/>
    <w:pPr>
      <w:ind w:left="510"/>
    </w:pPr>
    <w:rPr>
      <w:b w:val="0"/>
    </w:rPr>
  </w:style>
  <w:style w:type="character" w:styleId="Odwoaniedokomentarza">
    <w:name w:val="annotation reference"/>
    <w:basedOn w:val="Domylnaczcionkaakapitu"/>
    <w:uiPriority w:val="99"/>
    <w:semiHidden/>
    <w:rsid w:val="005D3F15"/>
    <w:rPr>
      <w:sz w:val="16"/>
      <w:szCs w:val="16"/>
    </w:rPr>
  </w:style>
  <w:style w:type="paragraph" w:styleId="Tekstkomentarza">
    <w:name w:val="annotation text"/>
    <w:basedOn w:val="Normalny"/>
    <w:link w:val="TekstkomentarzaZnak"/>
    <w:uiPriority w:val="99"/>
    <w:rsid w:val="005D3F1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5D3F15"/>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5D3F15"/>
    <w:rPr>
      <w:b/>
      <w:bCs/>
    </w:rPr>
  </w:style>
  <w:style w:type="character" w:customStyle="1" w:styleId="TematkomentarzaZnak">
    <w:name w:val="Temat komentarza Znak"/>
    <w:basedOn w:val="TekstkomentarzaZnak"/>
    <w:link w:val="Tematkomentarza"/>
    <w:uiPriority w:val="99"/>
    <w:semiHidden/>
    <w:rsid w:val="005D3F15"/>
    <w:rPr>
      <w:rFonts w:ascii="Times" w:eastAsia="Times New Roman" w:hAnsi="Times" w:cs="Times New Roman"/>
      <w:b/>
      <w:bCs/>
      <w:sz w:val="24"/>
      <w:szCs w:val="24"/>
      <w:lang w:eastAsia="pl-PL"/>
    </w:rPr>
  </w:style>
  <w:style w:type="paragraph" w:customStyle="1" w:styleId="ZZWMATFIZCHEMzmwzorumatfizlubchem">
    <w:name w:val="ZZ/W_MAT(FIZ|CHEM) – zm. wzoru mat. (fiz. lub chem.)"/>
    <w:basedOn w:val="ZWMATFIZCHEMzmwzorumatfizlubchemartykuempunktem"/>
    <w:uiPriority w:val="71"/>
    <w:qFormat/>
    <w:rsid w:val="005D3F15"/>
    <w:pPr>
      <w:ind w:left="2404"/>
    </w:pPr>
  </w:style>
  <w:style w:type="paragraph" w:customStyle="1" w:styleId="ODNONIKtreodnonika">
    <w:name w:val="ODNOŚNIK – treść odnośnika"/>
    <w:uiPriority w:val="19"/>
    <w:qFormat/>
    <w:rsid w:val="005D3F15"/>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5D3F1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D3F1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D3F15"/>
    <w:rPr>
      <w:rFonts w:ascii="Times New Roman" w:hAnsi="Times New Roman"/>
    </w:rPr>
  </w:style>
  <w:style w:type="paragraph" w:customStyle="1" w:styleId="ZTIRTIRwPKTzmtirwpkttiret">
    <w:name w:val="Z_TIR/TIR_w_PKT – zm. tir. w pkt tiret"/>
    <w:basedOn w:val="ZTIRTIRwLITzmtirwlittiret"/>
    <w:uiPriority w:val="57"/>
    <w:qFormat/>
    <w:rsid w:val="005D3F15"/>
    <w:pPr>
      <w:ind w:left="2733"/>
    </w:pPr>
  </w:style>
  <w:style w:type="paragraph" w:customStyle="1" w:styleId="ZTIRCZWSPTIRwPKTzmczciwsptirtiret">
    <w:name w:val="Z_TIR/CZ_WSP_TIR_w_PKT – zm. części wsp. tir. tiret"/>
    <w:basedOn w:val="ZTIRTIRwPKTzmtirwpkttiret"/>
    <w:next w:val="TIRtiret"/>
    <w:uiPriority w:val="60"/>
    <w:qFormat/>
    <w:rsid w:val="005D3F1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D3F15"/>
    <w:pPr>
      <w:ind w:left="510" w:firstLine="0"/>
    </w:pPr>
  </w:style>
  <w:style w:type="paragraph" w:customStyle="1" w:styleId="ROZDZODDZOZNoznaczenierozdziauluboddziau">
    <w:name w:val="ROZDZ(ODDZ)_OZN – oznaczenie rozdziału lub oddziału"/>
    <w:next w:val="ARTartustawynprozporzdzenia"/>
    <w:uiPriority w:val="10"/>
    <w:qFormat/>
    <w:rsid w:val="005D3F15"/>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5D3F15"/>
    <w:pPr>
      <w:ind w:left="2177"/>
    </w:pPr>
  </w:style>
  <w:style w:type="paragraph" w:customStyle="1" w:styleId="Z2TIRTIRzmtirpodwjnymtiret">
    <w:name w:val="Z_2TIR/TIR – zm. tir. podwójnym tiret"/>
    <w:basedOn w:val="TIRtiret"/>
    <w:uiPriority w:val="84"/>
    <w:qFormat/>
    <w:rsid w:val="005D3F1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D3F15"/>
    <w:pPr>
      <w:ind w:left="1021"/>
    </w:pPr>
  </w:style>
  <w:style w:type="paragraph" w:customStyle="1" w:styleId="ZLITSKARNzmsankcjikarnejliter">
    <w:name w:val="Z_LIT/S_KARN – zm. sankcji karnej literą"/>
    <w:basedOn w:val="ZSKARNzmsankcjikarnejwszczeglnociwKodeksiekarnym"/>
    <w:uiPriority w:val="53"/>
    <w:qFormat/>
    <w:rsid w:val="005D3F1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D3F15"/>
    <w:pPr>
      <w:ind w:left="1021"/>
    </w:pPr>
  </w:style>
  <w:style w:type="paragraph" w:customStyle="1" w:styleId="ZUSTzmustartykuempunktem">
    <w:name w:val="Z/UST(§) – zm. ust. (§) artykułem (punktem)"/>
    <w:basedOn w:val="ZARTzmartartykuempunktem"/>
    <w:uiPriority w:val="30"/>
    <w:qFormat/>
    <w:rsid w:val="005D3F15"/>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D3F15"/>
    <w:pPr>
      <w:ind w:left="1894" w:firstLine="0"/>
    </w:pPr>
  </w:style>
  <w:style w:type="paragraph" w:customStyle="1" w:styleId="Z2TIRwLITzmpodwtirwlitartykuempunktem">
    <w:name w:val="Z/2TIR_w_LIT – zm. podw. tir. w lit. artykułem (punktem)"/>
    <w:basedOn w:val="Z2TIRwPKTzmpodwtirwpktartykuempunktem"/>
    <w:uiPriority w:val="74"/>
    <w:qFormat/>
    <w:rsid w:val="005D3F15"/>
    <w:pPr>
      <w:ind w:left="1780"/>
    </w:pPr>
  </w:style>
  <w:style w:type="paragraph" w:customStyle="1" w:styleId="Z2TIRwTIRzmpodwtirwtirartykuempunktem">
    <w:name w:val="Z/2TIR_w_TIR – zm. podw. tir. w tir. artykułem (punktem)"/>
    <w:basedOn w:val="Z2TIRwLITzmpodwtirwlitartykuempunktem"/>
    <w:uiPriority w:val="73"/>
    <w:qFormat/>
    <w:rsid w:val="005D3F1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D3F1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D3F15"/>
    <w:pPr>
      <w:ind w:left="1383" w:firstLine="0"/>
    </w:pPr>
  </w:style>
  <w:style w:type="paragraph" w:customStyle="1" w:styleId="PKTODNONIKApunktodnonika">
    <w:name w:val="PKT_ODNOŚNIKA – punkt odnośnika"/>
    <w:basedOn w:val="ODNONIKtreodnonika"/>
    <w:uiPriority w:val="19"/>
    <w:qFormat/>
    <w:rsid w:val="005D3F15"/>
    <w:pPr>
      <w:ind w:left="568"/>
    </w:pPr>
  </w:style>
  <w:style w:type="paragraph" w:customStyle="1" w:styleId="ZODNONIKAzmtekstuodnonikaartykuempunktem">
    <w:name w:val="Z/ODNOŚNIKA – zm. tekstu odnośnika artykułem (punktem)"/>
    <w:basedOn w:val="ODNONIKtreodnonika"/>
    <w:uiPriority w:val="39"/>
    <w:qFormat/>
    <w:rsid w:val="005D3F1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D3F15"/>
    <w:pPr>
      <w:ind w:left="1304"/>
    </w:pPr>
  </w:style>
  <w:style w:type="paragraph" w:customStyle="1" w:styleId="ZPKTODNONIKAzmpktodnonikaartykuempunktem">
    <w:name w:val="Z/PKT_ODNOŚNIKA – zm. pkt odnośnika artykułem (punktem)"/>
    <w:basedOn w:val="ZODNONIKAzmtekstuodnonikaartykuempunktem"/>
    <w:uiPriority w:val="39"/>
    <w:qFormat/>
    <w:rsid w:val="005D3F15"/>
  </w:style>
  <w:style w:type="paragraph" w:customStyle="1" w:styleId="ZLIT2TIRwTIRzmpodwtirwtirliter">
    <w:name w:val="Z_LIT/2TIR_w_TIR – zm. podw. tir. w tir. literą"/>
    <w:basedOn w:val="ZLIT2TIRzmpodwtirliter"/>
    <w:uiPriority w:val="75"/>
    <w:qFormat/>
    <w:rsid w:val="005D3F15"/>
    <w:pPr>
      <w:ind w:left="1780"/>
    </w:pPr>
  </w:style>
  <w:style w:type="paragraph" w:customStyle="1" w:styleId="ZLIT2TIRwLITzmpodwtirwlitliter">
    <w:name w:val="Z_LIT/2TIR_w_LIT – zm. podw. tir. w lit. literą"/>
    <w:basedOn w:val="ZLIT2TIRwTIRzmpodwtirwtirliter"/>
    <w:uiPriority w:val="76"/>
    <w:qFormat/>
    <w:rsid w:val="005D3F15"/>
    <w:pPr>
      <w:ind w:left="2257"/>
    </w:pPr>
  </w:style>
  <w:style w:type="paragraph" w:customStyle="1" w:styleId="ZLIT2TIRwPKTzmpodwtirwpktliter">
    <w:name w:val="Z_LIT/2TIR_w_PKT – zm. podw. tir. w pkt literą"/>
    <w:basedOn w:val="ZLIT2TIRwLITzmpodwtirwlitliter"/>
    <w:uiPriority w:val="76"/>
    <w:qFormat/>
    <w:rsid w:val="005D3F1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D3F1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D3F1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D3F15"/>
    <w:pPr>
      <w:ind w:left="2370" w:firstLine="0"/>
    </w:pPr>
  </w:style>
  <w:style w:type="paragraph" w:customStyle="1" w:styleId="ZTIR2TIRwPKTzmpodwtirwpkttiret">
    <w:name w:val="Z_TIR/2TIR_w_PKT – zm. podw. tir. w pkt tiret"/>
    <w:basedOn w:val="ZTIR2TIRwLITzmpodwtirwlittiret"/>
    <w:uiPriority w:val="79"/>
    <w:qFormat/>
    <w:rsid w:val="005D3F1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D3F1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D3F15"/>
    <w:pPr>
      <w:ind w:left="2767"/>
    </w:pPr>
  </w:style>
  <w:style w:type="paragraph" w:customStyle="1" w:styleId="ZZCZWSP2TIRwPKTzmianazmczciwsppodwtirwpkt">
    <w:name w:val="ZZ/CZ_WSP_2TIR_w_PKT – zmiana zm. części wsp. podw. tir. w pkt"/>
    <w:basedOn w:val="ZZ2TIRwLITzmianazmpodwtirwlit"/>
    <w:uiPriority w:val="95"/>
    <w:qFormat/>
    <w:rsid w:val="005D3F1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D3F15"/>
  </w:style>
  <w:style w:type="paragraph" w:customStyle="1" w:styleId="ZLITCZWSP2TIRzmczciwsppodwtirliter">
    <w:name w:val="Z_LIT/CZ_WSP_2TIR – zm. części wsp. podw. tir. literą"/>
    <w:basedOn w:val="ZLITCZWSPPKTzmczciwsppktliter"/>
    <w:next w:val="LITlitera"/>
    <w:uiPriority w:val="76"/>
    <w:qFormat/>
    <w:rsid w:val="005D3F15"/>
  </w:style>
  <w:style w:type="paragraph" w:customStyle="1" w:styleId="ZTIRCZWSP2TIRzmczciwsppodwtirtiret">
    <w:name w:val="Z_TIR/CZ_WSP_2TIR – zm. części wsp. podw. tir. tiret"/>
    <w:basedOn w:val="ZLITCZWSP2TIRzmczciwsppodwtirliter"/>
    <w:next w:val="TIRtiret"/>
    <w:uiPriority w:val="79"/>
    <w:qFormat/>
    <w:rsid w:val="005D3F15"/>
  </w:style>
  <w:style w:type="paragraph" w:customStyle="1" w:styleId="ZZ2TIRzmianazmpodwtir">
    <w:name w:val="ZZ/2TIR – zmiana zm. podw. tir."/>
    <w:basedOn w:val="ZZCZWSP2TIRzmianazmczciwsppodwtir"/>
    <w:uiPriority w:val="93"/>
    <w:qFormat/>
    <w:rsid w:val="005D3F1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D3F15"/>
  </w:style>
  <w:style w:type="paragraph" w:customStyle="1" w:styleId="ZCZWSPTIRzmczciwsptirartykuempunktem">
    <w:name w:val="Z/CZ_WSP_TIR – zm. części wsp. tir. artykułem (punktem)"/>
    <w:basedOn w:val="ZCZWSPPKTzmczciwsppktartykuempunktem"/>
    <w:next w:val="PKTpunkt"/>
    <w:uiPriority w:val="35"/>
    <w:qFormat/>
    <w:rsid w:val="005D3F15"/>
  </w:style>
  <w:style w:type="paragraph" w:customStyle="1" w:styleId="ZLITCZWSPLITzmczciwsplitliter">
    <w:name w:val="Z_LIT/CZ_WSP_LIT – zm. części wsp. lit. literą"/>
    <w:basedOn w:val="ZLITCZWSPPKTzmczciwsppktliter"/>
    <w:next w:val="LITlitera"/>
    <w:uiPriority w:val="51"/>
    <w:qFormat/>
    <w:rsid w:val="005D3F15"/>
  </w:style>
  <w:style w:type="paragraph" w:customStyle="1" w:styleId="ZLITCZWSPTIRzmczciwsptirliter">
    <w:name w:val="Z_LIT/CZ_WSP_TIR – zm. części wsp. tir. literą"/>
    <w:basedOn w:val="ZLITCZWSPPKTzmczciwsppktliter"/>
    <w:next w:val="LITlitera"/>
    <w:uiPriority w:val="51"/>
    <w:qFormat/>
    <w:rsid w:val="005D3F15"/>
  </w:style>
  <w:style w:type="paragraph" w:customStyle="1" w:styleId="ZTIRCZWSPLITzmczciwsplittiret">
    <w:name w:val="Z_TIR/CZ_WSP_LIT – zm. części wsp. lit. tiret"/>
    <w:basedOn w:val="ZTIRCZWSPPKTzmczciwsppkttiret"/>
    <w:next w:val="TIRtiret"/>
    <w:uiPriority w:val="59"/>
    <w:qFormat/>
    <w:rsid w:val="005D3F15"/>
  </w:style>
  <w:style w:type="paragraph" w:customStyle="1" w:styleId="ZTIRCZWSPTIRzmczciwsptirtiret">
    <w:name w:val="Z_TIR/CZ_WSP_TIR – zm. części wsp. tir. tiret"/>
    <w:basedOn w:val="ZTIRCZWSPPKTzmczciwsppkttiret"/>
    <w:next w:val="TIRtiret"/>
    <w:uiPriority w:val="60"/>
    <w:qFormat/>
    <w:rsid w:val="005D3F15"/>
  </w:style>
  <w:style w:type="paragraph" w:customStyle="1" w:styleId="ZZCZWSPLITzmianazmczciwsplit">
    <w:name w:val="ZZ/CZ_WSP_LIT – zmiana. zm. części wsp. lit."/>
    <w:basedOn w:val="ZZCZWSPPKTzmianazmczciwsppkt"/>
    <w:uiPriority w:val="69"/>
    <w:qFormat/>
    <w:rsid w:val="005D3F15"/>
  </w:style>
  <w:style w:type="paragraph" w:customStyle="1" w:styleId="ZZCZWSPTIRzmianazmczciwsptir">
    <w:name w:val="ZZ/CZ_WSP_TIR – zmiana. zm. części wsp. tir."/>
    <w:basedOn w:val="ZZCZWSPPKTzmianazmczciwsppkt"/>
    <w:uiPriority w:val="69"/>
    <w:qFormat/>
    <w:rsid w:val="005D3F15"/>
  </w:style>
  <w:style w:type="paragraph" w:customStyle="1" w:styleId="Z2TIRCZWSPTIRzmczciwsptirpodwjnymtiret">
    <w:name w:val="Z_2TIR/CZ_WSP_TIR – zm. części wsp. tir. podwójnym tiret"/>
    <w:basedOn w:val="Z2TIRCZWSPLITzmczciwsplitpodwjnymtiret"/>
    <w:next w:val="2TIRpodwjnytiret"/>
    <w:uiPriority w:val="87"/>
    <w:qFormat/>
    <w:rsid w:val="005D3F1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D3F15"/>
  </w:style>
  <w:style w:type="paragraph" w:customStyle="1" w:styleId="TYTDZPRZEDMprzedmiotregulacjitytuulubdziau">
    <w:name w:val="TYT(DZ)_PRZEDM – przedmiot regulacji tytułu lub działu"/>
    <w:next w:val="ARTartustawynprozporzdzenia"/>
    <w:uiPriority w:val="9"/>
    <w:qFormat/>
    <w:rsid w:val="005D3F15"/>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5D3F1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D3F1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D3F1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D3F1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D3F1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D3F15"/>
    <w:pPr>
      <w:ind w:left="1894"/>
    </w:pPr>
  </w:style>
  <w:style w:type="paragraph" w:customStyle="1" w:styleId="P1wTABELIpoziom1numeracjiwtabeli">
    <w:name w:val="P1_w_TABELI – poziom 1 numeracji w tabeli"/>
    <w:basedOn w:val="PKTpunkt"/>
    <w:uiPriority w:val="24"/>
    <w:qFormat/>
    <w:rsid w:val="005D3F1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D3F15"/>
    <w:pPr>
      <w:ind w:left="0" w:firstLine="0"/>
    </w:pPr>
  </w:style>
  <w:style w:type="paragraph" w:customStyle="1" w:styleId="P2wTABELIpoziom2numeracjiwtabeli">
    <w:name w:val="P2_w_TABELI – poziom 2 numeracji w tabeli"/>
    <w:basedOn w:val="P1wTABELIpoziom1numeracjiwtabeli"/>
    <w:uiPriority w:val="24"/>
    <w:qFormat/>
    <w:rsid w:val="005D3F15"/>
    <w:pPr>
      <w:ind w:left="794"/>
    </w:pPr>
  </w:style>
  <w:style w:type="paragraph" w:customStyle="1" w:styleId="P3wTABELIpoziom3numeracjiwtabeli">
    <w:name w:val="P3_w_TABELI – poziom 3 numeracji w tabeli"/>
    <w:basedOn w:val="P2wTABELIpoziom2numeracjiwtabeli"/>
    <w:uiPriority w:val="24"/>
    <w:qFormat/>
    <w:rsid w:val="005D3F1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D3F1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D3F1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D3F15"/>
    <w:pPr>
      <w:ind w:left="1191"/>
    </w:pPr>
  </w:style>
  <w:style w:type="paragraph" w:customStyle="1" w:styleId="P4wTABELIpoziom4numeracjiwtabeli">
    <w:name w:val="P4_w_TABELI – poziom 4 numeracji w tabeli"/>
    <w:basedOn w:val="P3wTABELIpoziom3numeracjiwtabeli"/>
    <w:uiPriority w:val="24"/>
    <w:qFormat/>
    <w:rsid w:val="005D3F15"/>
    <w:pPr>
      <w:ind w:left="1588"/>
    </w:pPr>
  </w:style>
  <w:style w:type="paragraph" w:customStyle="1" w:styleId="TYTTABELItytutabeli">
    <w:name w:val="TYT_TABELI – tytuł tabeli"/>
    <w:basedOn w:val="TYTDZOZNoznaczenietytuulubdziau"/>
    <w:uiPriority w:val="22"/>
    <w:qFormat/>
    <w:rsid w:val="005D3F15"/>
    <w:rPr>
      <w:b/>
    </w:rPr>
  </w:style>
  <w:style w:type="paragraph" w:customStyle="1" w:styleId="OZNPROJEKTUwskazaniedatylubwersjiprojektu">
    <w:name w:val="OZN_PROJEKTU – wskazanie daty lub wersji projektu"/>
    <w:next w:val="OZNRODZAKTUtznustawalubrozporzdzenieiorganwydajcy"/>
    <w:uiPriority w:val="5"/>
    <w:qFormat/>
    <w:rsid w:val="005D3F15"/>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D3F1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D3F15"/>
    <w:pPr>
      <w:ind w:left="0" w:right="4820"/>
      <w:jc w:val="left"/>
    </w:pPr>
  </w:style>
  <w:style w:type="paragraph" w:customStyle="1" w:styleId="TEKSTwporozumieniu">
    <w:name w:val="TEKST&quot;w porozumieniu:&quot;"/>
    <w:next w:val="NAZORGWPOROZUMIENIUnazwaorganuwporozumieniuzktrymaktjestwydawany"/>
    <w:uiPriority w:val="27"/>
    <w:qFormat/>
    <w:rsid w:val="005D3F15"/>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5D3F1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D3F15"/>
    <w:pPr>
      <w:ind w:left="510" w:firstLine="0"/>
    </w:pPr>
  </w:style>
  <w:style w:type="paragraph" w:customStyle="1" w:styleId="NOTATKILEGISLATORA">
    <w:name w:val="NOTATKI_LEGISLATORA"/>
    <w:basedOn w:val="Normalny"/>
    <w:uiPriority w:val="5"/>
    <w:qFormat/>
    <w:rsid w:val="005D3F15"/>
    <w:rPr>
      <w:b/>
      <w:i/>
    </w:rPr>
  </w:style>
  <w:style w:type="paragraph" w:customStyle="1" w:styleId="OZNZACZNIKAwskazanienrzacznika">
    <w:name w:val="OZN_ZAŁĄCZNIKA – wskazanie nr załącznika"/>
    <w:basedOn w:val="OZNPROJEKTUwskazaniedatylubwersjiprojektu"/>
    <w:uiPriority w:val="28"/>
    <w:qFormat/>
    <w:rsid w:val="005D3F15"/>
    <w:pPr>
      <w:keepNext/>
    </w:pPr>
    <w:rPr>
      <w:b/>
      <w:u w:val="none"/>
    </w:rPr>
  </w:style>
  <w:style w:type="paragraph" w:customStyle="1" w:styleId="OZNPARAFYADNOTACJE">
    <w:name w:val="OZN_PARAFY(ADNOTACJE)"/>
    <w:basedOn w:val="ODNONIKtreodnonika"/>
    <w:uiPriority w:val="26"/>
    <w:qFormat/>
    <w:rsid w:val="005D3F15"/>
  </w:style>
  <w:style w:type="paragraph" w:customStyle="1" w:styleId="TEKSTZacznikido">
    <w:name w:val="TEKST&quot;Załącznik(i) do ...&quot;"/>
    <w:uiPriority w:val="28"/>
    <w:qFormat/>
    <w:rsid w:val="005D3F15"/>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5D3F15"/>
    <w:pPr>
      <w:ind w:left="851"/>
    </w:pPr>
  </w:style>
  <w:style w:type="paragraph" w:customStyle="1" w:styleId="CZWSPLITODNONIKAczwspliterodnonika">
    <w:name w:val="CZ_WSP_LIT_ODNOŚNIKA – część wsp. liter odnośnika"/>
    <w:basedOn w:val="LITODNONIKAliteraodnonika"/>
    <w:uiPriority w:val="22"/>
    <w:qFormat/>
    <w:rsid w:val="005D3F1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D3F1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D3F1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D3F1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D3F1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D3F1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D3F1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D3F15"/>
  </w:style>
  <w:style w:type="paragraph" w:customStyle="1" w:styleId="ZLITwPKTODNONIKAzmlitwpktodnonikaartykuempunktem">
    <w:name w:val="Z/LIT_w_PKT_ODNOŚNIKA – zm. lit. w pkt odnośnika artykułem (punktem)"/>
    <w:basedOn w:val="ZLITODNONIKAzmlitodnonikaartykuempunktem"/>
    <w:uiPriority w:val="40"/>
    <w:qFormat/>
    <w:rsid w:val="005D3F1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D3F1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D3F1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D3F1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D3F1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D3F1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D3F15"/>
  </w:style>
  <w:style w:type="paragraph" w:customStyle="1" w:styleId="ZZFRAGzmianazmfragmentunpzdania">
    <w:name w:val="ZZ/FRAG – zmiana zm. fragmentu (np. zdania)"/>
    <w:basedOn w:val="ZZCZWSPPKTzmianazmczciwsppkt"/>
    <w:uiPriority w:val="70"/>
    <w:qFormat/>
    <w:rsid w:val="005D3F15"/>
  </w:style>
  <w:style w:type="paragraph" w:customStyle="1" w:styleId="Z2TIRPKTzmpktpodwjnymtiret">
    <w:name w:val="Z_2TIR/PKT – zm. pkt podwójnym tiret"/>
    <w:basedOn w:val="Z2TIRLITzmlitpodwjnymtiret"/>
    <w:uiPriority w:val="83"/>
    <w:qFormat/>
    <w:rsid w:val="005D3F1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D3F1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D3F1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D3F1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D3F15"/>
    <w:pPr>
      <w:ind w:left="1780" w:firstLine="510"/>
    </w:pPr>
  </w:style>
  <w:style w:type="paragraph" w:customStyle="1" w:styleId="Z2TIRUSTzmustpodwjnymtiret">
    <w:name w:val="Z_2TIR/UST(§) – zm. ust. (§) podwójnym tiret"/>
    <w:basedOn w:val="Z2TIRPKTzmpktpodwjnymtiret"/>
    <w:uiPriority w:val="82"/>
    <w:qFormat/>
    <w:rsid w:val="005D3F1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D3F15"/>
    <w:pPr>
      <w:ind w:left="3164" w:firstLine="0"/>
    </w:pPr>
  </w:style>
  <w:style w:type="paragraph" w:customStyle="1" w:styleId="Z2TIRCZWSPPKTzmczciwsppktpodwjnymtiret">
    <w:name w:val="Z_2TIR/CZ_WSP_PKT – zm. części wsp. pkt podwójnym tiret"/>
    <w:basedOn w:val="Z2TIRPKTzmpktpodwjnymtiret"/>
    <w:uiPriority w:val="86"/>
    <w:qFormat/>
    <w:rsid w:val="005D3F1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D3F1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D3F15"/>
    <w:pPr>
      <w:ind w:left="2767" w:firstLine="0"/>
    </w:pPr>
  </w:style>
  <w:style w:type="paragraph" w:customStyle="1" w:styleId="ZLITARTzmartliter">
    <w:name w:val="Z_LIT/ART(§) – zm. art. (§) literą"/>
    <w:basedOn w:val="ZLITUSTzmustliter"/>
    <w:uiPriority w:val="46"/>
    <w:qFormat/>
    <w:rsid w:val="005D3F15"/>
    <w:rPr>
      <w:rFonts w:ascii="Times New Roman" w:hAnsi="Times New Roman"/>
    </w:rPr>
  </w:style>
  <w:style w:type="paragraph" w:customStyle="1" w:styleId="ZTIRARTzmarttiret">
    <w:name w:val="Z_TIR/ART(§) – zm. art. (§) tiret"/>
    <w:basedOn w:val="ZTIRPKTzmpkttiret"/>
    <w:uiPriority w:val="55"/>
    <w:qFormat/>
    <w:rsid w:val="005D3F15"/>
    <w:pPr>
      <w:ind w:left="1383" w:firstLine="510"/>
    </w:pPr>
    <w:rPr>
      <w:rFonts w:ascii="Times New Roman" w:hAnsi="Times New Roman"/>
    </w:rPr>
  </w:style>
  <w:style w:type="paragraph" w:customStyle="1" w:styleId="ZTIRUSTzmusttiret">
    <w:name w:val="Z_TIR/UST(§) – zm. ust. (§) tiret"/>
    <w:basedOn w:val="ZTIRARTzmarttiret"/>
    <w:uiPriority w:val="55"/>
    <w:qFormat/>
    <w:rsid w:val="005D3F15"/>
  </w:style>
  <w:style w:type="paragraph" w:customStyle="1" w:styleId="ZLITKSIGIzmozniprzedmksigiliter">
    <w:name w:val="Z_LIT/KSIĘGI – zm. ozn. i przedm. księgi literą"/>
    <w:basedOn w:val="ZCZCIKSIGIzmozniprzedmczciksigiartykuempunktem"/>
    <w:uiPriority w:val="44"/>
    <w:qFormat/>
    <w:rsid w:val="005D3F1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D3F1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D3F1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D3F1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D3F15"/>
    <w:pPr>
      <w:ind w:left="987"/>
    </w:pPr>
  </w:style>
  <w:style w:type="paragraph" w:customStyle="1" w:styleId="ZTIRDZOZNzmozndziautiret">
    <w:name w:val="Z_TIR/DZ_OZN – zm. ozn. działu tiret"/>
    <w:basedOn w:val="ZLITTYTDZOZNzmozntytuudziauliter"/>
    <w:next w:val="ZTIRDZPRZEDMzmprzedmdziautiret"/>
    <w:uiPriority w:val="54"/>
    <w:qFormat/>
    <w:rsid w:val="005D3F15"/>
    <w:pPr>
      <w:ind w:left="1383"/>
    </w:pPr>
  </w:style>
  <w:style w:type="paragraph" w:customStyle="1" w:styleId="ZTIRDZPRZEDMzmprzedmdziautiret">
    <w:name w:val="Z_TIR/DZ_PRZEDM – zm. przedm. działu tiret"/>
    <w:basedOn w:val="ZLITTYTDZPRZEDMzmprzedmtytuudziauliter"/>
    <w:uiPriority w:val="54"/>
    <w:qFormat/>
    <w:rsid w:val="005D3F1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D3F15"/>
    <w:pPr>
      <w:ind w:left="1383"/>
    </w:pPr>
  </w:style>
  <w:style w:type="paragraph" w:customStyle="1" w:styleId="ZTIRROZDZODDZPRZEDMzmprzedmrozdzoddztiret">
    <w:name w:val="Z_TIR/ROZDZ(ODDZ)_PRZEDM – zm. przedm. rozdz. (oddz.) tiret"/>
    <w:basedOn w:val="ZLITROZDZODDZPRZEDMzmprzedmrozdzoddzliter"/>
    <w:uiPriority w:val="54"/>
    <w:qFormat/>
    <w:rsid w:val="005D3F1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D3F1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D3F15"/>
    <w:pPr>
      <w:ind w:left="1780"/>
    </w:pPr>
  </w:style>
  <w:style w:type="character" w:customStyle="1" w:styleId="IGindeksgrny">
    <w:name w:val="_IG_ – indeks górny"/>
    <w:basedOn w:val="Domylnaczcionkaakapitu"/>
    <w:uiPriority w:val="2"/>
    <w:qFormat/>
    <w:rsid w:val="005D3F15"/>
    <w:rPr>
      <w:b w:val="0"/>
      <w:i w:val="0"/>
      <w:vanish w:val="0"/>
      <w:spacing w:val="0"/>
      <w:vertAlign w:val="superscript"/>
    </w:rPr>
  </w:style>
  <w:style w:type="character" w:customStyle="1" w:styleId="IDindeksdolny">
    <w:name w:val="_ID_ – indeks dolny"/>
    <w:basedOn w:val="Domylnaczcionkaakapitu"/>
    <w:uiPriority w:val="3"/>
    <w:qFormat/>
    <w:rsid w:val="005D3F1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D3F15"/>
    <w:rPr>
      <w:b/>
      <w:vanish w:val="0"/>
      <w:spacing w:val="0"/>
      <w:vertAlign w:val="subscript"/>
    </w:rPr>
  </w:style>
  <w:style w:type="character" w:customStyle="1" w:styleId="IDKindeksdolnyikursywa">
    <w:name w:val="_ID_K_ – indeks dolny i kursywa"/>
    <w:basedOn w:val="Domylnaczcionkaakapitu"/>
    <w:uiPriority w:val="3"/>
    <w:qFormat/>
    <w:rsid w:val="005D3F15"/>
    <w:rPr>
      <w:i/>
      <w:vanish w:val="0"/>
      <w:spacing w:val="0"/>
      <w:vertAlign w:val="subscript"/>
    </w:rPr>
  </w:style>
  <w:style w:type="character" w:customStyle="1" w:styleId="IGPindeksgrnyipogrubienie">
    <w:name w:val="_IG_P_ – indeks górny i pogrubienie"/>
    <w:basedOn w:val="Domylnaczcionkaakapitu"/>
    <w:uiPriority w:val="2"/>
    <w:qFormat/>
    <w:rsid w:val="005D3F15"/>
    <w:rPr>
      <w:b/>
      <w:vanish w:val="0"/>
      <w:spacing w:val="0"/>
      <w:vertAlign w:val="superscript"/>
    </w:rPr>
  </w:style>
  <w:style w:type="character" w:customStyle="1" w:styleId="IGKindeksgrnyikursywa">
    <w:name w:val="_IG_K_ – indeks górny i kursywa"/>
    <w:basedOn w:val="Domylnaczcionkaakapitu"/>
    <w:uiPriority w:val="2"/>
    <w:qFormat/>
    <w:rsid w:val="005D3F1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D3F1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D3F15"/>
    <w:rPr>
      <w:b/>
      <w:i/>
      <w:vanish w:val="0"/>
      <w:spacing w:val="0"/>
      <w:vertAlign w:val="subscript"/>
    </w:rPr>
  </w:style>
  <w:style w:type="character" w:customStyle="1" w:styleId="Ppogrubienie">
    <w:name w:val="_P_ – pogrubienie"/>
    <w:basedOn w:val="Domylnaczcionkaakapitu"/>
    <w:uiPriority w:val="1"/>
    <w:qFormat/>
    <w:rsid w:val="005D3F15"/>
    <w:rPr>
      <w:b/>
    </w:rPr>
  </w:style>
  <w:style w:type="character" w:customStyle="1" w:styleId="Kkursywa">
    <w:name w:val="_K_ – kursywa"/>
    <w:basedOn w:val="Domylnaczcionkaakapitu"/>
    <w:uiPriority w:val="1"/>
    <w:qFormat/>
    <w:rsid w:val="005D3F15"/>
    <w:rPr>
      <w:i/>
    </w:rPr>
  </w:style>
  <w:style w:type="character" w:customStyle="1" w:styleId="PKpogrubieniekursywa">
    <w:name w:val="_P_K_ – pogrubienie kursywa"/>
    <w:basedOn w:val="Domylnaczcionkaakapitu"/>
    <w:uiPriority w:val="1"/>
    <w:qFormat/>
    <w:rsid w:val="005D3F15"/>
    <w:rPr>
      <w:b/>
      <w:i/>
    </w:rPr>
  </w:style>
  <w:style w:type="character" w:customStyle="1" w:styleId="TEKSTOZNACZONYWDOKUMENCIERDOWYMJAKOUKRYTY">
    <w:name w:val="_TEKST_OZNACZONY_W_DOKUMENCIE_ŹRÓDŁOWYM_JAKO_UKRYTY_"/>
    <w:basedOn w:val="Domylnaczcionkaakapitu"/>
    <w:uiPriority w:val="4"/>
    <w:unhideWhenUsed/>
    <w:qFormat/>
    <w:rsid w:val="005D3F15"/>
    <w:rPr>
      <w:vanish w:val="0"/>
      <w:color w:val="FF0000"/>
      <w:u w:val="single" w:color="FF0000"/>
    </w:rPr>
  </w:style>
  <w:style w:type="character" w:customStyle="1" w:styleId="BEZWERSALIKW">
    <w:name w:val="_BEZ_WERSALIKÓW_"/>
    <w:basedOn w:val="Domylnaczcionkaakapitu"/>
    <w:uiPriority w:val="4"/>
    <w:qFormat/>
    <w:rsid w:val="005D3F15"/>
    <w:rPr>
      <w:caps/>
    </w:rPr>
  </w:style>
  <w:style w:type="character" w:customStyle="1" w:styleId="IIGPindeksgrnyindeksugrnegoipogrubienie">
    <w:name w:val="_IIG_P_ – indeks górny indeksu górnego i pogrubienie"/>
    <w:basedOn w:val="Domylnaczcionkaakapitu"/>
    <w:uiPriority w:val="3"/>
    <w:qFormat/>
    <w:rsid w:val="005D3F1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D3F1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D3F1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5D3F1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5D3F1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5D3F15"/>
    <w:pPr>
      <w:ind w:left="1894"/>
    </w:pPr>
  </w:style>
  <w:style w:type="paragraph" w:customStyle="1" w:styleId="ZZSKARNzmianazmsankcjikarnej">
    <w:name w:val="ZZ/S_KARN – zmiana zm. sankcji karnej"/>
    <w:basedOn w:val="ZZFRAGzmianazmfragmentunpzdania"/>
    <w:uiPriority w:val="71"/>
    <w:qFormat/>
    <w:rsid w:val="005D3F1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D3F15"/>
    <w:pPr>
      <w:ind w:left="2291" w:firstLine="0"/>
    </w:pPr>
  </w:style>
  <w:style w:type="paragraph" w:customStyle="1" w:styleId="LEGWMATFIZCHEMlegendawzorumatfizlubchem">
    <w:name w:val="LEG_W_MAT(FIZ|CHEM) – legenda wzoru mat. (fiz. lub chem.)"/>
    <w:basedOn w:val="WMATFIZCHEMwzrmatfizlubchem"/>
    <w:uiPriority w:val="19"/>
    <w:qFormat/>
    <w:rsid w:val="005D3F1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D3F1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D3F1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D3F1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D3F1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D3F1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D3F1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D3F1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D3F15"/>
    <w:pPr>
      <w:ind w:left="3085"/>
    </w:pPr>
  </w:style>
  <w:style w:type="paragraph" w:customStyle="1" w:styleId="ZLITCYTzmcytatunpprzysigiliter">
    <w:name w:val="Z_LIT/CYT – zm. cytatu np. przysięgi literą"/>
    <w:basedOn w:val="ZCYTzmcytatunpprzysigiartykuempunktem"/>
    <w:uiPriority w:val="53"/>
    <w:qFormat/>
    <w:rsid w:val="005D3F15"/>
    <w:pPr>
      <w:ind w:left="1497"/>
    </w:pPr>
  </w:style>
  <w:style w:type="paragraph" w:customStyle="1" w:styleId="ZTIRCYTzmcytatunpprzysigitiret">
    <w:name w:val="Z_TIR/CYT – zm. cytatu np. przysięgi tiret"/>
    <w:basedOn w:val="ZLITCYTzmcytatunpprzysigiliter"/>
    <w:next w:val="ZTIRUSTzmusttiret"/>
    <w:uiPriority w:val="61"/>
    <w:qFormat/>
    <w:rsid w:val="005D3F1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D3F15"/>
    <w:pPr>
      <w:ind w:left="2291"/>
    </w:pPr>
  </w:style>
  <w:style w:type="paragraph" w:customStyle="1" w:styleId="ZZCYTzmianazmcytatunpprzysigi">
    <w:name w:val="ZZ/CYT – zmiana zm. cytatu np. przysięgi"/>
    <w:basedOn w:val="ZZFRAGzmianazmfragmentunpzdania"/>
    <w:next w:val="ZZUSTzmianazmust"/>
    <w:uiPriority w:val="71"/>
    <w:qFormat/>
    <w:rsid w:val="005D3F1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D3F15"/>
    <w:pPr>
      <w:ind w:left="1780"/>
    </w:pPr>
  </w:style>
  <w:style w:type="table" w:styleId="Tabela-Siatka">
    <w:name w:val="Table Grid"/>
    <w:basedOn w:val="Standardowy"/>
    <w:uiPriority w:val="39"/>
    <w:rsid w:val="005D3F15"/>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5D3F15"/>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D3F1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D3F1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D3F1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D3F15"/>
    <w:rPr>
      <w:color w:val="808080"/>
    </w:rPr>
  </w:style>
  <w:style w:type="paragraph" w:styleId="Poprawka">
    <w:name w:val="Revision"/>
    <w:hidden/>
    <w:uiPriority w:val="99"/>
    <w:semiHidden/>
    <w:rsid w:val="005D3F15"/>
    <w:pPr>
      <w:spacing w:after="0" w:line="240" w:lineRule="auto"/>
    </w:pPr>
    <w:rPr>
      <w:rFonts w:ascii="Times New Roman" w:eastAsiaTheme="minorEastAsia" w:hAnsi="Times New Roman" w:cs="Arial"/>
      <w:sz w:val="24"/>
      <w:szCs w:val="20"/>
      <w:lang w:eastAsia="pl-PL"/>
    </w:rPr>
  </w:style>
  <w:style w:type="paragraph" w:styleId="Tekstprzypisukocowego">
    <w:name w:val="endnote text"/>
    <w:basedOn w:val="Normalny"/>
    <w:link w:val="TekstprzypisukocowegoZnak"/>
    <w:uiPriority w:val="99"/>
    <w:semiHidden/>
    <w:unhideWhenUsed/>
    <w:rsid w:val="005D3F15"/>
    <w:pPr>
      <w:widowControl/>
      <w:autoSpaceDE/>
      <w:autoSpaceDN/>
      <w:adjustRightInd/>
      <w:spacing w:line="240" w:lineRule="auto"/>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5D3F15"/>
    <w:rPr>
      <w:rFonts w:ascii="Calibri" w:eastAsia="Calibri" w:hAnsi="Calibri" w:cs="Times New Roman"/>
      <w:sz w:val="20"/>
      <w:szCs w:val="20"/>
    </w:rPr>
  </w:style>
  <w:style w:type="character" w:styleId="Odwoanieprzypisukocowego">
    <w:name w:val="endnote reference"/>
    <w:uiPriority w:val="99"/>
    <w:semiHidden/>
    <w:unhideWhenUsed/>
    <w:rsid w:val="005D3F15"/>
    <w:rPr>
      <w:vertAlign w:val="superscript"/>
    </w:rPr>
  </w:style>
  <w:style w:type="paragraph" w:styleId="Akapitzlist">
    <w:name w:val="List Paragraph"/>
    <w:basedOn w:val="Normalny"/>
    <w:link w:val="AkapitzlistZnak"/>
    <w:uiPriority w:val="34"/>
    <w:qFormat/>
    <w:rsid w:val="005D3F15"/>
    <w:pPr>
      <w:widowControl/>
      <w:autoSpaceDE/>
      <w:autoSpaceDN/>
      <w:adjustRightInd/>
      <w:spacing w:line="276" w:lineRule="auto"/>
      <w:ind w:left="720"/>
      <w:contextualSpacing/>
    </w:pPr>
    <w:rPr>
      <w:rFonts w:ascii="Calibri" w:eastAsia="Calibri" w:hAnsi="Calibri" w:cs="Times New Roman"/>
      <w:sz w:val="22"/>
      <w:szCs w:val="22"/>
      <w:lang w:eastAsia="en-US"/>
    </w:rPr>
  </w:style>
  <w:style w:type="character" w:styleId="Hipercze">
    <w:name w:val="Hyperlink"/>
    <w:uiPriority w:val="99"/>
    <w:unhideWhenUsed/>
    <w:rsid w:val="005D3F15"/>
    <w:rPr>
      <w:color w:val="0000FF"/>
      <w:u w:val="single"/>
    </w:rPr>
  </w:style>
  <w:style w:type="character" w:styleId="UyteHipercze">
    <w:name w:val="FollowedHyperlink"/>
    <w:uiPriority w:val="99"/>
    <w:semiHidden/>
    <w:unhideWhenUsed/>
    <w:rsid w:val="005D3F15"/>
    <w:rPr>
      <w:color w:val="800080"/>
      <w:u w:val="single"/>
    </w:rPr>
  </w:style>
  <w:style w:type="paragraph" w:customStyle="1" w:styleId="Default">
    <w:name w:val="Default"/>
    <w:rsid w:val="005D3F15"/>
    <w:pPr>
      <w:autoSpaceDE w:val="0"/>
      <w:autoSpaceDN w:val="0"/>
      <w:adjustRightInd w:val="0"/>
      <w:spacing w:after="0" w:line="240" w:lineRule="auto"/>
    </w:pPr>
    <w:rPr>
      <w:rFonts w:ascii="Fira Sans" w:eastAsia="Calibri" w:hAnsi="Fira Sans" w:cs="Fira Sans"/>
      <w:color w:val="000000"/>
      <w:sz w:val="24"/>
      <w:szCs w:val="24"/>
      <w:lang w:eastAsia="pl-PL"/>
    </w:rPr>
  </w:style>
  <w:style w:type="numbering" w:customStyle="1" w:styleId="Bezlisty1">
    <w:name w:val="Bez listy1"/>
    <w:next w:val="Bezlisty"/>
    <w:uiPriority w:val="99"/>
    <w:semiHidden/>
    <w:unhideWhenUsed/>
    <w:rsid w:val="005D3F15"/>
  </w:style>
  <w:style w:type="paragraph" w:styleId="Tytu">
    <w:name w:val="Title"/>
    <w:basedOn w:val="Normalny"/>
    <w:next w:val="Normalny"/>
    <w:link w:val="TytuZnak"/>
    <w:uiPriority w:val="10"/>
    <w:qFormat/>
    <w:rsid w:val="005D3F15"/>
    <w:pPr>
      <w:widowControl/>
      <w:autoSpaceDE/>
      <w:autoSpaceDN/>
      <w:adjustRightInd/>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5D3F15"/>
    <w:rPr>
      <w:rFonts w:asciiTheme="majorHAnsi" w:eastAsiaTheme="majorEastAsia" w:hAnsiTheme="majorHAnsi" w:cstheme="majorBidi"/>
      <w:spacing w:val="-10"/>
      <w:kern w:val="28"/>
      <w:sz w:val="56"/>
      <w:szCs w:val="56"/>
    </w:rPr>
  </w:style>
  <w:style w:type="character" w:customStyle="1" w:styleId="AkapitzlistZnak">
    <w:name w:val="Akapit z listą Znak"/>
    <w:basedOn w:val="Domylnaczcionkaakapitu"/>
    <w:link w:val="Akapitzlist"/>
    <w:uiPriority w:val="34"/>
    <w:locked/>
    <w:rsid w:val="005D3F1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ne.gov.pl" TargetMode="External"/><Relationship Id="rId3" Type="http://schemas.openxmlformats.org/officeDocument/2006/relationships/settings" Target="settings.xml"/><Relationship Id="rId7" Type="http://schemas.openxmlformats.org/officeDocument/2006/relationships/hyperlink" Target="http://www.dane.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creativecommons.org/licenses/" TargetMode="External"/><Relationship Id="rId3" Type="http://schemas.openxmlformats.org/officeDocument/2006/relationships/hyperlink" Target="https://www.gov.pl/web/cyfryzacja/udostepniamy-podrecznik-ponowne-wykorzystywanie-informacji-sektora-publicznego" TargetMode="External"/><Relationship Id="rId7" Type="http://schemas.openxmlformats.org/officeDocument/2006/relationships/hyperlink" Target="http://opendefinition.org/" TargetMode="External"/><Relationship Id="rId2" Type="http://schemas.openxmlformats.org/officeDocument/2006/relationships/hyperlink" Target="https://ec.europa.eu/justice/article-29/documentation/opinion%20recommendation/index_en.htm" TargetMode="External"/><Relationship Id="rId1" Type="http://schemas.openxmlformats.org/officeDocument/2006/relationships/hyperlink" Target="https://dane.gov.pl/pl/knowledgebase/useful-materials/standardy-otwartosci-danych" TargetMode="External"/><Relationship Id="rId6" Type="http://schemas.openxmlformats.org/officeDocument/2006/relationships/hyperlink" Target="https://eur-lex.europa.eu/legal%20content/PL/TXT/?uri=CELEX%3A52014XC0724%2801%29" TargetMode="External"/><Relationship Id="rId5" Type="http://schemas.openxmlformats.org/officeDocument/2006/relationships/hyperlink" Target="https://dane.gov.pl/pl/knowledgebase/useful-materials/standardy-%20otwartosci-danych" TargetMode="External"/><Relationship Id="rId4" Type="http://schemas.openxmlformats.org/officeDocument/2006/relationships/hyperlink" Target="https://polon.nauka.gov.pl/opi/aa/rejestry/nauka?execution=e1s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66</Pages>
  <Words>21590</Words>
  <Characters>129543</Characters>
  <Application>Microsoft Office Word</Application>
  <DocSecurity>0</DocSecurity>
  <Lines>1079</Lines>
  <Paragraphs>301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150832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Wójcik Aleksandra</cp:lastModifiedBy>
  <cp:revision>3</cp:revision>
  <dcterms:created xsi:type="dcterms:W3CDTF">2021-06-28T09:03:00Z</dcterms:created>
  <dcterms:modified xsi:type="dcterms:W3CDTF">2021-06-28T09:11:00Z</dcterms:modified>
</cp:coreProperties>
</file>