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F42EC" w14:textId="77777777" w:rsidR="00416C18" w:rsidRPr="00723818" w:rsidRDefault="00C21DA4" w:rsidP="002847BF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3818">
        <w:rPr>
          <w:rFonts w:ascii="Times New Roman" w:hAnsi="Times New Roman" w:cs="Times New Roman"/>
          <w:sz w:val="24"/>
          <w:szCs w:val="24"/>
        </w:rPr>
        <w:t>UZASADNIENIE</w:t>
      </w:r>
    </w:p>
    <w:p w14:paraId="782E09B2" w14:textId="5E187A1A" w:rsidR="00C21DA4" w:rsidRPr="00723818" w:rsidRDefault="00C21DA4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Celem projektowanej ustawy </w:t>
      </w:r>
      <w:r w:rsidR="006508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 </w:t>
      </w:r>
      <w:r w:rsidR="00C315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zmianie ustawy o pracy na morzu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jest implementacj</w:t>
      </w:r>
      <w:r w:rsidR="00F4262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polskiego prawa zmian wynikających z Poprawek do Konwencji o pracy na morzu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2006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r. (Konwencja MLC), które zostały przyjęte przez Specjalny Trójstronny Komitet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dniu 27 kwietnia 2018 r., a następnie zatwierdzone przez Międzynarodową Konferencję Pracy w dniu 5 czerwca 2018 r. Przedmiotowe poprawki </w:t>
      </w:r>
      <w:r w:rsidR="0018318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weszły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życie w dniu 26 grudnia 2020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r., </w:t>
      </w:r>
      <w:r w:rsidR="00FA35A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bowiem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końca wyznaczonego terminu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tj. do dnia 26 czerwca 2020 r. sprzeciwu nie złoży</w:t>
      </w:r>
      <w:r w:rsidR="00FA35A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ło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więcej niż 40% państw</w:t>
      </w:r>
      <w:r w:rsidR="001A153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="001A153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stron Konwencji</w:t>
      </w:r>
      <w:r w:rsidR="00287A3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936E01C" w14:textId="0EBC1BD8" w:rsidR="00E54569" w:rsidRPr="00723818" w:rsidRDefault="00E54569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Poprawki 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2018 r.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Konwencji MLC mają na celu zabezpieczenie praw pracowniczych marynarzy w sytuacji ataku piratów </w:t>
      </w:r>
      <w:r w:rsidRPr="00723818">
        <w:rPr>
          <w:rFonts w:ascii="Times New Roman" w:hAnsi="Times New Roman" w:cs="Times New Roman"/>
          <w:sz w:val="24"/>
          <w:szCs w:val="24"/>
        </w:rPr>
        <w:t xml:space="preserve">lub zbrojnej napaści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statek i spowodowanego nim wymuszonego uwięzienia marynarzy </w:t>
      </w:r>
      <w:r w:rsidRPr="00723818">
        <w:rPr>
          <w:rFonts w:ascii="Times New Roman" w:hAnsi="Times New Roman" w:cs="Times New Roman"/>
          <w:sz w:val="24"/>
          <w:szCs w:val="24"/>
        </w:rPr>
        <w:t>na statku lub poza nim. Popr</w:t>
      </w:r>
      <w:r w:rsidR="001A153D" w:rsidRPr="00723818">
        <w:rPr>
          <w:rFonts w:ascii="Times New Roman" w:hAnsi="Times New Roman" w:cs="Times New Roman"/>
          <w:sz w:val="24"/>
          <w:szCs w:val="24"/>
        </w:rPr>
        <w:t>awki zapewniają bowiem ciągłość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marynarskiej umowy o pracę podczas uwięzienia mary</w:t>
      </w:r>
      <w:r w:rsidR="00605368" w:rsidRPr="00723818">
        <w:rPr>
          <w:rFonts w:ascii="Times New Roman" w:hAnsi="Times New Roman" w:cs="Times New Roman"/>
          <w:sz w:val="24"/>
          <w:szCs w:val="24"/>
        </w:rPr>
        <w:t>narza na statku lub poza nim na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skutek piractwa lub zbrojnej napaści na statek, niezależnie od tego, czy upłynął okres </w:t>
      </w:r>
      <w:r w:rsidR="00605368" w:rsidRPr="00723818">
        <w:rPr>
          <w:rFonts w:ascii="Times New Roman" w:hAnsi="Times New Roman" w:cs="Times New Roman"/>
          <w:sz w:val="24"/>
          <w:szCs w:val="24"/>
        </w:rPr>
        <w:t>na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jaki umowa była zawarta lub czy strona umowy powiadomiła o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je</w:t>
      </w:r>
      <w:r w:rsidR="00605368" w:rsidRPr="00723818">
        <w:rPr>
          <w:rFonts w:ascii="Times New Roman" w:hAnsi="Times New Roman" w:cs="Times New Roman"/>
          <w:sz w:val="24"/>
          <w:szCs w:val="24"/>
        </w:rPr>
        <w:t>j zawieszeniu lub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wypowiedzeniu (poprawka do Kodeksu wdrażającego Prawidła 2.1 w zakresie Normy A2.1 </w:t>
      </w:r>
      <w:r w:rsidR="00273EAE" w:rsidRPr="00723818">
        <w:rPr>
          <w:rFonts w:ascii="Times New Roman" w:hAnsi="Times New Roman" w:cs="Times New Roman"/>
          <w:sz w:val="24"/>
          <w:szCs w:val="24"/>
        </w:rPr>
        <w:t>–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Marynarskie umowy o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pracę). Poprawki zapewniają także ciągłość wypłacania wynagrodzenia i innych </w:t>
      </w:r>
      <w:r w:rsidR="00260CD3" w:rsidRPr="00723818">
        <w:rPr>
          <w:rFonts w:ascii="Times New Roman" w:hAnsi="Times New Roman" w:cs="Times New Roman"/>
          <w:sz w:val="24"/>
          <w:szCs w:val="24"/>
        </w:rPr>
        <w:t>świadczeń</w:t>
      </w:r>
      <w:r w:rsidRPr="00723818">
        <w:rPr>
          <w:rFonts w:ascii="Times New Roman" w:hAnsi="Times New Roman" w:cs="Times New Roman"/>
          <w:sz w:val="24"/>
          <w:szCs w:val="24"/>
        </w:rPr>
        <w:t xml:space="preserve"> w ramach marynarskiej</w:t>
      </w:r>
      <w:r w:rsidR="00605368" w:rsidRPr="00723818">
        <w:rPr>
          <w:rFonts w:ascii="Times New Roman" w:hAnsi="Times New Roman" w:cs="Times New Roman"/>
          <w:sz w:val="24"/>
          <w:szCs w:val="24"/>
        </w:rPr>
        <w:t xml:space="preserve"> umowy o pracę w przypadku, gdy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marynarz jest uwięziony na statku lub poza nim na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skutek piractwa lub zbrojnej napaści </w:t>
      </w:r>
      <w:r w:rsidR="00605368" w:rsidRPr="00723818">
        <w:rPr>
          <w:rFonts w:ascii="Times New Roman" w:hAnsi="Times New Roman" w:cs="Times New Roman"/>
          <w:sz w:val="24"/>
          <w:szCs w:val="24"/>
        </w:rPr>
        <w:t>na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statek, aż do czasu uwolnienia marynarza i jego repatriacji lub do daty śmierci marynarza podczas uwięzienia</w:t>
      </w:r>
      <w:r w:rsidR="00260CD3" w:rsidRPr="00723818">
        <w:rPr>
          <w:rFonts w:ascii="Times New Roman" w:hAnsi="Times New Roman" w:cs="Times New Roman"/>
          <w:sz w:val="24"/>
          <w:szCs w:val="24"/>
        </w:rPr>
        <w:t xml:space="preserve"> (poprawka do prawidła 2.2 w zakresie Normy A2.2 – Wynagrodzenie)</w:t>
      </w:r>
      <w:r w:rsidRPr="00723818">
        <w:rPr>
          <w:rFonts w:ascii="Times New Roman" w:hAnsi="Times New Roman" w:cs="Times New Roman"/>
          <w:sz w:val="24"/>
          <w:szCs w:val="24"/>
        </w:rPr>
        <w:t>.</w:t>
      </w:r>
      <w:r w:rsidR="00260CD3" w:rsidRPr="00723818">
        <w:rPr>
          <w:rFonts w:ascii="Times New Roman" w:hAnsi="Times New Roman" w:cs="Times New Roman"/>
          <w:sz w:val="24"/>
          <w:szCs w:val="24"/>
        </w:rPr>
        <w:t xml:space="preserve"> Ponadto poprawki rozszerzają prawo marynarzy uwięzionych na statku do </w:t>
      </w:r>
      <w:r w:rsidR="00322AD3" w:rsidRPr="00723818">
        <w:rPr>
          <w:rFonts w:ascii="Times New Roman" w:hAnsi="Times New Roman" w:cs="Times New Roman"/>
          <w:sz w:val="24"/>
          <w:szCs w:val="24"/>
        </w:rPr>
        <w:t xml:space="preserve">bezpłatnej </w:t>
      </w:r>
      <w:r w:rsidR="00260CD3" w:rsidRPr="00723818">
        <w:rPr>
          <w:rFonts w:ascii="Times New Roman" w:hAnsi="Times New Roman" w:cs="Times New Roman"/>
          <w:sz w:val="24"/>
          <w:szCs w:val="24"/>
        </w:rPr>
        <w:t>repatriacji</w:t>
      </w:r>
      <w:r w:rsidR="00851A99" w:rsidRPr="00723818">
        <w:rPr>
          <w:rFonts w:ascii="Times New Roman" w:hAnsi="Times New Roman" w:cs="Times New Roman"/>
          <w:sz w:val="24"/>
          <w:szCs w:val="24"/>
        </w:rPr>
        <w:t>,</w:t>
      </w:r>
      <w:r w:rsidR="00260CD3" w:rsidRPr="00723818">
        <w:rPr>
          <w:rFonts w:ascii="Times New Roman" w:hAnsi="Times New Roman" w:cs="Times New Roman"/>
          <w:sz w:val="24"/>
          <w:szCs w:val="24"/>
        </w:rPr>
        <w:t xml:space="preserve"> stanowiąc, że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prawo do repatriacji może wygasnąć, jeśli marynarze nie upomną się o nie w rozsądnym czasie, z wyjątkiem przypadku, gdy są oni uwięzieni na statku lub poza nim w wyniku piractwa lub zbrojnej napaści na statek</w:t>
      </w:r>
      <w:r w:rsidR="00260CD3" w:rsidRPr="00723818">
        <w:rPr>
          <w:rFonts w:ascii="Times New Roman" w:hAnsi="Times New Roman" w:cs="Times New Roman"/>
          <w:sz w:val="24"/>
          <w:szCs w:val="24"/>
        </w:rPr>
        <w:t xml:space="preserve"> (poprawka do Prawidła 2.5 w zakresie Wytycznej B2.5.1 – Prawo do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260CD3" w:rsidRPr="00723818">
        <w:rPr>
          <w:rFonts w:ascii="Times New Roman" w:hAnsi="Times New Roman" w:cs="Times New Roman"/>
          <w:sz w:val="24"/>
          <w:szCs w:val="24"/>
        </w:rPr>
        <w:t>repatriacji)</w:t>
      </w:r>
      <w:r w:rsidRPr="007238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40621E" w14:textId="40D85D3D" w:rsidR="00E54569" w:rsidRPr="00723818" w:rsidRDefault="00E54569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Polska jest stroną Konwencji MLC od </w:t>
      </w:r>
      <w:r w:rsidR="006355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dnia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 maja 2012 r. Od tego czasu, w celu zapewnienia marynarzom warunków życia i pracy na statkach na poziomie wymaganym Konwencją MLC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wywiązania się tym samym z podjętych zobowiązań międzynarodowych, Polska ratyfikowała oraz wdrożyła do krajowego porządku prawnego wszystkie kolejne zmiany do przedmiotowej Konwencji. Wdrożenie Poprawek z 2018 r. do Konwencji MLC jest zatem kontynuacją </w:t>
      </w:r>
      <w:r w:rsidR="00C315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dotychczasowych działań </w:t>
      </w:r>
      <w:r w:rsidR="00C315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podejmowanych w celu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dbałoś</w:t>
      </w:r>
      <w:r w:rsidR="00C315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ci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prawa marynarzy pracujących 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statkach podnoszących polską banderę.</w:t>
      </w:r>
    </w:p>
    <w:p w14:paraId="660111D5" w14:textId="42D1EE41" w:rsidR="00260CD3" w:rsidRPr="00723818" w:rsidRDefault="00260CD3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Konwencja MLC jest wdrożona do </w:t>
      </w:r>
      <w:r w:rsidRPr="00723818">
        <w:rPr>
          <w:rFonts w:ascii="Times New Roman" w:hAnsi="Times New Roman" w:cs="Times New Roman"/>
          <w:sz w:val="24"/>
          <w:szCs w:val="24"/>
        </w:rPr>
        <w:t>polskiego porządku prawnego ustawą z dnia 5 sierpnia</w:t>
      </w:r>
      <w:r w:rsidR="00273EAE" w:rsidRPr="00723818">
        <w:rPr>
          <w:rFonts w:ascii="Times New Roman" w:hAnsi="Times New Roman" w:cs="Times New Roman"/>
          <w:sz w:val="24"/>
          <w:szCs w:val="24"/>
        </w:rPr>
        <w:t xml:space="preserve"> 2015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r. o pracy na morzu </w:t>
      </w:r>
      <w:r w:rsidR="001A153D" w:rsidRPr="00723818">
        <w:rPr>
          <w:rFonts w:ascii="Times New Roman" w:hAnsi="Times New Roman" w:cs="Times New Roman"/>
          <w:sz w:val="24"/>
          <w:szCs w:val="24"/>
        </w:rPr>
        <w:t>(Dz.</w:t>
      </w:r>
      <w:r w:rsidR="00827B8E"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1A153D" w:rsidRPr="00723818">
        <w:rPr>
          <w:rFonts w:ascii="Times New Roman" w:hAnsi="Times New Roman" w:cs="Times New Roman"/>
          <w:sz w:val="24"/>
          <w:szCs w:val="24"/>
        </w:rPr>
        <w:t>U. z 2020 r. poz. 1353)</w:t>
      </w:r>
      <w:r w:rsidRPr="00723818">
        <w:rPr>
          <w:rFonts w:ascii="Times New Roman" w:hAnsi="Times New Roman" w:cs="Times New Roman"/>
          <w:sz w:val="24"/>
          <w:szCs w:val="24"/>
        </w:rPr>
        <w:t xml:space="preserve">, </w:t>
      </w:r>
      <w:r w:rsidR="006D20F9" w:rsidRPr="00723818">
        <w:rPr>
          <w:rFonts w:ascii="Times New Roman" w:hAnsi="Times New Roman" w:cs="Times New Roman"/>
          <w:sz w:val="24"/>
          <w:szCs w:val="24"/>
        </w:rPr>
        <w:t xml:space="preserve">zwaną </w:t>
      </w:r>
      <w:r w:rsidRPr="00723818">
        <w:rPr>
          <w:rFonts w:ascii="Times New Roman" w:hAnsi="Times New Roman" w:cs="Times New Roman"/>
          <w:sz w:val="24"/>
          <w:szCs w:val="24"/>
        </w:rPr>
        <w:t xml:space="preserve">dalej „ustawą”. </w:t>
      </w:r>
      <w:r w:rsidR="00CE0D21" w:rsidRPr="00723818">
        <w:rPr>
          <w:rFonts w:ascii="Times New Roman" w:hAnsi="Times New Roman" w:cs="Times New Roman"/>
          <w:sz w:val="24"/>
          <w:szCs w:val="24"/>
        </w:rPr>
        <w:t xml:space="preserve">Zatem w celu pełnego wdrożenia Poprawek z 2018 r. do Konwencji MLC konieczna jest zmiana </w:t>
      </w:r>
      <w:r w:rsidR="00CB7EBB" w:rsidRPr="00723818">
        <w:rPr>
          <w:rFonts w:ascii="Times New Roman" w:hAnsi="Times New Roman" w:cs="Times New Roman"/>
          <w:sz w:val="24"/>
          <w:szCs w:val="24"/>
        </w:rPr>
        <w:t xml:space="preserve">przedmiotowej </w:t>
      </w:r>
      <w:r w:rsidR="00CE0D21" w:rsidRPr="00723818">
        <w:rPr>
          <w:rFonts w:ascii="Times New Roman" w:hAnsi="Times New Roman" w:cs="Times New Roman"/>
          <w:sz w:val="24"/>
          <w:szCs w:val="24"/>
        </w:rPr>
        <w:t>ustawy.</w:t>
      </w:r>
    </w:p>
    <w:p w14:paraId="5215F8A9" w14:textId="77DD70B3" w:rsidR="00D1591D" w:rsidRPr="00723818" w:rsidRDefault="00260CD3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Ponadto </w:t>
      </w:r>
      <w:r w:rsidR="00CE0D2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projektowana ustawa dokonuje zmian porządkujących i doprecyz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ow</w:t>
      </w:r>
      <w:r w:rsidR="00CE0D2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ujących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E0D2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ustawie</w:t>
      </w:r>
      <w:r w:rsidR="00D1591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będących skutkiem kilkuletniej praktyki stosowania ustawy. </w:t>
      </w:r>
    </w:p>
    <w:p w14:paraId="2FF154E5" w14:textId="6C11237D" w:rsidR="00260CD3" w:rsidRPr="00723818" w:rsidRDefault="00D1591D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Zmiany wynikające 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konieczności wdrożenia poprawek do Konwencji MLC oraz zmiany porządkujące zostały wypracowane przez Zespół Trójstronny </w:t>
      </w:r>
      <w:r w:rsidR="000A59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spraw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Żeglugi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Rybołówstwa Morskiego i posiadają poparcie strony pracowników oraz pracodawców </w:t>
      </w:r>
      <w:r w:rsidR="00CB7E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przedmiotowego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Zespołu.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5852A570" w14:textId="688B6FC3" w:rsidR="00F4262F" w:rsidRPr="00723818" w:rsidRDefault="009E4B63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Mając na uwadze powyższe, w</w:t>
      </w:r>
      <w:r w:rsidR="00F4262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00650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F4262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1 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00650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F4262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zmiany w art. 2 </w:t>
      </w:r>
      <w:r w:rsidR="00260CD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zakresie definicji</w:t>
      </w:r>
      <w:r w:rsidR="000A59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„armatora”, „marynarza” oraz „statku niekonwencyjnego”. W celu uniknięcia rozbieżności interpretacyjnych proponuje się, by 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„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armator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”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 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„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marynarz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”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definiowani byli zgodnie z definicjami przyjętymi w Konwencji MLC.</w:t>
      </w:r>
      <w:r w:rsidR="00DF043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Ponadto proponuje się zmianę definicji</w:t>
      </w:r>
      <w:r w:rsidR="004E56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DF043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„</w:t>
      </w:r>
      <w:r w:rsidR="00DF043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statku niekonwencyjnego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”</w:t>
      </w:r>
      <w:r w:rsidR="00DF043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poprzez usunięcie z jej pierwotnej redakcji odniesienia do </w:t>
      </w:r>
      <w:r w:rsidR="0059667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statków używanych wyłącznie do celów naukowo-badawczych lub sportowych, statków pełniący</w:t>
      </w:r>
      <w:r w:rsidR="0000650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ch</w:t>
      </w:r>
      <w:r w:rsidR="0059667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wyłącznie specjalną służbę państwową, statków uprawiających wyłącznie żeglugę śródlądową, jachtów morskich oraz platform wiertniczych i wydobywczych</w:t>
      </w:r>
      <w:r w:rsidR="00DF043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D85B8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Zmiany przedmiotowych definicji nie wpłyną na zmiany zakresu definiowanych pojęć. Nie zmieni się zatem krąg osób, które są określan</w:t>
      </w:r>
      <w:r w:rsidR="00835CD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="00D85B8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terminem „marynarza”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czy podmiotów uznawanych za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85B8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„armatorów”. Nie zmieni się także katalog statków uznawanych za niekonwencyjne, gdyż definicję „statku niekonwencyjnego” – mimo usunięcia określonych statków z zakresu statków dotychczas objętych tym określeniem – pozost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awiono otwartą, nie wskazując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85B8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niej konkretnych typów statków. Zmiana definicji nie będzie miała wpływu na zmianę zakresu stosowania ustawy i nie będzie powodowała skutków prawnych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(poza uproszczeniem definicji 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85B8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łatwiejszym ich odbiorem przez stosujących ustawę) w tym zakresie.</w:t>
      </w:r>
    </w:p>
    <w:p w14:paraId="347ABDA8" w14:textId="634919B9" w:rsidR="00923E16" w:rsidRPr="00723818" w:rsidRDefault="00923E16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Ponadto w związku z Poprawkami z 2018 r. do Konwencji MLC, proponuje się rozszerzenie słowniczka o pojęcia „piractwa” oraz „zbrojnej napaści”. </w:t>
      </w:r>
    </w:p>
    <w:p w14:paraId="55BBF026" w14:textId="3148DE0A" w:rsidR="006B3A10" w:rsidRPr="00723818" w:rsidRDefault="00443110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W </w:t>
      </w:r>
      <w:r w:rsidR="00EC11A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 </w:t>
      </w:r>
      <w:r w:rsidR="006B3A1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lit. a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projektu</w:t>
      </w:r>
      <w:r w:rsidR="006B3A1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E56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zmiany art. 4 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ust. 6 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ustawy. P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roponuje się,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marynarzowi, którego stan zdrowia nie pozwala na wydanie świadectwa zdrowia na okres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lat, świadectwo </w:t>
      </w:r>
      <w:r w:rsidR="005202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to 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wydane </w:t>
      </w:r>
      <w:r w:rsidR="005202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było </w:t>
      </w:r>
      <w:r w:rsidR="00740E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 okres krótszy niż 2 lata.</w:t>
      </w:r>
      <w:r w:rsidR="005202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Przy czym zauważyć należy,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że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202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stosunku do aktualn</w:t>
      </w:r>
      <w:r w:rsidR="00A65A4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ie obowiązującego</w:t>
      </w:r>
      <w:r w:rsidR="005202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brzmienia przedmiotowego przepis</w:t>
      </w:r>
      <w:r w:rsidR="00A65A4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u,</w:t>
      </w:r>
      <w:r w:rsidR="005B5FF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projektowanym przepisie usunięto zapis mówiący o tym, że świadectwo zdrowia może być wydane na okres krótszy niż 2 lata nie tylko marynarzowi, którego stan zdrowia nie pozwala na wydanie świadectwa zdrowia na pełen okres, ale również marynarzowi, który ukończył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50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lat. Ograniczeni</w:t>
      </w:r>
      <w:r w:rsidR="005B5FF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okresu ważności świadectwa zdrowia wraz z wiekiem marynarza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Konwencji MLC, ani w Konwencji STCW, na podstawie których wydawane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są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świadectwa zdrowia. Stąd, by nie zaostrzać wymogów międzynarodowych w stosunku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marynarzy, którzy chcą uzyskać książeczkę żeglarską wydawaną przez polską administrację morską, proponuje się usunięcie ograniczenia ważności świadectwa zdrowia ze względu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337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wiek marynarza.</w:t>
      </w:r>
      <w:r w:rsidR="006749E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25F8CCE1" w14:textId="19278B98" w:rsidR="00600830" w:rsidRPr="00723818" w:rsidRDefault="006B3A10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961D7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 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lit.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b 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4E56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636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przewiduje</w:t>
      </w:r>
      <w:r w:rsidR="006749E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się natomiast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zmianę art. 4 ust. 11 ustawy</w:t>
      </w:r>
      <w:r w:rsidR="002B2F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Proponuje się</w:t>
      </w:r>
      <w:r w:rsidR="00B65AC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636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możliwość uznawania świadectw zdrowia wydanych w innych państwach, jeśli są one wydane zgodnie z Konwencją STCW </w:t>
      </w:r>
      <w:r w:rsidR="0059667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lub</w:t>
      </w:r>
      <w:r w:rsidR="00B636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</w:t>
      </w:r>
      <w:r w:rsidR="00B636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Konwencją MLC.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Wymagania odnośnie wydawania świadectwa zdrowia marynarzy oraz informacji, jakie powinny zostać umieszczone na samym formularzu świadectwa zdrowia, określone są w Konwencji STCW oraz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Konwencji MLC, i są one </w:t>
      </w:r>
      <w:r w:rsidR="0059667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zasadniczo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zbieżne. </w:t>
      </w:r>
      <w:r w:rsidR="0059667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Zgodnie z pkt 3 </w:t>
      </w:r>
      <w:r w:rsidR="00596672" w:rsidRPr="00723818">
        <w:rPr>
          <w:rFonts w:ascii="Times New Roman" w:hAnsi="Times New Roman" w:cs="Times New Roman"/>
          <w:sz w:val="24"/>
          <w:szCs w:val="24"/>
        </w:rPr>
        <w:t>Normy</w:t>
      </w:r>
      <w:r w:rsidR="00EC701B"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596672" w:rsidRPr="00723818">
        <w:rPr>
          <w:rFonts w:ascii="Times New Roman" w:hAnsi="Times New Roman" w:cs="Times New Roman"/>
          <w:sz w:val="24"/>
          <w:szCs w:val="24"/>
        </w:rPr>
        <w:t xml:space="preserve">A1.2 </w:t>
      </w:r>
      <w:r w:rsidR="00C33ECF" w:rsidRPr="002847BF">
        <w:rPr>
          <w:rFonts w:ascii="Times New Roman" w:hAnsi="Times New Roman" w:cs="Times New Roman"/>
          <w:sz w:val="24"/>
          <w:szCs w:val="24"/>
        </w:rPr>
        <w:t>–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596672" w:rsidRPr="00723818">
        <w:rPr>
          <w:rFonts w:ascii="Times New Roman" w:hAnsi="Times New Roman" w:cs="Times New Roman"/>
          <w:sz w:val="24"/>
          <w:szCs w:val="24"/>
        </w:rPr>
        <w:t>Świadectwo zdrowia Konwencji STCW, świadectwa zdrowia wyda</w:t>
      </w:r>
      <w:r w:rsidR="00273EAE" w:rsidRPr="00723818">
        <w:rPr>
          <w:rFonts w:ascii="Times New Roman" w:hAnsi="Times New Roman" w:cs="Times New Roman"/>
          <w:sz w:val="24"/>
          <w:szCs w:val="24"/>
        </w:rPr>
        <w:t>ne przez inne państwa zgodnie z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596672" w:rsidRPr="00723818">
        <w:rPr>
          <w:rFonts w:ascii="Times New Roman" w:hAnsi="Times New Roman" w:cs="Times New Roman"/>
          <w:sz w:val="24"/>
          <w:szCs w:val="24"/>
        </w:rPr>
        <w:t xml:space="preserve">wymogami STCW są uznawane na potrzeby Konwencji MLC. Natomiast </w:t>
      </w:r>
      <w:r w:rsidR="00273EAE" w:rsidRPr="00723818">
        <w:rPr>
          <w:rFonts w:ascii="Times New Roman" w:hAnsi="Times New Roman" w:cs="Times New Roman"/>
          <w:sz w:val="24"/>
          <w:szCs w:val="24"/>
        </w:rPr>
        <w:t>w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596672" w:rsidRPr="00723818">
        <w:rPr>
          <w:rFonts w:ascii="Times New Roman" w:hAnsi="Times New Roman" w:cs="Times New Roman"/>
          <w:sz w:val="24"/>
          <w:szCs w:val="24"/>
        </w:rPr>
        <w:t xml:space="preserve">przypadku marynarzy, których nie dotyczy świadectwo zdrowia wydawane zgodnie </w:t>
      </w:r>
      <w:r w:rsidR="00273EAE" w:rsidRPr="00723818">
        <w:rPr>
          <w:rFonts w:ascii="Times New Roman" w:hAnsi="Times New Roman" w:cs="Times New Roman"/>
          <w:sz w:val="24"/>
          <w:szCs w:val="24"/>
        </w:rPr>
        <w:t>z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596672" w:rsidRPr="00723818">
        <w:rPr>
          <w:rFonts w:ascii="Times New Roman" w:hAnsi="Times New Roman" w:cs="Times New Roman"/>
          <w:sz w:val="24"/>
          <w:szCs w:val="24"/>
        </w:rPr>
        <w:t xml:space="preserve">Konwencją STCW, uznawać można świadectwa zdrowia spełniające w stopniu zasadniczym wymagania Konwencji MLC. </w:t>
      </w:r>
      <w:r w:rsidR="002A70AF" w:rsidRPr="009371B4">
        <w:rPr>
          <w:rFonts w:ascii="Times New Roman" w:hAnsi="Times New Roman" w:cs="Times New Roman"/>
          <w:sz w:val="24"/>
          <w:szCs w:val="24"/>
        </w:rPr>
        <w:t>Rzeczpos</w:t>
      </w:r>
      <w:r w:rsidR="002A70AF" w:rsidRPr="00723818">
        <w:rPr>
          <w:rFonts w:ascii="Times New Roman" w:hAnsi="Times New Roman" w:cs="Times New Roman"/>
          <w:sz w:val="24"/>
          <w:szCs w:val="24"/>
        </w:rPr>
        <w:t xml:space="preserve">polita Polska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jest stroną obu konwencji. Zatem świadectwa zdrowia wydawane przez polską administrację morską są zgodne zarówno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Konwencją STCW jak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Konwencją MLC. </w:t>
      </w:r>
      <w:r w:rsidR="00600830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Natomiast</w:t>
      </w:r>
      <w:r w:rsidR="00EC701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 świadectw</w:t>
      </w:r>
      <w:r w:rsidR="005E1A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zdrowia wydane w innym państwie mogło być uznane</w:t>
      </w:r>
      <w:r w:rsidR="002A70A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za równoważne świadectwu wydawanemu w </w:t>
      </w:r>
      <w:r w:rsidR="002A70A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Rzeczypospolitej Polskiej</w:t>
      </w:r>
      <w:r w:rsidR="007E02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zgodnie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przywołaną wyżej normą Konwencji MLC, może być ono zgodne albo z Konwencją STCW, albo </w:t>
      </w:r>
      <w:r w:rsidR="00EC701B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Konwencją MLC. </w:t>
      </w:r>
    </w:p>
    <w:p w14:paraId="5689C2C7" w14:textId="484B87B2" w:rsidR="00D97645" w:rsidRPr="00723818" w:rsidRDefault="00D56AAD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761A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C207C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pkt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924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3A201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6924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dodanie </w:t>
      </w:r>
      <w:r w:rsidR="00C207C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nowych </w:t>
      </w:r>
      <w:r w:rsidR="006924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ust. 6a i</w:t>
      </w:r>
      <w:r w:rsidR="00C207C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924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6b w art. 5</w:t>
      </w:r>
      <w:r w:rsidR="00C207C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Przepisy mają na celu wskazanie, że marynarzowi, któremu w wyniku przeprowadzenia ponownego badania lekarskiego wydano świadectwo zdrowia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stwierdzające brak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zdolności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pracy na statku, </w:t>
      </w:r>
      <w:r w:rsidR="00A810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może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przysług</w:t>
      </w:r>
      <w:r w:rsidR="00A810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iwać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prawo do renty z tytułu niezdolności do pracy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zgodnie </w:t>
      </w:r>
      <w:r w:rsidR="00AE05B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tryb</w:t>
      </w:r>
      <w:r w:rsidR="00AE05B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em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 na zasadach określonych w ustawie z dnia 17 grudnia 1998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r. o emeryturach i rentach z Funduszu Ubezpieczeń Społecznych (Dz. U.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2021 r. poz. 291</w:t>
      </w:r>
      <w:r w:rsidR="004D3AD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353</w:t>
      </w:r>
      <w:r w:rsidR="004D3AD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 794</w:t>
      </w:r>
      <w:r w:rsidR="00CF06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lub ustawie z dnia 30 października 2002 r. o ubezpieczeniu społecznym z tytułu wypadków przy pracy i chorób zawodowy</w:t>
      </w:r>
      <w:r w:rsidR="00D9764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ch (Dz. U. z 2019 r. poz. 1205), a także m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arynarzowi, w stosunku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którego,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wyniku przeprowadzenia ponownego badania lekarskiego, zostały stwierdzone ograniczenia dotyc</w:t>
      </w:r>
      <w:r w:rsidR="00D9764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zące zdolności do pracy, w szczególności w odniesieniu do czasu pracy lub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zakresu obowiązków, wydaje się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świadectwo zdrowia na inne stanowisko na statku zgodnie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posiadanymi kwalifikacjami albo</w:t>
      </w:r>
      <w:r w:rsidR="00FB474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może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przysłu</w:t>
      </w:r>
      <w:r w:rsidR="00FB474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giwać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mu prawo do renty z tytułu niezdolności do </w:t>
      </w:r>
      <w:r w:rsidR="00D9764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pracy w trybie i na zasadach określonych w</w:t>
      </w:r>
      <w:r w:rsidR="00D976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ww. przepisach.</w:t>
      </w:r>
    </w:p>
    <w:p w14:paraId="3B2C5297" w14:textId="67236D79" w:rsidR="00FB4747" w:rsidRPr="00723818" w:rsidRDefault="00D9764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="00862FF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odkreśl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enia wymaga</w:t>
      </w:r>
      <w:r w:rsidR="00862FF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że marynarz </w:t>
      </w:r>
      <w:r w:rsidR="00A810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może </w:t>
      </w:r>
      <w:r w:rsidR="00862FF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naby</w:t>
      </w:r>
      <w:r w:rsidR="00A810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ć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ww.</w:t>
      </w:r>
      <w:r w:rsidR="00862FF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prawo do renty </w:t>
      </w:r>
      <w:r w:rsidR="0094718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wyłącznie </w:t>
      </w:r>
      <w:r w:rsidR="00AD5F5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 spełnieniu przesłanek, 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D5F5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których mowa w ww. aktach prawnych. </w:t>
      </w:r>
    </w:p>
    <w:p w14:paraId="7CEAE2CA" w14:textId="77777777" w:rsidR="00FB4747" w:rsidRPr="00723818" w:rsidRDefault="00862FF1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Zatem przedmiotowa regulacja nie wpły</w:t>
      </w:r>
      <w:r w:rsidR="00A810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wa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negatywnie na wydatki sektora publicznego</w:t>
      </w:r>
      <w:r w:rsidR="0069240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94718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5628BE63" w14:textId="42C287B7" w:rsidR="00947181" w:rsidRPr="00723818" w:rsidRDefault="00947181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Celem proponowanej regulacji jest umożliwienie marynarzom, w stosunku do których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wyniku ponownego badania lekarskiego orzeczono częściową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niezdolność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pracy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statku, utrzymanie miejsca pracy w zawodzie, na stanowisku innym, ale 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odpowiadającym ich kwalifikacjom.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Zakres badań na marynarskie świadectwa zdrowia, zgodnie ze standardami Międzynarodowej Organizacji Morskiej oraz Międzynarodowej Organizacji Pracy, różni się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zależności od działów na statku (pokładowy i maszynowy), w których mają pracować marynarze. Nie ma natomiast znaczenia stanowisko,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którym w jednym z dwóch ww. działów marynarz będzie pracował. Marynarze działu pokładowego przechodzą nieco inne badana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(np.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sprawdzana jest u nich w innym stopn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iu zdolność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 rozróżniania kolorów), niż marynarze działu maszynowego. Proponowany w projekcie </w:t>
      </w:r>
      <w:r w:rsidR="000B6E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przepis w praktyce oznacza, że marynarze mimo stwierdzenia częściowej niezdolności do pracy będą mieli możliwość pozostania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zawodzie, z tym, że na stanowisku innym, ale zgodnym z ich kwalifikacjami, a tym samym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działem, w którym pracują na statku lub do pracy w którym chcą aplikować (i zakresem badań niezbędnym do wydania świadectwa zdrowia, od którego nastąpiło odwołanie), tzn. oficerowie działu pokładowego uzyskiwać będą wyłącznie możliwość do pracy w dziale pokładowym, natomiast oficerowie działu maszynowego, uzyskiwać będą możliwość pracy wyłącznie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dziale maszynowym. Mając na uwadze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powyższe ocenić należy, że nie zachodzi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ryzyko stosowania różnych standardów i procedur badań w odniesieniu do wydawania marynarzom świadectw zdrowia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tzn. zakres ponown</w:t>
      </w:r>
      <w:r w:rsidR="00C03F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ych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badań będzie tożsamy z zakresem badania pierwotnego, o</w:t>
      </w:r>
      <w:r w:rsidR="00C03F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wyniku którego marynarz się odwoływał.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Jeśli natomiast stopień niezdolności do pracy będzie uniemożliwiał zatrudnienie na statku na jakimkolwiek stanowisku odpowiadającym kwalifikacjom marynarza, projekt </w:t>
      </w:r>
      <w:r w:rsidR="00FB474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wskazuje na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możliwość </w:t>
      </w:r>
      <w:r w:rsidR="00FB474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nabycia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przez 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niego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prawa do renty z tytułu niezdolności do pracy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FB474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trybie i na zasadach </w:t>
      </w:r>
      <w:r w:rsidR="00CE7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określonych w przepisach dotyczących ubezpieczeń społecznych. </w:t>
      </w:r>
    </w:p>
    <w:p w14:paraId="4230DC76" w14:textId="36272134" w:rsidR="00C207C3" w:rsidRPr="00723818" w:rsidRDefault="00C207C3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761A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C672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zmiany w art. 8 ustawy. Proponuje się,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książeczce żeglarskiej, która jest dokumentem potwierdzającym okres zatrudnienia oraz stanowisko zajmowane na st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atku, nie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dokonywać wpisów dotyczących jakości pracy wykonywanej przez marynarza 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oraz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oceny samego marynarz</w:t>
      </w:r>
      <w:r w:rsidR="004E36A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EE664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Ponadto celem proponowanego rozwiązania jest dostosowanie regulacji do postanowień Konwencji MLC, bowiem zgodnie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E664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Normą A2.1 pkt 3 Konwencji MLC książeczka żeglarska nie powinna zawierać żadnych stwierdzeń na temat jakości pracy marynarzy oraz ich wynagrodzenia.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także, 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wpisy w książeczkach żeglarskich mogły być dokonywane również w języku angielskim.</w:t>
      </w:r>
      <w:r w:rsidR="0055022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</w:t>
      </w:r>
      <w:r w:rsidR="0055022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olscy marynarze często świadczą pracę na rzecz armatorów zagranicznych, a armatorzy polscy również zatrudniają marynarzy innej narodowości niż polska. Możliwość dokonywania wpisów w języku angielskim ułatwi zatem przepływ informacji pomiędzy armatorami 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5022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marynarzami.</w:t>
      </w:r>
    </w:p>
    <w:p w14:paraId="2974F53E" w14:textId="76D6640D" w:rsidR="00CB141F" w:rsidRPr="00723818" w:rsidRDefault="006C12E7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550F2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art. 1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pkt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projektu</w:t>
      </w:r>
      <w:r w:rsidR="00C672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 zmianę </w:t>
      </w:r>
      <w:r w:rsidR="009E34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art. 9 pkt 1 i 2 ustawy. Pierwsza ze zmian (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art. 9 pkt 1 ustawy</w:t>
      </w:r>
      <w:r w:rsidR="009E34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polega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7535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rozszerzeniu listy dokumentów, których posiadanie warunkuje uzyskanie książeczki żeglarskiej </w:t>
      </w:r>
      <w:r w:rsidR="00BB47C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 świadectwa przeszkoleń stopnia wyższego.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Marynarze, którzy uzyskali świadectwa 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przeszkoleń stopnia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wyższego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posiadają wiedzę zaawansowaną 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 bardziej ugruntowaną, aniżeli osoby posiadające świadectwa przeszkoleń stopnia podstawowego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Są to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zwykle marynarze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któr</w:t>
      </w:r>
      <w:r w:rsidR="008D713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posiada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ją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już pewne doświadczenie zawodowe na morzu oraz morskie kwalifikacje zawodowe, a o wydanie książeczki żeglarskiej wnioskuj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ą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 raz kolejny.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Nie jest zatem celowe, by marynarze ci mimo posiadan</w:t>
      </w:r>
      <w:r w:rsidR="00226ED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 wyższych kompetencji </w:t>
      </w:r>
      <w:r w:rsidR="00226ED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byli </w:t>
      </w:r>
      <w:r w:rsidR="00FB554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obligowani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B47C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przedkładania świadectw przeszkoleń stopnia podstawowego. </w:t>
      </w:r>
      <w:r w:rsidR="009E34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art. 9 pkt 2 ustawy</w:t>
      </w:r>
      <w:r w:rsidR="009E34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roponuje się, by</w:t>
      </w:r>
      <w:r w:rsidR="002A649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wniosek o wydanie książeczki żeglarskiej dla ucznia szkoły ponadpodstawowej</w:t>
      </w:r>
      <w:r w:rsidR="002A6493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składany był za </w:t>
      </w:r>
      <w:r w:rsidR="002A649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zgodą rodziców lub opiekunów prawnych, jeśli uczeń ten jest niepełnoletni.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Doprecyzowanie przepisu 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 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celu jego harmonizację z art. 9 pkt 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4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w którym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od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młodocianego składającego wniosek o wydanie książeczki żeglarskiej wymaga się </w:t>
      </w:r>
      <w:r w:rsidR="00CB141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zgod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 rodziców lub opiekunów prawnych. Zdarzyć się bowiem może, że zakres pojęć</w:t>
      </w:r>
      <w:r w:rsidR="004C12E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„młodociany” oraz „uczeń szkoły ponadpodstawowej” może się pokrywać. Z tego względu uzasadnionym wydaje się przyjęcie, że zarówno w przypadku młodocianego, jak i niepełnoletniego ucznia szkoły ponadpodstawowej powinn</w:t>
      </w:r>
      <w:r w:rsidR="00CB141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 być dołączona zgoda rodziców. 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Analogiczn</w:t>
      </w:r>
      <w:r w:rsidR="00A51E8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 wymóg znajduje się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art. 14 ustawy z dnia 13 lipca 2006 r. o dokumentach paszportowych (</w:t>
      </w:r>
      <w:r w:rsidR="001A153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Dz. U.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A153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2020 r. poz. 617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z </w:t>
      </w:r>
      <w:proofErr w:type="spellStart"/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</w:t>
      </w:r>
      <w:r w:rsidR="00CB141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). </w:t>
      </w:r>
    </w:p>
    <w:p w14:paraId="68D4D941" w14:textId="1FBB781A" w:rsidR="00321D99" w:rsidRPr="00723818" w:rsidRDefault="00321D99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D65FD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904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A931D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zmianę art. 10 ust. 2 ustawy. Proponuje się,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przed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daniem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książeczki żeglarskiej konsul Rzeczypospolitej Polskiej mógł żądać informacji o posiadaczu dokumentu nie tylko od właściwego dyrektora urzędu morskiego,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ale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również od kapitana statku. Kapitan, jako osoba na co dzień współpracująca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marynarzem, może natychmiast udzielić konsulowi wszystkich wymaganych informacji dotyczących zatrudnienia marynarza</w:t>
      </w:r>
      <w:r w:rsidR="007904E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Dzięki szybszemu wydaniu książeczki żeglarskiej, bez konieczności oczekiwania na oficjalną informację od dyrektora urzędu morskiego, statek nie będzie narażony na ryzyko opóźnionego wyjścia z</w:t>
      </w:r>
      <w:r w:rsidR="007904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portu, 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które wiązać </w:t>
      </w:r>
      <w:r w:rsidR="007904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się</w:t>
      </w:r>
      <w:r w:rsidR="002227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może</w:t>
      </w:r>
      <w:r w:rsidR="007904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ze zwiększonymi kosztami dla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904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armatora.</w:t>
      </w:r>
    </w:p>
    <w:p w14:paraId="1A8CAE77" w14:textId="0EA15AC8" w:rsidR="007A35EC" w:rsidRPr="009371B4" w:rsidRDefault="00D476EE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D65FD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10AF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E92D3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710AF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 zmiany art. 11 ustawy. Poprzez uchylenie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11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10AF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 ustawy proponuje się, by książeczka żeglarska wydawana była wszystkim wnioskującym na </w:t>
      </w:r>
      <w:r w:rsidR="0056405A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okres </w:t>
      </w:r>
      <w:r w:rsidR="00710AF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10 lat. Obecnie</w:t>
      </w:r>
      <w:r w:rsidR="001945B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710AF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uczniom szkoły ponadpodstawowej, studentom oraz młodocianym książeczkę żeglarską wydaje się na 5 lat. </w:t>
      </w:r>
      <w:r w:rsidR="007A35E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Przedmiotowe rozwiązanie ma zapewnić większą spójność z przepisami ustawy z dnia 13 lipca 2006 r. o dokumentach paszportowych, w której przewiduje się, że paszport dla osób, które ukończyły 13 rok życia,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jest wydawany na 10 lat od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A35E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daty jego wydania. Należy bowiem wyjaśnić, że książeczka żeglarska jest dokumentem osobistym marynarza, poświadczającym jego tożsamość, dokumentującym prz</w:t>
      </w:r>
      <w:r w:rsidR="007A35EC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ebieg zatrudnienia na statkach oraz uprawniającym do przekraczania granicy Rzeczypospolitej Polskiej. Marynarz, będący obywatelem polskim, może wrócić na podstawie książeczki żeglarskiej do kraju w okresie 12 miesięcy od dnia utraty jej ważności. Zatem wsk</w:t>
      </w:r>
      <w:r w:rsidR="007A35E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azanym je</w:t>
      </w:r>
      <w:r w:rsidR="008F4E3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st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A35E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okres jej ważności był tożsamy z okresem ważności dokumentu paszportowego.</w:t>
      </w:r>
    </w:p>
    <w:p w14:paraId="400FE027" w14:textId="4952D6E9" w:rsidR="008644D8" w:rsidRPr="00723818" w:rsidRDefault="0056405A" w:rsidP="002847B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Ponadto proponuje się </w:t>
      </w:r>
      <w:r w:rsidRPr="00723818">
        <w:rPr>
          <w:rFonts w:ascii="Times New Roman" w:hAnsi="Times New Roman" w:cs="Times New Roman"/>
          <w:sz w:val="24"/>
          <w:szCs w:val="24"/>
        </w:rPr>
        <w:t xml:space="preserve">określenie wysokości opłat pobieranych za wydanie książeczki żeglarskiej w </w:t>
      </w:r>
      <w:r w:rsidR="00497E2C" w:rsidRPr="00723818">
        <w:rPr>
          <w:rFonts w:ascii="Times New Roman" w:hAnsi="Times New Roman" w:cs="Times New Roman"/>
          <w:sz w:val="24"/>
          <w:szCs w:val="24"/>
        </w:rPr>
        <w:t>złotych</w:t>
      </w:r>
      <w:r w:rsidRPr="00723818">
        <w:rPr>
          <w:rFonts w:ascii="Times New Roman" w:hAnsi="Times New Roman" w:cs="Times New Roman"/>
          <w:sz w:val="24"/>
          <w:szCs w:val="24"/>
        </w:rPr>
        <w:t xml:space="preserve">, w miejsce jej równowartości określonej w euro. Obecnie opłata </w:t>
      </w:r>
      <w:r w:rsidR="00273EAE" w:rsidRPr="00723818">
        <w:rPr>
          <w:rFonts w:ascii="Times New Roman" w:hAnsi="Times New Roman" w:cs="Times New Roman"/>
          <w:sz w:val="24"/>
          <w:szCs w:val="24"/>
        </w:rPr>
        <w:t>za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wydanie książeczki żeglarskiej zmienia się praktycznie codziennie, co powoduje </w:t>
      </w:r>
      <w:r w:rsidRPr="00723818">
        <w:rPr>
          <w:rFonts w:ascii="Times New Roman" w:hAnsi="Times New Roman" w:cs="Times New Roman"/>
          <w:sz w:val="24"/>
          <w:szCs w:val="24"/>
        </w:rPr>
        <w:lastRenderedPageBreak/>
        <w:t>utrudnienia dla wnioskodawców (konieczności dopłat lub zwrotów, gdy opłata została wykonana np.</w:t>
      </w:r>
      <w:r w:rsidR="00A961B6" w:rsidRPr="00723818">
        <w:rPr>
          <w:rFonts w:ascii="Times New Roman" w:hAnsi="Times New Roman" w:cs="Times New Roman"/>
          <w:sz w:val="24"/>
          <w:szCs w:val="24"/>
        </w:rPr>
        <w:t>:</w:t>
      </w:r>
      <w:r w:rsidR="00273EAE" w:rsidRPr="00723818">
        <w:rPr>
          <w:rFonts w:ascii="Times New Roman" w:hAnsi="Times New Roman" w:cs="Times New Roman"/>
          <w:sz w:val="24"/>
          <w:szCs w:val="24"/>
        </w:rPr>
        <w:t xml:space="preserve"> przed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złożeniem wniosku i różni się od kwoty należne</w:t>
      </w:r>
      <w:r w:rsidR="00273EAE" w:rsidRPr="00723818">
        <w:rPr>
          <w:rFonts w:ascii="Times New Roman" w:hAnsi="Times New Roman" w:cs="Times New Roman"/>
          <w:sz w:val="24"/>
          <w:szCs w:val="24"/>
        </w:rPr>
        <w:t>j w dniu jego zarejestrowania w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urzędzie</w:t>
      </w:r>
      <w:r w:rsidR="00C11EA5" w:rsidRPr="00723818">
        <w:rPr>
          <w:rFonts w:ascii="Times New Roman" w:hAnsi="Times New Roman" w:cs="Times New Roman"/>
          <w:sz w:val="24"/>
          <w:szCs w:val="24"/>
        </w:rPr>
        <w:t>)</w:t>
      </w:r>
      <w:r w:rsidRPr="00723818">
        <w:rPr>
          <w:rFonts w:ascii="Times New Roman" w:hAnsi="Times New Roman" w:cs="Times New Roman"/>
          <w:sz w:val="24"/>
          <w:szCs w:val="24"/>
        </w:rPr>
        <w:t xml:space="preserve">. </w:t>
      </w:r>
      <w:r w:rsidR="002C7C0E" w:rsidRPr="00723818">
        <w:rPr>
          <w:rFonts w:ascii="Times New Roman" w:hAnsi="Times New Roman" w:cs="Times New Roman"/>
          <w:bCs/>
          <w:sz w:val="24"/>
          <w:szCs w:val="24"/>
        </w:rPr>
        <w:t>R</w:t>
      </w:r>
      <w:r w:rsidR="007A35EC" w:rsidRPr="00723818">
        <w:rPr>
          <w:rFonts w:ascii="Times New Roman" w:hAnsi="Times New Roman" w:cs="Times New Roman"/>
          <w:bCs/>
          <w:sz w:val="24"/>
          <w:szCs w:val="24"/>
        </w:rPr>
        <w:t xml:space="preserve">ozwiązanie </w:t>
      </w:r>
      <w:r w:rsidR="002C7C0E" w:rsidRPr="00723818">
        <w:rPr>
          <w:rFonts w:ascii="Times New Roman" w:hAnsi="Times New Roman" w:cs="Times New Roman"/>
          <w:bCs/>
          <w:sz w:val="24"/>
          <w:szCs w:val="24"/>
        </w:rPr>
        <w:t xml:space="preserve">takie </w:t>
      </w:r>
      <w:r w:rsidR="007A35EC" w:rsidRPr="00723818">
        <w:rPr>
          <w:rFonts w:ascii="Times New Roman" w:hAnsi="Times New Roman" w:cs="Times New Roman"/>
          <w:bCs/>
          <w:sz w:val="24"/>
          <w:szCs w:val="24"/>
        </w:rPr>
        <w:t xml:space="preserve">zmniejszy obciążenie administracyjne </w:t>
      </w:r>
      <w:r w:rsidR="007A35EC" w:rsidRPr="009371B4">
        <w:rPr>
          <w:rFonts w:ascii="Times New Roman" w:hAnsi="Times New Roman" w:cs="Times New Roman"/>
          <w:bCs/>
          <w:sz w:val="24"/>
          <w:szCs w:val="24"/>
        </w:rPr>
        <w:t xml:space="preserve">dla </w:t>
      </w:r>
      <w:r w:rsidR="007A35EC" w:rsidRPr="00723818">
        <w:rPr>
          <w:rFonts w:ascii="Times New Roman" w:hAnsi="Times New Roman" w:cs="Times New Roman"/>
          <w:bCs/>
          <w:sz w:val="24"/>
          <w:szCs w:val="24"/>
        </w:rPr>
        <w:t xml:space="preserve">pracowników urzędów morskich, którzy dokonują przeliczenia waluty i ewentualnych zwrotów otrzymanej opłaty za książeczkę żeglarską. Zmniejszy </w:t>
      </w:r>
      <w:r w:rsidR="00535D02" w:rsidRPr="00723818"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="007A35EC" w:rsidRPr="00723818">
        <w:rPr>
          <w:rFonts w:ascii="Times New Roman" w:hAnsi="Times New Roman" w:cs="Times New Roman"/>
          <w:bCs/>
          <w:sz w:val="24"/>
          <w:szCs w:val="24"/>
        </w:rPr>
        <w:t xml:space="preserve">również obciążenia wnioskujących, którzy nie będą </w:t>
      </w:r>
      <w:r w:rsidR="00605368" w:rsidRPr="00723818">
        <w:rPr>
          <w:rFonts w:ascii="Times New Roman" w:hAnsi="Times New Roman" w:cs="Times New Roman"/>
          <w:bCs/>
          <w:sz w:val="24"/>
          <w:szCs w:val="24"/>
        </w:rPr>
        <w:t>zmuszeni do</w:t>
      </w:r>
      <w:r w:rsidR="007238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35EC" w:rsidRPr="00723818">
        <w:rPr>
          <w:rFonts w:ascii="Times New Roman" w:hAnsi="Times New Roman" w:cs="Times New Roman"/>
          <w:bCs/>
          <w:sz w:val="24"/>
          <w:szCs w:val="24"/>
        </w:rPr>
        <w:t>dokonywania ewentualnych dopłat za książeczkę żeglarską.</w:t>
      </w:r>
      <w:r w:rsidR="007A35EC" w:rsidRPr="002847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1EA5" w:rsidRPr="00723818">
        <w:rPr>
          <w:rFonts w:ascii="Times New Roman" w:hAnsi="Times New Roman" w:cs="Times New Roman"/>
          <w:sz w:val="24"/>
          <w:szCs w:val="24"/>
        </w:rPr>
        <w:t xml:space="preserve">Ustalenie opłaty za książeczkę żeglarską na poziomie proponowanym w projekcie ustawy odpowiada dotychczasowej stawce opłaty i nie będzie miało wpływu na dochody budżetu państwa z tego tytułu. </w:t>
      </w:r>
      <w:r w:rsidR="008644D8" w:rsidRPr="00723818">
        <w:rPr>
          <w:rFonts w:ascii="Times New Roman" w:hAnsi="Times New Roman" w:cs="Times New Roman"/>
          <w:sz w:val="24"/>
          <w:szCs w:val="24"/>
        </w:rPr>
        <w:t>Ponadto wskazać należy, że mimo wprowadzenia takiego samego okresu ważności</w:t>
      </w:r>
      <w:r w:rsidR="00605368" w:rsidRPr="00723818">
        <w:rPr>
          <w:rFonts w:ascii="Times New Roman" w:hAnsi="Times New Roman" w:cs="Times New Roman"/>
          <w:sz w:val="24"/>
          <w:szCs w:val="24"/>
        </w:rPr>
        <w:t xml:space="preserve"> książek żeglarskich dla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8644D8" w:rsidRPr="00723818">
        <w:rPr>
          <w:rFonts w:ascii="Times New Roman" w:hAnsi="Times New Roman" w:cs="Times New Roman"/>
          <w:sz w:val="24"/>
          <w:szCs w:val="24"/>
        </w:rPr>
        <w:t xml:space="preserve">wszystkich wnioskujących, by nie ograniczać dostępu do zawodu marynarza, pozostawiono obniżoną opłatę dla uczniów i studentów, jako osób co do zasady nieaktywnych zawodowo </w:t>
      </w:r>
      <w:r w:rsidR="00605368" w:rsidRPr="00723818">
        <w:rPr>
          <w:rFonts w:ascii="Times New Roman" w:hAnsi="Times New Roman" w:cs="Times New Roman"/>
          <w:sz w:val="24"/>
          <w:szCs w:val="24"/>
        </w:rPr>
        <w:t>i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8644D8" w:rsidRPr="00723818">
        <w:rPr>
          <w:rFonts w:ascii="Times New Roman" w:hAnsi="Times New Roman" w:cs="Times New Roman"/>
          <w:sz w:val="24"/>
          <w:szCs w:val="24"/>
        </w:rPr>
        <w:t xml:space="preserve">nieposiadających własnych środków </w:t>
      </w:r>
      <w:r w:rsidR="007A35EC" w:rsidRPr="00723818">
        <w:rPr>
          <w:rFonts w:ascii="Times New Roman" w:hAnsi="Times New Roman" w:cs="Times New Roman"/>
          <w:sz w:val="24"/>
          <w:szCs w:val="24"/>
        </w:rPr>
        <w:t>pieniężnych</w:t>
      </w:r>
      <w:r w:rsidR="008644D8" w:rsidRPr="00723818">
        <w:rPr>
          <w:rFonts w:ascii="Times New Roman" w:hAnsi="Times New Roman" w:cs="Times New Roman"/>
          <w:sz w:val="24"/>
          <w:szCs w:val="24"/>
        </w:rPr>
        <w:t>.</w:t>
      </w:r>
    </w:p>
    <w:p w14:paraId="7D434CF2" w14:textId="3F6C62CA" w:rsidR="002008A9" w:rsidRPr="00723818" w:rsidRDefault="008630B3" w:rsidP="002847B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1B4">
        <w:rPr>
          <w:rFonts w:ascii="Times New Roman" w:hAnsi="Times New Roman" w:cs="Times New Roman"/>
          <w:sz w:val="24"/>
          <w:szCs w:val="24"/>
        </w:rPr>
        <w:t xml:space="preserve">Natomiast możliwość pobierania opłaty stanowiącej równoważność kwoty w </w:t>
      </w:r>
      <w:r w:rsidR="00497E2C" w:rsidRPr="00723818">
        <w:rPr>
          <w:rFonts w:ascii="Times New Roman" w:hAnsi="Times New Roman" w:cs="Times New Roman"/>
          <w:sz w:val="24"/>
          <w:szCs w:val="24"/>
        </w:rPr>
        <w:t>euro</w:t>
      </w:r>
      <w:r w:rsidRPr="00723818">
        <w:rPr>
          <w:rFonts w:ascii="Times New Roman" w:hAnsi="Times New Roman" w:cs="Times New Roman"/>
          <w:sz w:val="24"/>
          <w:szCs w:val="24"/>
        </w:rPr>
        <w:t xml:space="preserve"> proponuje się w przypadku wystawiania książeczek żeglarskich poza granicami kraju przez konsulów. </w:t>
      </w:r>
      <w:r w:rsidR="00605368" w:rsidRPr="00723818">
        <w:rPr>
          <w:rFonts w:ascii="Times New Roman" w:hAnsi="Times New Roman" w:cs="Times New Roman"/>
          <w:sz w:val="24"/>
          <w:szCs w:val="24"/>
        </w:rPr>
        <w:t>W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 xml:space="preserve">praktyce konsularnej pobranie opłaty wyrażonej w złotych nie byłoby </w:t>
      </w:r>
      <w:r w:rsidRPr="009371B4">
        <w:rPr>
          <w:rFonts w:ascii="Times New Roman" w:hAnsi="Times New Roman" w:cs="Times New Roman"/>
          <w:sz w:val="24"/>
          <w:szCs w:val="24"/>
        </w:rPr>
        <w:t>możliwe</w:t>
      </w:r>
      <w:r w:rsidRPr="00723818">
        <w:rPr>
          <w:rFonts w:ascii="Times New Roman" w:hAnsi="Times New Roman" w:cs="Times New Roman"/>
          <w:sz w:val="24"/>
          <w:szCs w:val="24"/>
        </w:rPr>
        <w:t xml:space="preserve">, bowiem zgodnie z art. 107 ustawy z dnia 25 czerwca 2015 r. </w:t>
      </w:r>
      <w:r w:rsidR="006510F8" w:rsidRPr="00723818">
        <w:rPr>
          <w:rFonts w:ascii="Times New Roman" w:hAnsi="Times New Roman" w:cs="Times New Roman"/>
          <w:sz w:val="24"/>
          <w:szCs w:val="24"/>
        </w:rPr>
        <w:t xml:space="preserve">– Prawo konsularne </w:t>
      </w:r>
      <w:r w:rsidRPr="00723818">
        <w:rPr>
          <w:rFonts w:ascii="Times New Roman" w:hAnsi="Times New Roman" w:cs="Times New Roman"/>
          <w:sz w:val="24"/>
          <w:szCs w:val="24"/>
        </w:rPr>
        <w:t xml:space="preserve">(Dz. U. z </w:t>
      </w:r>
      <w:r w:rsidR="007C5955" w:rsidRPr="00723818">
        <w:rPr>
          <w:rFonts w:ascii="Times New Roman" w:hAnsi="Times New Roman" w:cs="Times New Roman"/>
          <w:sz w:val="24"/>
          <w:szCs w:val="24"/>
        </w:rPr>
        <w:t>2021 r. poz. 823</w:t>
      </w:r>
      <w:r w:rsidRPr="00723818">
        <w:rPr>
          <w:rFonts w:ascii="Times New Roman" w:hAnsi="Times New Roman" w:cs="Times New Roman"/>
          <w:sz w:val="24"/>
          <w:szCs w:val="24"/>
        </w:rPr>
        <w:t xml:space="preserve">) opłaty konsularne </w:t>
      </w:r>
      <w:r w:rsidR="00DD59C3" w:rsidRPr="00723818">
        <w:rPr>
          <w:rFonts w:ascii="Times New Roman" w:hAnsi="Times New Roman" w:cs="Times New Roman"/>
          <w:sz w:val="24"/>
          <w:szCs w:val="24"/>
        </w:rPr>
        <w:t xml:space="preserve">są </w:t>
      </w:r>
      <w:r w:rsidRPr="00723818">
        <w:rPr>
          <w:rFonts w:ascii="Times New Roman" w:hAnsi="Times New Roman" w:cs="Times New Roman"/>
          <w:sz w:val="24"/>
          <w:szCs w:val="24"/>
        </w:rPr>
        <w:t>pobierane w walucie państwa przyjmującego. Dotychczas przyjęty sposób ustalenia wysokości opłaty za wystawienie książeczki żeglarskiej, jako „równowartości 50 euro”</w:t>
      </w:r>
      <w:r w:rsidR="00936BC5" w:rsidRPr="00723818">
        <w:rPr>
          <w:rFonts w:ascii="Times New Roman" w:hAnsi="Times New Roman" w:cs="Times New Roman"/>
          <w:sz w:val="24"/>
          <w:szCs w:val="24"/>
        </w:rPr>
        <w:t>,</w:t>
      </w:r>
      <w:r w:rsidRPr="00723818">
        <w:rPr>
          <w:rFonts w:ascii="Times New Roman" w:hAnsi="Times New Roman" w:cs="Times New Roman"/>
          <w:sz w:val="24"/>
          <w:szCs w:val="24"/>
        </w:rPr>
        <w:t xml:space="preserve"> czy „równowartości 25 euro”</w:t>
      </w:r>
      <w:r w:rsidR="00154FB6" w:rsidRPr="00723818">
        <w:rPr>
          <w:rFonts w:ascii="Times New Roman" w:hAnsi="Times New Roman" w:cs="Times New Roman"/>
          <w:sz w:val="24"/>
          <w:szCs w:val="24"/>
        </w:rPr>
        <w:t>,</w:t>
      </w:r>
      <w:r w:rsidRPr="00723818">
        <w:rPr>
          <w:rFonts w:ascii="Times New Roman" w:hAnsi="Times New Roman" w:cs="Times New Roman"/>
          <w:sz w:val="24"/>
          <w:szCs w:val="24"/>
        </w:rPr>
        <w:t xml:space="preserve"> pozwalał na przeliczanie podanej wartości na walutę, w której konsul pobiera opłaty konsularne. Ustalenie wysokości opłaty w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złotych spowodowałoby natomiast, że konsul wydający książeczkę będzie zobligowany do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pobrania tej opłaty w złotych – co ze względów praktycznych,</w:t>
      </w:r>
      <w:r w:rsidR="00936FF9" w:rsidRPr="00723818">
        <w:rPr>
          <w:rFonts w:ascii="Times New Roman" w:hAnsi="Times New Roman" w:cs="Times New Roman"/>
          <w:sz w:val="24"/>
          <w:szCs w:val="24"/>
        </w:rPr>
        <w:t xml:space="preserve"> z uwagi na funkcjonujące </w:t>
      </w:r>
      <w:r w:rsidR="00605368" w:rsidRPr="00723818">
        <w:rPr>
          <w:rFonts w:ascii="Times New Roman" w:hAnsi="Times New Roman" w:cs="Times New Roman"/>
          <w:sz w:val="24"/>
          <w:szCs w:val="24"/>
        </w:rPr>
        <w:t>w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936FF9" w:rsidRPr="00723818">
        <w:rPr>
          <w:rFonts w:ascii="Times New Roman" w:hAnsi="Times New Roman" w:cs="Times New Roman"/>
          <w:sz w:val="24"/>
          <w:szCs w:val="24"/>
        </w:rPr>
        <w:t>polskich urzędach konsularnych systemy informatyczne służące rejestracji pobieranych opłat,</w:t>
      </w:r>
      <w:r w:rsidRPr="009371B4">
        <w:rPr>
          <w:rFonts w:ascii="Times New Roman" w:hAnsi="Times New Roman" w:cs="Times New Roman"/>
          <w:sz w:val="24"/>
          <w:szCs w:val="24"/>
        </w:rPr>
        <w:t xml:space="preserve"> jak i w świetle przytoczonego wyżej przepisu ustawy</w:t>
      </w:r>
      <w:r w:rsidR="003B67EE" w:rsidRPr="00723818">
        <w:rPr>
          <w:rFonts w:ascii="Times New Roman" w:hAnsi="Times New Roman" w:cs="Times New Roman"/>
          <w:sz w:val="24"/>
          <w:szCs w:val="24"/>
        </w:rPr>
        <w:t xml:space="preserve"> z dnia 25 czerwca 2015 r.</w:t>
      </w:r>
      <w:r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FE7671" w:rsidRPr="00723818">
        <w:rPr>
          <w:rFonts w:ascii="Times New Roman" w:hAnsi="Times New Roman" w:cs="Times New Roman"/>
          <w:sz w:val="24"/>
          <w:szCs w:val="24"/>
        </w:rPr>
        <w:t>–</w:t>
      </w:r>
      <w:r w:rsidR="003B67EE"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sz w:val="24"/>
          <w:szCs w:val="24"/>
        </w:rPr>
        <w:t>Prawo konsularne, nie byłoby możliwe</w:t>
      </w:r>
      <w:r w:rsidR="00936FF9" w:rsidRPr="00723818">
        <w:rPr>
          <w:rFonts w:ascii="Times New Roman" w:hAnsi="Times New Roman" w:cs="Times New Roman"/>
          <w:sz w:val="24"/>
          <w:szCs w:val="24"/>
        </w:rPr>
        <w:t>.</w:t>
      </w:r>
    </w:p>
    <w:p w14:paraId="53C4E7FA" w14:textId="7C12C799" w:rsidR="0056405A" w:rsidRPr="00723818" w:rsidRDefault="0056405A" w:rsidP="002847B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818">
        <w:rPr>
          <w:rFonts w:ascii="Times New Roman" w:hAnsi="Times New Roman" w:cs="Times New Roman"/>
          <w:sz w:val="24"/>
          <w:szCs w:val="24"/>
        </w:rPr>
        <w:t>Proponuje się również, by książeczkę żeglarską wydawać bezpłatnie marynarzom, którzy dotychczas posiadany</w:t>
      </w:r>
      <w:r w:rsidR="00F077A2" w:rsidRPr="00723818">
        <w:rPr>
          <w:rFonts w:ascii="Times New Roman" w:hAnsi="Times New Roman" w:cs="Times New Roman"/>
          <w:sz w:val="24"/>
          <w:szCs w:val="24"/>
        </w:rPr>
        <w:t>, ważny,</w:t>
      </w:r>
      <w:r w:rsidRPr="00723818">
        <w:rPr>
          <w:rFonts w:ascii="Times New Roman" w:hAnsi="Times New Roman" w:cs="Times New Roman"/>
          <w:sz w:val="24"/>
          <w:szCs w:val="24"/>
        </w:rPr>
        <w:t xml:space="preserve"> dokument utracili na skutek wypadku morskiego</w:t>
      </w:r>
      <w:r w:rsidR="00F077A2" w:rsidRPr="00723818">
        <w:rPr>
          <w:rFonts w:ascii="Times New Roman" w:hAnsi="Times New Roman" w:cs="Times New Roman"/>
          <w:sz w:val="24"/>
          <w:szCs w:val="24"/>
        </w:rPr>
        <w:t xml:space="preserve">. Przy czym wskazuje się, że wypadek taki powinien zostać stwierdzony przez właściwy organ, zgodnie </w:t>
      </w:r>
      <w:r w:rsidR="00605368" w:rsidRPr="00723818">
        <w:rPr>
          <w:rFonts w:ascii="Times New Roman" w:hAnsi="Times New Roman" w:cs="Times New Roman"/>
          <w:sz w:val="24"/>
          <w:szCs w:val="24"/>
        </w:rPr>
        <w:t>z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F077A2" w:rsidRPr="00723818">
        <w:rPr>
          <w:rFonts w:ascii="Times New Roman" w:hAnsi="Times New Roman" w:cs="Times New Roman"/>
          <w:sz w:val="24"/>
          <w:szCs w:val="24"/>
        </w:rPr>
        <w:t>Kodeksem międzynarodowych standardów i zalecanych praktyk postępowania w sprawach badania wypadków lub incydentów morskich, przyjętym przez Komitet Bezpieczeństwa Morskiego Międzynarodowej Organizacji Morskiej (IMO)</w:t>
      </w:r>
      <w:r w:rsidR="00F077A2" w:rsidRPr="009371B4">
        <w:rPr>
          <w:rFonts w:ascii="Times New Roman" w:hAnsi="Times New Roman" w:cs="Times New Roman"/>
          <w:sz w:val="24"/>
          <w:szCs w:val="24"/>
        </w:rPr>
        <w:t xml:space="preserve">. </w:t>
      </w:r>
      <w:r w:rsidR="00F976DD" w:rsidRPr="00723818">
        <w:rPr>
          <w:rFonts w:ascii="Times New Roman" w:hAnsi="Times New Roman" w:cs="Times New Roman"/>
          <w:sz w:val="24"/>
          <w:szCs w:val="24"/>
        </w:rPr>
        <w:t xml:space="preserve">By nie </w:t>
      </w:r>
      <w:r w:rsidR="00F976DD" w:rsidRPr="00723818">
        <w:rPr>
          <w:rFonts w:ascii="Times New Roman" w:hAnsi="Times New Roman" w:cs="Times New Roman"/>
          <w:sz w:val="24"/>
          <w:szCs w:val="24"/>
        </w:rPr>
        <w:lastRenderedPageBreak/>
        <w:t>zawężać prawa marynarzy posiadających książeczki żeglarskie wydane przez polską administrację morską do ubiegania się o nowy dokument bez konieczności wnoszenia opłaty oraz</w:t>
      </w:r>
      <w:r w:rsidR="00F077A2" w:rsidRPr="00723818">
        <w:rPr>
          <w:rFonts w:ascii="Times New Roman" w:hAnsi="Times New Roman" w:cs="Times New Roman"/>
          <w:sz w:val="24"/>
          <w:szCs w:val="24"/>
        </w:rPr>
        <w:t xml:space="preserve"> uwagi na fakt, że w państwach będących członkami IMO, co do zasady stosujących </w:t>
      </w:r>
      <w:r w:rsidR="00F976DD" w:rsidRPr="00723818">
        <w:rPr>
          <w:rFonts w:ascii="Times New Roman" w:hAnsi="Times New Roman" w:cs="Times New Roman"/>
          <w:sz w:val="24"/>
          <w:szCs w:val="24"/>
        </w:rPr>
        <w:t xml:space="preserve">ww. </w:t>
      </w:r>
      <w:r w:rsidR="00F077A2" w:rsidRPr="00723818">
        <w:rPr>
          <w:rFonts w:ascii="Times New Roman" w:hAnsi="Times New Roman" w:cs="Times New Roman"/>
          <w:sz w:val="24"/>
          <w:szCs w:val="24"/>
        </w:rPr>
        <w:t xml:space="preserve">Kodeks, </w:t>
      </w:r>
      <w:r w:rsidR="00F976DD" w:rsidRPr="00723818">
        <w:rPr>
          <w:rFonts w:ascii="Times New Roman" w:hAnsi="Times New Roman" w:cs="Times New Roman"/>
          <w:sz w:val="24"/>
          <w:szCs w:val="24"/>
        </w:rPr>
        <w:t>badaniem wypadków morskich zajmują się rożne organy, w przepisie wskazuje się szeroko, że wypadek powinien być stwierdzony przez organ właściwy, tak krajowy (którym jest Państwowa Komisja Badania Wypadkó</w:t>
      </w:r>
      <w:r w:rsidR="00103B60" w:rsidRPr="00723818">
        <w:rPr>
          <w:rFonts w:ascii="Times New Roman" w:hAnsi="Times New Roman" w:cs="Times New Roman"/>
          <w:sz w:val="24"/>
          <w:szCs w:val="24"/>
        </w:rPr>
        <w:t>w Morskich), jak i zagraniczny.</w:t>
      </w:r>
    </w:p>
    <w:p w14:paraId="1EDFD7ED" w14:textId="79602DD8" w:rsidR="007904EE" w:rsidRPr="009371B4" w:rsidRDefault="00710AFB" w:rsidP="002847B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7D6E1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6F4D5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uchylenie art. 1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ust.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</w:t>
      </w:r>
      <w:r w:rsidR="00CF120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Uchylany p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rzepis stanowi, że dyrektor urzędu morskiego odmawia, w drodze decyzji, wystawienia książeczki żeglarskiej, jeżeli z wnioskiem wystąpiła osoba, </w:t>
      </w:r>
      <w:r w:rsidRPr="00723818">
        <w:rPr>
          <w:rFonts w:ascii="Times New Roman" w:hAnsi="Times New Roman" w:cs="Times New Roman"/>
          <w:sz w:val="24"/>
          <w:szCs w:val="24"/>
        </w:rPr>
        <w:t xml:space="preserve">wobec której prawomocnie orzeczono zakaz wykonywania pracy na statku. </w:t>
      </w:r>
      <w:r w:rsidR="00CF1203" w:rsidRPr="00723818">
        <w:rPr>
          <w:rFonts w:ascii="Times New Roman" w:hAnsi="Times New Roman" w:cs="Times New Roman"/>
          <w:sz w:val="24"/>
          <w:szCs w:val="24"/>
        </w:rPr>
        <w:t>Sądy bowiem nie orzekają o zakazie wykonywania pracy na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CF1203" w:rsidRPr="00723818">
        <w:rPr>
          <w:rFonts w:ascii="Times New Roman" w:hAnsi="Times New Roman" w:cs="Times New Roman"/>
          <w:sz w:val="24"/>
          <w:szCs w:val="24"/>
        </w:rPr>
        <w:t>statku. W kontekście orzecznictwa Izb Morskich orzekano zakaz (czasowy) wykonywania danych funkcji</w:t>
      </w:r>
      <w:r w:rsidR="00E36753" w:rsidRPr="009371B4">
        <w:rPr>
          <w:rFonts w:ascii="Times New Roman" w:hAnsi="Times New Roman" w:cs="Times New Roman"/>
          <w:sz w:val="24"/>
          <w:szCs w:val="24"/>
        </w:rPr>
        <w:t xml:space="preserve"> na statku</w:t>
      </w:r>
      <w:r w:rsidR="00CF1203" w:rsidRPr="00723818">
        <w:rPr>
          <w:rFonts w:ascii="Times New Roman" w:hAnsi="Times New Roman" w:cs="Times New Roman"/>
          <w:sz w:val="24"/>
          <w:szCs w:val="24"/>
        </w:rPr>
        <w:t>. Zakaz taki nie może mieć je</w:t>
      </w:r>
      <w:r w:rsidR="00605368" w:rsidRPr="00723818">
        <w:rPr>
          <w:rFonts w:ascii="Times New Roman" w:hAnsi="Times New Roman" w:cs="Times New Roman"/>
          <w:sz w:val="24"/>
          <w:szCs w:val="24"/>
        </w:rPr>
        <w:t>dnak wpływu na posiadanie lub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CF1203" w:rsidRPr="00723818">
        <w:rPr>
          <w:rFonts w:ascii="Times New Roman" w:hAnsi="Times New Roman" w:cs="Times New Roman"/>
          <w:sz w:val="24"/>
          <w:szCs w:val="24"/>
        </w:rPr>
        <w:t>wystawianie książeczki żeglarskiej, gdyż książeczka żeglarska służy głównie dokumentowaniu przebiegu kariery zawodowej, nie jest zaś potwierdzeniem kwalifikacji zawodowych marynarza.</w:t>
      </w:r>
    </w:p>
    <w:p w14:paraId="0C6B702C" w14:textId="597386B0" w:rsidR="007904EE" w:rsidRPr="00723818" w:rsidRDefault="00320A8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obec zmiany zaproponowanej w </w:t>
      </w:r>
      <w:r w:rsidR="009E491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2F5FD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dotyczącej uchylenia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12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 ustawy, w </w:t>
      </w:r>
      <w:r w:rsidR="009E491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9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lit. a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2F5FD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zmianę wynikową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14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42E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Przedmiotowy przepis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swym obecnym brzmieniu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odwołuje się do uchylanego 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12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 ustawy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zatem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 usunięcie odwołania do art. 12 ust. 3</w:t>
      </w:r>
      <w:r w:rsidR="00617351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ustawy.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Ponadto zmienionym brzmieniem przepisu uchyla się pkt 2 i 3 w art. 14 ust. 2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które stanowią, że</w:t>
      </w:r>
      <w:r w:rsidRPr="00723818">
        <w:rPr>
          <w:rFonts w:ascii="Times New Roman" w:hAnsi="Times New Roman" w:cs="Times New Roman"/>
          <w:color w:val="000000"/>
          <w:sz w:val="24"/>
          <w:szCs w:val="24"/>
        </w:rPr>
        <w:t xml:space="preserve"> dyrektor urzędu morskiego unieważnia książeczkę żeglarską, w drodze decyzji,</w:t>
      </w:r>
      <w:r w:rsidR="007238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381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jeżeli uczeń lub student zostali skreśleni z 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listy, odpowiednio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uczniów lub studentów. Ponieważ książeczka żeglarska jest dokumentem potwierdzającym i warunkującym zatrudnienie na statku, nie zaś status ucznia lub studenta, nie można odmawiać poprzez jej odebranie prawa do wykonywania zawodu marynarza osobom, które zostały wyrzucone lub zrezygnowały z nauki w szkole</w:t>
      </w:r>
      <w:r w:rsidR="006158D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czy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uczelni.</w:t>
      </w:r>
    </w:p>
    <w:p w14:paraId="10BB0FFE" w14:textId="3D8E74F3" w:rsidR="00320A85" w:rsidRPr="00723818" w:rsidRDefault="00CF1203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9E491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9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1735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lit. b </w:t>
      </w:r>
      <w:r w:rsidR="00A17B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C0699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320A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wobec zmian proponowanych w </w:t>
      </w:r>
      <w:r w:rsidR="009E491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320A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pkt 12 lit. a projektu</w:t>
      </w:r>
      <w:r w:rsidR="00C0699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320A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 zmienionego brzmienia art. 14 ust. 2 ustawy, propo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nuje się uchylenie art. 14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20A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</w:t>
      </w:r>
      <w:r w:rsidR="00C31F7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="00320A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który w swoim brzmieniu powołuje się na przepisy art. 14 ust. 2 pkt 2 i 3</w:t>
      </w:r>
      <w:r w:rsidR="00C31F7A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uchylone wyżej zaproponowaną zmianą.</w:t>
      </w:r>
    </w:p>
    <w:p w14:paraId="73614C1A" w14:textId="6A039B76" w:rsidR="00C31F7A" w:rsidRPr="00723818" w:rsidRDefault="00C31F7A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W </w:t>
      </w:r>
      <w:r w:rsidR="00CF04F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0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332F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zmianę wynikową w związku z wprowadzeniem definicji Konwencji MLC w zmienianym art. 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pkt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1 ustawy (pkt </w:t>
      </w:r>
      <w:r w:rsidR="006008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 lit. a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projektu</w:t>
      </w:r>
      <w:r w:rsidR="00332F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). Wobec tego w art. 18 ust. 3 </w:t>
      </w:r>
      <w:r w:rsidR="00E6681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zdaniu pierwszym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pełną nazwę konwencji proponuje się zastąpić zdefiniowanym wcześniej skrótem.</w:t>
      </w:r>
    </w:p>
    <w:p w14:paraId="5D3AD1B3" w14:textId="57B5A064" w:rsidR="00F976DD" w:rsidRPr="00723818" w:rsidRDefault="00C31F7A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CF04F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6A787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dodanie nowego ust. 1a w art. 23 ustawy, zobowiązującego agencję 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zatrudnienia</w:t>
      </w:r>
      <w:r w:rsidR="0058195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8195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posiadającą wydany przez dyrektora urzędu morskiego dokument uprawniający do kierowania marynarzy do pracy na statkach,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przedłożenia właściwemu dyrektorowi urzędu morskiego dowodu </w:t>
      </w:r>
      <w:r w:rsidR="00F976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odnowienia lub ustanowienia nowego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ubezpieczenia lub innego zabezpieczenia finansowego odpowiedzialności za szkody poniesione przez marynarzy z tytułu nieskuteczności pośrednictwa pracy</w:t>
      </w:r>
      <w:r w:rsidR="00E367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Dowód ten miałby być składany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nie później niż 14 dni </w:t>
      </w:r>
      <w:r w:rsidR="0056405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przed upływem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terminu obowiązywania ubezpieczenia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976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zabezpieczania finansowego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F976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Wskazuje się przy tym, że o</w:t>
      </w:r>
      <w:r w:rsidR="00F976DD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kres obowiązywania odnowionego lub ustanowionego nowego ubezpieczenia lub innego zabezpieczenia finansowego</w:t>
      </w:r>
      <w:r w:rsidR="00F976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nie może się rozpoczynać później niż w dniu następnym po dniu zakończenia obowiązywania dotychczasowego ubezpieczenia lub innego zabezpieczenia finansowego.</w:t>
      </w:r>
    </w:p>
    <w:p w14:paraId="76B17090" w14:textId="4002FC3B" w:rsidR="00135D66" w:rsidRPr="00723818" w:rsidRDefault="00600830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przypadku braku przedstawienia takiego </w:t>
      </w:r>
      <w:r w:rsidR="00F976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dokumentu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się, by </w:t>
      </w:r>
      <w:r w:rsidR="006508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yrektor urzędu morskiego, bez względu na inn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przesłanki wynikające z Konwencji MLC, przeprowadzał niezwłocznie audyt dodatkowy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agencji zatrudnienia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godnie z a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rt. 18 ust. 5 ustawy o pracy 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morzu dyrektor urzędu morskiego może przeprowadzić audyt dodatkowy w przypadku uzasadnionego podejrzenia, że działanie agencj</w:t>
      </w:r>
      <w:r w:rsidR="00776E9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 zatrudnien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ia nie jest zgodne z ustawą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wymaganiami określonymi w Konwencji MLC. Jednakże uchybienie agencji w postaci braku </w:t>
      </w:r>
      <w:r w:rsidR="00776E9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dowodu 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zawarcia lub odnowienia ubezpieczenia lub innego zabezpieczenia finansowego odpowiedzialności za szkody poniesione przez marynarzy z tytułu nieskuteczności pośrednictwa pracy jest uchybieniem na tyle poważnym, że należy podkreślić w tej sytuacji obowiązek (a nie jedynie możliwość) dyrektora urzędu morskiego do przeprowadzenia audytu. 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Agencja zatrudnienia prowadząca pośrednictwo pracy dla marynarzy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zgodnie z Konwencją MLC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obowiązana j</w:t>
      </w:r>
      <w:r w:rsidR="00BC51E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est posiadać aktualne ubezpiecze</w:t>
      </w:r>
      <w:r w:rsidR="00135D6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nie</w:t>
      </w:r>
      <w:r w:rsidR="007021F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lub zabezpiecze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nie finansowe odpowiedzialności za szkody poniesione przez marynarzy z tytułu nieskuteczności pośrednictwa pracy lub niewypełnienia przez armatora zobowiązań wynikających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marynarskiej umowy o pracę. Fakt ten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w przypadku nie przedłożenia właściwemu dyrektorowi urzędu morskiego </w:t>
      </w:r>
      <w:r w:rsidR="006F5BBB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dokumentu potwierdzaj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ącego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odnowienie lub ustanowienie nowego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ubezpieczenia lub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innego zabezpieczenia finansowego odpowiedzialności za szkody poniesione przez marynarzy z tytułu nieskuteczności pośrednictwa pracy </w:t>
      </w:r>
      <w:r w:rsidR="00CA5A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terminie nie później niż 14 dni przed upływem terminu obowiązywania ubezpieczenia,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weryfikowany jest przez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dyrektora urzędu morskiego podczas audytu. </w:t>
      </w:r>
      <w:r w:rsidR="00272EE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obowiązanie agencji do przedkładania dyrektorowi urzędu morskiego dowodu potwierdzającego ciągłość takiego ubezpieczania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dyrektora urzędu morskiego do przep</w:t>
      </w:r>
      <w:r w:rsidR="00776E9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rowadzenia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audytu dodatkowego</w:t>
      </w:r>
      <w:r w:rsidR="00776E9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przypadku braku informacji o p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osiadaniu przedmiotowego dowodu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ma na celu zwiększenie poziomu ochrony marynarzy korzystających z usług takiej agencji. </w:t>
      </w:r>
      <w:r w:rsidR="00E2192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7B1D5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obowiązanie takie, jak również </w:t>
      </w:r>
      <w:r w:rsidR="0045770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publikacja przez właściwego dyrektora urzędu morskiego </w:t>
      </w:r>
      <w:r w:rsidR="00E1783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stronie podmiotowej obsługującego go urzędu </w:t>
      </w:r>
      <w:r w:rsidR="0045770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stosowanej informacji o negatywnym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5770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wyniku audytu dodatkowego spowodowanego brakiem ubezpieczenia lub innego zabezpieczenia finansowego</w:t>
      </w:r>
      <w:r w:rsidR="0045770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a przede wszystkim – nadanie decyzji, którą dyrektor urzędu morskiego unieważnia dokument </w:t>
      </w:r>
      <w:r w:rsidR="0045770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uprawniający agencję do kierowania marynarzy do pracy na statkach, rygoru natychmiastowej wykonalności</w:t>
      </w:r>
      <w:r w:rsidR="00E961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272E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 </w:t>
      </w:r>
      <w:r w:rsidR="00E961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</w:t>
      </w:r>
      <w:r w:rsidR="00E2192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apewnić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B5B3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sprawniejsze i bardziej kompleksowe 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sprawowani</w:t>
      </w:r>
      <w:r w:rsidR="00E2192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nadzoru nad </w:t>
      </w:r>
      <w:r w:rsidR="00E9613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agencjami pośrednictwa pracy dla marynarzy </w:t>
      </w:r>
      <w:r w:rsidR="00E2192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przez dyrektora urzędu morskiego</w:t>
      </w:r>
      <w:r w:rsidR="005A15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6B5B3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jak również </w:t>
      </w:r>
      <w:r w:rsidR="005A15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 </w:t>
      </w:r>
      <w:r w:rsidR="006B5B3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zapewnić pełniejszy dostęp do informacji o agencjach zatrudnienia marynarzom korzystających z ich usług</w:t>
      </w:r>
      <w:r w:rsidR="004D30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0382C8A" w14:textId="4D934BA9" w:rsidR="00135D66" w:rsidRPr="00723818" w:rsidRDefault="004D305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0904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4638C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lit. a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D77AD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dodanie nowego ust. 1a w art. 31 ustawy.</w:t>
      </w:r>
      <w:r w:rsidR="007B71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przepisie tym</w:t>
      </w:r>
      <w:r w:rsidR="004600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zgodnie z Poprawkami z 2018 r. do Konwencji MLC (poprawka do Kodeksu wdrażającego Prawidła 2.1 w zakresie Normy A2.1 – Marynarskie umowy 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600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pracę) zapewnia się ciągłość marynarskiej umow</w:t>
      </w:r>
      <w:r w:rsidR="004A020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 o pracę, mimo jej rozwiązania</w:t>
      </w:r>
      <w:r w:rsidR="0046008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w sytuacji, gdy</w:t>
      </w:r>
      <w:r w:rsidR="007B71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marynarz jest </w:t>
      </w:r>
      <w:r w:rsidR="004206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przetrzymywany </w:t>
      </w:r>
      <w:r w:rsidR="007B71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statku lub poza nim na skutek piractwa </w:t>
      </w:r>
      <w:r w:rsidR="004600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lub zbrojnej napaści na statek.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Pod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D1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pojęciem rozwiązania marynarskiej umowy o pracę, w myśl art. 30 ustawy z dnia 26 czerwca 1974 r. 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="00291E0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D1C3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Kodeks </w:t>
      </w:r>
      <w:r w:rsidR="00D4515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="003D1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racy (Dz. U. z </w:t>
      </w:r>
      <w:r w:rsidR="00A52FC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2020 r. poz. 1320, z </w:t>
      </w:r>
      <w:proofErr w:type="spellStart"/>
      <w:r w:rsidR="00A52FC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="00A52FC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zm.), </w:t>
      </w:r>
      <w:r w:rsidR="003D1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którego odsyła również sama ustawa o pracy na morzu w art. 29 ust. 1 pkt 1, rozumieć należy również upływ czasu pracy, na który ta umowa </w:t>
      </w:r>
      <w:r w:rsidR="004A020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została zawarta</w:t>
      </w:r>
      <w:r w:rsidR="003D1C3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jak również jej wypowiedzenie. </w:t>
      </w:r>
      <w:r w:rsidR="004600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przepisie tym stanowi się, że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przedmiotowej sytuacji</w:t>
      </w:r>
      <w:r w:rsidR="0046008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B71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marynarska umowa o pracę ulega przedłużeniu do dnia przybycia statku do najbliższego portu bez względu na to, czy w trakcie okresu </w:t>
      </w:r>
      <w:r w:rsidR="004206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przetrzymywania </w:t>
      </w:r>
      <w:r w:rsidR="007B71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umowa ta została rozwiązana, wypowiedziana lub upłynął jej termin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56117715" w14:textId="2727117F" w:rsidR="001A2329" w:rsidRPr="00723818" w:rsidRDefault="002F471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Ponadto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zgodnie z przedmiotową poprawką do Konwencji MLC, 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0904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A232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lit. b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5A52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rozszerza się zakres obecnego art. 31 ust. 2 ustawy o sytuację</w:t>
      </w:r>
      <w:r w:rsidR="00A548C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gdy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marynarz był </w:t>
      </w:r>
      <w:r w:rsidR="004206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przetrzymywany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statku na skutek piractwa lub zbrojnej napaści na statek. Tym samym marynarska umowa o pracę marynarza, który po uwolnieniu przez piratów wraca do kraju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inny sposób niż na statku, na którym jest wpisany na listę załogi statku, ulega przedłużeniu do dn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ia przybycia marynarza do miejsca repatriacji wskazanego w marynarskiej umowie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pracę.</w:t>
      </w:r>
    </w:p>
    <w:p w14:paraId="77124F5F" w14:textId="26CA5F46" w:rsidR="002F4715" w:rsidRPr="009371B4" w:rsidRDefault="002F471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441A3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13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03537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dodanie nowego art. 3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5a w ustawie. Proponuje się, by wynagrodzenie marynarza, który jest uwięziony na statku lub poza nim na skutek piractwa lub zbrojnej napaści na statek, wypłacane było na zasadach określonych w art. 35 ustawy do czasu uwolnienia marynarza i jego należytej repatriacji. Proponuje się ponadto,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przypadku śmierci marynarza w czasie uwięzienia sp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owodowanego atakiem piratów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zbrojną napaścią na statek, wynagrodzenie było wypłacane do dnia śmierci tego marynarza. Celem proponowanych przepisów, zgodnie z Poprawkami z 2018 r.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Konwencji MLC (poprawka do prawidła 2.2 w zakresie Normy A2.2 – Wynagrodzenie)</w:t>
      </w:r>
      <w:r w:rsidR="00AD6C8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jest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zapewni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enie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ciągłoś</w:t>
      </w:r>
      <w:r w:rsidR="00AB06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ci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wypłacania wynagrodzenia i innych świadczeń w ramach marynarskiej umowy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pracę w przypadku, gdy marynarz jest </w:t>
      </w:r>
      <w:r w:rsidR="004206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przetrzymywany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 statku lub poza nim 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skutek piractwa lub zbrojnej napaści na statek, aż do czasu uwolnienia marynarza i jego repatriacji lub do daty śmierci marynarza podczas uwięzienia. </w:t>
      </w:r>
    </w:p>
    <w:p w14:paraId="147BDB30" w14:textId="02DC7070" w:rsidR="00197969" w:rsidRPr="00723818" w:rsidRDefault="003161C6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441A3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FF511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zmianę art. 44 ust. 1 ustawy. Proponuje się,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rozliczenie czasu pracy na statk</w:t>
      </w:r>
      <w:r w:rsidR="0019796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 dokonywane było </w:t>
      </w:r>
      <w:r w:rsidR="002A525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19796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okresie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nieprzekraczającym </w:t>
      </w:r>
      <w:r w:rsidR="0019796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miesiąca</w:t>
      </w:r>
      <w:r w:rsidR="0019796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w miejsce aktualnie obowiązującego 6-miesięcznego okresu rozliczeniowego. Skrócenie okresu rozliczeniow</w:t>
      </w:r>
      <w:r w:rsidR="00197969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ego dla czasu pracy </w:t>
      </w:r>
      <w:r w:rsidR="00E2192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statku </w:t>
      </w:r>
      <w:r w:rsidR="0019796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 na celu zapobieganie nadmiernemu przemęczeniu marynarzy, wynikającemu z dużej liczby godzin pracy, które rekompensowane są odpoczynkiem nie bezpośrednio po wysiłku, a w dłuższej perspektywie czasu. W efekcie, zapewnić ma, by marynarz był wypoczęty i mógł bezpiecznie oraz efektywnie wykonywać swe obowiązki na statku.</w:t>
      </w:r>
    </w:p>
    <w:p w14:paraId="6E9474A9" w14:textId="2ACE42A6" w:rsidR="00BB1D99" w:rsidRPr="009371B4" w:rsidRDefault="00197969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621B8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</w:t>
      </w:r>
      <w:r w:rsidR="00863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C442E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ustawy </w:t>
      </w:r>
      <w:r w:rsidR="00C903E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 zmiany w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</w:t>
      </w:r>
      <w:r w:rsidR="00C8221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58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ustawy. Zgodnie z Poprawkami z 2018 r.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Konwencji MLC (poprawka do Prawidła 2.5 w zakresie Wytycznej B2.5.1 – Prawo do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repatriacji), </w:t>
      </w:r>
      <w:r w:rsidR="00BB1D9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rozszerza się</w:t>
      </w:r>
      <w:r w:rsidR="002F471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prawo </w:t>
      </w:r>
      <w:r w:rsidR="00BB1D9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 bezpłatnej repatriacji </w:t>
      </w:r>
      <w:r w:rsidR="002F471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marynarzy </w:t>
      </w:r>
      <w:r w:rsidR="0042060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przetrzymywanych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F471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statku </w:t>
      </w:r>
      <w:r w:rsidR="00BB1D9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skutek piractwa lub zbrojnej napaści na statek. </w:t>
      </w:r>
    </w:p>
    <w:p w14:paraId="7618E352" w14:textId="0D6CD608" w:rsidR="003540DC" w:rsidRPr="009371B4" w:rsidRDefault="003540DC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art. 1 pkt 16 </w:t>
      </w:r>
      <w:r w:rsidR="00C515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lit. a projektu </w:t>
      </w:r>
      <w:r w:rsidR="009D38C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zmianę art. 100 ust. 1 pkt 3</w:t>
      </w:r>
      <w:r w:rsidR="00C515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której celem jest zrównanie sytuacji 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załóg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statków konwencyjn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ych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w rozumieniu 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i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Konwencji 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MLC, oraz statków nie podlegających przedmiotowej konwencji</w:t>
      </w:r>
      <w:r w:rsidR="009E6F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(w szczególności statków pełniących stałe pogotowie oraz statków specjalistycznych, takich jak holowniki, pogłębiarki oraz dźwigi pływające)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zakresie </w:t>
      </w:r>
      <w:r w:rsidR="00C515E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obowiązku armatora do zapewnienia z</w:t>
      </w:r>
      <w:r w:rsidR="0066064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ałogom bezpłatnego wyżywienia. W</w:t>
      </w:r>
      <w:r w:rsidR="009E6F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związku z tym proponuje się rozszerzenie wył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ączenia stosowania art. 63 ust.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9E6FB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3, zobowiązującego armatora do zapewnienia bezpłatnego wyżywienia oraz dostępu do wody pitnej, właśnie o holowniki, pogłębiarki oraz dźwigi pływające. </w:t>
      </w:r>
    </w:p>
    <w:p w14:paraId="11B961E7" w14:textId="3CB5C1D8" w:rsidR="003540DC" w:rsidRPr="00723818" w:rsidRDefault="00C515E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Ponadto w </w:t>
      </w:r>
      <w:r w:rsidR="00621B8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="00BB1D9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6 lit. b </w:t>
      </w:r>
      <w:r w:rsidR="0092254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="002F471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D61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3C74E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zmianę art. 100 ust. 3 ustawy. W przepisie stanowi się, że na statkach niekonwencyjnych, które nie odbywają podróży międzynarodowych, nie stosuje się przepisów dotyczących repatriacji</w:t>
      </w:r>
      <w:r w:rsidR="003C74E1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jak również przepisów dotyczących</w:t>
      </w:r>
      <w:r w:rsidR="003C74E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porzucenia marynarzy oraz zabezpieczenia finansowego na wypadek porzucenia.</w:t>
      </w:r>
    </w:p>
    <w:p w14:paraId="47F34968" w14:textId="7EC1F48B" w:rsidR="006F5BBB" w:rsidRPr="00723818" w:rsidRDefault="00C335B6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art. 1 pkt 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3540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projektu ustawy proponuje się, by do pracowników urzędów morskich </w:t>
      </w:r>
      <w:r w:rsidR="001F5EC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pracujących na statkach pełniących pogotowie i statkach, które muszą w sposób nieprzerwany wykonywać obowiązki specjalnej służby państwowej, </w:t>
      </w:r>
      <w:r w:rsidR="00A75DA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nie stosować przepisów ustawy z dnia 16 września 1982 r. o pracownikach urzędów państwowych (Dz.</w:t>
      </w:r>
      <w:r w:rsidR="006933D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75DA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U. z 2020 r. poz. 537)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75DA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zakresie czasu i systemu pracy w sytuacji, 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jeśli zostaną do nich zastosowane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przepis</w:t>
      </w:r>
      <w:r w:rsidR="00BE040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 o pracy na morzu dotycząc</w:t>
      </w:r>
      <w:r w:rsidR="00BE040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zmianowego systemu pracy</w:t>
      </w:r>
      <w:r w:rsidR="001F5EC3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 tym, </w:t>
      </w:r>
      <w:r w:rsidR="002C0B4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które 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przepisy będą miały zastosowanie do</w:t>
      </w:r>
      <w:r w:rsidR="002C0B4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załóg poszczególnych statków, będzie przesądzał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układ zbiorowy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C0B4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regulamin pracy</w:t>
      </w:r>
      <w:r w:rsidR="006F5BB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58052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Okazać się bowiem może, że do rozliczania czasu pracy załóg niektórych jednostek pływających, zwłaszcza dużych statków wieloza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daniowych, bardziej korzystne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8052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punktu widzenia pracownika będą przepisy ustawy o pracy na morzu, natomiast do innych, mniejszych, przepisy ustawy o pracownikach urzędów państwowych. </w:t>
      </w:r>
    </w:p>
    <w:p w14:paraId="1E4D7482" w14:textId="27B156C1" w:rsidR="0054222B" w:rsidRPr="009371B4" w:rsidRDefault="00126F76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Tym samym członk</w:t>
      </w:r>
      <w:r w:rsidR="00E6635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om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załóg jednostek pływających urzędó</w:t>
      </w:r>
      <w:r w:rsidR="0060536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morskich umożliwi się pracę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systemie zmianowym, opartym o rozwiązania przyjęte dla statków pełniących stałe pogotowie ratownicze. Rozwiązanie takie jest</w:t>
      </w:r>
      <w:r w:rsidR="00C335B6" w:rsidRPr="00723818">
        <w:rPr>
          <w:rFonts w:ascii="Times New Roman" w:hAnsi="Times New Roman" w:cs="Times New Roman"/>
          <w:sz w:val="24"/>
          <w:szCs w:val="24"/>
        </w:rPr>
        <w:t xml:space="preserve"> wskazane z uwagi na konieczność zapewnienia ciągłego pogotowia jednostek pływających urzędów </w:t>
      </w:r>
      <w:r w:rsidR="00605368" w:rsidRPr="00723818">
        <w:rPr>
          <w:rFonts w:ascii="Times New Roman" w:hAnsi="Times New Roman" w:cs="Times New Roman"/>
          <w:sz w:val="24"/>
          <w:szCs w:val="24"/>
        </w:rPr>
        <w:t>morskich do wykonywania zadań z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C335B6" w:rsidRPr="00723818">
        <w:rPr>
          <w:rFonts w:ascii="Times New Roman" w:hAnsi="Times New Roman" w:cs="Times New Roman"/>
          <w:sz w:val="24"/>
          <w:szCs w:val="24"/>
        </w:rPr>
        <w:t>zakresu bezpieczeństwa morskiego i ratownictwa. Ponadto</w:t>
      </w:r>
      <w:r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C335B6" w:rsidRPr="00723818">
        <w:rPr>
          <w:rFonts w:ascii="Times New Roman" w:hAnsi="Times New Roman" w:cs="Times New Roman"/>
          <w:sz w:val="24"/>
          <w:szCs w:val="24"/>
        </w:rPr>
        <w:t xml:space="preserve">zmianowy system pracy otwiera możliwość pozyskania pracowników (członków załóg) z obszaru </w:t>
      </w:r>
      <w:r w:rsidR="00605368" w:rsidRPr="00723818">
        <w:rPr>
          <w:rFonts w:ascii="Times New Roman" w:hAnsi="Times New Roman" w:cs="Times New Roman"/>
          <w:sz w:val="24"/>
          <w:szCs w:val="24"/>
        </w:rPr>
        <w:t>całego kraju, co jest istotne z</w:t>
      </w:r>
      <w:r w:rsid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C335B6" w:rsidRPr="00723818">
        <w:rPr>
          <w:rFonts w:ascii="Times New Roman" w:hAnsi="Times New Roman" w:cs="Times New Roman"/>
          <w:sz w:val="24"/>
          <w:szCs w:val="24"/>
        </w:rPr>
        <w:t xml:space="preserve">uwagi na możliwe trudności w pozyskaniu odpowiednio wykwalifikowanego personelu marynarskiego zamieszkującego w rejonie </w:t>
      </w:r>
      <w:r w:rsidR="00C335B6" w:rsidRPr="00723818">
        <w:rPr>
          <w:rFonts w:ascii="Times New Roman" w:hAnsi="Times New Roman" w:cs="Times New Roman"/>
          <w:sz w:val="24"/>
          <w:szCs w:val="24"/>
        </w:rPr>
        <w:lastRenderedPageBreak/>
        <w:t>stacjonowania jednostek urzędów morskich.</w:t>
      </w:r>
      <w:r w:rsidR="00312A0D" w:rsidRPr="00723818">
        <w:rPr>
          <w:rFonts w:ascii="Times New Roman" w:hAnsi="Times New Roman" w:cs="Times New Roman"/>
          <w:sz w:val="24"/>
          <w:szCs w:val="24"/>
        </w:rPr>
        <w:t xml:space="preserve"> </w:t>
      </w:r>
      <w:r w:rsidR="003C74E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21B8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 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pkt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E472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3540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</w:t>
      </w:r>
      <w:r w:rsidR="00C335B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C74E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7D61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92254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rozszerzenie art. 108 ust. 1 ustawy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Proponuje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się, by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analogiczne rozliczenie czasu pracy, jak na platformach w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iertniczych obsługiwanych przez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kolejno wymieniające się załogi lub część załogi, miało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zastosowanie 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specjalistycznych statkach technicznych, z wyłączeniem statków pełniących stałe pogotowie ratownicze oraz statk</w:t>
      </w:r>
      <w:r w:rsidR="00712F7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ów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pełniących stałe pogotowie inne niż ratownicze. </w:t>
      </w:r>
      <w:r w:rsidR="008B4F54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Aktualnie w ustawie brak jest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regulacji dotyczących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norm czasu pracy 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uwzględniających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specyfik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ę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pracy na statkach typowo specjalistyczno-technicznych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np.</w:t>
      </w:r>
      <w:r w:rsidR="000260B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pogłębiarkach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szaland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ach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kablowc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ach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latarniowc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ach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15288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dźwigach pływających, pchaczach, czy holownikach, o których mowa w sekcji C 33.11.32 i 33 rozporządzenia Rady Ministrów z dnia 4 września 2015 r. w sprawie Polskiej Klasyfikacji Wyrobów i Usług (Dz. U. poz. 1676</w:t>
      </w:r>
      <w:r w:rsidR="00A749D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z </w:t>
      </w:r>
      <w:proofErr w:type="spellStart"/>
      <w:r w:rsidR="00A749D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="00A749D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</w:t>
      </w:r>
      <w:r w:rsidR="0015288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). N</w:t>
      </w:r>
      <w:r w:rsidR="00841D1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</w:t>
      </w:r>
      <w:r w:rsidR="0015288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tego typu statkach,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względów technicznych i organizacyjnych praca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odbywa się w systemie ciągłym 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względu na rejon pływania bez możliwości zejścia ich załóg na ląd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określonej perspektywie czasu. Podstawowy przyjęty w pracy na tego typu statkach rozkład czasu pracy zakłada pracę w trybie dwuzmianowym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tj. 12 godzin na dobę i 84 </w:t>
      </w:r>
      <w:r w:rsidR="0060536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godzin tygodniowo, przy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D6C8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dwu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tygodniowych okresac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h pracy i odpoczynku na lądzie.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Przyjęcie innego systemu pracy, pomijając aspekty ekonomiczne, wymagałoby mustrowania na statek trzech obsad zmian załóg, na co nie pozwalają uwarunkowania techniczne statku, a dokonywanie zmian załóg pływających dwa razy w ciągu doby i związana z tym konieczność przemieszczania się statku z akwenu wykonywania prac do najbliższego portu, czyniłoby</w:t>
      </w:r>
      <w:r w:rsidR="0054222B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bezcelowym wyko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nywanie zadań przez ten statek</w:t>
      </w:r>
      <w:r w:rsidR="00C03F7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i podnosiłoby koszty ponoszone przez armatora.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Stąd też mając 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uwadze powyższe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 rozszerzenie zakresu stosowania art. 108 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stawy 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specjalistyczne statki techniczne, z wyłączeniem statków określonych w art. 103 i 105 </w:t>
      </w:r>
      <w:r w:rsidR="008B4F54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</w:t>
      </w:r>
      <w:r w:rsidR="005422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stawy.</w:t>
      </w:r>
    </w:p>
    <w:p w14:paraId="1C7B7133" w14:textId="51C1DB00" w:rsidR="002E171C" w:rsidRPr="00723818" w:rsidRDefault="002E171C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</w:t>
      </w:r>
      <w:r w:rsidR="00621B8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3540D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19</w:t>
      </w:r>
      <w:r w:rsidR="00C335B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546F5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uchylenie art. 110 ust. 3 pkt 2. Z</w:t>
      </w:r>
      <w:r w:rsidR="00E10F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miana ta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jest następstwem zmiany zaproponowanej w art. 1 pkt 12 projektu</w:t>
      </w:r>
      <w:r w:rsidR="00930F6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w którym przewidziano zmianę brzmienia art. 14 ust. 2 ustawy oraz uchylenia art. 14 ust. 3 ustawy. Wobec propozycji zmiany art. 14 ust. 2 oraz uchyl</w:t>
      </w:r>
      <w:r w:rsidR="00574D21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nia </w:t>
      </w:r>
      <w:r w:rsidR="005E1DA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14 ust. 3 ustawy, zapis art. 110 ust. 3 pkt 2 ustawy stał się bezprzedmiotowy. Stąd też proponuje się jego uchylenie.</w:t>
      </w:r>
    </w:p>
    <w:p w14:paraId="1CA337B3" w14:textId="23DA44E7" w:rsidR="00973A98" w:rsidRPr="00723818" w:rsidRDefault="00973A98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art. 1 pkt 20 projektu ustawy, wobec zastąpienia określonej w art. 117 kary grzywny karą pieniężną (zmiana zaproponowana w pkt 23 projektu ustawy), w art. 111 ust. 1 ustawy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należy dokonać analogicznej zmiany w części wspólnej przepisu. </w:t>
      </w:r>
    </w:p>
    <w:p w14:paraId="48F5B9B4" w14:textId="55802A4F" w:rsidR="008B4F54" w:rsidRPr="00723818" w:rsidRDefault="008B4F54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W </w:t>
      </w:r>
      <w:r w:rsidR="00CA772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pkt </w:t>
      </w:r>
      <w:r w:rsidR="00C335B6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="003540DC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</w:t>
      </w:r>
      <w:r w:rsidR="00C335B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E171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234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zmiany w art. 117 ustawy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52882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związku z faktem, że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nadzór nad agencjami zatrudnienia marynarzy </w:t>
      </w:r>
      <w:r w:rsidR="000674C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wykonuje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dyrektor urzędu morskiego,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on,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co do zasady uprawniony powinien być do nakładania </w:t>
      </w:r>
      <w:r w:rsidR="000217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sankcji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(określonych obecnie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art. 111 ustawy) na </w:t>
      </w:r>
      <w:r w:rsidR="0002177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osoby prowadzące </w:t>
      </w:r>
      <w:r w:rsidR="00F46CB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przedmiotowe agencje, natomiast obecne przepisy takiego uprawnienia mu nie dają, proponuje się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wyłączeni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kar grzywny</w:t>
      </w:r>
      <w:r w:rsidR="00F15B8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nakładanych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na mocy art. 111 ustawy, z katalogu spraw rozpatrywanych na podstawie ustawy z dnia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24 sierpnia 2001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r. </w:t>
      </w:r>
      <w:r w:rsidR="00501A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Kodeks postępowania w sprawach o wykroczenia </w:t>
      </w:r>
      <w:r w:rsidR="00841D1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(Dz. U. z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2021 r. poz. 457</w:t>
      </w:r>
      <w:r w:rsidR="00841D1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umieszczenie ich w katalogu spraw rozpatrywanych zgodnie z ustawą z dnia 21 marca 1991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r. o obszarach morskich Rzeczypospolitej Polskiej i administracji morskiej (Dz.</w:t>
      </w:r>
      <w:r w:rsidR="00501AD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U. z </w:t>
      </w:r>
      <w:r w:rsidR="004D50B3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2020</w:t>
      </w:r>
      <w:r w:rsidR="00A52FC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4D50B3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r. poz. 2135</w:t>
      </w:r>
      <w:r w:rsidR="0035367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z </w:t>
      </w:r>
      <w:proofErr w:type="spellStart"/>
      <w:r w:rsidR="0035367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="0035367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). Proponowana zmiana wynika z trudn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ości w egzekwowaniu przepisów 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braku formalnej możliwości wymierzania kar na podstawie Ko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deksu postępowania 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sprawach 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wykroczenia przez dyrektora urzędu morskiego. W sytuacji, o której mowa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art.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111 ustawy, dyrektor urzędu morskiego może jedynie wnosić do organów policji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wszczęcie i przeprowadzenie dochodzenia w sprawie na podstawie</w:t>
      </w:r>
      <w:r w:rsidR="00BB6D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ustawy z dnia 20 maja 1971 r. – Kodeks wykroczeń (Dz. U. z </w:t>
      </w:r>
      <w:r w:rsidR="001C33B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2021 r. poz. 281</w:t>
      </w:r>
      <w:r w:rsidR="00DD3F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z </w:t>
      </w:r>
      <w:proofErr w:type="spellStart"/>
      <w:r w:rsidR="00DD3F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="00DD3FE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</w:t>
      </w:r>
      <w:r w:rsidR="00BB6DE9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r w:rsidR="00136655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5E0603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14:paraId="4DBA449A" w14:textId="52355E53" w:rsidR="001D2E45" w:rsidRPr="00723818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 art. 2 projektu</w:t>
      </w:r>
      <w:r w:rsidR="00C472D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0A716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1D2E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proponuje się, by do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post</w:t>
      </w:r>
      <w:r w:rsidR="00CA3E7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ę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powań w sprawach wystawienia książeczek żeglarskich, wszczętych przed dniem wejścia w życie ustawy i nie zakończonych do tego dnia, </w:t>
      </w:r>
      <w:r w:rsidR="001D2E4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stosowało się przepisy dotychczasowe.</w:t>
      </w:r>
      <w:r w:rsidR="00E939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Proponuje się ponadto, by</w:t>
      </w:r>
      <w:r w:rsidR="00E220B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do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opłat za wystawienie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wymianę książeczek żeglarskich w przypadkach, w których wniosek wpłynął przed dniem wejścia w życie niniejszej ustawy i do tego dnia nie została wystawiona lub wymieniona książeczka żeglarska, stosować przepisy dotychczasowe</w:t>
      </w:r>
      <w:r w:rsidR="00E9393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C24AA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Wskazuje się również, że książ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eczki żeglarskie wystawione na podstawie doczasowych przepisów zachowują swoją ważność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czas, na jaki zostały wydane</w:t>
      </w:r>
      <w:r w:rsidR="00C958AC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3C4276CF" w14:textId="6A6CE5F6" w:rsidR="002008A9" w:rsidRPr="00723818" w:rsidRDefault="002008A9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związku z reformą systemu oświaty </w:t>
      </w:r>
      <w:r w:rsidR="00040DE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wygaszaniem szkół ponadgimnazjalnych, których uczniowie nadal jeszcze funkcjonują w systemie oświaty, </w:t>
      </w:r>
      <w:r w:rsidR="00040DE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oraz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wprowadzeniem szkół ponadpodstawowych (o których mówi się w projekcie </w:t>
      </w:r>
      <w:r w:rsidR="001132C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 samej ustawie</w:t>
      </w:r>
      <w:r w:rsidR="00040DE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), w art.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 </w:t>
      </w:r>
      <w:r w:rsidR="001132C0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projektu ustawy</w:t>
      </w:r>
      <w:r w:rsidR="00040DE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 przepis przejściowy, regulujący sytuację prawną uczniów szkół ponadgimnazjalnych, kształcących się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zawodzie podstawowym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dla żeglugi morskiej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C24A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żeglugi śródlądowej</w:t>
      </w:r>
      <w:r w:rsidR="00040DE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kwestii możliwości uzyskania książeczki żeglarskiej. </w:t>
      </w:r>
    </w:p>
    <w:p w14:paraId="4F794A6D" w14:textId="65A02A52" w:rsidR="000A7160" w:rsidRPr="00723818" w:rsidRDefault="000A7160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W art. </w:t>
      </w:r>
      <w:r w:rsidR="00BC24AA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ustawy stanowi się, że czas pracy marynarzy na statku – nierozliczony </w:t>
      </w:r>
      <w:r w:rsidR="0060536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dniu wejścia projektu ustawy w życie – może być </w:t>
      </w:r>
      <w:r w:rsidR="00C03F7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rozliczany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 dotychczasowych zasadach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przez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D5E2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okres nieprzekraczający 6 miesięcy, czyli przez okres, jaki obecnie przewidziany jest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na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FD5E2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rozliczenie czasu pracy.</w:t>
      </w:r>
    </w:p>
    <w:p w14:paraId="415631BC" w14:textId="075DFEFF" w:rsidR="00BC24AA" w:rsidRPr="009371B4" w:rsidRDefault="00BC24AA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art. </w:t>
      </w:r>
      <w:r w:rsidR="00312A0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 projektu ustawy stanowi się, że d</w:t>
      </w:r>
      <w:r w:rsidR="00312A0D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 czynów popełnionych przed dniem wejścia w życie ustawy, o których mowa w art. 111 ustawy zmienianej w art. 1, w brzmieniu dotychczasowym, stosuje się przepisy dotychczasowe.</w:t>
      </w:r>
    </w:p>
    <w:p w14:paraId="15E1FBA5" w14:textId="7252F144" w:rsidR="00C31F7A" w:rsidRPr="00723818" w:rsidRDefault="001D2E45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W art. </w:t>
      </w:r>
      <w:r w:rsidR="00312A0D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6 </w:t>
      </w:r>
      <w:r w:rsidR="00136655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projektu </w:t>
      </w:r>
      <w:r w:rsidR="00C472D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ustawy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proponuje się, by ustawa weszła w życie</w:t>
      </w:r>
      <w:r w:rsidR="006508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 </w:t>
      </w:r>
      <w:r w:rsidR="0038317A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upływie </w:t>
      </w:r>
      <w:r w:rsidR="0065088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14 dni od dnia ogłoszenia</w:t>
      </w:r>
      <w:r w:rsidR="00F15B8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97FA6D6" w14:textId="72FEBA02" w:rsidR="00F15B8F" w:rsidRPr="00723818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 </w:t>
      </w:r>
      <w:r w:rsidR="003A675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nie podlega notyfikacji w trybie przewidzianym w rozporządzeniu Rady Ministrów z dnia 23 grudnia 2002 r. w sprawie sposobu funkcjonowania krajowego systemu notyfikacji norm i aktów prawnych (Dz. U. poz. 2039, z </w:t>
      </w:r>
      <w:proofErr w:type="spellStart"/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zm.)</w:t>
      </w:r>
      <w:r w:rsidR="00A46E07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ponieważ nie zawiera przepisów technicznych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51301491" w14:textId="07F144DA" w:rsidR="00F15B8F" w:rsidRPr="009371B4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 </w:t>
      </w:r>
      <w:r w:rsidR="003A675F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nie wymaga przedłożenia właściwym instytucjom i organom Unii Europejskiej lub Europejskiemu Bankowi Centralnemu w celu uzyskania op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inii, dokonania konsultacji lub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uzgodnienia, o których mowa w § 27 ust. 4 </w:t>
      </w:r>
      <w:r w:rsidR="00841D1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uchwały nr 190 Rady Ministrów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dnia 29 października 2013 r. – Regulamin pracy Rady Ministrów (M.P. z 2016 r. poz. 1006, z </w:t>
      </w:r>
      <w:proofErr w:type="spellStart"/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późn</w:t>
      </w:r>
      <w:proofErr w:type="spellEnd"/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zm.).</w:t>
      </w:r>
      <w:r w:rsidR="0080520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W </w:t>
      </w:r>
      <w:r w:rsidR="0080520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szczególności, zgodnie z art. 2 ust. 1 decyzji Rady 9</w:t>
      </w:r>
      <w:r w:rsidR="00273EA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8/415/WE z dnia 29 czerwca 1998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0520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r. w sprawie konsultacji Europejskiego Banku Centralnego udzielanych władzom krajowym w sprawie projektów przepisów prawnych (Dz. Urz. WE L 189 </w:t>
      </w:r>
      <w:r w:rsidR="0080520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 03.07.1998, </w:t>
      </w:r>
      <w:r w:rsidR="00273EAE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str.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0520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42), projekt ustawy nie podlega konsultacji z Europejskim Bankiem Centralnym.</w:t>
      </w:r>
    </w:p>
    <w:p w14:paraId="3C91DAB0" w14:textId="5940C1D3" w:rsidR="00F15B8F" w:rsidRPr="00723818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Zgodnie z art. 5 ustawy z dnia 7 lipca 2005 r. o działalności lobbingowej w procesie stanowienia prawa (Dz. U. z 2017 r. poz. 248), projekt </w:t>
      </w:r>
      <w:r w:rsidR="006E0D28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="008119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został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udostępniony na stronach urzędowego informatora teleinformatycznego – Biuletynu Informacji Publicznej </w:t>
      </w:r>
      <w:r w:rsidR="00AC6C2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Ministerstwa Infrastruktury (</w:t>
      </w:r>
      <w:r w:rsidR="00841D1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d.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Ministerstwa Gospodarki Morskiej i Żeglugi Śródlądowej</w:t>
      </w:r>
      <w:r w:rsidR="00AC6C26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dniem przekazania go do uzgodnień międzyresortowych. </w:t>
      </w:r>
      <w:r w:rsidR="00841D1E" w:rsidRPr="00723818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Żaden podmiot nie zgłosił zainteresowania pracami nad projektem </w:t>
      </w:r>
      <w:r w:rsidR="00DD1C69" w:rsidRPr="00723818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ustawy </w:t>
      </w:r>
      <w:r w:rsidR="00841D1E" w:rsidRPr="009371B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w trybie przepisów ustawy o działalności lobbingowej </w:t>
      </w:r>
      <w:r w:rsidR="00273EAE" w:rsidRPr="009371B4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w</w:t>
      </w:r>
      <w:r w:rsidR="00723818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841D1E" w:rsidRPr="00723818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procesie stanowienia prawa. </w:t>
      </w:r>
    </w:p>
    <w:p w14:paraId="427F6DE0" w14:textId="4DEB01BD" w:rsidR="00F15B8F" w:rsidRPr="00723818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Stosowanie do § 52 uchwały nr 190 Rady Ministrów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 dnia 29 października 2013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73EAE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r. –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Regulamin pracy Rady Ministrów</w:t>
      </w:r>
      <w:r w:rsid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 </w:t>
      </w:r>
      <w:r w:rsidR="006E0D28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zosta</w:t>
      </w:r>
      <w:r w:rsidR="008119AB"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ł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zamieszczony w Biuletynie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Informacji Publicznej Rządowego Centrum Legislacji z dniem skierowania do uzgodnień międzyresortowych i konsultacji publicznych. </w:t>
      </w:r>
    </w:p>
    <w:p w14:paraId="343B942A" w14:textId="66B0A8B5" w:rsidR="00683F46" w:rsidRPr="00723818" w:rsidRDefault="00F15B8F" w:rsidP="002847BF">
      <w:pPr>
        <w:spacing w:before="120"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Projekt </w:t>
      </w:r>
      <w:r w:rsidR="003A675F" w:rsidRPr="009371B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ustawy </w:t>
      </w:r>
      <w:r w:rsidRPr="0072381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jest zgodny z prawem Unii Europejskiej.</w:t>
      </w:r>
    </w:p>
    <w:sectPr w:rsidR="00683F46" w:rsidRPr="00723818" w:rsidSect="002847BF">
      <w:footerReference w:type="default" r:id="rId8"/>
      <w:headerReference w:type="firs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64DA2" w14:textId="77777777" w:rsidR="00BC19BB" w:rsidRDefault="00BC19BB" w:rsidP="00A04DB1">
      <w:pPr>
        <w:spacing w:after="0" w:line="240" w:lineRule="auto"/>
      </w:pPr>
      <w:r>
        <w:separator/>
      </w:r>
    </w:p>
  </w:endnote>
  <w:endnote w:type="continuationSeparator" w:id="0">
    <w:p w14:paraId="52157955" w14:textId="77777777" w:rsidR="00BC19BB" w:rsidRDefault="00BC19BB" w:rsidP="00A04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1707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E67974" w14:textId="2A40483D" w:rsidR="002008A9" w:rsidRPr="002847BF" w:rsidRDefault="002008A9" w:rsidP="002847BF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84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7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84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02E8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2847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864B0" w14:textId="77777777" w:rsidR="00BC19BB" w:rsidRDefault="00BC19BB" w:rsidP="00A04DB1">
      <w:pPr>
        <w:spacing w:after="0" w:line="240" w:lineRule="auto"/>
      </w:pPr>
      <w:r>
        <w:separator/>
      </w:r>
    </w:p>
  </w:footnote>
  <w:footnote w:type="continuationSeparator" w:id="0">
    <w:p w14:paraId="288F10DE" w14:textId="77777777" w:rsidR="00BC19BB" w:rsidRDefault="00BC19BB" w:rsidP="00A04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9923E" w14:textId="67F1286C" w:rsidR="002008A9" w:rsidRPr="00836845" w:rsidRDefault="002008A9" w:rsidP="004473A9">
    <w:pPr>
      <w:pStyle w:val="Nagwek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13495"/>
    <w:multiLevelType w:val="hybridMultilevel"/>
    <w:tmpl w:val="C624044C"/>
    <w:lvl w:ilvl="0" w:tplc="DD26A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840E7"/>
    <w:multiLevelType w:val="hybridMultilevel"/>
    <w:tmpl w:val="7E564DA2"/>
    <w:lvl w:ilvl="0" w:tplc="9704ED2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47B84"/>
    <w:multiLevelType w:val="hybridMultilevel"/>
    <w:tmpl w:val="B5A61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trackedChange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464"/>
    <w:rsid w:val="00000ADE"/>
    <w:rsid w:val="0000650E"/>
    <w:rsid w:val="00006DAA"/>
    <w:rsid w:val="000137E6"/>
    <w:rsid w:val="00021770"/>
    <w:rsid w:val="0002292A"/>
    <w:rsid w:val="000234CE"/>
    <w:rsid w:val="000260BD"/>
    <w:rsid w:val="0003537D"/>
    <w:rsid w:val="00036688"/>
    <w:rsid w:val="00040DEF"/>
    <w:rsid w:val="00046633"/>
    <w:rsid w:val="00055EC8"/>
    <w:rsid w:val="00056EF9"/>
    <w:rsid w:val="000576A5"/>
    <w:rsid w:val="000674C5"/>
    <w:rsid w:val="00074DEF"/>
    <w:rsid w:val="00081320"/>
    <w:rsid w:val="000848D8"/>
    <w:rsid w:val="00087EA0"/>
    <w:rsid w:val="0009048F"/>
    <w:rsid w:val="000938AB"/>
    <w:rsid w:val="000A2D63"/>
    <w:rsid w:val="000A4BF7"/>
    <w:rsid w:val="000A59B3"/>
    <w:rsid w:val="000A7160"/>
    <w:rsid w:val="000B0F87"/>
    <w:rsid w:val="000B6E11"/>
    <w:rsid w:val="000B7A86"/>
    <w:rsid w:val="000C7E89"/>
    <w:rsid w:val="000D144C"/>
    <w:rsid w:val="000F220F"/>
    <w:rsid w:val="00100B68"/>
    <w:rsid w:val="00103B60"/>
    <w:rsid w:val="00103DE5"/>
    <w:rsid w:val="00104420"/>
    <w:rsid w:val="00106679"/>
    <w:rsid w:val="00106F5D"/>
    <w:rsid w:val="00107B28"/>
    <w:rsid w:val="001132C0"/>
    <w:rsid w:val="00126F76"/>
    <w:rsid w:val="00133BE5"/>
    <w:rsid w:val="00135D66"/>
    <w:rsid w:val="00136655"/>
    <w:rsid w:val="00143F32"/>
    <w:rsid w:val="001504EC"/>
    <w:rsid w:val="00152882"/>
    <w:rsid w:val="00154FB6"/>
    <w:rsid w:val="001573F4"/>
    <w:rsid w:val="001656B8"/>
    <w:rsid w:val="00165A5A"/>
    <w:rsid w:val="00172628"/>
    <w:rsid w:val="001729BD"/>
    <w:rsid w:val="0018053A"/>
    <w:rsid w:val="00183188"/>
    <w:rsid w:val="00183B7B"/>
    <w:rsid w:val="001845D6"/>
    <w:rsid w:val="0019360D"/>
    <w:rsid w:val="001945B4"/>
    <w:rsid w:val="00197969"/>
    <w:rsid w:val="001A153D"/>
    <w:rsid w:val="001A2329"/>
    <w:rsid w:val="001A453F"/>
    <w:rsid w:val="001A567D"/>
    <w:rsid w:val="001B12B5"/>
    <w:rsid w:val="001B202D"/>
    <w:rsid w:val="001B50C6"/>
    <w:rsid w:val="001B6338"/>
    <w:rsid w:val="001B760C"/>
    <w:rsid w:val="001C33B8"/>
    <w:rsid w:val="001D05E8"/>
    <w:rsid w:val="001D24A4"/>
    <w:rsid w:val="001D2875"/>
    <w:rsid w:val="001D2E45"/>
    <w:rsid w:val="001F5EC3"/>
    <w:rsid w:val="002008A9"/>
    <w:rsid w:val="00201C90"/>
    <w:rsid w:val="0020584A"/>
    <w:rsid w:val="00207413"/>
    <w:rsid w:val="00216F81"/>
    <w:rsid w:val="0022274B"/>
    <w:rsid w:val="00226EDA"/>
    <w:rsid w:val="00251F69"/>
    <w:rsid w:val="00260CD3"/>
    <w:rsid w:val="00272EE5"/>
    <w:rsid w:val="00273EAE"/>
    <w:rsid w:val="002773C5"/>
    <w:rsid w:val="00282C14"/>
    <w:rsid w:val="002847BF"/>
    <w:rsid w:val="00287A3D"/>
    <w:rsid w:val="00290235"/>
    <w:rsid w:val="00291E03"/>
    <w:rsid w:val="00297D86"/>
    <w:rsid w:val="002A19EA"/>
    <w:rsid w:val="002A5253"/>
    <w:rsid w:val="002A6493"/>
    <w:rsid w:val="002A70AF"/>
    <w:rsid w:val="002B2FCE"/>
    <w:rsid w:val="002B42DC"/>
    <w:rsid w:val="002C0B4D"/>
    <w:rsid w:val="002C7C0E"/>
    <w:rsid w:val="002D4158"/>
    <w:rsid w:val="002D7514"/>
    <w:rsid w:val="002E171C"/>
    <w:rsid w:val="002E6034"/>
    <w:rsid w:val="002F3423"/>
    <w:rsid w:val="002F4715"/>
    <w:rsid w:val="002F5FD9"/>
    <w:rsid w:val="002F7407"/>
    <w:rsid w:val="00301B81"/>
    <w:rsid w:val="00312A0D"/>
    <w:rsid w:val="00313FD3"/>
    <w:rsid w:val="003161C6"/>
    <w:rsid w:val="00317C92"/>
    <w:rsid w:val="00320A85"/>
    <w:rsid w:val="00321D99"/>
    <w:rsid w:val="00322AD3"/>
    <w:rsid w:val="003319D4"/>
    <w:rsid w:val="00332F2B"/>
    <w:rsid w:val="00342832"/>
    <w:rsid w:val="00344C80"/>
    <w:rsid w:val="00353677"/>
    <w:rsid w:val="003540DC"/>
    <w:rsid w:val="003565FF"/>
    <w:rsid w:val="0036791B"/>
    <w:rsid w:val="0038317A"/>
    <w:rsid w:val="003832A8"/>
    <w:rsid w:val="003846F7"/>
    <w:rsid w:val="00391438"/>
    <w:rsid w:val="003A1464"/>
    <w:rsid w:val="003A2012"/>
    <w:rsid w:val="003A38D6"/>
    <w:rsid w:val="003A49A3"/>
    <w:rsid w:val="003A675F"/>
    <w:rsid w:val="003B67EE"/>
    <w:rsid w:val="003B6FF1"/>
    <w:rsid w:val="003C5A03"/>
    <w:rsid w:val="003C74E1"/>
    <w:rsid w:val="003D17A1"/>
    <w:rsid w:val="003D1C3F"/>
    <w:rsid w:val="003D3263"/>
    <w:rsid w:val="003D61DB"/>
    <w:rsid w:val="003E10E5"/>
    <w:rsid w:val="003E323E"/>
    <w:rsid w:val="003E39DD"/>
    <w:rsid w:val="003F187D"/>
    <w:rsid w:val="004027E9"/>
    <w:rsid w:val="00407DDA"/>
    <w:rsid w:val="00416C18"/>
    <w:rsid w:val="00416FCC"/>
    <w:rsid w:val="00420609"/>
    <w:rsid w:val="00431FFB"/>
    <w:rsid w:val="00441A36"/>
    <w:rsid w:val="00443110"/>
    <w:rsid w:val="00446B60"/>
    <w:rsid w:val="00446D78"/>
    <w:rsid w:val="004473A9"/>
    <w:rsid w:val="00451A8F"/>
    <w:rsid w:val="004525BC"/>
    <w:rsid w:val="00457705"/>
    <w:rsid w:val="00460085"/>
    <w:rsid w:val="0046188A"/>
    <w:rsid w:val="004638CD"/>
    <w:rsid w:val="00463CC0"/>
    <w:rsid w:val="00467E91"/>
    <w:rsid w:val="00472640"/>
    <w:rsid w:val="004733C3"/>
    <w:rsid w:val="0047655D"/>
    <w:rsid w:val="00482E39"/>
    <w:rsid w:val="00493550"/>
    <w:rsid w:val="00496F31"/>
    <w:rsid w:val="00497E2C"/>
    <w:rsid w:val="004A020B"/>
    <w:rsid w:val="004A0EDC"/>
    <w:rsid w:val="004A26EF"/>
    <w:rsid w:val="004A6072"/>
    <w:rsid w:val="004B4F15"/>
    <w:rsid w:val="004C12E1"/>
    <w:rsid w:val="004C6A5B"/>
    <w:rsid w:val="004C6E1F"/>
    <w:rsid w:val="004D18F4"/>
    <w:rsid w:val="004D3055"/>
    <w:rsid w:val="004D3AD9"/>
    <w:rsid w:val="004D50B3"/>
    <w:rsid w:val="004E36A4"/>
    <w:rsid w:val="004E56ED"/>
    <w:rsid w:val="004E582D"/>
    <w:rsid w:val="004F3904"/>
    <w:rsid w:val="00501ADB"/>
    <w:rsid w:val="00501F97"/>
    <w:rsid w:val="005058ED"/>
    <w:rsid w:val="00517FD3"/>
    <w:rsid w:val="00520235"/>
    <w:rsid w:val="0052178A"/>
    <w:rsid w:val="00523F5C"/>
    <w:rsid w:val="00524939"/>
    <w:rsid w:val="005264A4"/>
    <w:rsid w:val="0052708B"/>
    <w:rsid w:val="0053449C"/>
    <w:rsid w:val="00535D02"/>
    <w:rsid w:val="00537761"/>
    <w:rsid w:val="0054222B"/>
    <w:rsid w:val="00545C2B"/>
    <w:rsid w:val="00546F50"/>
    <w:rsid w:val="00550228"/>
    <w:rsid w:val="00550F25"/>
    <w:rsid w:val="00563E86"/>
    <w:rsid w:val="0056405A"/>
    <w:rsid w:val="00564815"/>
    <w:rsid w:val="005672D3"/>
    <w:rsid w:val="005705F5"/>
    <w:rsid w:val="00574D21"/>
    <w:rsid w:val="00580528"/>
    <w:rsid w:val="0058195A"/>
    <w:rsid w:val="005823BF"/>
    <w:rsid w:val="00592715"/>
    <w:rsid w:val="00596672"/>
    <w:rsid w:val="005A15B3"/>
    <w:rsid w:val="005A527D"/>
    <w:rsid w:val="005B235E"/>
    <w:rsid w:val="005B4319"/>
    <w:rsid w:val="005B5FF8"/>
    <w:rsid w:val="005B676B"/>
    <w:rsid w:val="005D03C6"/>
    <w:rsid w:val="005D2760"/>
    <w:rsid w:val="005E0603"/>
    <w:rsid w:val="005E1A3F"/>
    <w:rsid w:val="005E1DAF"/>
    <w:rsid w:val="005F3481"/>
    <w:rsid w:val="005F38B5"/>
    <w:rsid w:val="00600830"/>
    <w:rsid w:val="00603C1C"/>
    <w:rsid w:val="00605368"/>
    <w:rsid w:val="00612359"/>
    <w:rsid w:val="006133B2"/>
    <w:rsid w:val="006158D8"/>
    <w:rsid w:val="00617351"/>
    <w:rsid w:val="00621B89"/>
    <w:rsid w:val="00621DD3"/>
    <w:rsid w:val="00622276"/>
    <w:rsid w:val="00622CC6"/>
    <w:rsid w:val="006317B9"/>
    <w:rsid w:val="006346D0"/>
    <w:rsid w:val="0063551F"/>
    <w:rsid w:val="0064280F"/>
    <w:rsid w:val="00642AA2"/>
    <w:rsid w:val="00642B35"/>
    <w:rsid w:val="0065088E"/>
    <w:rsid w:val="00650F25"/>
    <w:rsid w:val="006510F8"/>
    <w:rsid w:val="006522F9"/>
    <w:rsid w:val="006576D4"/>
    <w:rsid w:val="00660640"/>
    <w:rsid w:val="00662546"/>
    <w:rsid w:val="00663DFD"/>
    <w:rsid w:val="00671A03"/>
    <w:rsid w:val="0067205C"/>
    <w:rsid w:val="006749E3"/>
    <w:rsid w:val="00683F46"/>
    <w:rsid w:val="00684E87"/>
    <w:rsid w:val="00685A88"/>
    <w:rsid w:val="00687F4E"/>
    <w:rsid w:val="006908BF"/>
    <w:rsid w:val="00692402"/>
    <w:rsid w:val="006933DE"/>
    <w:rsid w:val="00695881"/>
    <w:rsid w:val="0069596A"/>
    <w:rsid w:val="006A15DF"/>
    <w:rsid w:val="006A7878"/>
    <w:rsid w:val="006B3A10"/>
    <w:rsid w:val="006B3BBA"/>
    <w:rsid w:val="006B5B31"/>
    <w:rsid w:val="006C12E7"/>
    <w:rsid w:val="006C63F3"/>
    <w:rsid w:val="006D20F9"/>
    <w:rsid w:val="006D3592"/>
    <w:rsid w:val="006E09F6"/>
    <w:rsid w:val="006E0D28"/>
    <w:rsid w:val="006E4B10"/>
    <w:rsid w:val="006E5CA9"/>
    <w:rsid w:val="006F46E1"/>
    <w:rsid w:val="006F4D5B"/>
    <w:rsid w:val="006F5BBB"/>
    <w:rsid w:val="006F6BF8"/>
    <w:rsid w:val="006F7839"/>
    <w:rsid w:val="007021F1"/>
    <w:rsid w:val="00710AFB"/>
    <w:rsid w:val="00712F7A"/>
    <w:rsid w:val="007161E1"/>
    <w:rsid w:val="00717899"/>
    <w:rsid w:val="00722491"/>
    <w:rsid w:val="00722931"/>
    <w:rsid w:val="00723818"/>
    <w:rsid w:val="007239F6"/>
    <w:rsid w:val="00725AE9"/>
    <w:rsid w:val="00727643"/>
    <w:rsid w:val="00734FD3"/>
    <w:rsid w:val="00740EB3"/>
    <w:rsid w:val="00743F47"/>
    <w:rsid w:val="0075437C"/>
    <w:rsid w:val="00756D77"/>
    <w:rsid w:val="00756F93"/>
    <w:rsid w:val="00761AEE"/>
    <w:rsid w:val="00763379"/>
    <w:rsid w:val="00772225"/>
    <w:rsid w:val="00775FFA"/>
    <w:rsid w:val="00776484"/>
    <w:rsid w:val="00776E9E"/>
    <w:rsid w:val="0078108C"/>
    <w:rsid w:val="00785313"/>
    <w:rsid w:val="007904EE"/>
    <w:rsid w:val="007917F5"/>
    <w:rsid w:val="007A081C"/>
    <w:rsid w:val="007A35EC"/>
    <w:rsid w:val="007A5E86"/>
    <w:rsid w:val="007B1486"/>
    <w:rsid w:val="007B1D5F"/>
    <w:rsid w:val="007B6776"/>
    <w:rsid w:val="007B69D3"/>
    <w:rsid w:val="007B71AB"/>
    <w:rsid w:val="007C5955"/>
    <w:rsid w:val="007D61E9"/>
    <w:rsid w:val="007D6E1D"/>
    <w:rsid w:val="007E0209"/>
    <w:rsid w:val="007E07CC"/>
    <w:rsid w:val="007E0A1B"/>
    <w:rsid w:val="007E30E3"/>
    <w:rsid w:val="007E501A"/>
    <w:rsid w:val="007F1657"/>
    <w:rsid w:val="007F1D70"/>
    <w:rsid w:val="007F6BE4"/>
    <w:rsid w:val="00803FDA"/>
    <w:rsid w:val="008048A6"/>
    <w:rsid w:val="00805208"/>
    <w:rsid w:val="0080669E"/>
    <w:rsid w:val="008066FA"/>
    <w:rsid w:val="008119AB"/>
    <w:rsid w:val="0082190A"/>
    <w:rsid w:val="0082777C"/>
    <w:rsid w:val="00827B8E"/>
    <w:rsid w:val="00833B4C"/>
    <w:rsid w:val="0083573E"/>
    <w:rsid w:val="00835CD5"/>
    <w:rsid w:val="00835DDE"/>
    <w:rsid w:val="00836845"/>
    <w:rsid w:val="00841D1E"/>
    <w:rsid w:val="00843DE6"/>
    <w:rsid w:val="00851A99"/>
    <w:rsid w:val="00853177"/>
    <w:rsid w:val="0085714D"/>
    <w:rsid w:val="00862FF1"/>
    <w:rsid w:val="008630B3"/>
    <w:rsid w:val="008644D8"/>
    <w:rsid w:val="00866FE1"/>
    <w:rsid w:val="0087668B"/>
    <w:rsid w:val="00885890"/>
    <w:rsid w:val="008878CE"/>
    <w:rsid w:val="008A1C19"/>
    <w:rsid w:val="008A3D4E"/>
    <w:rsid w:val="008A68A5"/>
    <w:rsid w:val="008A6DAC"/>
    <w:rsid w:val="008B4F54"/>
    <w:rsid w:val="008B7723"/>
    <w:rsid w:val="008C24E1"/>
    <w:rsid w:val="008C32D5"/>
    <w:rsid w:val="008D1D26"/>
    <w:rsid w:val="008D7135"/>
    <w:rsid w:val="008D71B6"/>
    <w:rsid w:val="008F4E3C"/>
    <w:rsid w:val="008F7DE7"/>
    <w:rsid w:val="00900A59"/>
    <w:rsid w:val="00907549"/>
    <w:rsid w:val="009109B6"/>
    <w:rsid w:val="009140E1"/>
    <w:rsid w:val="009164E1"/>
    <w:rsid w:val="00922544"/>
    <w:rsid w:val="00923E16"/>
    <w:rsid w:val="00930F61"/>
    <w:rsid w:val="00934BCC"/>
    <w:rsid w:val="00936BC5"/>
    <w:rsid w:val="00936FF9"/>
    <w:rsid w:val="009371B4"/>
    <w:rsid w:val="00942117"/>
    <w:rsid w:val="00947181"/>
    <w:rsid w:val="00955DAB"/>
    <w:rsid w:val="00961D7E"/>
    <w:rsid w:val="00961F20"/>
    <w:rsid w:val="00966246"/>
    <w:rsid w:val="00973A98"/>
    <w:rsid w:val="00975892"/>
    <w:rsid w:val="00980990"/>
    <w:rsid w:val="009823AC"/>
    <w:rsid w:val="009831E0"/>
    <w:rsid w:val="009A1B49"/>
    <w:rsid w:val="009A3781"/>
    <w:rsid w:val="009A3ADC"/>
    <w:rsid w:val="009A6F93"/>
    <w:rsid w:val="009A6FCB"/>
    <w:rsid w:val="009A79B3"/>
    <w:rsid w:val="009D0CCE"/>
    <w:rsid w:val="009D26C2"/>
    <w:rsid w:val="009D38CC"/>
    <w:rsid w:val="009E34DB"/>
    <w:rsid w:val="009E3DD8"/>
    <w:rsid w:val="009E4914"/>
    <w:rsid w:val="009E4B63"/>
    <w:rsid w:val="009E5239"/>
    <w:rsid w:val="009E6FB7"/>
    <w:rsid w:val="00A01263"/>
    <w:rsid w:val="00A01970"/>
    <w:rsid w:val="00A04DB1"/>
    <w:rsid w:val="00A05108"/>
    <w:rsid w:val="00A05A11"/>
    <w:rsid w:val="00A11820"/>
    <w:rsid w:val="00A13D99"/>
    <w:rsid w:val="00A16C1A"/>
    <w:rsid w:val="00A17B8E"/>
    <w:rsid w:val="00A21795"/>
    <w:rsid w:val="00A260E6"/>
    <w:rsid w:val="00A30029"/>
    <w:rsid w:val="00A30722"/>
    <w:rsid w:val="00A30C78"/>
    <w:rsid w:val="00A32B26"/>
    <w:rsid w:val="00A35DA6"/>
    <w:rsid w:val="00A36A9A"/>
    <w:rsid w:val="00A404B6"/>
    <w:rsid w:val="00A4073C"/>
    <w:rsid w:val="00A417A8"/>
    <w:rsid w:val="00A42EB7"/>
    <w:rsid w:val="00A46E07"/>
    <w:rsid w:val="00A508B8"/>
    <w:rsid w:val="00A51E84"/>
    <w:rsid w:val="00A52FCF"/>
    <w:rsid w:val="00A548C8"/>
    <w:rsid w:val="00A54DB2"/>
    <w:rsid w:val="00A655DE"/>
    <w:rsid w:val="00A65A44"/>
    <w:rsid w:val="00A65A49"/>
    <w:rsid w:val="00A72CBD"/>
    <w:rsid w:val="00A749D0"/>
    <w:rsid w:val="00A75DAF"/>
    <w:rsid w:val="00A81011"/>
    <w:rsid w:val="00A81C7D"/>
    <w:rsid w:val="00A82EDC"/>
    <w:rsid w:val="00A8389E"/>
    <w:rsid w:val="00A83EFE"/>
    <w:rsid w:val="00A91799"/>
    <w:rsid w:val="00A91C61"/>
    <w:rsid w:val="00A931D5"/>
    <w:rsid w:val="00A961B6"/>
    <w:rsid w:val="00A97581"/>
    <w:rsid w:val="00AA449C"/>
    <w:rsid w:val="00AA51A5"/>
    <w:rsid w:val="00AB06DC"/>
    <w:rsid w:val="00AB4E7D"/>
    <w:rsid w:val="00AC2CE3"/>
    <w:rsid w:val="00AC2FF8"/>
    <w:rsid w:val="00AC37D2"/>
    <w:rsid w:val="00AC6C26"/>
    <w:rsid w:val="00AD171C"/>
    <w:rsid w:val="00AD5F59"/>
    <w:rsid w:val="00AD6C83"/>
    <w:rsid w:val="00AE05B0"/>
    <w:rsid w:val="00AF3F89"/>
    <w:rsid w:val="00AF6307"/>
    <w:rsid w:val="00B018E9"/>
    <w:rsid w:val="00B0354B"/>
    <w:rsid w:val="00B0654B"/>
    <w:rsid w:val="00B07CD5"/>
    <w:rsid w:val="00B272C4"/>
    <w:rsid w:val="00B27589"/>
    <w:rsid w:val="00B32666"/>
    <w:rsid w:val="00B34B9E"/>
    <w:rsid w:val="00B42491"/>
    <w:rsid w:val="00B5104B"/>
    <w:rsid w:val="00B529AB"/>
    <w:rsid w:val="00B52E1A"/>
    <w:rsid w:val="00B5513E"/>
    <w:rsid w:val="00B57E55"/>
    <w:rsid w:val="00B63407"/>
    <w:rsid w:val="00B63632"/>
    <w:rsid w:val="00B65AC1"/>
    <w:rsid w:val="00B74DF2"/>
    <w:rsid w:val="00B86AA4"/>
    <w:rsid w:val="00B940A8"/>
    <w:rsid w:val="00BA1817"/>
    <w:rsid w:val="00BB1D99"/>
    <w:rsid w:val="00BB47CE"/>
    <w:rsid w:val="00BB6DE9"/>
    <w:rsid w:val="00BC19BB"/>
    <w:rsid w:val="00BC24AA"/>
    <w:rsid w:val="00BC51E7"/>
    <w:rsid w:val="00BD0AEE"/>
    <w:rsid w:val="00BD28DE"/>
    <w:rsid w:val="00BE0403"/>
    <w:rsid w:val="00BE04A5"/>
    <w:rsid w:val="00BE329D"/>
    <w:rsid w:val="00BE6C19"/>
    <w:rsid w:val="00BF02E8"/>
    <w:rsid w:val="00BF357D"/>
    <w:rsid w:val="00BF553B"/>
    <w:rsid w:val="00C03F7E"/>
    <w:rsid w:val="00C03FDC"/>
    <w:rsid w:val="00C04034"/>
    <w:rsid w:val="00C06997"/>
    <w:rsid w:val="00C11EA5"/>
    <w:rsid w:val="00C12299"/>
    <w:rsid w:val="00C179F7"/>
    <w:rsid w:val="00C207C3"/>
    <w:rsid w:val="00C215B1"/>
    <w:rsid w:val="00C21CBD"/>
    <w:rsid w:val="00C21DA4"/>
    <w:rsid w:val="00C31502"/>
    <w:rsid w:val="00C31A49"/>
    <w:rsid w:val="00C31F7A"/>
    <w:rsid w:val="00C326EB"/>
    <w:rsid w:val="00C335B6"/>
    <w:rsid w:val="00C33ECF"/>
    <w:rsid w:val="00C369CF"/>
    <w:rsid w:val="00C442EE"/>
    <w:rsid w:val="00C472D8"/>
    <w:rsid w:val="00C47EA6"/>
    <w:rsid w:val="00C47FAD"/>
    <w:rsid w:val="00C515E5"/>
    <w:rsid w:val="00C644BC"/>
    <w:rsid w:val="00C672E9"/>
    <w:rsid w:val="00C71D51"/>
    <w:rsid w:val="00C73761"/>
    <w:rsid w:val="00C755BA"/>
    <w:rsid w:val="00C75741"/>
    <w:rsid w:val="00C7580A"/>
    <w:rsid w:val="00C75F6C"/>
    <w:rsid w:val="00C82211"/>
    <w:rsid w:val="00C903EA"/>
    <w:rsid w:val="00C94A4D"/>
    <w:rsid w:val="00C94D4D"/>
    <w:rsid w:val="00C958AC"/>
    <w:rsid w:val="00CA3E7A"/>
    <w:rsid w:val="00CA3F39"/>
    <w:rsid w:val="00CA5A35"/>
    <w:rsid w:val="00CA718F"/>
    <w:rsid w:val="00CA772B"/>
    <w:rsid w:val="00CB141F"/>
    <w:rsid w:val="00CB3ABC"/>
    <w:rsid w:val="00CB7CCC"/>
    <w:rsid w:val="00CB7EBB"/>
    <w:rsid w:val="00CB7F42"/>
    <w:rsid w:val="00CC4986"/>
    <w:rsid w:val="00CE0D21"/>
    <w:rsid w:val="00CE31D2"/>
    <w:rsid w:val="00CE3799"/>
    <w:rsid w:val="00CE5DEE"/>
    <w:rsid w:val="00CE75D0"/>
    <w:rsid w:val="00CE7C3F"/>
    <w:rsid w:val="00CF04FC"/>
    <w:rsid w:val="00CF067D"/>
    <w:rsid w:val="00CF1203"/>
    <w:rsid w:val="00CF1E07"/>
    <w:rsid w:val="00CF23CE"/>
    <w:rsid w:val="00D02883"/>
    <w:rsid w:val="00D04D55"/>
    <w:rsid w:val="00D10EDC"/>
    <w:rsid w:val="00D15112"/>
    <w:rsid w:val="00D1591D"/>
    <w:rsid w:val="00D20184"/>
    <w:rsid w:val="00D23C3F"/>
    <w:rsid w:val="00D273CB"/>
    <w:rsid w:val="00D33FB4"/>
    <w:rsid w:val="00D37F99"/>
    <w:rsid w:val="00D45159"/>
    <w:rsid w:val="00D4649B"/>
    <w:rsid w:val="00D476EE"/>
    <w:rsid w:val="00D56AAD"/>
    <w:rsid w:val="00D65FD5"/>
    <w:rsid w:val="00D70892"/>
    <w:rsid w:val="00D77ADD"/>
    <w:rsid w:val="00D83145"/>
    <w:rsid w:val="00D85B8A"/>
    <w:rsid w:val="00D95A37"/>
    <w:rsid w:val="00D97645"/>
    <w:rsid w:val="00D97B52"/>
    <w:rsid w:val="00DA0773"/>
    <w:rsid w:val="00DC2DC2"/>
    <w:rsid w:val="00DC5657"/>
    <w:rsid w:val="00DD1C69"/>
    <w:rsid w:val="00DD3FED"/>
    <w:rsid w:val="00DD59C3"/>
    <w:rsid w:val="00DD68CB"/>
    <w:rsid w:val="00DF043A"/>
    <w:rsid w:val="00DF304F"/>
    <w:rsid w:val="00DF7928"/>
    <w:rsid w:val="00E05EAD"/>
    <w:rsid w:val="00E10F70"/>
    <w:rsid w:val="00E17835"/>
    <w:rsid w:val="00E2192E"/>
    <w:rsid w:val="00E220B8"/>
    <w:rsid w:val="00E226E3"/>
    <w:rsid w:val="00E2423A"/>
    <w:rsid w:val="00E262EF"/>
    <w:rsid w:val="00E27CB0"/>
    <w:rsid w:val="00E31547"/>
    <w:rsid w:val="00E35DDE"/>
    <w:rsid w:val="00E36753"/>
    <w:rsid w:val="00E368C3"/>
    <w:rsid w:val="00E43E88"/>
    <w:rsid w:val="00E44076"/>
    <w:rsid w:val="00E4695F"/>
    <w:rsid w:val="00E4728E"/>
    <w:rsid w:val="00E54569"/>
    <w:rsid w:val="00E555E8"/>
    <w:rsid w:val="00E6635F"/>
    <w:rsid w:val="00E66817"/>
    <w:rsid w:val="00E77105"/>
    <w:rsid w:val="00E80EA8"/>
    <w:rsid w:val="00E915F9"/>
    <w:rsid w:val="00E92D39"/>
    <w:rsid w:val="00E93930"/>
    <w:rsid w:val="00E96132"/>
    <w:rsid w:val="00EA7807"/>
    <w:rsid w:val="00EC03E3"/>
    <w:rsid w:val="00EC11A8"/>
    <w:rsid w:val="00EC5696"/>
    <w:rsid w:val="00EC701B"/>
    <w:rsid w:val="00EE3800"/>
    <w:rsid w:val="00EE6643"/>
    <w:rsid w:val="00EF6A16"/>
    <w:rsid w:val="00F044A4"/>
    <w:rsid w:val="00F04D1E"/>
    <w:rsid w:val="00F077A2"/>
    <w:rsid w:val="00F1234B"/>
    <w:rsid w:val="00F12360"/>
    <w:rsid w:val="00F15568"/>
    <w:rsid w:val="00F15B8F"/>
    <w:rsid w:val="00F212AE"/>
    <w:rsid w:val="00F227CF"/>
    <w:rsid w:val="00F2731B"/>
    <w:rsid w:val="00F4262F"/>
    <w:rsid w:val="00F43DEB"/>
    <w:rsid w:val="00F44D0A"/>
    <w:rsid w:val="00F46CBE"/>
    <w:rsid w:val="00F47470"/>
    <w:rsid w:val="00F51992"/>
    <w:rsid w:val="00F52198"/>
    <w:rsid w:val="00F72024"/>
    <w:rsid w:val="00F74F5A"/>
    <w:rsid w:val="00F7535B"/>
    <w:rsid w:val="00F8392B"/>
    <w:rsid w:val="00F86B0E"/>
    <w:rsid w:val="00F87EB3"/>
    <w:rsid w:val="00F9282B"/>
    <w:rsid w:val="00F96799"/>
    <w:rsid w:val="00F976DD"/>
    <w:rsid w:val="00FA35AD"/>
    <w:rsid w:val="00FA4776"/>
    <w:rsid w:val="00FA62A4"/>
    <w:rsid w:val="00FB09BF"/>
    <w:rsid w:val="00FB4747"/>
    <w:rsid w:val="00FB554D"/>
    <w:rsid w:val="00FC0EFA"/>
    <w:rsid w:val="00FC5860"/>
    <w:rsid w:val="00FC5DE0"/>
    <w:rsid w:val="00FD1875"/>
    <w:rsid w:val="00FD35FE"/>
    <w:rsid w:val="00FD4255"/>
    <w:rsid w:val="00FD5E2A"/>
    <w:rsid w:val="00FE4C2E"/>
    <w:rsid w:val="00FE7671"/>
    <w:rsid w:val="00FF0773"/>
    <w:rsid w:val="00FF4A22"/>
    <w:rsid w:val="00FF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A1CC1A"/>
  <w15:docId w15:val="{075C813E-DEB2-419E-AA7D-41DAD702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4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A04DB1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A04DB1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A04DB1"/>
    <w:rPr>
      <w:b w:val="0"/>
      <w:i w:val="0"/>
      <w:vanish w:val="0"/>
      <w:spacing w:val="0"/>
      <w:vertAlign w:val="superscript"/>
    </w:rPr>
  </w:style>
  <w:style w:type="character" w:customStyle="1" w:styleId="articletitle">
    <w:name w:val="articletitle"/>
    <w:basedOn w:val="Domylnaczcionkaakapitu"/>
    <w:rsid w:val="00B63632"/>
  </w:style>
  <w:style w:type="paragraph" w:styleId="Nagwek">
    <w:name w:val="header"/>
    <w:basedOn w:val="Normalny"/>
    <w:link w:val="NagwekZnak"/>
    <w:uiPriority w:val="99"/>
    <w:unhideWhenUsed/>
    <w:rsid w:val="00BB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47CE"/>
  </w:style>
  <w:style w:type="paragraph" w:styleId="Stopka">
    <w:name w:val="footer"/>
    <w:basedOn w:val="Normalny"/>
    <w:link w:val="StopkaZnak"/>
    <w:uiPriority w:val="99"/>
    <w:unhideWhenUsed/>
    <w:rsid w:val="00BB4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47CE"/>
  </w:style>
  <w:style w:type="character" w:styleId="Odwoaniedokomentarza">
    <w:name w:val="annotation reference"/>
    <w:basedOn w:val="Domylnaczcionkaakapitu"/>
    <w:uiPriority w:val="99"/>
    <w:semiHidden/>
    <w:unhideWhenUsed/>
    <w:rsid w:val="006173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7351"/>
    <w:pPr>
      <w:spacing w:after="20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73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351"/>
    <w:rPr>
      <w:rFonts w:ascii="Segoe UI" w:hAnsi="Segoe UI" w:cs="Segoe UI"/>
      <w:sz w:val="18"/>
      <w:szCs w:val="18"/>
    </w:rPr>
  </w:style>
  <w:style w:type="character" w:customStyle="1" w:styleId="Bodytext">
    <w:name w:val="Body text_"/>
    <w:basedOn w:val="Domylnaczcionkaakapitu"/>
    <w:link w:val="Tekstpodstawowy4"/>
    <w:rsid w:val="00135D66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podstawowy4">
    <w:name w:val="Tekst podstawowy4"/>
    <w:basedOn w:val="Normalny"/>
    <w:link w:val="Bodytext"/>
    <w:rsid w:val="00135D66"/>
    <w:pPr>
      <w:shd w:val="clear" w:color="auto" w:fill="FFFFFF"/>
      <w:spacing w:before="300" w:after="120" w:line="0" w:lineRule="atLeast"/>
      <w:ind w:hanging="380"/>
      <w:jc w:val="right"/>
    </w:pPr>
    <w:rPr>
      <w:rFonts w:ascii="Arial" w:eastAsia="Arial" w:hAnsi="Arial" w:cs="Arial"/>
      <w:sz w:val="20"/>
      <w:szCs w:val="20"/>
    </w:rPr>
  </w:style>
  <w:style w:type="character" w:customStyle="1" w:styleId="citation-line">
    <w:name w:val="citation-line"/>
    <w:basedOn w:val="Domylnaczcionkaakapitu"/>
    <w:rsid w:val="00F15B8F"/>
  </w:style>
  <w:style w:type="paragraph" w:customStyle="1" w:styleId="ARTartustawynprozporzdzenia">
    <w:name w:val="ART(§) – art. ustawy (§ np. rozporządzenia)"/>
    <w:uiPriority w:val="11"/>
    <w:qFormat/>
    <w:rsid w:val="00F15B8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75D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75D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6405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5E0603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A15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8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4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1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5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017D6-38A5-4240-8551-96D7B2DA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5401</Words>
  <Characters>32408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Piotrowska-Łaga Agnieszka</dc:creator>
  <cp:lastModifiedBy>Rybkowska Bożena</cp:lastModifiedBy>
  <cp:revision>3</cp:revision>
  <cp:lastPrinted>2020-09-14T11:43:00Z</cp:lastPrinted>
  <dcterms:created xsi:type="dcterms:W3CDTF">2021-06-29T13:00:00Z</dcterms:created>
  <dcterms:modified xsi:type="dcterms:W3CDTF">2021-06-29T17:25:00Z</dcterms:modified>
</cp:coreProperties>
</file>