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418F" w:rsidRPr="00FC418F" w:rsidRDefault="00FC418F" w:rsidP="00AA1137">
      <w:pPr>
        <w:suppressAutoHyphens/>
        <w:autoSpaceDE w:val="0"/>
        <w:autoSpaceDN w:val="0"/>
        <w:adjustRightInd w:val="0"/>
        <w:spacing w:after="0" w:line="360" w:lineRule="auto"/>
        <w:ind w:firstLine="510"/>
        <w:jc w:val="center"/>
        <w:rPr>
          <w:rFonts w:ascii="Times" w:eastAsia="Times New Roman" w:hAnsi="Times" w:cs="Times New Roman"/>
          <w:b/>
          <w:szCs w:val="26"/>
        </w:rPr>
      </w:pPr>
      <w:bookmarkStart w:id="0" w:name="_GoBack"/>
      <w:bookmarkEnd w:id="0"/>
      <w:r w:rsidRPr="00AA1137">
        <w:rPr>
          <w:rFonts w:ascii="Times" w:eastAsia="Times New Roman" w:hAnsi="Times" w:cs="Times New Roman"/>
          <w:szCs w:val="26"/>
        </w:rPr>
        <w:t>UZASADNIENIE</w:t>
      </w:r>
    </w:p>
    <w:p w:rsidR="00FC418F" w:rsidRPr="00FC418F" w:rsidRDefault="00FC418F" w:rsidP="00AA1137">
      <w:pPr>
        <w:suppressAutoHyphens/>
        <w:autoSpaceDE w:val="0"/>
        <w:autoSpaceDN w:val="0"/>
        <w:adjustRightInd w:val="0"/>
        <w:spacing w:before="240" w:after="0" w:line="360" w:lineRule="auto"/>
        <w:jc w:val="both"/>
        <w:rPr>
          <w:rFonts w:ascii="Times" w:eastAsia="Times New Roman" w:hAnsi="Times" w:cs="Arial"/>
          <w:szCs w:val="20"/>
        </w:rPr>
      </w:pPr>
      <w:r w:rsidRPr="00FC418F">
        <w:rPr>
          <w:rFonts w:ascii="Times" w:eastAsia="Times New Roman" w:hAnsi="Times" w:cs="Arial"/>
          <w:szCs w:val="20"/>
        </w:rPr>
        <w:t>Projektowane regulacje zostały opracowane w związku z przeglądem dotychczas obowiązujących przepisów ustawy z dnia 15 września 2000 r. o grupach producentów rolnych i ich związkach oraz o zmianie innych ustaw (Dz. U. z 2018 r. poz. 1026), zwanej dalej „ustawą z dnia 15 września 2000 r.”, i są odpowiedzią na postulaty zgłaszane przez podmioty zaangażowane w proces tworzenia grup producentów rolnych i same grupy producentów rolnych, dotyczące problemów i wątpliwości w zakresie stosowania przepisów ww. ustawy, w szczególności zmienionych ustawą z dnia 11 września 2015 r. o zmianie ustawy o grupach producentów rolnych i ich związkach oraz o zmianie innych ustaw oraz ustawy o wspieraniu rozwoju obszarów wiejskich z udziałem środków Europejskiego Funduszu Rolnego na rzecz Rozwoju Obszarów Wiejskich w ramach Programu Rozwoju Obszarów Wiejskich na lata 2014–2020 (Dz. U. poz. 1888) oraz mają na celu doprecyzowanie, w celu uniknięcia wątpliwości interpretacyjnych, niektórych obecnie obowiązujących przepisów ustawy z dnia 15 września 2000 r.</w:t>
      </w:r>
    </w:p>
    <w:p w:rsidR="00FC418F" w:rsidRPr="00FC418F" w:rsidRDefault="00FC418F" w:rsidP="00AA1137">
      <w:pPr>
        <w:suppressAutoHyphens/>
        <w:autoSpaceDE w:val="0"/>
        <w:autoSpaceDN w:val="0"/>
        <w:adjustRightInd w:val="0"/>
        <w:spacing w:after="0" w:line="360" w:lineRule="auto"/>
        <w:jc w:val="both"/>
        <w:rPr>
          <w:rFonts w:ascii="Times" w:eastAsia="Times New Roman" w:hAnsi="Times" w:cs="Arial"/>
          <w:szCs w:val="20"/>
        </w:rPr>
      </w:pPr>
      <w:r w:rsidRPr="00FC418F">
        <w:rPr>
          <w:rFonts w:ascii="Times" w:eastAsia="Times New Roman" w:hAnsi="Times" w:cs="Arial"/>
          <w:szCs w:val="20"/>
        </w:rPr>
        <w:t>Zmiana zaproponowana w art. 1 pkt 1 projektu jest zmianą porządkową, mającą na celu wskazanie, że do postępowań w sprawach indywidualnych rozstrzyganych w drodze decyzji stosuje się przepisy ustawy z dnia 14 czerwca 1960 r. – Kodeks postępowania administracyjnego (Dz. U. z 2021 r. poz. 735), o ile przepisy ustawy nie stanowią inaczej. Jednocześnie, mając na uwadze powszechność stosowania rozwiązań cyfrowych w zakresie komunikacji elektronicznej, w art. 1 pkt 1 projektu ustawy proponuje się, aby w przypadku gdy przepisy ustawy przewidują złożenie wniosku do prezesa Agencji Restrukturyzacji i</w:t>
      </w:r>
      <w:r w:rsidR="002F7832">
        <w:rPr>
          <w:rFonts w:ascii="Times" w:eastAsia="Times New Roman" w:hAnsi="Times" w:cs="Arial"/>
          <w:szCs w:val="20"/>
        </w:rPr>
        <w:t xml:space="preserve"> </w:t>
      </w:r>
      <w:r w:rsidRPr="00FC418F">
        <w:rPr>
          <w:rFonts w:ascii="Times" w:eastAsia="Times New Roman" w:hAnsi="Times" w:cs="Arial"/>
          <w:szCs w:val="20"/>
        </w:rPr>
        <w:t>Modernizacji Rolnictwa, zwanej dalej „ARiMR”, lub do dyrektora oddziału regionalnego ARiMR, zwanego dalej „dyrektorem oddziału regionalnego ARiMR”, aby wniosek składany był na piśmie utrwalonym w postaci papierowej lub elektronicznej przesyłanym na elektroniczną skrzynkę podawczą w rozumieniu art. 3 pkt 17 ustawy z dnia 17 lutego 2005 r. o</w:t>
      </w:r>
      <w:r w:rsidR="002F7832">
        <w:rPr>
          <w:rFonts w:ascii="Times" w:eastAsia="Times New Roman" w:hAnsi="Times" w:cs="Arial"/>
          <w:szCs w:val="20"/>
        </w:rPr>
        <w:t xml:space="preserve"> </w:t>
      </w:r>
      <w:r w:rsidRPr="00FC418F">
        <w:rPr>
          <w:rFonts w:ascii="Times" w:eastAsia="Times New Roman" w:hAnsi="Times" w:cs="Arial"/>
          <w:szCs w:val="20"/>
        </w:rPr>
        <w:t xml:space="preserve">informatyzacji działalności podmiotów realizujących zadania publiczne </w:t>
      </w:r>
      <w:hyperlink r:id="rId7" w:history="1">
        <w:hyperlink r:id="rId8" w:history="1">
          <w:r w:rsidRPr="00FC418F">
            <w:rPr>
              <w:rFonts w:ascii="Times" w:eastAsia="Times New Roman" w:hAnsi="Times" w:cs="Arial"/>
              <w:szCs w:val="20"/>
            </w:rPr>
            <w:t>(Dz. U. z 2021 r. poz. 670, z późn. zm.))</w:t>
          </w:r>
        </w:hyperlink>
      </w:hyperlink>
      <w:r w:rsidRPr="00FC418F">
        <w:rPr>
          <w:rFonts w:ascii="Times" w:eastAsia="Times New Roman" w:hAnsi="Times" w:cs="Arial"/>
          <w:szCs w:val="20"/>
        </w:rPr>
        <w:t>.</w:t>
      </w:r>
    </w:p>
    <w:p w:rsidR="00FC418F" w:rsidRPr="00FC418F" w:rsidRDefault="00FC418F" w:rsidP="00AA1137">
      <w:pPr>
        <w:suppressAutoHyphens/>
        <w:autoSpaceDE w:val="0"/>
        <w:autoSpaceDN w:val="0"/>
        <w:adjustRightInd w:val="0"/>
        <w:spacing w:after="0" w:line="360" w:lineRule="auto"/>
        <w:jc w:val="both"/>
        <w:rPr>
          <w:rFonts w:ascii="Times" w:eastAsia="Times New Roman" w:hAnsi="Times" w:cs="Arial"/>
          <w:szCs w:val="20"/>
        </w:rPr>
      </w:pPr>
      <w:r w:rsidRPr="00FC418F">
        <w:rPr>
          <w:rFonts w:ascii="Times" w:eastAsia="Times New Roman" w:hAnsi="Times" w:cs="Arial"/>
          <w:szCs w:val="20"/>
        </w:rPr>
        <w:t>Ponadto, w art. 1 pkt 1 projektu ustawy proponuje się także dookreślenie, zgodnie z</w:t>
      </w:r>
      <w:r w:rsidR="002F7832">
        <w:rPr>
          <w:rFonts w:ascii="Times" w:eastAsia="Times New Roman" w:hAnsi="Times" w:cs="Arial"/>
          <w:szCs w:val="20"/>
        </w:rPr>
        <w:t xml:space="preserve"> </w:t>
      </w:r>
      <w:r w:rsidRPr="00FC418F">
        <w:rPr>
          <w:rFonts w:ascii="Times" w:eastAsia="Times New Roman" w:hAnsi="Times" w:cs="Arial"/>
          <w:szCs w:val="20"/>
        </w:rPr>
        <w:t xml:space="preserve">którym, </w:t>
      </w:r>
      <w:hyperlink r:id="rId9" w:history="1"/>
      <w:r w:rsidRPr="00FC418F">
        <w:rPr>
          <w:rFonts w:ascii="Times" w:eastAsia="Times New Roman" w:hAnsi="Times" w:cs="Arial"/>
          <w:szCs w:val="20"/>
        </w:rPr>
        <w:t>jeżeli przepisy ustawy przewidują złożenie na piśmie sprawozdania lub informacji do Prezesa ARiMR albo do dyrektora oddziału regionalnego ARiMR w sprawach, do których nie stosuje się przepisów Kodeksu postępowania administracyjnego, zwanego dalej „KPA”, to</w:t>
      </w:r>
      <w:r w:rsidR="002F7832">
        <w:rPr>
          <w:rFonts w:ascii="Times" w:eastAsia="Times New Roman" w:hAnsi="Times" w:cs="Arial"/>
          <w:szCs w:val="20"/>
        </w:rPr>
        <w:t xml:space="preserve"> </w:t>
      </w:r>
      <w:r w:rsidRPr="00FC418F">
        <w:rPr>
          <w:rFonts w:ascii="Times" w:eastAsia="Times New Roman" w:hAnsi="Times" w:cs="Arial"/>
          <w:szCs w:val="20"/>
        </w:rPr>
        <w:t xml:space="preserve">odpowiednio sprawozdanie lub informacja </w:t>
      </w:r>
      <w:r w:rsidRPr="00FC418F">
        <w:rPr>
          <w:rFonts w:ascii="Times" w:eastAsia="Times New Roman" w:hAnsi="Times" w:cs="Arial"/>
          <w:szCs w:val="20"/>
        </w:rPr>
        <w:lastRenderedPageBreak/>
        <w:t>ma spełniać wymagania dla pisma kierowanego do organów administracji publicznej określone w przepisach KPA.</w:t>
      </w:r>
    </w:p>
    <w:p w:rsidR="00FC418F" w:rsidRPr="00FC418F" w:rsidRDefault="00FC418F" w:rsidP="00AA1137">
      <w:pPr>
        <w:suppressAutoHyphens/>
        <w:autoSpaceDE w:val="0"/>
        <w:autoSpaceDN w:val="0"/>
        <w:adjustRightInd w:val="0"/>
        <w:spacing w:after="0" w:line="360" w:lineRule="auto"/>
        <w:jc w:val="both"/>
        <w:rPr>
          <w:rFonts w:ascii="Times" w:eastAsia="Times New Roman" w:hAnsi="Times" w:cs="Arial"/>
          <w:szCs w:val="20"/>
        </w:rPr>
      </w:pPr>
      <w:r w:rsidRPr="00FC418F">
        <w:rPr>
          <w:rFonts w:ascii="Times" w:eastAsia="Times New Roman" w:hAnsi="Times" w:cs="Arial"/>
          <w:szCs w:val="20"/>
        </w:rPr>
        <w:t xml:space="preserve">Zmiany zaproponowane w art. 1 pkt 2 i 3 projektu, dotyczące brzmienia art. 3 ust. 1 pkt 6 oraz art. 3a pkt 6 ustawy z dnia 15 września 2000 r., mają na celu wprowadzenie regulacji pozwalających na zmniejszenie obowiązkowego poziomu wielkości wyprodukowanych przez członka grupy producentów rolnych produktów lub grupy produktów, ze względu na które grupa została utworzona, jaką musi on sprzedać do grupy, z co najmniej 80% do co najmniej 70%. Zgodnie z obowiązującym przepisem art. 3 ust. 1 pkt 6 (a w przypadku spółdzielni – art. 3a pkt 6) ustawy z dnia 15 września 2000 r., każdy z producentów </w:t>
      </w:r>
      <w:r w:rsidR="002F7832">
        <w:rPr>
          <w:rFonts w:ascii="Times" w:eastAsia="Times New Roman" w:hAnsi="Times" w:cs="Arial"/>
          <w:szCs w:val="20"/>
        </w:rPr>
        <w:t>–</w:t>
      </w:r>
      <w:r w:rsidRPr="00FC418F">
        <w:rPr>
          <w:rFonts w:ascii="Times" w:eastAsia="Times New Roman" w:hAnsi="Times" w:cs="Arial"/>
          <w:szCs w:val="20"/>
        </w:rPr>
        <w:t xml:space="preserve"> członków grupy jest zobowiązany, w każdym roku działalności grupy, do produkcji i sprzedaży do grupy co</w:t>
      </w:r>
      <w:r w:rsidR="002F7832">
        <w:rPr>
          <w:rFonts w:ascii="Times" w:eastAsia="Times New Roman" w:hAnsi="Times" w:cs="Arial"/>
          <w:szCs w:val="20"/>
        </w:rPr>
        <w:t xml:space="preserve"> </w:t>
      </w:r>
      <w:r w:rsidRPr="00FC418F">
        <w:rPr>
          <w:rFonts w:ascii="Times" w:eastAsia="Times New Roman" w:hAnsi="Times" w:cs="Arial"/>
          <w:szCs w:val="20"/>
        </w:rPr>
        <w:t>najmniej 80% wyprodukowanych przez siebie produktów lub grup produktów, ze względu na które grupa została utworzona. Obowiązek ten stwarza pewne trudności w jego stosowaniu w szczególności przez członków grup producentów zbóż, prowadzących gospodarstwa o</w:t>
      </w:r>
      <w:r w:rsidR="002F7832">
        <w:rPr>
          <w:rFonts w:ascii="Times" w:eastAsia="Times New Roman" w:hAnsi="Times" w:cs="Arial"/>
          <w:szCs w:val="20"/>
        </w:rPr>
        <w:t xml:space="preserve"> </w:t>
      </w:r>
      <w:r w:rsidRPr="00FC418F">
        <w:rPr>
          <w:rFonts w:ascii="Times" w:eastAsia="Times New Roman" w:hAnsi="Times" w:cs="Arial"/>
          <w:szCs w:val="20"/>
        </w:rPr>
        <w:t xml:space="preserve">profilu produkcji roślinno-zwierzęcym (w związku z przeznaczaniem części produkcji np. na paszę dla posiadanych zwierząt) lub też przeznaczających część swojej produkcji do siewu lub sadzenia, a obecny, dopuszczalny poziom produkcji jaki może zostać wykorzystany przez członka grupy w dowolny sposób (20% produkcji) jest niewystarczający, aby zaspokoić potrzeby żywieniowe zwierząt lub dokonać zasiewów. Wprowadzenie regulacji w proponowanym brzmieniu umożliwi członkowi grupy wykorzystanie w prowadzonym przez niego gospodarstwie rolnym lub dziale specjalnym produkcji rolnej, w zależności od potrzeb, nawet do 30% swojej produkcji (np. jako paszy dla posiadanych zwierząt). Zmiana w tym zakresie była konsultowana z przedstawicielami producentów podczas różnego rodzaju spotkań branżowych, organizowanych przez Ministerstwo Rolnictwa i Rozwoju Wsi. </w:t>
      </w:r>
    </w:p>
    <w:p w:rsidR="00FC418F" w:rsidRPr="00FC418F" w:rsidRDefault="00FC418F" w:rsidP="00AA1137">
      <w:pPr>
        <w:suppressAutoHyphens/>
        <w:autoSpaceDE w:val="0"/>
        <w:autoSpaceDN w:val="0"/>
        <w:adjustRightInd w:val="0"/>
        <w:spacing w:after="0" w:line="360" w:lineRule="auto"/>
        <w:jc w:val="both"/>
        <w:rPr>
          <w:rFonts w:ascii="Times" w:eastAsia="Times New Roman" w:hAnsi="Times" w:cs="Arial"/>
          <w:szCs w:val="20"/>
        </w:rPr>
      </w:pPr>
      <w:r w:rsidRPr="00FC418F">
        <w:rPr>
          <w:rFonts w:ascii="Times" w:eastAsia="Times New Roman" w:hAnsi="Times" w:cs="Arial"/>
          <w:szCs w:val="20"/>
        </w:rPr>
        <w:t>Jednocześnie w pkt 4 projektu proponuje się dodanie art. 3aa, zgodnie z którym, w</w:t>
      </w:r>
      <w:r w:rsidR="002F7832">
        <w:rPr>
          <w:rFonts w:ascii="Times" w:eastAsia="Times New Roman" w:hAnsi="Times" w:cs="Arial"/>
          <w:szCs w:val="20"/>
        </w:rPr>
        <w:t xml:space="preserve"> </w:t>
      </w:r>
      <w:r w:rsidRPr="00FC418F">
        <w:rPr>
          <w:rFonts w:ascii="Times" w:eastAsia="Times New Roman" w:hAnsi="Times" w:cs="Arial"/>
          <w:szCs w:val="20"/>
        </w:rPr>
        <w:t>przypadku gdy w danym roku działalności grupy producentów rolnych nie każdy z</w:t>
      </w:r>
      <w:r w:rsidR="002F7832">
        <w:rPr>
          <w:rFonts w:ascii="Times" w:eastAsia="Times New Roman" w:hAnsi="Times" w:cs="Arial"/>
          <w:szCs w:val="20"/>
        </w:rPr>
        <w:t xml:space="preserve"> </w:t>
      </w:r>
      <w:r w:rsidRPr="00FC418F">
        <w:rPr>
          <w:rFonts w:ascii="Times" w:eastAsia="Times New Roman" w:hAnsi="Times" w:cs="Arial"/>
          <w:szCs w:val="20"/>
        </w:rPr>
        <w:t xml:space="preserve">producentów </w:t>
      </w:r>
      <w:r w:rsidR="002F7832">
        <w:rPr>
          <w:rFonts w:ascii="Times" w:eastAsia="Times New Roman" w:hAnsi="Times" w:cs="Arial"/>
          <w:szCs w:val="20"/>
        </w:rPr>
        <w:t>–</w:t>
      </w:r>
      <w:r w:rsidRPr="00FC418F">
        <w:rPr>
          <w:rFonts w:ascii="Times" w:eastAsia="Times New Roman" w:hAnsi="Times" w:cs="Arial"/>
          <w:szCs w:val="20"/>
        </w:rPr>
        <w:t xml:space="preserve"> członków grupy jest w stanie spełnić warunek sprzedaży do grupy co najmniej 70% całkowitej rocznej produkcji, to uznaje się, że jest on spełniony, jeżeli co najmniej 90% producentów </w:t>
      </w:r>
      <w:r w:rsidR="002F7832">
        <w:rPr>
          <w:rFonts w:ascii="Times" w:eastAsia="Times New Roman" w:hAnsi="Times" w:cs="Arial"/>
          <w:szCs w:val="20"/>
        </w:rPr>
        <w:t>–</w:t>
      </w:r>
      <w:r w:rsidRPr="00FC418F">
        <w:rPr>
          <w:rFonts w:ascii="Times" w:eastAsia="Times New Roman" w:hAnsi="Times" w:cs="Arial"/>
          <w:szCs w:val="20"/>
        </w:rPr>
        <w:t xml:space="preserve"> członków grupy w danym roku działalności grupy wyprodukowało oraz sprzedało do grupy co najmniej 70% wyprodukowanych przez siebie produktów lub grup produktów, ze względu na które grupa została utworzona. Odstępstwo to, od ogólnej zasady wymogu produkcji i sprzedaży do grupy przez każdego </w:t>
      </w:r>
      <w:r w:rsidRPr="00FC418F">
        <w:rPr>
          <w:rFonts w:ascii="Times" w:eastAsia="Times New Roman" w:hAnsi="Times" w:cs="Arial"/>
          <w:szCs w:val="20"/>
        </w:rPr>
        <w:lastRenderedPageBreak/>
        <w:t xml:space="preserve">jej członka </w:t>
      </w:r>
      <w:r w:rsidR="002F7832">
        <w:rPr>
          <w:rFonts w:ascii="Times" w:eastAsia="Times New Roman" w:hAnsi="Times" w:cs="Arial"/>
          <w:szCs w:val="20"/>
        </w:rPr>
        <w:t>–</w:t>
      </w:r>
      <w:r w:rsidRPr="00FC418F">
        <w:rPr>
          <w:rFonts w:ascii="Times" w:eastAsia="Times New Roman" w:hAnsi="Times" w:cs="Arial"/>
          <w:szCs w:val="20"/>
        </w:rPr>
        <w:t xml:space="preserve"> producenta co najmniej 70% całkowitej rocznej produkcji produktów lub grup produktów, ze względu na które grupa została utworzona, ma na celu dodatkowe ułatwienie i jednocześnie zapewnienie trwałego rozwoju i funkcjonowania grup producentów rolnych, w szczególności tych, które zrzeszają relatywnie dużą liczbę producentów. W przypadku dużych pod względem liczebności podmiotów ryzyko, iż któryś z producentów </w:t>
      </w:r>
      <w:r w:rsidR="002F7832">
        <w:rPr>
          <w:rFonts w:ascii="Times" w:eastAsia="Times New Roman" w:hAnsi="Times" w:cs="Arial"/>
          <w:szCs w:val="20"/>
        </w:rPr>
        <w:t>–</w:t>
      </w:r>
      <w:r w:rsidRPr="00FC418F">
        <w:rPr>
          <w:rFonts w:ascii="Times" w:eastAsia="Times New Roman" w:hAnsi="Times" w:cs="Arial"/>
          <w:szCs w:val="20"/>
        </w:rPr>
        <w:t xml:space="preserve"> członków grupy nie będzie mógł wywiązać się z</w:t>
      </w:r>
      <w:r w:rsidR="002F7832">
        <w:rPr>
          <w:rFonts w:ascii="Times" w:eastAsia="Times New Roman" w:hAnsi="Times" w:cs="Arial"/>
          <w:szCs w:val="20"/>
        </w:rPr>
        <w:t xml:space="preserve"> </w:t>
      </w:r>
      <w:r w:rsidRPr="00FC418F">
        <w:rPr>
          <w:rFonts w:ascii="Times" w:eastAsia="Times New Roman" w:hAnsi="Times" w:cs="Arial"/>
          <w:szCs w:val="20"/>
        </w:rPr>
        <w:t>obowiązku sprzedaży do grupy określonego poziomu swojej produkcji w danym roku działalności, jest dużo większe niż w przypadku grup mniej licznych (np. zrzeszających 5</w:t>
      </w:r>
      <w:r w:rsidR="002F7832">
        <w:rPr>
          <w:rFonts w:ascii="Times" w:eastAsia="Times New Roman" w:hAnsi="Times" w:cs="Arial"/>
          <w:szCs w:val="20"/>
        </w:rPr>
        <w:t>–</w:t>
      </w:r>
      <w:r w:rsidRPr="00FC418F">
        <w:rPr>
          <w:rFonts w:ascii="Times" w:eastAsia="Times New Roman" w:hAnsi="Times" w:cs="Arial"/>
          <w:szCs w:val="20"/>
        </w:rPr>
        <w:t>6 członków). Podkreślić w tym miejscu należy, że niespełnianie warunków uznania określonych w art. 3 albo art. 3a ustawy z dnia 15 września 2000 r. (w tym także obowiązku sprzedaży do</w:t>
      </w:r>
      <w:r w:rsidR="002F7832">
        <w:rPr>
          <w:rFonts w:ascii="Times" w:eastAsia="Times New Roman" w:hAnsi="Times" w:cs="Arial"/>
          <w:szCs w:val="20"/>
        </w:rPr>
        <w:t xml:space="preserve"> </w:t>
      </w:r>
      <w:r w:rsidRPr="00FC418F">
        <w:rPr>
          <w:rFonts w:ascii="Times" w:eastAsia="Times New Roman" w:hAnsi="Times" w:cs="Arial"/>
          <w:szCs w:val="20"/>
        </w:rPr>
        <w:t>grupy określonego poziomu produkcji) stanowi dla dyrektora oddziału regionalnego ARiMR przesłankę do wydania decyzji o cofnięciu grupie uznania i skreśleniu jej z rejestru grup, o czym mowa w art. 11 tej ustawy. Proponowane rozwiązanie pozwoli tym samym grupom producentów rolnych na zmniejszenie ryzyka utraty tego statusu w związku z</w:t>
      </w:r>
      <w:r w:rsidR="002F7832">
        <w:rPr>
          <w:rFonts w:ascii="Times" w:eastAsia="Times New Roman" w:hAnsi="Times" w:cs="Arial"/>
          <w:szCs w:val="20"/>
        </w:rPr>
        <w:t xml:space="preserve"> </w:t>
      </w:r>
      <w:r w:rsidRPr="00FC418F">
        <w:rPr>
          <w:rFonts w:ascii="Times" w:eastAsia="Times New Roman" w:hAnsi="Times" w:cs="Arial"/>
          <w:szCs w:val="20"/>
        </w:rPr>
        <w:t>niespełnianiem przez niektórych jej członków przedmiotowego warunku w danym roku działalności grupy.</w:t>
      </w:r>
    </w:p>
    <w:p w:rsidR="00FC418F" w:rsidRPr="00FC418F" w:rsidRDefault="00FC418F" w:rsidP="00AA1137">
      <w:pPr>
        <w:suppressAutoHyphens/>
        <w:autoSpaceDE w:val="0"/>
        <w:autoSpaceDN w:val="0"/>
        <w:adjustRightInd w:val="0"/>
        <w:spacing w:after="0" w:line="360" w:lineRule="auto"/>
        <w:jc w:val="both"/>
        <w:rPr>
          <w:rFonts w:ascii="Times" w:eastAsia="Times New Roman" w:hAnsi="Times" w:cs="Arial"/>
          <w:szCs w:val="20"/>
        </w:rPr>
      </w:pPr>
      <w:r w:rsidRPr="00FC418F">
        <w:rPr>
          <w:rFonts w:ascii="Times" w:eastAsia="Times New Roman" w:hAnsi="Times" w:cs="Arial"/>
          <w:szCs w:val="20"/>
        </w:rPr>
        <w:t>Zmiany zaproponowane w art. 1 pkt 2 i 3 projektu, dotyczące zmiany w ustawie z dnia 15</w:t>
      </w:r>
      <w:r w:rsidR="002F7832">
        <w:rPr>
          <w:rFonts w:ascii="Times" w:eastAsia="Times New Roman" w:hAnsi="Times" w:cs="Arial"/>
          <w:szCs w:val="20"/>
        </w:rPr>
        <w:t xml:space="preserve"> </w:t>
      </w:r>
      <w:r w:rsidRPr="00FC418F">
        <w:rPr>
          <w:rFonts w:ascii="Times" w:eastAsia="Times New Roman" w:hAnsi="Times" w:cs="Arial"/>
          <w:szCs w:val="20"/>
        </w:rPr>
        <w:t>września 2000 r. w zakresie brzmienia art. 3 ust. 1 pkt 7 oraz dodaniu pkt 8 w tym ustępie, a</w:t>
      </w:r>
      <w:r w:rsidR="002F7832">
        <w:rPr>
          <w:rFonts w:ascii="Times" w:eastAsia="Times New Roman" w:hAnsi="Times" w:cs="Arial"/>
          <w:szCs w:val="20"/>
        </w:rPr>
        <w:t xml:space="preserve"> </w:t>
      </w:r>
      <w:r w:rsidRPr="00FC418F">
        <w:rPr>
          <w:rFonts w:ascii="Times" w:eastAsia="Times New Roman" w:hAnsi="Times" w:cs="Arial"/>
          <w:szCs w:val="20"/>
        </w:rPr>
        <w:t>także zmiany brzmienia art. 3a pkt 7</w:t>
      </w:r>
      <w:r w:rsidRPr="00FC418F">
        <w:rPr>
          <w:rFonts w:eastAsia="Times New Roman" w:cs="Arial"/>
          <w:szCs w:val="20"/>
        </w:rPr>
        <w:t xml:space="preserve"> </w:t>
      </w:r>
      <w:r w:rsidRPr="00FC418F">
        <w:rPr>
          <w:rFonts w:ascii="Times" w:eastAsia="Times New Roman" w:hAnsi="Times" w:cs="Arial"/>
          <w:szCs w:val="20"/>
        </w:rPr>
        <w:t>oraz dodaniu pkt 8 w tym ustępie, mają na celu określenie wprost warunku, zgodnie z którym każdy z członków grupy może przynależeć tylko do jednej grupy w zakresie danego produktu lub grupy produktów, ze względu na które grupa została utworzona, a także żaden z członków grupy nie może przynależeć do organizacji producentów w rozumieniu ustawy z dnia 11 marca 2004 r. о organizacji niektórych rynków rolnych (Dz. U. z 2018 r. poz. 945, z 2019 r. poz. 2020 oraz z 2021 r. poz. 255), zwanej dalej „ustawą o rynkach rolnych”, albo ustawy z dnia 20 kwietnia 2004 r. o organizacji rynku mleka i przetworów mlecznych (Dz. U. z 2019 r. poz. 1430), zwanej dalej „ustawą o rynku mleka – utworzonej w zakresie tego samego produktu lub grupy produktów, ze względu na które grupa została utworzona.</w:t>
      </w:r>
    </w:p>
    <w:p w:rsidR="00FC418F" w:rsidRPr="00FC418F" w:rsidRDefault="00FC418F" w:rsidP="00AA1137">
      <w:pPr>
        <w:suppressAutoHyphens/>
        <w:autoSpaceDE w:val="0"/>
        <w:autoSpaceDN w:val="0"/>
        <w:adjustRightInd w:val="0"/>
        <w:spacing w:after="0" w:line="360" w:lineRule="auto"/>
        <w:jc w:val="both"/>
        <w:rPr>
          <w:rFonts w:ascii="Times" w:eastAsia="Times New Roman" w:hAnsi="Times" w:cs="Arial"/>
          <w:szCs w:val="20"/>
        </w:rPr>
      </w:pPr>
      <w:r w:rsidRPr="00FC418F">
        <w:rPr>
          <w:rFonts w:ascii="Times" w:eastAsia="Times New Roman" w:hAnsi="Times" w:cs="Arial"/>
          <w:szCs w:val="20"/>
        </w:rPr>
        <w:t>Warunek, o którym mowa w art. 3 ust. 1 pkt 7 i odpowiednio w art. 3a pkt 7, zgodnie z</w:t>
      </w:r>
      <w:r w:rsidR="002F7832">
        <w:rPr>
          <w:rFonts w:ascii="Times" w:eastAsia="Times New Roman" w:hAnsi="Times" w:cs="Arial"/>
          <w:szCs w:val="20"/>
        </w:rPr>
        <w:t xml:space="preserve"> </w:t>
      </w:r>
      <w:r w:rsidRPr="00FC418F">
        <w:rPr>
          <w:rFonts w:ascii="Times" w:eastAsia="Times New Roman" w:hAnsi="Times" w:cs="Arial"/>
          <w:szCs w:val="20"/>
        </w:rPr>
        <w:t>którym każdy z członków grupy może przynależeć tylko do jednej grupy w zakresie danego produktu lub grupy produktów, ze względu na które grupa została utworzona, obowiązuje na</w:t>
      </w:r>
      <w:r w:rsidR="002F7832">
        <w:rPr>
          <w:rFonts w:ascii="Times" w:eastAsia="Times New Roman" w:hAnsi="Times" w:cs="Arial"/>
          <w:szCs w:val="20"/>
        </w:rPr>
        <w:t xml:space="preserve"> </w:t>
      </w:r>
      <w:r w:rsidRPr="00FC418F">
        <w:rPr>
          <w:rFonts w:ascii="Times" w:eastAsia="Times New Roman" w:hAnsi="Times" w:cs="Arial"/>
          <w:szCs w:val="20"/>
        </w:rPr>
        <w:t>podstawie przepisów</w:t>
      </w:r>
      <w:r w:rsidRPr="00FC418F">
        <w:rPr>
          <w:rFonts w:eastAsia="Times New Roman" w:cs="Arial"/>
          <w:szCs w:val="20"/>
        </w:rPr>
        <w:t xml:space="preserve"> </w:t>
      </w:r>
      <w:r w:rsidRPr="00FC418F">
        <w:rPr>
          <w:rFonts w:ascii="Times" w:eastAsia="Times New Roman" w:hAnsi="Times" w:cs="Arial"/>
          <w:szCs w:val="20"/>
        </w:rPr>
        <w:t xml:space="preserve">ustawy z dnia 15 września 2000 r. i został on jedynie </w:t>
      </w:r>
      <w:r w:rsidRPr="00FC418F">
        <w:rPr>
          <w:rFonts w:ascii="Times" w:eastAsia="Times New Roman" w:hAnsi="Times" w:cs="Arial"/>
          <w:szCs w:val="20"/>
        </w:rPr>
        <w:lastRenderedPageBreak/>
        <w:t>doprecyzowany, przez dookreślenie, iż chodzi w nim o produkty lub grupy produktów, ze względu na które grupa została utworzona.</w:t>
      </w:r>
    </w:p>
    <w:p w:rsidR="00FC418F" w:rsidRPr="00FC418F" w:rsidRDefault="00FC418F" w:rsidP="00AA1137">
      <w:pPr>
        <w:suppressAutoHyphens/>
        <w:autoSpaceDE w:val="0"/>
        <w:autoSpaceDN w:val="0"/>
        <w:adjustRightInd w:val="0"/>
        <w:spacing w:after="0" w:line="360" w:lineRule="auto"/>
        <w:jc w:val="both"/>
        <w:rPr>
          <w:rFonts w:ascii="Times" w:eastAsia="Times New Roman" w:hAnsi="Times" w:cs="Arial"/>
          <w:szCs w:val="20"/>
        </w:rPr>
      </w:pPr>
      <w:r w:rsidRPr="00FC418F">
        <w:rPr>
          <w:rFonts w:ascii="Times" w:eastAsia="Times New Roman" w:hAnsi="Times" w:cs="Arial"/>
          <w:szCs w:val="20"/>
        </w:rPr>
        <w:t>Zmiana polegająca natomiast na dodaniu w a</w:t>
      </w:r>
      <w:r w:rsidRPr="00FC418F">
        <w:rPr>
          <w:rFonts w:ascii="Times" w:eastAsia="Times" w:hAnsi="Times" w:cs="Times"/>
          <w:szCs w:val="20"/>
        </w:rPr>
        <w:t>rt. 3 ust. 1 pkt 8 oraz odpowiednio w art. 3a pkt 8 wprowadza wprost warunek, zgodnie z którym żaden z członków grupy nie może przynależeć do organizacji producentów w rozumieniu ustawy o rynkach rolnych lub</w:t>
      </w:r>
      <w:r w:rsidR="002F7832">
        <w:rPr>
          <w:rFonts w:ascii="Times" w:eastAsia="Times New Roman" w:hAnsi="Times" w:cs="Arial"/>
          <w:szCs w:val="20"/>
        </w:rPr>
        <w:t xml:space="preserve"> </w:t>
      </w:r>
      <w:r w:rsidRPr="00FC418F">
        <w:rPr>
          <w:rFonts w:ascii="Times" w:eastAsia="Times New Roman" w:hAnsi="Times" w:cs="Arial"/>
          <w:szCs w:val="20"/>
        </w:rPr>
        <w:t>do</w:t>
      </w:r>
      <w:r w:rsidR="002F7832">
        <w:rPr>
          <w:rFonts w:ascii="Times" w:eastAsia="Times New Roman" w:hAnsi="Times" w:cs="Arial"/>
          <w:szCs w:val="20"/>
        </w:rPr>
        <w:t xml:space="preserve"> </w:t>
      </w:r>
      <w:r w:rsidRPr="00FC418F">
        <w:rPr>
          <w:rFonts w:ascii="Times" w:eastAsia="Times New Roman" w:hAnsi="Times" w:cs="Arial"/>
          <w:szCs w:val="20"/>
        </w:rPr>
        <w:t>organizacji w rozumieniu ustawy o rynku mleka – utworzonej w zakresie tego samego produktu lub grupy produktów, ze względu na które jest utworzona grupa. Powyższe oznacza, że w zakresie danego produktu lub grupy produktów, producent będzie mógł przynależeć albo do grupy producentów rolnych albo do organizacji producentów. Warunek ten ma na celu wyeliminowanie możliwości uzyskiwania zarówno statusu grupy producentów rolnych, jak i</w:t>
      </w:r>
      <w:r w:rsidR="002F7832">
        <w:rPr>
          <w:rFonts w:ascii="Times" w:eastAsia="Times New Roman" w:hAnsi="Times" w:cs="Arial"/>
          <w:szCs w:val="20"/>
        </w:rPr>
        <w:t xml:space="preserve"> </w:t>
      </w:r>
      <w:r w:rsidRPr="00FC418F">
        <w:rPr>
          <w:rFonts w:ascii="Times" w:eastAsia="Times New Roman" w:hAnsi="Times" w:cs="Arial"/>
          <w:szCs w:val="20"/>
        </w:rPr>
        <w:t>organizacji producentów przez dany podmiot, jeśli skupia on producentów produkujących jeden rodzaj produktu lub grupy produktów. Tym samym zmiana ta ma prowadzić do</w:t>
      </w:r>
      <w:r w:rsidR="002F7832">
        <w:rPr>
          <w:rFonts w:ascii="Times" w:eastAsia="Times New Roman" w:hAnsi="Times" w:cs="Arial"/>
          <w:szCs w:val="20"/>
        </w:rPr>
        <w:t xml:space="preserve"> </w:t>
      </w:r>
      <w:r w:rsidRPr="00FC418F">
        <w:rPr>
          <w:rFonts w:ascii="Times" w:eastAsia="Times New Roman" w:hAnsi="Times" w:cs="Arial"/>
          <w:szCs w:val="20"/>
        </w:rPr>
        <w:t>wyeliminowania możliwości występowania sytuacji, w której dany producent przynależy jednocześnie do grupy producentów rolnych i organizacji producentów, przy czym obydwa zostały uznane ze względu na ten sam produkt lub grupę produktów. Powyższe ma na celu zachowanie systemowych regulacji w zakresie tworzenia podmiotów takich jak grupy producentów rolnych i organizacje producentów, aby były to faktycznie odrębne podmioty rynkowe, korzystające z potencjalnych możliwości wsparcia jakie kierowane są zarówno do</w:t>
      </w:r>
      <w:r w:rsidR="002F7832">
        <w:rPr>
          <w:rFonts w:ascii="Times" w:eastAsia="Times New Roman" w:hAnsi="Times" w:cs="Arial"/>
          <w:szCs w:val="20"/>
        </w:rPr>
        <w:t xml:space="preserve"> </w:t>
      </w:r>
      <w:r w:rsidRPr="00FC418F">
        <w:rPr>
          <w:rFonts w:ascii="Times" w:eastAsia="Times New Roman" w:hAnsi="Times" w:cs="Arial"/>
          <w:szCs w:val="20"/>
        </w:rPr>
        <w:t>jednej, jak i drugiej kategorii podmiotów.</w:t>
      </w:r>
    </w:p>
    <w:p w:rsidR="00FC418F" w:rsidRPr="00FC418F" w:rsidRDefault="00FC418F" w:rsidP="00AA1137">
      <w:pPr>
        <w:suppressAutoHyphens/>
        <w:autoSpaceDE w:val="0"/>
        <w:autoSpaceDN w:val="0"/>
        <w:adjustRightInd w:val="0"/>
        <w:spacing w:after="0" w:line="360" w:lineRule="auto"/>
        <w:jc w:val="both"/>
        <w:rPr>
          <w:rFonts w:ascii="Times" w:eastAsia="Times New Roman" w:hAnsi="Times" w:cs="Arial"/>
          <w:szCs w:val="20"/>
        </w:rPr>
      </w:pPr>
      <w:r w:rsidRPr="00FC418F">
        <w:rPr>
          <w:rFonts w:ascii="Times" w:eastAsia="Times New Roman" w:hAnsi="Times" w:cs="Arial"/>
          <w:szCs w:val="20"/>
        </w:rPr>
        <w:t>Taka sytuacja może mieć aktualnie miejsce ze względu na fakt, iż grupy producentów rolnych i organizacje producentów mogą być uznawane ze względu na tożsame produkty rolne lub grupy produktów rolnych, co wynika odpowiednio z załącznika do rozporządzenia Ministra Rolnictwa i Rozwoju Wsi z dnia 19 kwietnia 2016 r. w sprawie wykazu produktów i</w:t>
      </w:r>
      <w:r w:rsidR="002F7832">
        <w:rPr>
          <w:rFonts w:ascii="Times" w:eastAsia="Times New Roman" w:hAnsi="Times" w:cs="Arial"/>
          <w:szCs w:val="20"/>
        </w:rPr>
        <w:t xml:space="preserve"> </w:t>
      </w:r>
      <w:r w:rsidRPr="00FC418F">
        <w:rPr>
          <w:rFonts w:ascii="Times" w:eastAsia="Times New Roman" w:hAnsi="Times" w:cs="Arial"/>
          <w:szCs w:val="20"/>
        </w:rPr>
        <w:t>grup produktów, ze względu na które mogą być tworzone grupy producentów rolnych, minimalnej rocznej wielkości produkcji towarowej oraz minimalnej liczby członków grupy producentów rolnych (Dz. U. z 2020 r. poz. 417) oraz z art. 1 ust. 2 rozporządzenia Parlamentu Europejskiego i Rady (UE) nr 1308/2013 z dnia 17 grudnia 2013 r. ustanawiającego wspólną organizację rynków produktów rolnych oraz uchylającego rozporządzenia Rady (EWG) nr</w:t>
      </w:r>
      <w:r w:rsidR="002F7832">
        <w:rPr>
          <w:rFonts w:ascii="Times" w:eastAsia="Times New Roman" w:hAnsi="Times" w:cs="Arial"/>
          <w:szCs w:val="20"/>
        </w:rPr>
        <w:t xml:space="preserve"> </w:t>
      </w:r>
      <w:r w:rsidRPr="00FC418F">
        <w:rPr>
          <w:rFonts w:ascii="Times" w:eastAsia="Times New Roman" w:hAnsi="Times" w:cs="Arial"/>
          <w:szCs w:val="20"/>
        </w:rPr>
        <w:t>922/72, (EWG) nr 234/79, (WE) nr 1037/2001 i (WE) nr 1234/2007 (Dz. Urz. UE L 347 z</w:t>
      </w:r>
      <w:r w:rsidR="002F7832">
        <w:rPr>
          <w:rFonts w:ascii="Times" w:eastAsia="Times New Roman" w:hAnsi="Times" w:cs="Arial"/>
          <w:szCs w:val="20"/>
        </w:rPr>
        <w:t xml:space="preserve"> </w:t>
      </w:r>
      <w:r w:rsidRPr="00FC418F">
        <w:rPr>
          <w:rFonts w:ascii="Times" w:eastAsia="Times New Roman" w:hAnsi="Times" w:cs="Arial"/>
          <w:szCs w:val="20"/>
        </w:rPr>
        <w:t xml:space="preserve">20.12.2013, str. 671, z </w:t>
      </w:r>
      <w:proofErr w:type="spellStart"/>
      <w:r w:rsidRPr="00FC418F">
        <w:rPr>
          <w:rFonts w:ascii="Times" w:eastAsia="Times New Roman" w:hAnsi="Times" w:cs="Arial"/>
          <w:szCs w:val="20"/>
        </w:rPr>
        <w:t>późn</w:t>
      </w:r>
      <w:proofErr w:type="spellEnd"/>
      <w:r w:rsidRPr="00FC418F">
        <w:rPr>
          <w:rFonts w:ascii="Times" w:eastAsia="Times New Roman" w:hAnsi="Times" w:cs="Arial"/>
          <w:szCs w:val="20"/>
        </w:rPr>
        <w:t xml:space="preserve">. zm.), zwanego dalej rozporządzeniem nr 1308/2013”. Przedmiotowa propozycja zmiany ma </w:t>
      </w:r>
      <w:r w:rsidRPr="00FC418F">
        <w:rPr>
          <w:rFonts w:ascii="Times" w:eastAsia="Times New Roman" w:hAnsi="Times" w:cs="Arial"/>
          <w:szCs w:val="20"/>
        </w:rPr>
        <w:lastRenderedPageBreak/>
        <w:t xml:space="preserve">więc na celu uniemożliwienie tworzenia „sztucznych” podmiotów rynkowych w zakresie tej samej działalności, w skład których wchodziliby </w:t>
      </w:r>
      <w:r w:rsidRPr="00FC418F">
        <w:rPr>
          <w:rFonts w:ascii="Times" w:eastAsia="Times New Roman" w:hAnsi="Times" w:cs="Arial"/>
          <w:i/>
          <w:szCs w:val="20"/>
        </w:rPr>
        <w:t>de facto</w:t>
      </w:r>
      <w:r w:rsidRPr="00FC418F">
        <w:rPr>
          <w:rFonts w:ascii="Times" w:eastAsia="Times New Roman" w:hAnsi="Times" w:cs="Arial"/>
          <w:szCs w:val="20"/>
        </w:rPr>
        <w:t xml:space="preserve"> ci sami producenci.</w:t>
      </w:r>
    </w:p>
    <w:p w:rsidR="00FC418F" w:rsidRPr="00FC418F" w:rsidRDefault="00FC418F" w:rsidP="00AA1137">
      <w:pPr>
        <w:suppressAutoHyphens/>
        <w:autoSpaceDE w:val="0"/>
        <w:autoSpaceDN w:val="0"/>
        <w:adjustRightInd w:val="0"/>
        <w:spacing w:after="0" w:line="360" w:lineRule="auto"/>
        <w:jc w:val="both"/>
        <w:rPr>
          <w:rFonts w:ascii="Times" w:eastAsia="Times New Roman" w:hAnsi="Times" w:cs="Arial"/>
          <w:szCs w:val="20"/>
        </w:rPr>
      </w:pPr>
      <w:r w:rsidRPr="00FC418F">
        <w:rPr>
          <w:rFonts w:ascii="Times" w:eastAsia="Times New Roman" w:hAnsi="Times" w:cs="Arial"/>
          <w:szCs w:val="20"/>
        </w:rPr>
        <w:t>Zmiana, o której mowa w art. 1 pkt 5 projektu, ma na celu wprowadzenie obowiązku zawarcia w akcie założycielskim grupy producentów rolnych postanowień określających cele działalności grupy, o których mowa w art. 2 ustawy z dnia 15 września 2000 r. Należy zwrócić uwagę, że stosownie do art. 3 ust. 1 pkt 1 i 2 tej ustawy, grupa producentów rolnych prowadzi działalność jako przedsiębiorca mający osobowość prawną, pod warunkiem, że:</w:t>
      </w:r>
    </w:p>
    <w:p w:rsidR="00FC418F" w:rsidRPr="00FC418F" w:rsidRDefault="00FC418F" w:rsidP="00FC418F">
      <w:pPr>
        <w:widowControl w:val="0"/>
        <w:numPr>
          <w:ilvl w:val="0"/>
          <w:numId w:val="1"/>
        </w:numPr>
        <w:autoSpaceDE w:val="0"/>
        <w:autoSpaceDN w:val="0"/>
        <w:adjustRightInd w:val="0"/>
        <w:spacing w:after="0" w:line="360" w:lineRule="auto"/>
        <w:jc w:val="both"/>
        <w:rPr>
          <w:rFonts w:ascii="Times" w:eastAsia="Times New Roman" w:hAnsi="Times" w:cs="Arial"/>
          <w:szCs w:val="20"/>
        </w:rPr>
      </w:pPr>
      <w:r w:rsidRPr="00FC418F">
        <w:rPr>
          <w:rFonts w:ascii="Times" w:eastAsia="Times New Roman" w:hAnsi="Times" w:cs="Arial"/>
          <w:szCs w:val="20"/>
        </w:rPr>
        <w:t>została utworzona przez producentów jednego produktu rolnego lub grupy produktów w celach określonych w art. 2;</w:t>
      </w:r>
    </w:p>
    <w:p w:rsidR="00FC418F" w:rsidRPr="00FC418F" w:rsidRDefault="00FC418F" w:rsidP="002F7832">
      <w:pPr>
        <w:widowControl w:val="0"/>
        <w:numPr>
          <w:ilvl w:val="0"/>
          <w:numId w:val="1"/>
        </w:numPr>
        <w:autoSpaceDE w:val="0"/>
        <w:autoSpaceDN w:val="0"/>
        <w:adjustRightInd w:val="0"/>
        <w:spacing w:after="0" w:line="360" w:lineRule="auto"/>
        <w:jc w:val="both"/>
        <w:rPr>
          <w:rFonts w:ascii="Times" w:eastAsia="Times New Roman" w:hAnsi="Times" w:cs="Arial"/>
          <w:szCs w:val="20"/>
        </w:rPr>
      </w:pPr>
      <w:r w:rsidRPr="00FC418F">
        <w:rPr>
          <w:rFonts w:ascii="Times" w:eastAsia="Times New Roman" w:hAnsi="Times" w:cs="Arial"/>
          <w:szCs w:val="20"/>
        </w:rPr>
        <w:t>działa na podstawie statutu lub umowy, spełniających wymagania określone w art. 4.</w:t>
      </w:r>
    </w:p>
    <w:p w:rsidR="00FC418F" w:rsidRPr="00FC418F" w:rsidRDefault="00FC418F" w:rsidP="00FC418F">
      <w:pPr>
        <w:widowControl w:val="0"/>
        <w:autoSpaceDE w:val="0"/>
        <w:autoSpaceDN w:val="0"/>
        <w:adjustRightInd w:val="0"/>
        <w:spacing w:after="0" w:line="360" w:lineRule="auto"/>
        <w:jc w:val="both"/>
        <w:rPr>
          <w:rFonts w:ascii="Times" w:eastAsia="Times New Roman" w:hAnsi="Times" w:cs="Arial"/>
          <w:szCs w:val="20"/>
        </w:rPr>
      </w:pPr>
      <w:r w:rsidRPr="00FC418F">
        <w:rPr>
          <w:rFonts w:ascii="Times" w:eastAsia="Times New Roman" w:hAnsi="Times" w:cs="Arial"/>
          <w:szCs w:val="20"/>
        </w:rPr>
        <w:t>Z kolei, zgodnie z art. 3a pkt 1</w:t>
      </w:r>
      <w:r w:rsidR="002F7832">
        <w:rPr>
          <w:rFonts w:ascii="Times" w:eastAsia="Times New Roman" w:hAnsi="Times" w:cs="Arial"/>
          <w:szCs w:val="20"/>
        </w:rPr>
        <w:t>–</w:t>
      </w:r>
      <w:r w:rsidRPr="00FC418F">
        <w:rPr>
          <w:rFonts w:ascii="Times" w:eastAsia="Times New Roman" w:hAnsi="Times" w:cs="Arial"/>
          <w:szCs w:val="20"/>
        </w:rPr>
        <w:t>3 przedmiotowej ustawy, spółdzielnia może również prowadzić działalność jako grupa, jeżeli:</w:t>
      </w:r>
    </w:p>
    <w:p w:rsidR="00FC418F" w:rsidRPr="00FC418F" w:rsidRDefault="00FC418F" w:rsidP="00AA1137">
      <w:pPr>
        <w:widowControl w:val="0"/>
        <w:numPr>
          <w:ilvl w:val="0"/>
          <w:numId w:val="2"/>
        </w:numPr>
        <w:autoSpaceDE w:val="0"/>
        <w:autoSpaceDN w:val="0"/>
        <w:adjustRightInd w:val="0"/>
        <w:spacing w:after="0" w:line="360" w:lineRule="auto"/>
        <w:ind w:left="426" w:hanging="357"/>
        <w:jc w:val="both"/>
        <w:rPr>
          <w:rFonts w:ascii="Times" w:eastAsia="Times New Roman" w:hAnsi="Times" w:cs="Arial"/>
          <w:szCs w:val="20"/>
        </w:rPr>
      </w:pPr>
      <w:r w:rsidRPr="00FC418F">
        <w:rPr>
          <w:rFonts w:ascii="Times" w:eastAsia="Times New Roman" w:hAnsi="Times" w:cs="Arial"/>
          <w:szCs w:val="20"/>
        </w:rPr>
        <w:t>wszyscy wchodzący w jej skład producenci jednego produktu lub grupy produktów spełniają wymagania określone w art. 2;</w:t>
      </w:r>
    </w:p>
    <w:p w:rsidR="00FC418F" w:rsidRPr="00FC418F" w:rsidRDefault="00FC418F" w:rsidP="00AA1137">
      <w:pPr>
        <w:widowControl w:val="0"/>
        <w:numPr>
          <w:ilvl w:val="0"/>
          <w:numId w:val="2"/>
        </w:numPr>
        <w:autoSpaceDE w:val="0"/>
        <w:autoSpaceDN w:val="0"/>
        <w:adjustRightInd w:val="0"/>
        <w:spacing w:after="0" w:line="360" w:lineRule="auto"/>
        <w:ind w:left="426" w:hanging="357"/>
        <w:jc w:val="both"/>
        <w:rPr>
          <w:rFonts w:ascii="Times" w:eastAsia="Times New Roman" w:hAnsi="Times" w:cs="Arial"/>
          <w:szCs w:val="20"/>
        </w:rPr>
      </w:pPr>
      <w:r w:rsidRPr="00FC418F">
        <w:rPr>
          <w:rFonts w:ascii="Times" w:eastAsia="Times New Roman" w:hAnsi="Times" w:cs="Arial"/>
          <w:szCs w:val="20"/>
        </w:rPr>
        <w:t>jej przedmiot działalności jest zgodny z celami określonymi w art. 2;</w:t>
      </w:r>
    </w:p>
    <w:p w:rsidR="00FC418F" w:rsidRPr="00FC418F" w:rsidRDefault="00FC418F" w:rsidP="00AA1137">
      <w:pPr>
        <w:widowControl w:val="0"/>
        <w:numPr>
          <w:ilvl w:val="0"/>
          <w:numId w:val="2"/>
        </w:numPr>
        <w:autoSpaceDE w:val="0"/>
        <w:autoSpaceDN w:val="0"/>
        <w:adjustRightInd w:val="0"/>
        <w:spacing w:after="0" w:line="360" w:lineRule="auto"/>
        <w:ind w:left="426" w:hanging="357"/>
        <w:jc w:val="both"/>
        <w:rPr>
          <w:rFonts w:ascii="Times" w:eastAsia="Times New Roman" w:hAnsi="Times" w:cs="Arial"/>
          <w:szCs w:val="20"/>
        </w:rPr>
      </w:pPr>
      <w:r w:rsidRPr="00FC418F">
        <w:rPr>
          <w:rFonts w:ascii="Times" w:eastAsia="Times New Roman" w:hAnsi="Times" w:cs="Arial"/>
          <w:szCs w:val="20"/>
        </w:rPr>
        <w:t>działa na podstawie aktu założycielskiego, który w stosunku do członków grupy wskazanych w pkt 1 spełnia wymagania określone w art. 4.</w:t>
      </w:r>
    </w:p>
    <w:p w:rsidR="00FC418F" w:rsidRPr="00FC418F" w:rsidRDefault="00FC418F" w:rsidP="00AA1137">
      <w:pPr>
        <w:widowControl w:val="0"/>
        <w:autoSpaceDE w:val="0"/>
        <w:autoSpaceDN w:val="0"/>
        <w:adjustRightInd w:val="0"/>
        <w:spacing w:after="0" w:line="360" w:lineRule="auto"/>
        <w:jc w:val="both"/>
        <w:rPr>
          <w:rFonts w:ascii="Times" w:eastAsia="Times New Roman" w:hAnsi="Times" w:cs="Arial"/>
          <w:szCs w:val="20"/>
        </w:rPr>
      </w:pPr>
      <w:r w:rsidRPr="00FC418F">
        <w:rPr>
          <w:rFonts w:ascii="Times" w:eastAsia="Times New Roman" w:hAnsi="Times" w:cs="Arial"/>
          <w:szCs w:val="20"/>
        </w:rPr>
        <w:t>Należy zauważyć, iż w art. 4 przedmiotowej ustawy wśród elementów, jakie powinien zawierać akt założycielski, oprócz wymagań określonych w odrębnych przepisach, nie są wymienione cele wskazane w art. 2. Tym samym artykuł ten nie przewiduje konieczności umieszczania w aktach założycielskich literalnego brzmienia celów ujętych w art. 2 ww.</w:t>
      </w:r>
      <w:r w:rsidR="002F7832">
        <w:rPr>
          <w:rFonts w:ascii="Times" w:eastAsia="Times New Roman" w:hAnsi="Times" w:cs="Arial"/>
          <w:szCs w:val="20"/>
        </w:rPr>
        <w:t xml:space="preserve"> </w:t>
      </w:r>
      <w:r w:rsidRPr="00FC418F">
        <w:rPr>
          <w:rFonts w:ascii="Times" w:eastAsia="Times New Roman" w:hAnsi="Times" w:cs="Arial"/>
          <w:szCs w:val="20"/>
        </w:rPr>
        <w:t>ustawy. Niemniej jednak kwestia obowiązku zamieszczania w aktach założycielskich grup producentów rolnych celów wskazanych w art. 2 ustawy z dnia 15 września 2000 r. była przedmiotem rozważań sądów administracyjnych w związku z realizacją przez grupy producentów rolnych obowiązków nałożonych na te podmioty przepisami ustawy z dnia 11</w:t>
      </w:r>
      <w:r w:rsidR="002F7832">
        <w:rPr>
          <w:rFonts w:ascii="Times" w:eastAsia="Times New Roman" w:hAnsi="Times" w:cs="Arial"/>
          <w:szCs w:val="20"/>
        </w:rPr>
        <w:t xml:space="preserve"> </w:t>
      </w:r>
      <w:r w:rsidRPr="00FC418F">
        <w:rPr>
          <w:rFonts w:ascii="Times" w:eastAsia="Times New Roman" w:hAnsi="Times" w:cs="Arial"/>
          <w:szCs w:val="20"/>
        </w:rPr>
        <w:t>września 2015 r. W części orzeczeń sądy administracyjne zwracały uwagę na konieczność realizacji celów ujętych w art. 2 ustawy z dnia 15 września 2000 r. i obowiązek ich ujęcia w</w:t>
      </w:r>
      <w:r w:rsidR="002F7832">
        <w:rPr>
          <w:rFonts w:ascii="Times" w:eastAsia="Times New Roman" w:hAnsi="Times" w:cs="Arial"/>
          <w:szCs w:val="20"/>
        </w:rPr>
        <w:t xml:space="preserve"> </w:t>
      </w:r>
      <w:r w:rsidRPr="00FC418F">
        <w:rPr>
          <w:rFonts w:ascii="Times" w:eastAsia="Times New Roman" w:hAnsi="Times" w:cs="Arial"/>
          <w:szCs w:val="20"/>
        </w:rPr>
        <w:t>akcie założycielskim w terminie wynikającym z przepisów ustawy z dnia 11 września 2015</w:t>
      </w:r>
      <w:r w:rsidR="002F7832">
        <w:rPr>
          <w:rFonts w:ascii="Times" w:eastAsia="Times New Roman" w:hAnsi="Times" w:cs="Arial"/>
          <w:szCs w:val="20"/>
        </w:rPr>
        <w:t xml:space="preserve"> </w:t>
      </w:r>
      <w:r w:rsidRPr="00FC418F">
        <w:rPr>
          <w:rFonts w:ascii="Times" w:eastAsia="Times New Roman" w:hAnsi="Times" w:cs="Arial"/>
          <w:szCs w:val="20"/>
        </w:rPr>
        <w:t>r. (np. sygnatura V SA/</w:t>
      </w:r>
      <w:proofErr w:type="spellStart"/>
      <w:r w:rsidRPr="00FC418F">
        <w:rPr>
          <w:rFonts w:ascii="Times" w:eastAsia="Times New Roman" w:hAnsi="Times" w:cs="Arial"/>
          <w:szCs w:val="20"/>
        </w:rPr>
        <w:t>Wa</w:t>
      </w:r>
      <w:proofErr w:type="spellEnd"/>
      <w:r w:rsidRPr="00FC418F">
        <w:rPr>
          <w:rFonts w:ascii="Times" w:eastAsia="Times New Roman" w:hAnsi="Times" w:cs="Arial"/>
          <w:szCs w:val="20"/>
        </w:rPr>
        <w:t xml:space="preserve"> 1593/18, V SA/</w:t>
      </w:r>
      <w:proofErr w:type="spellStart"/>
      <w:r w:rsidRPr="00FC418F">
        <w:rPr>
          <w:rFonts w:ascii="Times" w:eastAsia="Times New Roman" w:hAnsi="Times" w:cs="Arial"/>
          <w:szCs w:val="20"/>
        </w:rPr>
        <w:t>Wa</w:t>
      </w:r>
      <w:proofErr w:type="spellEnd"/>
      <w:r w:rsidRPr="00FC418F">
        <w:rPr>
          <w:rFonts w:ascii="Times" w:eastAsia="Times New Roman" w:hAnsi="Times" w:cs="Arial"/>
          <w:szCs w:val="20"/>
        </w:rPr>
        <w:t xml:space="preserve"> 1918/18, V SA/</w:t>
      </w:r>
      <w:proofErr w:type="spellStart"/>
      <w:r w:rsidRPr="00FC418F">
        <w:rPr>
          <w:rFonts w:ascii="Times" w:eastAsia="Times New Roman" w:hAnsi="Times" w:cs="Arial"/>
          <w:szCs w:val="20"/>
        </w:rPr>
        <w:t>Wa</w:t>
      </w:r>
      <w:proofErr w:type="spellEnd"/>
      <w:r w:rsidRPr="00FC418F">
        <w:rPr>
          <w:rFonts w:ascii="Times" w:eastAsia="Times New Roman" w:hAnsi="Times" w:cs="Arial"/>
          <w:szCs w:val="20"/>
        </w:rPr>
        <w:t xml:space="preserve"> 1494/18). Z kolei w wyroku o sygnaturze V SA/</w:t>
      </w:r>
      <w:proofErr w:type="spellStart"/>
      <w:r w:rsidRPr="00FC418F">
        <w:rPr>
          <w:rFonts w:ascii="Times" w:eastAsia="Times New Roman" w:hAnsi="Times" w:cs="Arial"/>
          <w:szCs w:val="20"/>
        </w:rPr>
        <w:t>Wa</w:t>
      </w:r>
      <w:proofErr w:type="spellEnd"/>
      <w:r w:rsidRPr="00FC418F">
        <w:rPr>
          <w:rFonts w:ascii="Times" w:eastAsia="Times New Roman" w:hAnsi="Times" w:cs="Arial"/>
          <w:szCs w:val="20"/>
        </w:rPr>
        <w:t xml:space="preserve"> 1430/18 sąd wskazał, iż wymagania określone w art. 4 ustawy z dnia 15 września 2000 r., które winien spełniać akt założycielski grupy producentów rolnych, nie</w:t>
      </w:r>
      <w:r w:rsidR="002F7832">
        <w:rPr>
          <w:rFonts w:ascii="Times" w:eastAsia="Times New Roman" w:hAnsi="Times" w:cs="Arial"/>
          <w:szCs w:val="20"/>
        </w:rPr>
        <w:t xml:space="preserve"> </w:t>
      </w:r>
      <w:r w:rsidRPr="00FC418F">
        <w:rPr>
          <w:rFonts w:ascii="Times" w:eastAsia="Times New Roman" w:hAnsi="Times" w:cs="Arial"/>
          <w:szCs w:val="20"/>
        </w:rPr>
        <w:t xml:space="preserve">nakładał na grupy obowiązku </w:t>
      </w:r>
      <w:r w:rsidRPr="00FC418F">
        <w:rPr>
          <w:rFonts w:ascii="Times" w:eastAsia="Times New Roman" w:hAnsi="Times" w:cs="Arial"/>
          <w:szCs w:val="20"/>
        </w:rPr>
        <w:lastRenderedPageBreak/>
        <w:t>literalnego przywołania brzmienia przepisów określonych w</w:t>
      </w:r>
      <w:r w:rsidR="002F7832">
        <w:rPr>
          <w:rFonts w:ascii="Times" w:eastAsia="Times New Roman" w:hAnsi="Times" w:cs="Arial"/>
          <w:szCs w:val="20"/>
        </w:rPr>
        <w:t xml:space="preserve"> </w:t>
      </w:r>
      <w:r w:rsidRPr="00FC418F">
        <w:rPr>
          <w:rFonts w:ascii="Times" w:eastAsia="Times New Roman" w:hAnsi="Times" w:cs="Arial"/>
          <w:szCs w:val="20"/>
        </w:rPr>
        <w:t>art. 2 tej ustawy. Podobnie wypowiedział się sąd w uzasadnieniu wyroku o sygnaturze V</w:t>
      </w:r>
      <w:r w:rsidR="002F7832">
        <w:rPr>
          <w:rFonts w:ascii="Times" w:eastAsia="Times New Roman" w:hAnsi="Times" w:cs="Arial"/>
          <w:szCs w:val="20"/>
        </w:rPr>
        <w:t xml:space="preserve"> </w:t>
      </w:r>
      <w:r w:rsidRPr="00FC418F">
        <w:rPr>
          <w:rFonts w:ascii="Times" w:eastAsia="Times New Roman" w:hAnsi="Times" w:cs="Arial"/>
          <w:szCs w:val="20"/>
        </w:rPr>
        <w:t>SA/</w:t>
      </w:r>
      <w:proofErr w:type="spellStart"/>
      <w:r w:rsidRPr="00FC418F">
        <w:rPr>
          <w:rFonts w:ascii="Times" w:eastAsia="Times New Roman" w:hAnsi="Times" w:cs="Arial"/>
          <w:szCs w:val="20"/>
        </w:rPr>
        <w:t>Wa</w:t>
      </w:r>
      <w:proofErr w:type="spellEnd"/>
      <w:r w:rsidRPr="00FC418F">
        <w:rPr>
          <w:rFonts w:ascii="Times" w:eastAsia="Times New Roman" w:hAnsi="Times" w:cs="Arial"/>
          <w:szCs w:val="20"/>
        </w:rPr>
        <w:t xml:space="preserve"> 230/19, w którym wskazał, że wymagania dotyczące literalnego ujęcia celów określonych w art. 2 ustawy z dnia 15 września 2000 r. w akcie założycielskim grupy są zbyt formalistyczne i budzą wątpliwości w zakresie uwzględnienia słusznego interesu strony. Biorąc pod uwagę rozbieżne orzecznictwo w przywołanych wyrokach, wprowadzenie proponowanej zmiany pozwoli na uniknięcie wątpliwości interpretacyjnych dotyczących przedmiotowej kwestii.</w:t>
      </w:r>
    </w:p>
    <w:p w:rsidR="00FC418F" w:rsidRPr="00FC418F" w:rsidRDefault="00FC418F" w:rsidP="00AA1137">
      <w:pPr>
        <w:widowControl w:val="0"/>
        <w:autoSpaceDE w:val="0"/>
        <w:autoSpaceDN w:val="0"/>
        <w:adjustRightInd w:val="0"/>
        <w:spacing w:after="0" w:line="360" w:lineRule="auto"/>
        <w:jc w:val="both"/>
        <w:rPr>
          <w:rFonts w:ascii="Times" w:eastAsia="Times New Roman" w:hAnsi="Times" w:cs="Arial"/>
          <w:szCs w:val="20"/>
        </w:rPr>
      </w:pPr>
      <w:r w:rsidRPr="00FC418F">
        <w:rPr>
          <w:rFonts w:ascii="Times" w:eastAsia="Times New Roman" w:hAnsi="Times" w:cs="Arial"/>
          <w:szCs w:val="20"/>
        </w:rPr>
        <w:t>Jednocześnie należy zaznaczyć, że przedmiotowa zmiana będzie miała zastosowanie wyłącznie do podmiotów, które wystąpią z wnioskiem o uzyskanie statusu grupy producentów rolnych po wejściu w życie nowelizowanych przepisów. W związku z powyższym, projekt nie</w:t>
      </w:r>
      <w:r w:rsidR="002F7832">
        <w:rPr>
          <w:rFonts w:ascii="Times" w:eastAsia="Times New Roman" w:hAnsi="Times" w:cs="Arial"/>
          <w:szCs w:val="20"/>
        </w:rPr>
        <w:t xml:space="preserve"> </w:t>
      </w:r>
      <w:r w:rsidRPr="00FC418F">
        <w:rPr>
          <w:rFonts w:ascii="Times" w:eastAsia="Times New Roman" w:hAnsi="Times" w:cs="Arial"/>
          <w:szCs w:val="20"/>
        </w:rPr>
        <w:t>przewiduje przepisów przejściowych, z których wynikałaby konieczność dostosowania aktów założycielskich funkcjonujących grup producentów rolnych do przedmiotowej zmiany, w określonym czasie.</w:t>
      </w:r>
    </w:p>
    <w:p w:rsidR="00FC418F" w:rsidRPr="00FC418F" w:rsidRDefault="00FC418F" w:rsidP="00AA1137">
      <w:pPr>
        <w:widowControl w:val="0"/>
        <w:autoSpaceDE w:val="0"/>
        <w:autoSpaceDN w:val="0"/>
        <w:adjustRightInd w:val="0"/>
        <w:spacing w:after="0" w:line="360" w:lineRule="auto"/>
        <w:jc w:val="both"/>
        <w:rPr>
          <w:rFonts w:ascii="Times" w:eastAsia="Times New Roman" w:hAnsi="Times" w:cs="Arial"/>
          <w:szCs w:val="20"/>
        </w:rPr>
      </w:pPr>
      <w:r w:rsidRPr="00FC418F">
        <w:rPr>
          <w:rFonts w:ascii="Times" w:eastAsia="Times New Roman" w:hAnsi="Times" w:cs="Arial"/>
          <w:szCs w:val="20"/>
        </w:rPr>
        <w:t>Zmiana, o której mowa w art. 1 pkt 6 lit. a projektu, jest zmianą techniczną i polega na</w:t>
      </w:r>
      <w:r w:rsidR="002F7832">
        <w:rPr>
          <w:rFonts w:ascii="Times" w:eastAsia="Times New Roman" w:hAnsi="Times" w:cs="Arial"/>
          <w:szCs w:val="20"/>
        </w:rPr>
        <w:t xml:space="preserve"> </w:t>
      </w:r>
      <w:r w:rsidRPr="00FC418F">
        <w:rPr>
          <w:rFonts w:ascii="Times" w:eastAsia="Times New Roman" w:hAnsi="Times" w:cs="Arial"/>
          <w:szCs w:val="20"/>
        </w:rPr>
        <w:t>usunięciu pełnej nazwy Agencji Restrukturyzacji i Modernizacji Rolnictwa i</w:t>
      </w:r>
      <w:r w:rsidR="002F7832">
        <w:rPr>
          <w:rFonts w:ascii="Times" w:eastAsia="Times New Roman" w:hAnsi="Times" w:cs="Arial"/>
          <w:szCs w:val="20"/>
        </w:rPr>
        <w:t xml:space="preserve"> </w:t>
      </w:r>
      <w:r w:rsidRPr="00FC418F">
        <w:rPr>
          <w:rFonts w:ascii="Times" w:eastAsia="Times New Roman" w:hAnsi="Times" w:cs="Arial"/>
          <w:szCs w:val="20"/>
        </w:rPr>
        <w:t>wprowadzonego skrótu dla tej nazwy, w związku z tym, że rozwiązanie takie zostało zastosowane w art. 1 pkt 1 niniejszego projektu ustawy.</w:t>
      </w:r>
    </w:p>
    <w:p w:rsidR="00FC418F" w:rsidRPr="00FC418F" w:rsidRDefault="00FC418F" w:rsidP="00AA1137">
      <w:pPr>
        <w:widowControl w:val="0"/>
        <w:autoSpaceDE w:val="0"/>
        <w:autoSpaceDN w:val="0"/>
        <w:adjustRightInd w:val="0"/>
        <w:spacing w:after="0" w:line="360" w:lineRule="auto"/>
        <w:jc w:val="both"/>
        <w:rPr>
          <w:rFonts w:ascii="Times" w:eastAsia="Times New Roman" w:hAnsi="Times" w:cs="Arial"/>
          <w:szCs w:val="20"/>
        </w:rPr>
      </w:pPr>
      <w:r w:rsidRPr="00FC418F">
        <w:rPr>
          <w:rFonts w:ascii="Times" w:eastAsia="Times New Roman" w:hAnsi="Times" w:cs="Arial"/>
          <w:szCs w:val="20"/>
        </w:rPr>
        <w:t>Zmiana, o której mowa w art. 1 pkt 6 lit. b, ma na celu wprowadzenie 90-dniowego terminu na wydanie przez dyrektora oddziału regionalnego ARiMR decyzji o uznaniu grupy i</w:t>
      </w:r>
      <w:r w:rsidR="002F7832">
        <w:rPr>
          <w:rFonts w:ascii="Times" w:eastAsia="Times New Roman" w:hAnsi="Times" w:cs="Arial"/>
          <w:szCs w:val="20"/>
        </w:rPr>
        <w:t xml:space="preserve"> </w:t>
      </w:r>
      <w:r w:rsidRPr="00FC418F">
        <w:rPr>
          <w:rFonts w:ascii="Times" w:eastAsia="Times New Roman" w:hAnsi="Times" w:cs="Arial"/>
          <w:szCs w:val="20"/>
        </w:rPr>
        <w:t xml:space="preserve">zatwierdzeniu planu </w:t>
      </w:r>
      <w:r w:rsidRPr="00FC418F">
        <w:rPr>
          <w:rFonts w:eastAsia="Times New Roman" w:cs="Arial"/>
          <w:szCs w:val="20"/>
        </w:rPr>
        <w:t xml:space="preserve">biznesowego, licząc od dnia złożenia wniosku o jej wydanie. </w:t>
      </w:r>
      <w:r w:rsidRPr="00FC418F">
        <w:rPr>
          <w:rFonts w:ascii="Times" w:eastAsia="Times New Roman" w:hAnsi="Times" w:cs="Arial"/>
          <w:szCs w:val="20"/>
        </w:rPr>
        <w:t>Jak bowiem wskazuje ARiMR, będąca organem właściwym w zakresie uznawania i</w:t>
      </w:r>
      <w:r w:rsidR="002F7832">
        <w:rPr>
          <w:rFonts w:ascii="Times" w:eastAsia="Times New Roman" w:hAnsi="Times" w:cs="Arial"/>
          <w:szCs w:val="20"/>
        </w:rPr>
        <w:t xml:space="preserve"> </w:t>
      </w:r>
      <w:r w:rsidRPr="00FC418F">
        <w:rPr>
          <w:rFonts w:ascii="Times" w:eastAsia="Times New Roman" w:hAnsi="Times" w:cs="Arial"/>
          <w:szCs w:val="20"/>
        </w:rPr>
        <w:t>sprawowania nadzoru nad grupami producentów rolnych, wydanie decyzji o uznaniu grupy oraz zatwierdzeniu planu biznesowego i dokonanie wpisu grupy do rejestru grup, z uwagi na</w:t>
      </w:r>
      <w:r w:rsidR="002F7832">
        <w:rPr>
          <w:rFonts w:ascii="Times" w:eastAsia="Times New Roman" w:hAnsi="Times" w:cs="Arial"/>
          <w:szCs w:val="20"/>
        </w:rPr>
        <w:t xml:space="preserve"> </w:t>
      </w:r>
      <w:r w:rsidRPr="00FC418F">
        <w:rPr>
          <w:rFonts w:ascii="Times" w:eastAsia="Times New Roman" w:hAnsi="Times" w:cs="Arial"/>
          <w:szCs w:val="20"/>
        </w:rPr>
        <w:t>konieczność sprawdzenia wymogów kwalifikowalności, weryfikacji i zatwierdzenia planu biznesowego oraz przeprowadzenia kontroli na miejscu przed uznaniem wymaga dłuższego terminu, aniżeli terminy określone w art. 35 Kodeksu postępowania administracyjnego (tj.</w:t>
      </w:r>
      <w:r w:rsidR="002F7832">
        <w:rPr>
          <w:rFonts w:ascii="Times" w:eastAsia="Times New Roman" w:hAnsi="Times" w:cs="Arial"/>
          <w:szCs w:val="20"/>
        </w:rPr>
        <w:t xml:space="preserve"> </w:t>
      </w:r>
      <w:r w:rsidRPr="00FC418F">
        <w:rPr>
          <w:rFonts w:ascii="Times" w:eastAsia="Times New Roman" w:hAnsi="Times" w:cs="Arial"/>
          <w:szCs w:val="20"/>
        </w:rPr>
        <w:t>nie</w:t>
      </w:r>
      <w:r w:rsidR="002F7832">
        <w:rPr>
          <w:rFonts w:ascii="Times" w:eastAsia="Times New Roman" w:hAnsi="Times" w:cs="Arial"/>
          <w:szCs w:val="20"/>
        </w:rPr>
        <w:t xml:space="preserve"> </w:t>
      </w:r>
      <w:r w:rsidRPr="00FC418F">
        <w:rPr>
          <w:rFonts w:ascii="Times" w:eastAsia="Times New Roman" w:hAnsi="Times" w:cs="Arial"/>
          <w:szCs w:val="20"/>
        </w:rPr>
        <w:t>później niż w ciągu miesiąca, a w sprawach szczególnie skomplikowanych – nie później niż w ciągu dwóch miesięcy od dnia wszczęcia postępowania). Stąd też proponuje się wprowadzenie 90-dniowego terminu na wydanie decyzji administracyjnej w ww. sprawie.</w:t>
      </w:r>
    </w:p>
    <w:p w:rsidR="00FC418F" w:rsidRPr="00FC418F" w:rsidRDefault="00FC418F" w:rsidP="00AA1137">
      <w:pPr>
        <w:suppressAutoHyphens/>
        <w:autoSpaceDE w:val="0"/>
        <w:autoSpaceDN w:val="0"/>
        <w:adjustRightInd w:val="0"/>
        <w:spacing w:after="0" w:line="360" w:lineRule="auto"/>
        <w:jc w:val="both"/>
        <w:rPr>
          <w:rFonts w:ascii="Times" w:eastAsia="Times New Roman" w:hAnsi="Times" w:cs="Arial"/>
          <w:szCs w:val="20"/>
        </w:rPr>
      </w:pPr>
      <w:r w:rsidRPr="00FC418F">
        <w:rPr>
          <w:rFonts w:ascii="Times" w:eastAsia="Times New Roman" w:hAnsi="Times" w:cs="Arial"/>
          <w:szCs w:val="20"/>
        </w:rPr>
        <w:t xml:space="preserve">Propozycje, o których mowa w art. 1 pkt 7 lit. a i b projektu, wprowadzają obowiązek przedkładania, wraz z wnioskiem o uznanie grupy, planu biznesowego również w postaci </w:t>
      </w:r>
      <w:r w:rsidRPr="00FC418F">
        <w:rPr>
          <w:rFonts w:ascii="Times" w:eastAsia="Times New Roman" w:hAnsi="Times" w:cs="Arial"/>
          <w:szCs w:val="20"/>
        </w:rPr>
        <w:lastRenderedPageBreak/>
        <w:t>elektronicznej (w celu ujednolicenia projektowanych przepisów analogiczna zmiana została zaproponowana również w art. 1 pkt 7 lit. f pkt 2 projektu odnoszącym się do decyzji o</w:t>
      </w:r>
      <w:r w:rsidR="002F7832">
        <w:rPr>
          <w:rFonts w:ascii="Times" w:eastAsia="Times New Roman" w:hAnsi="Times" w:cs="Arial"/>
          <w:szCs w:val="20"/>
        </w:rPr>
        <w:t xml:space="preserve"> </w:t>
      </w:r>
      <w:r w:rsidRPr="00FC418F">
        <w:rPr>
          <w:rFonts w:ascii="Times" w:eastAsia="Times New Roman" w:hAnsi="Times" w:cs="Arial"/>
          <w:szCs w:val="20"/>
        </w:rPr>
        <w:t>zatwierdzeniu zmiany do planu biznesowego grupy), oświadczeń członków grupy o</w:t>
      </w:r>
      <w:r w:rsidR="002F7832">
        <w:rPr>
          <w:rFonts w:ascii="Times" w:eastAsia="Times New Roman" w:hAnsi="Times" w:cs="Arial"/>
          <w:szCs w:val="20"/>
        </w:rPr>
        <w:t xml:space="preserve"> </w:t>
      </w:r>
      <w:r w:rsidRPr="00FC418F">
        <w:rPr>
          <w:rFonts w:ascii="Times" w:eastAsia="Times New Roman" w:hAnsi="Times" w:cs="Arial"/>
          <w:szCs w:val="20"/>
        </w:rPr>
        <w:t>spełnianiu przez nich warunków, o których mowa w art. 2 ust. 1 oraz art. 3 ust. 1 pkt 1, 6, 7 i</w:t>
      </w:r>
      <w:r w:rsidR="002F7832">
        <w:rPr>
          <w:rFonts w:ascii="Times" w:eastAsia="Times New Roman" w:hAnsi="Times" w:cs="Arial"/>
          <w:szCs w:val="20"/>
        </w:rPr>
        <w:t xml:space="preserve"> </w:t>
      </w:r>
      <w:r w:rsidRPr="00FC418F">
        <w:rPr>
          <w:rFonts w:ascii="Times" w:eastAsia="Times New Roman" w:hAnsi="Times" w:cs="Arial"/>
          <w:szCs w:val="20"/>
        </w:rPr>
        <w:t xml:space="preserve">8 (a w przypadku spółdzielni </w:t>
      </w:r>
      <w:r w:rsidR="002F7832">
        <w:rPr>
          <w:rFonts w:ascii="Times" w:eastAsia="Times New Roman" w:hAnsi="Times" w:cs="Arial"/>
          <w:szCs w:val="20"/>
        </w:rPr>
        <w:t>–</w:t>
      </w:r>
      <w:r w:rsidRPr="00FC418F">
        <w:rPr>
          <w:rFonts w:ascii="Times" w:eastAsia="Times New Roman" w:hAnsi="Times" w:cs="Arial"/>
          <w:szCs w:val="20"/>
        </w:rPr>
        <w:t xml:space="preserve"> art. 3a pkt 1, 6, 7 i 8) ustawy z dnia 15 września 2000 r. w jej proponowanym brzmieniu, oświadczenia osób upoważnionych do reprezentowania grupy zawierającego zobowiązanie do spełniania przez grupę warunku, o którym mowa w art. 3 ust.</w:t>
      </w:r>
      <w:r w:rsidR="002F7832">
        <w:rPr>
          <w:rFonts w:ascii="Times" w:eastAsia="Times New Roman" w:hAnsi="Times" w:cs="Arial"/>
          <w:szCs w:val="20"/>
        </w:rPr>
        <w:t xml:space="preserve"> </w:t>
      </w:r>
      <w:r w:rsidRPr="00FC418F">
        <w:rPr>
          <w:rFonts w:ascii="Times" w:eastAsia="Times New Roman" w:hAnsi="Times" w:cs="Arial"/>
          <w:szCs w:val="20"/>
        </w:rPr>
        <w:t xml:space="preserve">1 pkt 4 (a w przypadku spółdzielni </w:t>
      </w:r>
      <w:r w:rsidR="002F7832">
        <w:rPr>
          <w:rFonts w:ascii="Times" w:eastAsia="Times New Roman" w:hAnsi="Times" w:cs="Arial"/>
          <w:szCs w:val="20"/>
        </w:rPr>
        <w:t>–</w:t>
      </w:r>
      <w:r w:rsidRPr="00FC418F">
        <w:rPr>
          <w:rFonts w:ascii="Times" w:eastAsia="Times New Roman" w:hAnsi="Times" w:cs="Arial"/>
          <w:szCs w:val="20"/>
        </w:rPr>
        <w:t xml:space="preserve"> art. 3a pkt 4) tej ustawy. Przedkładanie wersji elektronicznej planu biznesowego ma służyć przyspieszeniu oceny złożonych dokumentów, prze</w:t>
      </w:r>
      <w:r w:rsidR="002F7832">
        <w:rPr>
          <w:rFonts w:ascii="Times" w:eastAsia="Times New Roman" w:hAnsi="Times" w:cs="Arial"/>
          <w:szCs w:val="20"/>
        </w:rPr>
        <w:t xml:space="preserve"> </w:t>
      </w:r>
      <w:r w:rsidRPr="00FC418F">
        <w:rPr>
          <w:rFonts w:ascii="Times" w:eastAsia="Times New Roman" w:hAnsi="Times" w:cs="Arial"/>
          <w:szCs w:val="20"/>
        </w:rPr>
        <w:t xml:space="preserve">pracowania na edytowalnych wersjach i łatwego wprowadzania ich do bazy danych, bez konieczności przepisywania. Z doświadczenia wynika, że plany biznesowe są przygotowywane w wersji elektronicznej, tak więc wymóg ich przedłożenia nie powinien być obciążeniem dla wnioskodawców. Należy też wskazać, że oświadczenia są w wielu przypadkach składane wraz z wnioskiem o uznanie, mimo braku w obowiązujących przepisach ustawy z dnia 15 września 2000 r. obowiązku składania tego typu dokumentów (wyjątek stanowi oświadczenie członka grupy o prowadzeniu gospodarstwa rolnego lub działu specjalnego produkcji rolnej). W związku z powyższym wprowadzenie przedmiotowego obowiązku nie powinno stanowić szczególnego obciążenia administracyjnego dla wnioskodawcy, natomiast składanie tego typu oświadczeń jest przydatnym rozwiązaniem, uświadamiającym często producentom istnienie warunków w postaci dostarczania wymaganej wielkości produkcji czy braku możliwości przynależności do różnych grup producentów w tym samym produkcie. Jednocześnie obowiązek składania przez producenta rolnego oświadczenia o </w:t>
      </w:r>
      <w:proofErr w:type="spellStart"/>
      <w:r w:rsidRPr="00FC418F">
        <w:rPr>
          <w:rFonts w:ascii="Times" w:eastAsia="Times New Roman" w:hAnsi="Times" w:cs="Arial"/>
          <w:szCs w:val="20"/>
        </w:rPr>
        <w:t>nieprzynależności</w:t>
      </w:r>
      <w:proofErr w:type="spellEnd"/>
      <w:r w:rsidRPr="00FC418F">
        <w:rPr>
          <w:rFonts w:ascii="Times" w:eastAsia="Times New Roman" w:hAnsi="Times" w:cs="Arial"/>
          <w:szCs w:val="20"/>
        </w:rPr>
        <w:t xml:space="preserve"> do innej organizacji producentów uznanej ze względu na ten sam produkt lub grupę produktów funkcjonuje już w krajowym systemie prawnym </w:t>
      </w:r>
      <w:r w:rsidR="002F7832">
        <w:rPr>
          <w:rFonts w:ascii="Times" w:eastAsia="Times New Roman" w:hAnsi="Times" w:cs="Arial"/>
          <w:szCs w:val="20"/>
        </w:rPr>
        <w:t>–</w:t>
      </w:r>
      <w:r w:rsidRPr="00FC418F">
        <w:rPr>
          <w:rFonts w:ascii="Times" w:eastAsia="Times New Roman" w:hAnsi="Times" w:cs="Arial"/>
          <w:szCs w:val="20"/>
        </w:rPr>
        <w:t xml:space="preserve"> regulacje w tym zakresie określone zostały w rozporządzeniu Ministra Rolnictwa i Rozwoju Wsi z dnia 19</w:t>
      </w:r>
      <w:r w:rsidR="002F7832">
        <w:rPr>
          <w:rFonts w:ascii="Times" w:eastAsia="Times New Roman" w:hAnsi="Times" w:cs="Arial"/>
          <w:szCs w:val="20"/>
        </w:rPr>
        <w:t xml:space="preserve"> </w:t>
      </w:r>
      <w:r w:rsidRPr="00FC418F">
        <w:rPr>
          <w:rFonts w:ascii="Times" w:eastAsia="Times New Roman" w:hAnsi="Times" w:cs="Arial"/>
          <w:szCs w:val="20"/>
        </w:rPr>
        <w:t>września 2013 r. w sprawie warunków wstępnego uznawania grup producentów owoców i</w:t>
      </w:r>
      <w:r w:rsidR="002F7832">
        <w:rPr>
          <w:rFonts w:ascii="Times" w:eastAsia="Times New Roman" w:hAnsi="Times" w:cs="Arial"/>
          <w:szCs w:val="20"/>
        </w:rPr>
        <w:t xml:space="preserve"> </w:t>
      </w:r>
      <w:r w:rsidRPr="00FC418F">
        <w:rPr>
          <w:rFonts w:ascii="Times" w:eastAsia="Times New Roman" w:hAnsi="Times" w:cs="Arial"/>
          <w:szCs w:val="20"/>
        </w:rPr>
        <w:t xml:space="preserve">warzyw, uznawania organizacji producentów owoców i warzyw i ich zrzeszeń oraz warunków i wymagań, jakie powinny spełniać plany dochodzenia do uznania (Dz. U. z 2017 r. poz. 1823), zwanego dalej „rozporządzeniem z dnia 19 września 2013 r.”, a także rozporządzeniu Ministra Rolnictwa i Rozwoju Wsi z dnia 7 stycznia 2016 r. w sprawie uznawania organizacji producentów i zrzeszeń organizacji producentów oraz </w:t>
      </w:r>
      <w:r w:rsidRPr="00FC418F">
        <w:rPr>
          <w:rFonts w:ascii="Times" w:eastAsia="Times New Roman" w:hAnsi="Times" w:cs="Arial"/>
          <w:szCs w:val="20"/>
        </w:rPr>
        <w:lastRenderedPageBreak/>
        <w:t xml:space="preserve">organizacji międzybranżowych funkcjonujących na rynkach rolnych innych niż rynki mleka i przetworów mlecznych oraz owoców i warzyw (Dz. U. poz. 87, z </w:t>
      </w:r>
      <w:proofErr w:type="spellStart"/>
      <w:r w:rsidRPr="00FC418F">
        <w:rPr>
          <w:rFonts w:ascii="Times" w:eastAsia="Times New Roman" w:hAnsi="Times" w:cs="Arial"/>
          <w:szCs w:val="20"/>
        </w:rPr>
        <w:t>późn</w:t>
      </w:r>
      <w:proofErr w:type="spellEnd"/>
      <w:r w:rsidRPr="00FC418F">
        <w:rPr>
          <w:rFonts w:ascii="Times" w:eastAsia="Times New Roman" w:hAnsi="Times" w:cs="Arial"/>
          <w:szCs w:val="20"/>
        </w:rPr>
        <w:t>. zm.).</w:t>
      </w:r>
    </w:p>
    <w:p w:rsidR="00FC418F" w:rsidRPr="00FC418F" w:rsidRDefault="00FC418F" w:rsidP="00AA1137">
      <w:pPr>
        <w:suppressAutoHyphens/>
        <w:autoSpaceDE w:val="0"/>
        <w:autoSpaceDN w:val="0"/>
        <w:adjustRightInd w:val="0"/>
        <w:spacing w:after="0" w:line="360" w:lineRule="auto"/>
        <w:jc w:val="both"/>
        <w:rPr>
          <w:rFonts w:ascii="Times" w:eastAsia="Times New Roman" w:hAnsi="Times" w:cs="Arial"/>
          <w:szCs w:val="20"/>
        </w:rPr>
      </w:pPr>
      <w:r w:rsidRPr="00FC418F">
        <w:rPr>
          <w:rFonts w:ascii="Times" w:eastAsia="Times New Roman" w:hAnsi="Times" w:cs="Arial"/>
          <w:szCs w:val="20"/>
        </w:rPr>
        <w:t>Ponadto, w art. 1 pkt 7 lit. c projektu, proponuje się, aby oświadczenia, o których mowa powyżej, zawierały klauzulę o odpowiedzialności karnej za złożenie fałszywego oświadczenia. Klauzula ta zastępuje pouczenie organu o odpowiedzialności karnej za składanie fałszywych zeznań i jest powszechnie stosowana w innych aktach normatywnych.</w:t>
      </w:r>
    </w:p>
    <w:p w:rsidR="00FC418F" w:rsidRPr="00FC418F" w:rsidRDefault="00FC418F" w:rsidP="00AA1137">
      <w:pPr>
        <w:suppressAutoHyphens/>
        <w:autoSpaceDE w:val="0"/>
        <w:autoSpaceDN w:val="0"/>
        <w:adjustRightInd w:val="0"/>
        <w:spacing w:after="0" w:line="360" w:lineRule="auto"/>
        <w:jc w:val="both"/>
        <w:rPr>
          <w:rFonts w:ascii="Times" w:eastAsia="Times New Roman" w:hAnsi="Times" w:cs="Arial"/>
          <w:szCs w:val="20"/>
        </w:rPr>
      </w:pPr>
      <w:r w:rsidRPr="00FC418F">
        <w:rPr>
          <w:rFonts w:ascii="Times" w:eastAsia="Times New Roman" w:hAnsi="Times" w:cs="Arial"/>
          <w:szCs w:val="20"/>
        </w:rPr>
        <w:t>Zmiana brzmienia art. 8 ust. 5 ustawy z dnia 15 września 2000 r., o której mowa w art. 1 pkt 7 lit. d projektu, ma na celu wydłużenie terminu, w którym mogą być składane przez grupy producentów rolnych wnioski o zatwierdzenie zmian w planie biznesowym dotyczące danego roku działalności grupy. Aktualnie grupy producentów rolnych, na podstawie art. 8 ust. 5 ww.</w:t>
      </w:r>
      <w:r w:rsidR="002F7832">
        <w:rPr>
          <w:rFonts w:ascii="Times" w:eastAsia="Times New Roman" w:hAnsi="Times" w:cs="Arial"/>
          <w:szCs w:val="20"/>
        </w:rPr>
        <w:t xml:space="preserve"> </w:t>
      </w:r>
      <w:r w:rsidRPr="00FC418F">
        <w:rPr>
          <w:rFonts w:ascii="Times" w:eastAsia="Times New Roman" w:hAnsi="Times" w:cs="Arial"/>
          <w:szCs w:val="20"/>
        </w:rPr>
        <w:t>ustawy, mają możliwość złożenia takiego wniosku najpóźniej na 3 miesiące przed zakończeniem danego roku działalności grupy, co w przypadku zaistnienia okoliczności po tym terminie, na które grupa producentów nie ma wpływu, a które wpływają np. na opóźnienie realizacji działań ujętych w planie biznesowym, stwarza trudności w dokonaniu skutecznej zmiany planu. Stąd też proponuje się wydłużenie terminu na złożenie przez grupę producentów rolnych wniosku o zatwierdzenie zmian w planie biznesowym przez wskazanie, że wniosek w tym zakresie może zostać złożony najpóźniej do 60 dni przed końcem danego roku działalności grupy, którego dotyczy zmiana. Jednocześnie, zgodnie z propozycją, o której mowa w art. 1 pkt 7 lit. e projektu, wprowadzono fakultatywne rozwiązanie, zgodnie z którym, w</w:t>
      </w:r>
      <w:r w:rsidR="002F7832">
        <w:rPr>
          <w:rFonts w:ascii="Times" w:eastAsia="Times New Roman" w:hAnsi="Times" w:cs="Arial"/>
          <w:szCs w:val="20"/>
        </w:rPr>
        <w:t xml:space="preserve"> </w:t>
      </w:r>
      <w:r w:rsidRPr="00FC418F">
        <w:rPr>
          <w:rFonts w:ascii="Times" w:eastAsia="Times New Roman" w:hAnsi="Times" w:cs="Arial"/>
          <w:szCs w:val="20"/>
        </w:rPr>
        <w:t>przypadku zmian w składzie członkowskim grupy producentów rolnych, wniosek o</w:t>
      </w:r>
      <w:r w:rsidR="002F7832">
        <w:rPr>
          <w:rFonts w:ascii="Times" w:eastAsia="Times New Roman" w:hAnsi="Times" w:cs="Arial"/>
          <w:szCs w:val="20"/>
        </w:rPr>
        <w:t xml:space="preserve"> </w:t>
      </w:r>
      <w:r w:rsidRPr="00FC418F">
        <w:rPr>
          <w:rFonts w:ascii="Times" w:eastAsia="Times New Roman" w:hAnsi="Times" w:cs="Arial"/>
          <w:szCs w:val="20"/>
        </w:rPr>
        <w:t xml:space="preserve">zatwierdzenie zmian w planie biznesowym mógłby być składany także później niż do 60 dni przed końcem danego roku działalności grupy, ale przed zakończeniem danego roku działalności grupy, którego dotyczy zmiana. Wskazać bowiem należy, że zmiany w strukturze organizacyjnej grupy producentów rolnych, polegające na przyjęciu do grupy producentów nowego członka bądź wystąpieniu członka z grupy, dokonywane są m.in. na podstawie przepisów ustawy z dnia 16 września 1982 r. </w:t>
      </w:r>
      <w:r w:rsidR="002F7832">
        <w:rPr>
          <w:rFonts w:ascii="Times" w:eastAsia="Times New Roman" w:hAnsi="Times" w:cs="Arial"/>
          <w:szCs w:val="20"/>
        </w:rPr>
        <w:t xml:space="preserve">– </w:t>
      </w:r>
      <w:r w:rsidRPr="00FC418F">
        <w:rPr>
          <w:rFonts w:ascii="Times" w:eastAsia="Times New Roman" w:hAnsi="Times" w:cs="Arial"/>
          <w:szCs w:val="20"/>
        </w:rPr>
        <w:t xml:space="preserve">Prawo spółdzielcze (Dz. U. z 2021 r. poz. 648) bądź ustawy z dnia 15 września 2000 r. Kodeks Spółek Handlowych (Dz. U. z 2020 r. poz. 1526, z </w:t>
      </w:r>
      <w:proofErr w:type="spellStart"/>
      <w:r w:rsidRPr="00FC418F">
        <w:rPr>
          <w:rFonts w:ascii="Times" w:eastAsia="Times New Roman" w:hAnsi="Times" w:cs="Arial"/>
          <w:szCs w:val="20"/>
        </w:rPr>
        <w:t>późn</w:t>
      </w:r>
      <w:proofErr w:type="spellEnd"/>
      <w:r w:rsidRPr="00FC418F">
        <w:rPr>
          <w:rFonts w:ascii="Times" w:eastAsia="Times New Roman" w:hAnsi="Times" w:cs="Arial"/>
          <w:szCs w:val="20"/>
        </w:rPr>
        <w:t>. zm.) i decyzji podjętych przez zarząd danego podmiotu. Tym samym zgodnie z</w:t>
      </w:r>
      <w:r w:rsidR="002F7832">
        <w:rPr>
          <w:rFonts w:ascii="Times" w:eastAsia="Times New Roman" w:hAnsi="Times" w:cs="Arial"/>
          <w:szCs w:val="20"/>
        </w:rPr>
        <w:t xml:space="preserve"> </w:t>
      </w:r>
      <w:r w:rsidRPr="00FC418F">
        <w:rPr>
          <w:rFonts w:ascii="Times" w:eastAsia="Times New Roman" w:hAnsi="Times" w:cs="Arial"/>
          <w:szCs w:val="20"/>
        </w:rPr>
        <w:t xml:space="preserve">przyjętymi uchwałami, na ich mocy i od dnia ich podjęcia, zmianie ulega skład członkowski danego podmiotu. W związku z powyższym, w sytuacji wystąpienia członka z grupy producentów rolnych na mocy uchwały podjętej </w:t>
      </w:r>
      <w:r w:rsidRPr="00FC418F">
        <w:rPr>
          <w:rFonts w:ascii="Times" w:eastAsia="Times New Roman" w:hAnsi="Times" w:cs="Arial"/>
          <w:szCs w:val="20"/>
        </w:rPr>
        <w:lastRenderedPageBreak/>
        <w:t>przez właściwy organ danego podmiotu, producent nie jest już członkiem grupy i nie musi spełniać warunków uznania wynikających z</w:t>
      </w:r>
      <w:r w:rsidR="002F7832">
        <w:rPr>
          <w:rFonts w:ascii="Times" w:eastAsia="Times New Roman" w:hAnsi="Times" w:cs="Arial"/>
          <w:szCs w:val="20"/>
        </w:rPr>
        <w:t xml:space="preserve"> </w:t>
      </w:r>
      <w:r w:rsidRPr="00FC418F">
        <w:rPr>
          <w:rFonts w:ascii="Times" w:eastAsia="Times New Roman" w:hAnsi="Times" w:cs="Arial"/>
          <w:szCs w:val="20"/>
        </w:rPr>
        <w:t>przepisów ustawy z dnia 15 września 2000 r. Analogiczna sytuacja ma miejsce w odniesieniu do przyjmowania nowych członków do grupy producentów rolnych, którzy członkami danego podmiotu stają się od momentu podjęcia stosownej uchwały o ich przyjęciu przez właściwy organ. Od tego momentu producent staje się członkiem grupy producentów i tym samym jest zobowiązany do spełniania obowiązków wynikających z tego członkostwa. Mając to na uwadze, zmiany w zakresie składu członkowskiego związane z danym rokiem działalności grupy powinny być zgłaszane w ciągu trwania całego roku działalności.</w:t>
      </w:r>
    </w:p>
    <w:p w:rsidR="00FC418F" w:rsidRPr="00FC418F" w:rsidRDefault="00FC418F" w:rsidP="00AA1137">
      <w:pPr>
        <w:suppressAutoHyphens/>
        <w:autoSpaceDE w:val="0"/>
        <w:autoSpaceDN w:val="0"/>
        <w:adjustRightInd w:val="0"/>
        <w:spacing w:after="0" w:line="360" w:lineRule="auto"/>
        <w:jc w:val="both"/>
        <w:rPr>
          <w:rFonts w:ascii="Times" w:eastAsia="Times New Roman" w:hAnsi="Times" w:cs="Arial"/>
          <w:szCs w:val="20"/>
        </w:rPr>
      </w:pPr>
      <w:r w:rsidRPr="00FC418F">
        <w:rPr>
          <w:rFonts w:ascii="Times" w:eastAsia="Times New Roman" w:hAnsi="Times" w:cs="Arial"/>
          <w:szCs w:val="20"/>
        </w:rPr>
        <w:t>Zmiana zaproponowana w art. 1 pkt 7 lit. f pkt 1 projektu ma na celu wprowadzenie ułatwienia dla grup producentów rolnych, aby na etapie przedkładania dokumentów dotyczących aktualizacji stanu realizacji planu biznesowego, osoby upoważnione do</w:t>
      </w:r>
      <w:r w:rsidR="002F7832">
        <w:rPr>
          <w:rFonts w:ascii="Times" w:eastAsia="Times New Roman" w:hAnsi="Times" w:cs="Arial"/>
          <w:szCs w:val="20"/>
        </w:rPr>
        <w:t xml:space="preserve"> </w:t>
      </w:r>
      <w:r w:rsidRPr="00FC418F">
        <w:rPr>
          <w:rFonts w:ascii="Times" w:eastAsia="Times New Roman" w:hAnsi="Times" w:cs="Arial"/>
          <w:szCs w:val="20"/>
        </w:rPr>
        <w:t>reprezentowania tych podmiotów mogły same potwierdzać za zgodność z oryginałem przedkładane dokumenty. Jednocześnie należy wskazać, że w przypadku jakichkolwiek wątpliwości co do przedkładanych dokumentów, organ nadzorujący grupy producentów rolnych może dokonać kontroli oryginałów dokumentów. Jednocześnie zmiana brzmienia art.</w:t>
      </w:r>
      <w:r w:rsidR="002F7832">
        <w:rPr>
          <w:rFonts w:ascii="Times" w:eastAsia="Times New Roman" w:hAnsi="Times" w:cs="Arial"/>
          <w:szCs w:val="20"/>
        </w:rPr>
        <w:t xml:space="preserve"> </w:t>
      </w:r>
      <w:r w:rsidRPr="00FC418F">
        <w:rPr>
          <w:rFonts w:ascii="Times" w:eastAsia="Times New Roman" w:hAnsi="Times" w:cs="Arial"/>
          <w:szCs w:val="20"/>
        </w:rPr>
        <w:t>8 ust. ustawy z dnia 15 września 2000 r. zaproponowana w art. 1 pkt 7 lit. f projektu, ma na celu rezygnację z obowiązku dołączania do wniosku o wydanie decyzji administracyjnej o</w:t>
      </w:r>
      <w:r w:rsidR="002F7832">
        <w:rPr>
          <w:rFonts w:ascii="Times" w:eastAsia="Times New Roman" w:hAnsi="Times" w:cs="Arial"/>
          <w:szCs w:val="20"/>
        </w:rPr>
        <w:t xml:space="preserve"> </w:t>
      </w:r>
      <w:r w:rsidRPr="00FC418F">
        <w:rPr>
          <w:rFonts w:ascii="Times" w:eastAsia="Times New Roman" w:hAnsi="Times" w:cs="Arial"/>
          <w:szCs w:val="20"/>
        </w:rPr>
        <w:t>zatwierdzeniu zmian do planu biznesowego informacji o numerze grupy producentów rolnych w Krajowym Rejestrze Sądowym. Numer ten wskazywany jest już bowiem przez grupę na przedmiotowym wniosku oraz na formularzu planu biznesowego zawierającym proponowane zmiany, w związku z czym nie ma konieczności powielania tego typu informacji.</w:t>
      </w:r>
    </w:p>
    <w:p w:rsidR="00FC418F" w:rsidRPr="00FC418F" w:rsidRDefault="00FC418F" w:rsidP="00AA1137">
      <w:pPr>
        <w:suppressAutoHyphens/>
        <w:autoSpaceDE w:val="0"/>
        <w:autoSpaceDN w:val="0"/>
        <w:adjustRightInd w:val="0"/>
        <w:spacing w:after="0" w:line="360" w:lineRule="auto"/>
        <w:jc w:val="both"/>
        <w:rPr>
          <w:rFonts w:ascii="Times" w:eastAsia="Times New Roman" w:hAnsi="Times" w:cs="Arial"/>
          <w:szCs w:val="20"/>
        </w:rPr>
      </w:pPr>
      <w:r w:rsidRPr="00FC418F">
        <w:rPr>
          <w:rFonts w:ascii="Times" w:eastAsia="Times New Roman" w:hAnsi="Times" w:cs="Arial"/>
          <w:szCs w:val="20"/>
        </w:rPr>
        <w:t>W art. 1 pkt 7 lit. g projektu proponuje się wprowadzenie do ustawy z dnia 15 września 2000 r. przepisów, zgodnie z którymi wniosek o zatwierdzenie zmian do planu biznesowego, a także o wydanie decyzji administracyjnej o uznaniu grupy i zatwierdzeniu planu biznesowego, składa się na formularzach opracowanych przez ARiMR i udostępnionych na jej stronie internetowej. Pozwoli to na ujednolicenie zawartości składanych dokumentów i ich dostępność.</w:t>
      </w:r>
    </w:p>
    <w:p w:rsidR="00FC418F" w:rsidRPr="00FC418F" w:rsidRDefault="00FC418F" w:rsidP="00AA1137">
      <w:pPr>
        <w:suppressAutoHyphens/>
        <w:autoSpaceDE w:val="0"/>
        <w:autoSpaceDN w:val="0"/>
        <w:adjustRightInd w:val="0"/>
        <w:spacing w:after="0" w:line="360" w:lineRule="auto"/>
        <w:jc w:val="both"/>
        <w:rPr>
          <w:rFonts w:ascii="Times" w:eastAsia="Times New Roman" w:hAnsi="Times" w:cs="Arial"/>
          <w:szCs w:val="20"/>
        </w:rPr>
      </w:pPr>
      <w:r w:rsidRPr="00FC418F">
        <w:rPr>
          <w:rFonts w:ascii="Times" w:eastAsia="Times New Roman" w:hAnsi="Times" w:cs="Arial"/>
          <w:szCs w:val="20"/>
        </w:rPr>
        <w:t>Zmiana, o której mowa w art. 1 pkt 8 projektu, ma na celu włączenie do zakresu danych zawartych w rejestrze grup producentów rolnych informacji o dacie wydania decyzji o</w:t>
      </w:r>
      <w:r w:rsidR="002F7832">
        <w:rPr>
          <w:rFonts w:ascii="Times" w:eastAsia="Times New Roman" w:hAnsi="Times" w:cs="Arial"/>
          <w:szCs w:val="20"/>
        </w:rPr>
        <w:t xml:space="preserve"> </w:t>
      </w:r>
      <w:r w:rsidRPr="00FC418F">
        <w:rPr>
          <w:rFonts w:ascii="Times" w:eastAsia="Times New Roman" w:hAnsi="Times" w:cs="Arial"/>
          <w:szCs w:val="20"/>
        </w:rPr>
        <w:t xml:space="preserve">cofnięciu grupie uznania, w przypadku, gdy taka decyzja została wydana. Uzupełnienie dotychczasowego katalogu elementów, jakie zawiera rejestr grup producentów rolnych, </w:t>
      </w:r>
      <w:r w:rsidRPr="00FC418F">
        <w:rPr>
          <w:rFonts w:ascii="Times" w:eastAsia="Times New Roman" w:hAnsi="Times" w:cs="Arial"/>
          <w:szCs w:val="20"/>
        </w:rPr>
        <w:lastRenderedPageBreak/>
        <w:t>o</w:t>
      </w:r>
      <w:r w:rsidR="002F7832">
        <w:rPr>
          <w:rFonts w:ascii="Times" w:eastAsia="Times New Roman" w:hAnsi="Times" w:cs="Arial"/>
          <w:szCs w:val="20"/>
        </w:rPr>
        <w:t xml:space="preserve"> </w:t>
      </w:r>
      <w:r w:rsidRPr="00FC418F">
        <w:rPr>
          <w:rFonts w:ascii="Times" w:eastAsia="Times New Roman" w:hAnsi="Times" w:cs="Arial"/>
          <w:szCs w:val="20"/>
        </w:rPr>
        <w:t>proponowany parametr, pozwoli na pełniejsze wykorzystanie danych w nim zgromadzonych.</w:t>
      </w:r>
    </w:p>
    <w:p w:rsidR="00FC418F" w:rsidRPr="00FC418F" w:rsidRDefault="00FC418F" w:rsidP="00AA1137">
      <w:pPr>
        <w:suppressAutoHyphens/>
        <w:autoSpaceDE w:val="0"/>
        <w:autoSpaceDN w:val="0"/>
        <w:adjustRightInd w:val="0"/>
        <w:spacing w:after="0" w:line="360" w:lineRule="auto"/>
        <w:jc w:val="both"/>
        <w:rPr>
          <w:rFonts w:ascii="Times" w:eastAsia="Times New Roman" w:hAnsi="Times" w:cs="Arial"/>
          <w:szCs w:val="20"/>
        </w:rPr>
      </w:pPr>
      <w:r w:rsidRPr="00FC418F">
        <w:rPr>
          <w:rFonts w:ascii="Times" w:eastAsia="Times New Roman" w:hAnsi="Times" w:cs="Arial"/>
          <w:szCs w:val="20"/>
        </w:rPr>
        <w:t>Zmiana brzmienia art. 11 ustawy z dnia 15 września 2000 r., o której mowa w art. 1 pkt 9 projektu ustawy, ma na celu wprowadzenie trybu, zgodnie z którym w przypadku stwierdzenia braku spełniania przez grupę producentów rolnych co najmniej jednego z kryteriów uznania, spośród tych warunków, które są możliwe do naprawienia, właściwy ze względu na siedzibę grupy producentów rolnych dyrektor oddziału regionalnego ARiMR, biorąc pod uwagę rodzaj naruszenia, wzywałby grupę do spełnienia tych warunków, określając jednocześnie termin na</w:t>
      </w:r>
      <w:r w:rsidR="002F7832">
        <w:rPr>
          <w:rFonts w:ascii="Times" w:eastAsia="Times New Roman" w:hAnsi="Times" w:cs="Arial"/>
          <w:szCs w:val="20"/>
        </w:rPr>
        <w:t xml:space="preserve"> </w:t>
      </w:r>
      <w:r w:rsidRPr="00FC418F">
        <w:rPr>
          <w:rFonts w:ascii="Times" w:eastAsia="Times New Roman" w:hAnsi="Times" w:cs="Arial"/>
          <w:szCs w:val="20"/>
        </w:rPr>
        <w:t>ich spełnienie nie dłuższy niż 12 miesięcy licząc od początku roku działalności grupy następującego po roku, w którym została ona wezwana do spełnienia tych warunków. Zgodnie z proponowaną zmianą, w ww. terminie grupa producentów rolnych informowałaby, na</w:t>
      </w:r>
      <w:r w:rsidR="002F7832">
        <w:rPr>
          <w:rFonts w:ascii="Times" w:eastAsia="Times New Roman" w:hAnsi="Times" w:cs="Arial"/>
          <w:szCs w:val="20"/>
        </w:rPr>
        <w:t xml:space="preserve"> </w:t>
      </w:r>
      <w:r w:rsidRPr="00FC418F">
        <w:rPr>
          <w:rFonts w:ascii="Times" w:eastAsia="Times New Roman" w:hAnsi="Times" w:cs="Arial"/>
          <w:szCs w:val="20"/>
        </w:rPr>
        <w:t>formularzu opracowanym przez ARiMR, właściwego dyrektora oddziału regionalnego ARiMR o spełnieniu brakujących warunków, przedkładając jednocześnie dokumenty potwierdzające ich spełnienie. Natomiast w przypadku niespełnienia przez grupę producentów rolnych brakujących warunków w terminie wskazanym w wezwaniu, dyrektor oddziału regionalnego ARiMR wydawałby decyzję o cofnięciu grupie uznania i skreślał ją z rejestru grup. Proponowane rozwiązanie ma na celu umożliwienie grupie producentów rolnych usunięcia nieprawidłowości w zakresie spełniania przez nią warunków uznania określonych w</w:t>
      </w:r>
      <w:r w:rsidR="002F7832">
        <w:rPr>
          <w:rFonts w:ascii="Times" w:eastAsia="Times New Roman" w:hAnsi="Times" w:cs="Arial"/>
          <w:szCs w:val="20"/>
        </w:rPr>
        <w:t xml:space="preserve"> </w:t>
      </w:r>
      <w:r w:rsidRPr="00FC418F">
        <w:rPr>
          <w:rFonts w:ascii="Times" w:eastAsia="Times New Roman" w:hAnsi="Times" w:cs="Arial"/>
          <w:szCs w:val="20"/>
        </w:rPr>
        <w:t>art. 3 ust. 1 pkt 1</w:t>
      </w:r>
      <w:r w:rsidR="002F7832">
        <w:rPr>
          <w:rFonts w:ascii="Times" w:eastAsia="Times New Roman" w:hAnsi="Times" w:cs="Arial"/>
          <w:szCs w:val="20"/>
        </w:rPr>
        <w:t>–</w:t>
      </w:r>
      <w:r w:rsidRPr="00FC418F">
        <w:rPr>
          <w:rFonts w:ascii="Times" w:eastAsia="Times New Roman" w:hAnsi="Times" w:cs="Arial"/>
          <w:szCs w:val="20"/>
        </w:rPr>
        <w:t>3, 5 lub 7 (a w przypadku spółdzielni – art. 3a pkt 1</w:t>
      </w:r>
      <w:r w:rsidR="002F7832">
        <w:rPr>
          <w:rFonts w:ascii="Times" w:eastAsia="Times New Roman" w:hAnsi="Times" w:cs="Arial"/>
          <w:szCs w:val="20"/>
        </w:rPr>
        <w:t>–</w:t>
      </w:r>
      <w:r w:rsidRPr="00FC418F">
        <w:rPr>
          <w:rFonts w:ascii="Times" w:eastAsia="Times New Roman" w:hAnsi="Times" w:cs="Arial"/>
          <w:szCs w:val="20"/>
        </w:rPr>
        <w:t>3, 5 lub 7) bez konieczności wszczynania przez właściwego dyrektora oddziału regionalnego ARiMR postępowania administracyjnego w sprawie cofnięcia uznania grupie producentów rolnych. Należy zwrócić uwagę, że podobne rozwiązania funkcjonują już w krajowym porządku prawnym – przepisy w</w:t>
      </w:r>
      <w:r w:rsidR="002F7832">
        <w:rPr>
          <w:rFonts w:ascii="Times" w:eastAsia="Times New Roman" w:hAnsi="Times" w:cs="Arial"/>
          <w:szCs w:val="20"/>
        </w:rPr>
        <w:t xml:space="preserve"> </w:t>
      </w:r>
      <w:r w:rsidRPr="00FC418F">
        <w:rPr>
          <w:rFonts w:ascii="Times" w:eastAsia="Times New Roman" w:hAnsi="Times" w:cs="Arial"/>
          <w:szCs w:val="20"/>
        </w:rPr>
        <w:t>tym zakresie zawarte są w ustawie o rynkach rolnych w części dotyczącej uznawania i</w:t>
      </w:r>
      <w:r w:rsidR="002F7832">
        <w:rPr>
          <w:rFonts w:ascii="Times" w:eastAsia="Times New Roman" w:hAnsi="Times" w:cs="Arial"/>
          <w:szCs w:val="20"/>
        </w:rPr>
        <w:t xml:space="preserve"> </w:t>
      </w:r>
      <w:r w:rsidRPr="00FC418F">
        <w:rPr>
          <w:rFonts w:ascii="Times" w:eastAsia="Times New Roman" w:hAnsi="Times" w:cs="Arial"/>
          <w:szCs w:val="20"/>
        </w:rPr>
        <w:t>sprawowania nadzoru nad organizacjami producentów i zrzeszeniami organizacji producentów oraz organizacjami międzybranżowymi funkcjonującymi na rynkach rolnych innych niż rynki mleka i przetworów mlecznych oraz owoców i warzyw, jak również w ustawie o rynku mleka. Jednocześnie tożsame rozwiązanie zostało zaproponowane w art. 1 pkt 10 projektu ustawy w odniesieniu do związku grup producentów rolnych.</w:t>
      </w:r>
    </w:p>
    <w:p w:rsidR="00FC418F" w:rsidRPr="00FC418F" w:rsidRDefault="00FC418F" w:rsidP="00AA1137">
      <w:pPr>
        <w:suppressAutoHyphens/>
        <w:autoSpaceDE w:val="0"/>
        <w:autoSpaceDN w:val="0"/>
        <w:adjustRightInd w:val="0"/>
        <w:spacing w:after="0" w:line="360" w:lineRule="auto"/>
        <w:jc w:val="both"/>
        <w:rPr>
          <w:rFonts w:ascii="Times" w:eastAsia="Times New Roman" w:hAnsi="Times" w:cs="Arial"/>
          <w:szCs w:val="20"/>
        </w:rPr>
      </w:pPr>
      <w:r w:rsidRPr="00FC418F">
        <w:rPr>
          <w:rFonts w:ascii="Times" w:eastAsia="Times New Roman" w:hAnsi="Times" w:cs="Arial"/>
          <w:szCs w:val="20"/>
        </w:rPr>
        <w:t xml:space="preserve">Celem zmiany, o której mowa w art. 1 pkt 11 projektu ustawy, jest wyłączenie związków grup producentów rolnych z obowiązku składania Prezesowi ARiMR rocznego sprawozdania finansowego. Zgodnie z obowiązującymi przepisami sprawozdanie takie </w:t>
      </w:r>
      <w:r w:rsidRPr="00FC418F">
        <w:rPr>
          <w:rFonts w:ascii="Times" w:eastAsia="Times New Roman" w:hAnsi="Times" w:cs="Arial"/>
          <w:szCs w:val="20"/>
        </w:rPr>
        <w:lastRenderedPageBreak/>
        <w:t>jest składane w</w:t>
      </w:r>
      <w:r w:rsidR="002F7832">
        <w:rPr>
          <w:rFonts w:ascii="Times" w:eastAsia="Times New Roman" w:hAnsi="Times" w:cs="Arial"/>
          <w:szCs w:val="20"/>
        </w:rPr>
        <w:t xml:space="preserve"> </w:t>
      </w:r>
      <w:r w:rsidRPr="00FC418F">
        <w:rPr>
          <w:rFonts w:ascii="Times" w:eastAsia="Times New Roman" w:hAnsi="Times" w:cs="Arial"/>
          <w:szCs w:val="20"/>
        </w:rPr>
        <w:t>terminie 3 miesięcy od dnia zakończenia każdego roku działalności związku, niemniej jednak Prezes ARiMR w ramach pełnionych kompetencji w zakresie sprawowania nadzoru nad związkami grup producentów rolnych nie ma możliwości weryfikacji prawidłowości złożonego sprawozdania finansowego, ani też informacji i danych w nim zawartych. W</w:t>
      </w:r>
      <w:r w:rsidR="002F7832">
        <w:rPr>
          <w:rFonts w:ascii="Times" w:eastAsia="Times New Roman" w:hAnsi="Times" w:cs="Arial"/>
          <w:szCs w:val="20"/>
        </w:rPr>
        <w:t xml:space="preserve"> </w:t>
      </w:r>
      <w:r w:rsidRPr="00FC418F">
        <w:rPr>
          <w:rFonts w:ascii="Times" w:eastAsia="Times New Roman" w:hAnsi="Times" w:cs="Arial"/>
          <w:szCs w:val="20"/>
        </w:rPr>
        <w:t>związku z powyższym, proponuje się rezygnację z obowiązku przedkładania ww.</w:t>
      </w:r>
      <w:r w:rsidR="002F7832">
        <w:rPr>
          <w:rFonts w:ascii="Times" w:eastAsia="Times New Roman" w:hAnsi="Times" w:cs="Arial"/>
          <w:szCs w:val="20"/>
        </w:rPr>
        <w:t xml:space="preserve"> </w:t>
      </w:r>
      <w:r w:rsidRPr="00FC418F">
        <w:rPr>
          <w:rFonts w:ascii="Times" w:eastAsia="Times New Roman" w:hAnsi="Times" w:cs="Arial"/>
          <w:szCs w:val="20"/>
        </w:rPr>
        <w:t>dokumentu. Jednocześnie w odniesieniu do składanego przez związek grup producentów rolnych sprawozdania z realizacji celów, o których mowa w art. 14 ustawy z dnia 15 września 2000 r., proponuje się doprecyzowanie przepisów w tym zakresie przez wskazanie, że ww. sprawozdanie dotyczy tych celów, które zostały wybrane przez związek grup producentów rolnych do realizacji, zgodnie z warunkiem, o którym mowa w art. 14 ww. ustawy.</w:t>
      </w:r>
    </w:p>
    <w:p w:rsidR="00FC418F" w:rsidRPr="00FC418F" w:rsidRDefault="00FC418F" w:rsidP="00AA1137">
      <w:pPr>
        <w:suppressAutoHyphens/>
        <w:autoSpaceDE w:val="0"/>
        <w:autoSpaceDN w:val="0"/>
        <w:adjustRightInd w:val="0"/>
        <w:spacing w:before="120" w:after="0" w:line="360" w:lineRule="auto"/>
        <w:jc w:val="both"/>
        <w:rPr>
          <w:rFonts w:ascii="Times" w:eastAsia="Times New Roman" w:hAnsi="Times" w:cs="Arial"/>
          <w:szCs w:val="20"/>
        </w:rPr>
      </w:pPr>
      <w:r w:rsidRPr="00FC418F">
        <w:rPr>
          <w:rFonts w:ascii="Times" w:eastAsia="Times New Roman" w:hAnsi="Times" w:cs="Arial"/>
          <w:szCs w:val="20"/>
        </w:rPr>
        <w:t xml:space="preserve">Projektowany art. 2 przewiduje wprowadzenie zmiany brzmienia ustawy o rynkach rolnych, na podstawie przeglądu jej funkcjonowania. </w:t>
      </w:r>
    </w:p>
    <w:p w:rsidR="00FC418F" w:rsidRPr="00FC418F" w:rsidRDefault="00FC418F" w:rsidP="00AA1137">
      <w:pPr>
        <w:suppressAutoHyphens/>
        <w:autoSpaceDE w:val="0"/>
        <w:autoSpaceDN w:val="0"/>
        <w:adjustRightInd w:val="0"/>
        <w:spacing w:after="0" w:line="360" w:lineRule="auto"/>
        <w:jc w:val="both"/>
        <w:rPr>
          <w:rFonts w:ascii="Times" w:eastAsia="Times New Roman" w:hAnsi="Times" w:cs="Arial"/>
          <w:szCs w:val="20"/>
        </w:rPr>
      </w:pPr>
      <w:r w:rsidRPr="00FC418F">
        <w:rPr>
          <w:rFonts w:ascii="Times" w:eastAsia="Times New Roman" w:hAnsi="Times" w:cs="Arial"/>
          <w:szCs w:val="20"/>
        </w:rPr>
        <w:t>Podobnie jak w przypadku zmiany zaproponowanej w art. 1 pkt 1 projektu, także w art. 2 projektu, dotyczącym ustawy o rynkach rolnych proponuje się wprowadzenie zmiany porządkowej, mającej na celu wskazanie, że do postępowań w sprawach indywidualnych rozstrzyganych w drodze decyzji stosuje się przepisy ustawy z dnia 14 czerwca 1960 r. – Kodeks postępowania administracyjnego, o ile przepisy ustawy nie stanowią inaczej. Jednocześnie, mając na uwadze powszechność stosowania rozwiązań cyfrowych w zakresie komunikacji elektronicznej, w art. 2 pkt 1 projektu ustawy proponuje się, aby w przypadku gdy przepisy ustawy przewidują złożenie wniosku, deklaracji lub informacji do prezesa ARiMR lub do dyrektora oddziału regionalnego ARiMR, aby wniosek deklar</w:t>
      </w:r>
      <w:hyperlink r:id="rId10" w:history="1">
        <w:hyperlink r:id="rId11" w:history="1"/>
      </w:hyperlink>
      <w:hyperlink r:id="rId12" w:history="1"/>
      <w:r w:rsidRPr="00FC418F">
        <w:rPr>
          <w:rFonts w:ascii="Times" w:eastAsia="Times New Roman" w:hAnsi="Times" w:cs="Arial"/>
          <w:szCs w:val="20"/>
        </w:rPr>
        <w:t xml:space="preserve">acja lub informacja, składane były na piśmie utrwalonym w postaci papierowej lub elektronicznej przesyłanym na elektroniczną skrzynkę podawczą w rozumieniu art. 3 pkt 17 ustawy z dnia 17 lutego 2005 r. o informatyzacji działalności podmiotów realizujących zadania publiczne </w:t>
      </w:r>
      <w:hyperlink r:id="rId13" w:history="1">
        <w:hyperlink r:id="rId14" w:history="1">
          <w:hyperlink r:id="rId15" w:history="1">
            <w:r w:rsidRPr="00FC418F">
              <w:rPr>
                <w:rFonts w:ascii="Times" w:eastAsia="Times New Roman" w:hAnsi="Times" w:cs="Arial"/>
                <w:szCs w:val="20"/>
              </w:rPr>
              <w:t>(Dz. U. z 2021 r. poz. 670, z późn. zm)</w:t>
            </w:r>
          </w:hyperlink>
        </w:hyperlink>
      </w:hyperlink>
      <w:r w:rsidRPr="00FC418F">
        <w:rPr>
          <w:rFonts w:ascii="Times" w:eastAsia="Times New Roman" w:hAnsi="Times" w:cs="Arial"/>
          <w:szCs w:val="20"/>
        </w:rPr>
        <w:t xml:space="preserve">. Ponadto, w art. 2 pkt 1 projektu ustawy proponuje się także dookreślenie, zgodnie z którym, </w:t>
      </w:r>
      <w:hyperlink r:id="rId16" w:history="1"/>
      <w:r w:rsidRPr="00FC418F">
        <w:rPr>
          <w:rFonts w:ascii="Times" w:eastAsia="Times New Roman" w:hAnsi="Times" w:cs="Arial"/>
          <w:szCs w:val="20"/>
        </w:rPr>
        <w:t>jeżeli przepisy ustawy przewidują złożenie sprawozdania lub informacji do Prezesa ARiMR albo do dyrektora oddziału regionalnego ARiMR w sprawach, do których nie stosuje się przepisów Kodeksu postępowania administracyjnego, zwanego dalej „KPA”, to odpowiednio wniosek, deklaracja lub informacja ma spełniać wymagania dla pisma kierowanego do organów administracji publicznej określone w przepisach KPA.</w:t>
      </w:r>
    </w:p>
    <w:p w:rsidR="00FC418F" w:rsidRPr="00FC418F" w:rsidRDefault="00FC418F" w:rsidP="00AA1137">
      <w:pPr>
        <w:suppressAutoHyphens/>
        <w:autoSpaceDE w:val="0"/>
        <w:autoSpaceDN w:val="0"/>
        <w:adjustRightInd w:val="0"/>
        <w:spacing w:after="0" w:line="360" w:lineRule="auto"/>
        <w:jc w:val="both"/>
        <w:rPr>
          <w:rFonts w:ascii="Times" w:eastAsia="Times New Roman" w:hAnsi="Times" w:cs="Arial"/>
          <w:szCs w:val="20"/>
        </w:rPr>
      </w:pPr>
      <w:r w:rsidRPr="00FC418F">
        <w:rPr>
          <w:rFonts w:ascii="Times" w:eastAsia="Times New Roman" w:hAnsi="Times" w:cs="Arial"/>
          <w:szCs w:val="20"/>
        </w:rPr>
        <w:lastRenderedPageBreak/>
        <w:t>Nowe brzmienie ust. 1 w art. 38i ustawy o rynkach rolnych ma na celu wskazanie, że do zadań dyrektora oddziału regionalnego ARiMR należy zatwierdzanie planu biznesowego organizacji producentów oraz zatwierdzanie zmian do tego planu. Poza tym zmiana ma charakter porządkowy, w którym określa się poszczególne zadania dyrektora oddziału regionalnego ARiMR w sprawach uznawania odpowiednio organizacji producentów, o których mowa w art. 154 rozporządzenia nr</w:t>
      </w:r>
      <w:r w:rsidR="002F7832">
        <w:rPr>
          <w:rFonts w:ascii="Times" w:eastAsia="Times New Roman" w:hAnsi="Times" w:cs="Arial"/>
          <w:szCs w:val="20"/>
        </w:rPr>
        <w:t xml:space="preserve"> </w:t>
      </w:r>
      <w:r w:rsidRPr="00FC418F">
        <w:rPr>
          <w:rFonts w:ascii="Times" w:eastAsia="Times New Roman" w:hAnsi="Times" w:cs="Arial"/>
          <w:szCs w:val="20"/>
        </w:rPr>
        <w:t>1308/2013, i zatwierdzania ich planu biznesowego oraz zmiany tego planu, a także uznawania zrzeszeń organizacji producentów oraz organizacji międzybranżowych, o których mowa w art. 156 ust. 1 oraz art. 158 rozporządzenia nr</w:t>
      </w:r>
      <w:r w:rsidR="002F7832">
        <w:rPr>
          <w:rFonts w:ascii="Times" w:eastAsia="Times New Roman" w:hAnsi="Times" w:cs="Arial"/>
          <w:szCs w:val="20"/>
        </w:rPr>
        <w:t xml:space="preserve"> </w:t>
      </w:r>
      <w:r w:rsidRPr="00FC418F">
        <w:rPr>
          <w:rFonts w:ascii="Times" w:eastAsia="Times New Roman" w:hAnsi="Times" w:cs="Arial"/>
          <w:szCs w:val="20"/>
        </w:rPr>
        <w:t>1308/2013, w tym międzynarodowych organizacji producentów, międzynarodowych zrzeszeń organizacji producentów oraz międzynarodowych organizacji międzybranżowych.</w:t>
      </w:r>
    </w:p>
    <w:p w:rsidR="00FC418F" w:rsidRPr="00FC418F" w:rsidRDefault="00FC418F" w:rsidP="00AA1137">
      <w:pPr>
        <w:suppressAutoHyphens/>
        <w:autoSpaceDE w:val="0"/>
        <w:autoSpaceDN w:val="0"/>
        <w:adjustRightInd w:val="0"/>
        <w:spacing w:after="0" w:line="360" w:lineRule="auto"/>
        <w:jc w:val="both"/>
        <w:rPr>
          <w:rFonts w:ascii="Times" w:eastAsia="Times New Roman" w:hAnsi="Times" w:cs="Arial"/>
          <w:szCs w:val="20"/>
        </w:rPr>
      </w:pPr>
      <w:r w:rsidRPr="00FC418F">
        <w:rPr>
          <w:rFonts w:ascii="Times" w:eastAsia="Times New Roman" w:hAnsi="Times" w:cs="Arial"/>
          <w:szCs w:val="20"/>
        </w:rPr>
        <w:t>Wprowadzenie możliwości dokonywania przez uznaną organizację producentów zmian w opracowanym przez nią planie biznesowym jest konieczne, aby umożliwić elastyczność w</w:t>
      </w:r>
      <w:r w:rsidR="002F7832">
        <w:rPr>
          <w:rFonts w:ascii="Times" w:eastAsia="Times New Roman" w:hAnsi="Times" w:cs="Arial"/>
          <w:szCs w:val="20"/>
        </w:rPr>
        <w:t xml:space="preserve"> </w:t>
      </w:r>
      <w:r w:rsidRPr="00FC418F">
        <w:rPr>
          <w:rFonts w:ascii="Times" w:eastAsia="Times New Roman" w:hAnsi="Times" w:cs="Arial"/>
          <w:szCs w:val="20"/>
        </w:rPr>
        <w:t>funkcjonowaniu organizacji producentów i jest rozwiązaniem korzystnym dla uznanych organizacji producentów, bowiem umożliwi im na dostosowywanie jego zawartości (w</w:t>
      </w:r>
      <w:r w:rsidR="002F7832">
        <w:rPr>
          <w:rFonts w:ascii="Times" w:eastAsia="Times New Roman" w:hAnsi="Times" w:cs="Arial"/>
          <w:szCs w:val="20"/>
        </w:rPr>
        <w:t xml:space="preserve"> </w:t>
      </w:r>
      <w:r w:rsidRPr="00FC418F">
        <w:rPr>
          <w:rFonts w:ascii="Times" w:eastAsia="Times New Roman" w:hAnsi="Times" w:cs="Arial"/>
          <w:szCs w:val="20"/>
        </w:rPr>
        <w:t>szczególności w zakresie informacji dotyczących działań, jakie zamierza zrealizować organizacja producentów, aby osiągnąć cel albo cele do aktualnej sytuacji organizacji (wynikającej np. z obecnej sytuacji podażowo-popytowej na rynku i przewidywanych trendów rozwojowych, zmian w zakresie potencjału produkcyjnego jej członków, itp.). Należy zwrócić uwagę, że tożsame regulacje w zakresie możliwości dokonywania zmian w planie biznesowym zawarte zostały w przepisach dotyczących funkcjonowania grup producentów rolnych, określonych w ustawie z dnia 15 września 2000 r.</w:t>
      </w:r>
    </w:p>
    <w:p w:rsidR="00FC418F" w:rsidRPr="00FC418F" w:rsidRDefault="00FC418F" w:rsidP="00AA1137">
      <w:pPr>
        <w:suppressAutoHyphens/>
        <w:autoSpaceDE w:val="0"/>
        <w:autoSpaceDN w:val="0"/>
        <w:adjustRightInd w:val="0"/>
        <w:spacing w:after="0" w:line="360" w:lineRule="auto"/>
        <w:jc w:val="both"/>
        <w:rPr>
          <w:rFonts w:ascii="Times" w:eastAsia="Times New Roman" w:hAnsi="Times" w:cs="Arial"/>
          <w:szCs w:val="20"/>
        </w:rPr>
      </w:pPr>
      <w:r w:rsidRPr="00FC418F">
        <w:rPr>
          <w:rFonts w:ascii="Times" w:eastAsia="Times New Roman" w:hAnsi="Times" w:cs="Arial"/>
          <w:szCs w:val="20"/>
        </w:rPr>
        <w:t>Zgodnie z § 4 ust. 1 pkt 3 rozporządzenia Ministra Rolnictwa i Rozwoju Wsi z dnia 7</w:t>
      </w:r>
      <w:r w:rsidR="002F7832">
        <w:rPr>
          <w:rFonts w:ascii="Times" w:eastAsia="Times New Roman" w:hAnsi="Times" w:cs="Arial"/>
          <w:szCs w:val="20"/>
        </w:rPr>
        <w:t xml:space="preserve"> </w:t>
      </w:r>
      <w:r w:rsidRPr="00FC418F">
        <w:rPr>
          <w:rFonts w:ascii="Times" w:eastAsia="Times New Roman" w:hAnsi="Times" w:cs="Arial"/>
          <w:szCs w:val="20"/>
        </w:rPr>
        <w:t xml:space="preserve">stycznia 2016 r. w sprawie uznawania organizacji producentów i zrzeszeń organizacji producentów oraz organizacji międzybranżowych funkcjonujących na rynkach rolnych innych niż rynki mleka i przetworów mlecznych oraz owoców i warzyw, plan biznesowy jest jednym z załączników do wniosku o uznanie i jest elementem niezbędnym w celu uzyskania tego uznania. Zgodnie z przedstawioną propozycją, zmiana planu biznesowego będzie następowała w drodze decyzji, na wniosek organizacji producentów składany do dyrektora oddziału regionalnego Agencji (art. 38i ust. 4), właściwego ze względu na siedzibę tej organizacji, najpóźniej na 60 dni przed zakończeniem danego roku działalności organizacji producentów, którego dotyczy zmiana. Natomiast w przypadku </w:t>
      </w:r>
      <w:r w:rsidRPr="00FC418F">
        <w:rPr>
          <w:rFonts w:ascii="Times" w:eastAsia="Times New Roman" w:hAnsi="Times" w:cs="Arial"/>
          <w:szCs w:val="20"/>
        </w:rPr>
        <w:lastRenderedPageBreak/>
        <w:t>zmian w składzie członkowskim organizacji producentów, wniosek o zatwierdzenie zmian w planie biznesowym, podobnie jak w przypadku grup producentów rolnych, mógłby być składany w terminie późniejszym, ale przed zakończeniem danego roku działalności organizacji, którego dotyczy zmiana (art. 38i ust. 5).</w:t>
      </w:r>
    </w:p>
    <w:p w:rsidR="00FC418F" w:rsidRPr="00FC418F" w:rsidRDefault="00FC418F" w:rsidP="00AA1137">
      <w:pPr>
        <w:suppressAutoHyphens/>
        <w:autoSpaceDE w:val="0"/>
        <w:autoSpaceDN w:val="0"/>
        <w:adjustRightInd w:val="0"/>
        <w:spacing w:after="0" w:line="360" w:lineRule="auto"/>
        <w:jc w:val="both"/>
        <w:rPr>
          <w:rFonts w:ascii="Times" w:eastAsia="Times New Roman" w:hAnsi="Times" w:cs="Arial"/>
          <w:szCs w:val="20"/>
        </w:rPr>
      </w:pPr>
      <w:r w:rsidRPr="00FC418F">
        <w:rPr>
          <w:rFonts w:ascii="Times" w:eastAsia="Times New Roman" w:hAnsi="Times" w:cs="Arial"/>
          <w:szCs w:val="20"/>
        </w:rPr>
        <w:t>Ponadto, zgodnie z projektowanymi regulacjami, wniosek o uznanie lub zatwierdzenie zmian do planu biznesowego byłby składany na formularzach opracowanych przez ARiMR i</w:t>
      </w:r>
      <w:r w:rsidR="002F7832">
        <w:rPr>
          <w:rFonts w:ascii="Times" w:eastAsia="Times New Roman" w:hAnsi="Times" w:cs="Arial"/>
          <w:szCs w:val="20"/>
        </w:rPr>
        <w:t xml:space="preserve"> </w:t>
      </w:r>
      <w:r w:rsidRPr="00FC418F">
        <w:rPr>
          <w:rFonts w:ascii="Times" w:eastAsia="Times New Roman" w:hAnsi="Times" w:cs="Arial"/>
          <w:szCs w:val="20"/>
        </w:rPr>
        <w:t xml:space="preserve">udostępnionych na stronie internetowej ARiMR, co pozwoli na ujednolicenie zawartości składanych dokumentów i ich dostępność (art. 38i ust. 3). </w:t>
      </w:r>
    </w:p>
    <w:p w:rsidR="00FC418F" w:rsidRPr="00FC418F" w:rsidRDefault="00FC418F" w:rsidP="00AA1137">
      <w:pPr>
        <w:suppressAutoHyphens/>
        <w:autoSpaceDE w:val="0"/>
        <w:autoSpaceDN w:val="0"/>
        <w:adjustRightInd w:val="0"/>
        <w:spacing w:after="0" w:line="360" w:lineRule="auto"/>
        <w:jc w:val="both"/>
        <w:rPr>
          <w:rFonts w:ascii="Times" w:eastAsia="Times New Roman" w:hAnsi="Times" w:cs="Arial"/>
          <w:szCs w:val="20"/>
        </w:rPr>
      </w:pPr>
      <w:r w:rsidRPr="00FC418F">
        <w:rPr>
          <w:rFonts w:ascii="Times" w:eastAsia="Times New Roman" w:hAnsi="Times" w:cs="Arial"/>
          <w:szCs w:val="20"/>
        </w:rPr>
        <w:t>Nowy ust. 10 w art. 38i jest uzupełnieniem dotychczasowego upoważnienia zawartego w</w:t>
      </w:r>
      <w:r w:rsidR="002F7832">
        <w:rPr>
          <w:rFonts w:ascii="Times" w:eastAsia="Times New Roman" w:hAnsi="Times" w:cs="Arial"/>
          <w:szCs w:val="20"/>
        </w:rPr>
        <w:t xml:space="preserve"> </w:t>
      </w:r>
      <w:r w:rsidRPr="00FC418F">
        <w:rPr>
          <w:rFonts w:ascii="Times" w:eastAsia="Times New Roman" w:hAnsi="Times" w:cs="Arial"/>
          <w:szCs w:val="20"/>
        </w:rPr>
        <w:t>art. 38i ust. 3 tej ustawy o obowiązek określenia w drodze rozporządzenia przez ministra właściwego do spraw rynków rolnych maksymalnego odsetka głosów oraz udziałów lub akcji jakie mogą posiadać członkowie, udziałowcy lub akcjonariusze organizacji producentów w tej organizacji. Powyższe wynika z potrzeby szczegółowego określenia ram prawnych pozwalających członkom organizacji producentów na zachowanie demokratycznej kontroli nad jej działalnością. Jak wskazuje bowiem art. 152 ust. 1 lit. a oraz art. 153 ust. 2 lit. c rozporządzenia nr 1308/2013, jednym z warunków uznania organizacji producentów jest to, że</w:t>
      </w:r>
      <w:r w:rsidR="002F7832">
        <w:rPr>
          <w:rFonts w:ascii="Times" w:eastAsia="Times New Roman" w:hAnsi="Times" w:cs="Arial"/>
          <w:szCs w:val="20"/>
        </w:rPr>
        <w:t xml:space="preserve"> </w:t>
      </w:r>
      <w:r w:rsidRPr="00FC418F">
        <w:rPr>
          <w:rFonts w:ascii="Times" w:eastAsia="Times New Roman" w:hAnsi="Times" w:cs="Arial"/>
          <w:szCs w:val="20"/>
        </w:rPr>
        <w:t>jej członkowie mają zapewnioną możliwość demokratycznej kontroli tej organizacji producentów i podejmowanych przez nią decyzji. Przedstawiona propozycja określenia w</w:t>
      </w:r>
      <w:r w:rsidR="002F7832">
        <w:rPr>
          <w:rFonts w:ascii="Times" w:eastAsia="Times New Roman" w:hAnsi="Times" w:cs="Arial"/>
          <w:szCs w:val="20"/>
        </w:rPr>
        <w:t xml:space="preserve"> </w:t>
      </w:r>
      <w:r w:rsidRPr="00FC418F">
        <w:rPr>
          <w:rFonts w:ascii="Times" w:eastAsia="Times New Roman" w:hAnsi="Times" w:cs="Arial"/>
          <w:szCs w:val="20"/>
        </w:rPr>
        <w:t>drodze rozporządzenia maksymalnego odsetka głosów oraz udziałów lub akcji jakie mogą posiadać członkowie, udziałowcy lub akcjonariusze organizacji producentów w tej organizacji ma na celu wykluczenie możliwości zaburzenia demokratycznego rozkładu posiadanych głosów oraz udziałów lub akcji oraz uniknięcie sytuacji nadużywania władzy przez jednego lub</w:t>
      </w:r>
      <w:r w:rsidR="002F7832">
        <w:rPr>
          <w:rFonts w:ascii="Times" w:eastAsia="Times New Roman" w:hAnsi="Times" w:cs="Arial"/>
          <w:szCs w:val="20"/>
        </w:rPr>
        <w:t xml:space="preserve"> </w:t>
      </w:r>
      <w:r w:rsidRPr="00FC418F">
        <w:rPr>
          <w:rFonts w:ascii="Times" w:eastAsia="Times New Roman" w:hAnsi="Times" w:cs="Arial"/>
          <w:szCs w:val="20"/>
        </w:rPr>
        <w:t>kilku członków organizacji producentów w zakresie zarządzania jej działalnością i</w:t>
      </w:r>
      <w:r w:rsidR="002F7832">
        <w:rPr>
          <w:rFonts w:ascii="Times" w:eastAsia="Times New Roman" w:hAnsi="Times" w:cs="Arial"/>
          <w:szCs w:val="20"/>
        </w:rPr>
        <w:t xml:space="preserve"> </w:t>
      </w:r>
      <w:r w:rsidRPr="00FC418F">
        <w:rPr>
          <w:rFonts w:ascii="Times" w:eastAsia="Times New Roman" w:hAnsi="Times" w:cs="Arial"/>
          <w:szCs w:val="20"/>
        </w:rPr>
        <w:t>funkcjonowaniem, a także ograniczenie możliwości tworzenia sztucznych warunków do</w:t>
      </w:r>
      <w:r w:rsidR="002F7832">
        <w:rPr>
          <w:rFonts w:ascii="Times" w:eastAsia="Times New Roman" w:hAnsi="Times" w:cs="Arial"/>
          <w:szCs w:val="20"/>
        </w:rPr>
        <w:t xml:space="preserve"> </w:t>
      </w:r>
      <w:r w:rsidRPr="00FC418F">
        <w:rPr>
          <w:rFonts w:ascii="Times" w:eastAsia="Times New Roman" w:hAnsi="Times" w:cs="Arial"/>
          <w:szCs w:val="20"/>
        </w:rPr>
        <w:t>uzyskania statusu organizacji producentów.</w:t>
      </w:r>
    </w:p>
    <w:p w:rsidR="00FC418F" w:rsidRPr="00FC418F" w:rsidRDefault="00FC418F" w:rsidP="00AA1137">
      <w:pPr>
        <w:suppressAutoHyphens/>
        <w:autoSpaceDE w:val="0"/>
        <w:autoSpaceDN w:val="0"/>
        <w:adjustRightInd w:val="0"/>
        <w:spacing w:after="0" w:line="360" w:lineRule="auto"/>
        <w:jc w:val="both"/>
        <w:rPr>
          <w:rFonts w:ascii="Times" w:eastAsia="Times New Roman" w:hAnsi="Times" w:cs="Arial"/>
          <w:szCs w:val="20"/>
        </w:rPr>
      </w:pPr>
      <w:r w:rsidRPr="00FC418F">
        <w:rPr>
          <w:rFonts w:ascii="Times" w:eastAsia="Times New Roman" w:hAnsi="Times" w:cs="Arial"/>
          <w:szCs w:val="20"/>
        </w:rPr>
        <w:t>W art. 2 pkt 5 proponuje się ujednolicenie z ustawą z dnia 15 września 2000 r. i określenie, że termin określony przez dyrektora oddziału regionalnego ARiMR na usunięcie naruszeń warunków uznania przez organizację producentów nie jest dłuższy niż 12 miesięcy licząc od początku roku działalności danego podmiotu, następującego po roku, w którym została on wezwany do spełnienia tych warunków.</w:t>
      </w:r>
    </w:p>
    <w:p w:rsidR="00FC418F" w:rsidRPr="00FC418F" w:rsidRDefault="00FC418F" w:rsidP="00AA1137">
      <w:pPr>
        <w:suppressAutoHyphens/>
        <w:autoSpaceDE w:val="0"/>
        <w:autoSpaceDN w:val="0"/>
        <w:adjustRightInd w:val="0"/>
        <w:spacing w:after="0" w:line="360" w:lineRule="auto"/>
        <w:jc w:val="both"/>
        <w:rPr>
          <w:rFonts w:ascii="Times" w:eastAsia="Times New Roman" w:hAnsi="Times" w:cs="Arial"/>
          <w:szCs w:val="20"/>
        </w:rPr>
      </w:pPr>
      <w:r w:rsidRPr="00FC418F">
        <w:rPr>
          <w:rFonts w:ascii="Times" w:eastAsia="Times New Roman" w:hAnsi="Times" w:cs="Arial"/>
          <w:szCs w:val="20"/>
        </w:rPr>
        <w:lastRenderedPageBreak/>
        <w:t>Pozostałe zmiany w art. 2 przedmiotowego projektu dookreślają warunki na jakich możliwe jest uznanie poszczególnych podmiotów oraz ich skreślenie z właściwego rejestru oraz są zmianami technicznymi.</w:t>
      </w:r>
    </w:p>
    <w:p w:rsidR="00FC418F" w:rsidRPr="00FC418F" w:rsidRDefault="00FC418F" w:rsidP="00AA1137">
      <w:pPr>
        <w:suppressAutoHyphens/>
        <w:autoSpaceDE w:val="0"/>
        <w:autoSpaceDN w:val="0"/>
        <w:adjustRightInd w:val="0"/>
        <w:spacing w:before="120" w:after="0" w:line="360" w:lineRule="auto"/>
        <w:jc w:val="both"/>
        <w:rPr>
          <w:rFonts w:ascii="Times" w:eastAsia="Times New Roman" w:hAnsi="Times" w:cs="Arial"/>
          <w:szCs w:val="20"/>
        </w:rPr>
      </w:pPr>
      <w:r w:rsidRPr="00FC418F">
        <w:rPr>
          <w:rFonts w:ascii="Times" w:eastAsia="Times New Roman" w:hAnsi="Times" w:cs="Arial"/>
          <w:szCs w:val="20"/>
        </w:rPr>
        <w:t>W art. 3 projektu ustawy proponuje się wprowadzanie zmian do ustawy rynku mleka w</w:t>
      </w:r>
      <w:r w:rsidR="002F7832">
        <w:rPr>
          <w:rFonts w:ascii="Times" w:eastAsia="Times New Roman" w:hAnsi="Times" w:cs="Arial"/>
          <w:szCs w:val="20"/>
        </w:rPr>
        <w:t xml:space="preserve"> </w:t>
      </w:r>
      <w:r w:rsidRPr="00FC418F">
        <w:rPr>
          <w:rFonts w:ascii="Times" w:eastAsia="Times New Roman" w:hAnsi="Times" w:cs="Arial"/>
          <w:szCs w:val="20"/>
        </w:rPr>
        <w:t>zakresie przepisów dotyczących uznawania organizacji producentów na rynku mleka i</w:t>
      </w:r>
      <w:r w:rsidR="002F7832">
        <w:rPr>
          <w:rFonts w:ascii="Times" w:eastAsia="Times New Roman" w:hAnsi="Times" w:cs="Arial"/>
          <w:szCs w:val="20"/>
        </w:rPr>
        <w:t xml:space="preserve"> </w:t>
      </w:r>
      <w:r w:rsidRPr="00FC418F">
        <w:rPr>
          <w:rFonts w:ascii="Times" w:eastAsia="Times New Roman" w:hAnsi="Times" w:cs="Arial"/>
          <w:szCs w:val="20"/>
        </w:rPr>
        <w:t>przetworów mlecznych. Zmiany te są analogiczne do tych proponowanych w art. 2 projektowanej ustawy i polegają na:</w:t>
      </w:r>
    </w:p>
    <w:p w:rsidR="00FC418F" w:rsidRPr="00FC418F" w:rsidRDefault="00FC418F" w:rsidP="00AA1137">
      <w:pPr>
        <w:suppressAutoHyphens/>
        <w:autoSpaceDE w:val="0"/>
        <w:autoSpaceDN w:val="0"/>
        <w:adjustRightInd w:val="0"/>
        <w:spacing w:after="0" w:line="360" w:lineRule="auto"/>
        <w:jc w:val="both"/>
        <w:rPr>
          <w:rFonts w:ascii="Times" w:eastAsia="Times New Roman" w:hAnsi="Times" w:cs="Arial"/>
          <w:szCs w:val="20"/>
        </w:rPr>
      </w:pPr>
      <w:r w:rsidRPr="00FC418F">
        <w:rPr>
          <w:rFonts w:ascii="Times" w:eastAsia="Times New Roman" w:hAnsi="Times" w:cs="Arial"/>
          <w:szCs w:val="20"/>
        </w:rPr>
        <w:t>1) wprowadzeniu zmiany porządkowej, mającej na celu wskazanie, że do postępowań w</w:t>
      </w:r>
      <w:r w:rsidR="002F7832">
        <w:rPr>
          <w:rFonts w:ascii="Times" w:eastAsia="Times New Roman" w:hAnsi="Times" w:cs="Arial"/>
          <w:szCs w:val="20"/>
        </w:rPr>
        <w:t xml:space="preserve"> </w:t>
      </w:r>
      <w:r w:rsidRPr="00FC418F">
        <w:rPr>
          <w:rFonts w:ascii="Times" w:eastAsia="Times New Roman" w:hAnsi="Times" w:cs="Arial"/>
          <w:szCs w:val="20"/>
        </w:rPr>
        <w:t xml:space="preserve">sprawach indywidualnych rozstrzyganych w drodze decyzji stosuje się przepisy ustawy z dnia 14 czerwca 1960 r. – Kodeks postępowania administracyjnego (Dz. U. z 2021 r. poz. 735), o ile przepisy ustawy nie stanowią inaczej. Jednocześnie, mając na uwadze powszechność stosowania rozwiązań cyfrowych w zakresie komunikacji elektronicznej, w art. 3 pkt 1 projektu ustawy proponuje się, aby w przypadku gdy przepisy ustawy przewidują złożenie wniosku, powiadomienia lub informacji do prezesa ARiMR lub do dyrektora oddziału regionalnego ARiMR, aby wniosek, powiadomienie lub informacja </w:t>
      </w:r>
      <w:hyperlink r:id="rId17" w:history="1">
        <w:hyperlink r:id="rId18" w:history="1">
          <w:hyperlink r:id="rId19" w:history="1"/>
        </w:hyperlink>
      </w:hyperlink>
      <w:hyperlink r:id="rId20" w:history="1"/>
      <w:hyperlink r:id="rId21" w:history="1">
        <w:r w:rsidRPr="00FC418F">
          <w:rPr>
            <w:rFonts w:ascii="Times" w:eastAsia="Times New Roman" w:hAnsi="Times" w:cs="Arial"/>
            <w:szCs w:val="20"/>
          </w:rPr>
          <w:t>składane były na piśmie utrwalonym w</w:t>
        </w:r>
        <w:r w:rsidR="002F7832">
          <w:rPr>
            <w:rFonts w:ascii="Times" w:eastAsia="Times New Roman" w:hAnsi="Times" w:cs="Arial"/>
            <w:szCs w:val="20"/>
          </w:rPr>
          <w:t xml:space="preserve"> </w:t>
        </w:r>
        <w:r w:rsidRPr="00FC418F">
          <w:rPr>
            <w:rFonts w:ascii="Times" w:eastAsia="Times New Roman" w:hAnsi="Times" w:cs="Arial"/>
            <w:szCs w:val="20"/>
          </w:rPr>
          <w:t>postaci papierowej lub elektronicznej przesyłanym na elektroniczną skrzynkę podawczą w</w:t>
        </w:r>
        <w:r w:rsidR="002F7832">
          <w:rPr>
            <w:rFonts w:ascii="Times" w:eastAsia="Times New Roman" w:hAnsi="Times" w:cs="Arial"/>
            <w:szCs w:val="20"/>
          </w:rPr>
          <w:t xml:space="preserve"> </w:t>
        </w:r>
        <w:r w:rsidRPr="00FC418F">
          <w:rPr>
            <w:rFonts w:ascii="Times" w:eastAsia="Times New Roman" w:hAnsi="Times" w:cs="Arial"/>
            <w:szCs w:val="20"/>
          </w:rPr>
          <w:t xml:space="preserve">rozumieniu art. 3 pkt 17 ustawy z dnia 17 lutego 2005 r. o informatyzacji działalności podmiotów realizujących zadania publiczne </w:t>
        </w:r>
        <w:hyperlink r:id="rId22" w:history="1">
          <w:hyperlink r:id="rId23" w:history="1">
            <w:hyperlink r:id="rId24" w:history="1">
              <w:hyperlink r:id="rId25" w:history="1">
                <w:r w:rsidRPr="00FC418F">
                  <w:rPr>
                    <w:rFonts w:ascii="Times" w:eastAsia="Times New Roman" w:hAnsi="Times" w:cs="Arial"/>
                    <w:szCs w:val="20"/>
                  </w:rPr>
                  <w:t>(Dz. U. z 2021 r. poz. 670, z późn. zm.)</w:t>
                </w:r>
              </w:hyperlink>
            </w:hyperlink>
          </w:hyperlink>
        </w:hyperlink>
        <w:r w:rsidRPr="00FC418F">
          <w:rPr>
            <w:rFonts w:ascii="Times" w:eastAsia="Times New Roman" w:hAnsi="Times" w:cs="Arial"/>
            <w:szCs w:val="20"/>
          </w:rPr>
          <w:t xml:space="preserve">. Ponadto, w art. 3 pkt 1 projektu ustawy proponuje się także dookreślenie, zgodnie z którym, </w:t>
        </w:r>
        <w:hyperlink r:id="rId26" w:history="1"/>
      </w:hyperlink>
      <w:r w:rsidRPr="00FC418F">
        <w:rPr>
          <w:rFonts w:ascii="Times" w:eastAsia="Times New Roman" w:hAnsi="Times" w:cs="Arial"/>
          <w:szCs w:val="20"/>
        </w:rPr>
        <w:t>jeżeli przepisy ustawy przewidują złożenie wniosku, deklaracji lub informacji sprawozdania lub informacji do Prezesa ARiMR albo do dyrektora oddziału regionalnego ARiMR w</w:t>
      </w:r>
      <w:r w:rsidR="002F7832">
        <w:rPr>
          <w:rFonts w:ascii="Times" w:eastAsia="Times New Roman" w:hAnsi="Times" w:cs="Arial"/>
          <w:szCs w:val="20"/>
        </w:rPr>
        <w:t xml:space="preserve"> </w:t>
      </w:r>
      <w:r w:rsidRPr="00FC418F">
        <w:rPr>
          <w:rFonts w:ascii="Times" w:eastAsia="Times New Roman" w:hAnsi="Times" w:cs="Arial"/>
          <w:szCs w:val="20"/>
        </w:rPr>
        <w:t>sprawach, do których nie stosuje się przepisów Kodeksu postępowania administracyjnego, zwanego dalej „KPA”, to odpowiednio wniosek, deklaracja lub informacja ma spełniać wymagania dla pisma kierowanego do organów administracji publicznej określone w</w:t>
      </w:r>
      <w:r w:rsidR="002F7832">
        <w:rPr>
          <w:rFonts w:ascii="Times" w:eastAsia="Times New Roman" w:hAnsi="Times" w:cs="Arial"/>
          <w:szCs w:val="20"/>
        </w:rPr>
        <w:t xml:space="preserve"> </w:t>
      </w:r>
      <w:r w:rsidRPr="00FC418F">
        <w:rPr>
          <w:rFonts w:ascii="Times" w:eastAsia="Times New Roman" w:hAnsi="Times" w:cs="Arial"/>
          <w:szCs w:val="20"/>
        </w:rPr>
        <w:t>przepisach KPA</w:t>
      </w:r>
    </w:p>
    <w:p w:rsidR="00FC418F" w:rsidRPr="00FC418F" w:rsidRDefault="00FC418F" w:rsidP="00AA1137">
      <w:pPr>
        <w:suppressAutoHyphens/>
        <w:autoSpaceDE w:val="0"/>
        <w:autoSpaceDN w:val="0"/>
        <w:adjustRightInd w:val="0"/>
        <w:spacing w:before="120" w:after="0" w:line="360" w:lineRule="auto"/>
        <w:jc w:val="both"/>
        <w:rPr>
          <w:rFonts w:ascii="Times" w:eastAsia="Times New Roman" w:hAnsi="Times" w:cs="Arial"/>
          <w:szCs w:val="20"/>
        </w:rPr>
      </w:pPr>
      <w:r w:rsidRPr="00FC418F">
        <w:rPr>
          <w:rFonts w:ascii="Times" w:eastAsia="Times New Roman" w:hAnsi="Times" w:cs="Arial"/>
          <w:szCs w:val="20"/>
        </w:rPr>
        <w:t>2) zaproponowaniu nowego brzmienia ust. 1 w art. 48a, w którym określa się oddzielnie zadania dyrektora oddziału regionalnego ARiMR w sprawach uznawania odpowiednio organizacji producentów, o których mowa w art. 156 rozporządzenia nr 1308/2013, i</w:t>
      </w:r>
      <w:r w:rsidR="002F7832">
        <w:rPr>
          <w:rFonts w:ascii="Times" w:eastAsia="Times New Roman" w:hAnsi="Times" w:cs="Arial"/>
          <w:szCs w:val="20"/>
        </w:rPr>
        <w:t xml:space="preserve"> </w:t>
      </w:r>
      <w:r w:rsidRPr="00FC418F">
        <w:rPr>
          <w:rFonts w:ascii="Times" w:eastAsia="Times New Roman" w:hAnsi="Times" w:cs="Arial"/>
          <w:szCs w:val="20"/>
        </w:rPr>
        <w:t>zatwierdzania ich planu biznesowego a także zmiany tego planu oraz uznawania zrzeszeń organizacji producentów oraz organizacji międzybranżowych, o których mowa w art. 161 oraz art. 163 rozporządzenia nr 1308/2013, w tym uznawania międzynarodowych organizacji producentów, międzynarodowych zrzeszeń organizacji producentów oraz międzynarodowych organizacji międzybranżowych,</w:t>
      </w:r>
    </w:p>
    <w:p w:rsidR="00FC418F" w:rsidRPr="00FC418F" w:rsidRDefault="00FC418F" w:rsidP="00AA1137">
      <w:pPr>
        <w:suppressAutoHyphens/>
        <w:autoSpaceDE w:val="0"/>
        <w:autoSpaceDN w:val="0"/>
        <w:adjustRightInd w:val="0"/>
        <w:spacing w:after="0" w:line="360" w:lineRule="auto"/>
        <w:jc w:val="both"/>
        <w:rPr>
          <w:rFonts w:ascii="Times" w:eastAsia="Times New Roman" w:hAnsi="Times" w:cs="Arial"/>
          <w:szCs w:val="20"/>
        </w:rPr>
      </w:pPr>
      <w:r w:rsidRPr="00FC418F">
        <w:rPr>
          <w:rFonts w:ascii="Times" w:eastAsia="Times New Roman" w:hAnsi="Times" w:cs="Arial"/>
          <w:szCs w:val="20"/>
        </w:rPr>
        <w:lastRenderedPageBreak/>
        <w:t>3) dodaniu przepisów upoważniających dyrektora oddziału regionalnego Agencji, właściwego ze względu na siedzibę organizacji producentów do zatwierdzania w drodze decyzji zmian planu biznesowego, na wniosek organizacji producentów, która na podstawie takiego planu biznesowego uzyskała uznanie za organizację producentów. Wniosek o</w:t>
      </w:r>
      <w:r w:rsidR="002F7832">
        <w:rPr>
          <w:rFonts w:ascii="Times" w:eastAsia="Times New Roman" w:hAnsi="Times" w:cs="Arial"/>
          <w:szCs w:val="20"/>
        </w:rPr>
        <w:t xml:space="preserve"> </w:t>
      </w:r>
      <w:r w:rsidRPr="00FC418F">
        <w:rPr>
          <w:rFonts w:ascii="Times" w:eastAsia="Times New Roman" w:hAnsi="Times" w:cs="Arial"/>
          <w:szCs w:val="20"/>
        </w:rPr>
        <w:t>dokonanie zmiany planu biznesowego składany ma być najpóźniej na 60 dni przed zakończeniem danego roku działalności organizacji producentów, którego dotyczy zmiana. Natomiast w przypadku zmian w składzie członkowskim organizacji producentów, wniosek o</w:t>
      </w:r>
      <w:r w:rsidR="002F7832">
        <w:rPr>
          <w:rFonts w:ascii="Times" w:eastAsia="Times New Roman" w:hAnsi="Times" w:cs="Arial"/>
          <w:szCs w:val="20"/>
        </w:rPr>
        <w:t xml:space="preserve"> </w:t>
      </w:r>
      <w:r w:rsidRPr="00FC418F">
        <w:rPr>
          <w:rFonts w:ascii="Times" w:eastAsia="Times New Roman" w:hAnsi="Times" w:cs="Arial"/>
          <w:szCs w:val="20"/>
        </w:rPr>
        <w:t>zatwierdzenie zmian w planie biznesowym mógłby być składany w terminie późniejszym, ale przed zakończeniem danego roku działalności organizacji, którego dotyczy zmiana. Proponowane zmiany wynikają z przesłanek analogicznych do tych wskazanych w tym zakresie w przypadku innych rynków rolnych – proponowana możliwość zmiany planu biznesowego wraz z określeniem trybu dokonania takiej zmiany pozwala na uwzględnienie zmian w zakresie działań, jakie organizacja realizuje w ramach swojej działalności, i</w:t>
      </w:r>
      <w:r w:rsidR="002F7832">
        <w:rPr>
          <w:rFonts w:ascii="Times" w:eastAsia="Times New Roman" w:hAnsi="Times" w:cs="Arial"/>
          <w:szCs w:val="20"/>
        </w:rPr>
        <w:t xml:space="preserve"> </w:t>
      </w:r>
      <w:r w:rsidRPr="00FC418F">
        <w:rPr>
          <w:rFonts w:ascii="Times" w:eastAsia="Times New Roman" w:hAnsi="Times" w:cs="Arial"/>
          <w:szCs w:val="20"/>
        </w:rPr>
        <w:t>dostosowań w tym zakresie np. do zmieniających się warunków rynkowych,</w:t>
      </w:r>
    </w:p>
    <w:p w:rsidR="00FC418F" w:rsidRPr="00FC418F" w:rsidRDefault="00FC418F" w:rsidP="00AA1137">
      <w:pPr>
        <w:suppressAutoHyphens/>
        <w:autoSpaceDE w:val="0"/>
        <w:autoSpaceDN w:val="0"/>
        <w:adjustRightInd w:val="0"/>
        <w:spacing w:after="0" w:line="360" w:lineRule="auto"/>
        <w:jc w:val="both"/>
        <w:rPr>
          <w:rFonts w:ascii="Times" w:eastAsia="Times New Roman" w:hAnsi="Times" w:cs="Arial"/>
          <w:szCs w:val="20"/>
        </w:rPr>
      </w:pPr>
      <w:r w:rsidRPr="00FC418F">
        <w:rPr>
          <w:rFonts w:ascii="Times" w:eastAsia="Times New Roman" w:hAnsi="Times" w:cs="Arial"/>
          <w:szCs w:val="20"/>
        </w:rPr>
        <w:t>4) uchyleniu ust. 4 i ust. 5, których treść wynika z obecnego szczegółowego uregulowania tych kwestii w przepisach ustawy z dnia 14 czerwca 1960 r. – Kodeks postępowania administracyjnego (Dz. U. z 2021 r. poz. 735),</w:t>
      </w:r>
    </w:p>
    <w:p w:rsidR="00FC418F" w:rsidRPr="00FC418F" w:rsidRDefault="00FC418F" w:rsidP="00AA1137">
      <w:pPr>
        <w:suppressAutoHyphens/>
        <w:autoSpaceDE w:val="0"/>
        <w:autoSpaceDN w:val="0"/>
        <w:adjustRightInd w:val="0"/>
        <w:spacing w:after="0" w:line="360" w:lineRule="auto"/>
        <w:jc w:val="both"/>
        <w:rPr>
          <w:rFonts w:ascii="Times" w:eastAsia="Times New Roman" w:hAnsi="Times" w:cs="Arial"/>
          <w:szCs w:val="20"/>
        </w:rPr>
      </w:pPr>
      <w:r w:rsidRPr="00FC418F">
        <w:rPr>
          <w:rFonts w:ascii="Times" w:eastAsia="Times New Roman" w:hAnsi="Times" w:cs="Arial"/>
          <w:szCs w:val="20"/>
        </w:rPr>
        <w:t>5) uzupełnieniu upoważnienia zawartego w art. 48a. ust 7 ustawy o organizacji rynku mleka i przetworów mlecznych o obowiązek określenia w drodze rozporządzenia przez ministra właściwego do spraw rynków rolnych maksymalnego odsetka głosów oraz udziałów lub akcji, jakie mogą posiadać członkowie, udziałowcy lub akcjonariusze organizacji producentów w tej organizacji. Zgodnie z obecnie obowiązującymi przepisami wykonawczymi do ww. ustawy, postanowienia o dopuszczalnej wielkości posiadanych przez członków, udziałowców lub akcjonariuszy organizacji producentów udziałów, akcji i głosów powinny znajdować się w akcie założycielskim organizacji, jakim może być statut lub umowa. Przedstawiona propozycja ma na celu wykluczenie możliwości zaburzenia demokratycznego rozkładu posiadanych głosów i udziałów oraz uniknięcie sytuacji nadużywania władzy przez jednego lub kilku członków organizacji producentów w zakresie zarządzania jej działalnością i</w:t>
      </w:r>
      <w:r w:rsidR="002F7832">
        <w:rPr>
          <w:rFonts w:ascii="Times" w:eastAsia="Times New Roman" w:hAnsi="Times" w:cs="Arial"/>
          <w:szCs w:val="20"/>
        </w:rPr>
        <w:t xml:space="preserve"> </w:t>
      </w:r>
      <w:r w:rsidRPr="00FC418F">
        <w:rPr>
          <w:rFonts w:ascii="Times" w:eastAsia="Times New Roman" w:hAnsi="Times" w:cs="Arial"/>
          <w:szCs w:val="20"/>
        </w:rPr>
        <w:t>funkcjonowaniem, a także ograniczenie możliwości tworzenia sztucznych warunków do</w:t>
      </w:r>
      <w:r w:rsidR="002F7832">
        <w:rPr>
          <w:rFonts w:ascii="Times" w:eastAsia="Times New Roman" w:hAnsi="Times" w:cs="Arial"/>
          <w:szCs w:val="20"/>
        </w:rPr>
        <w:t xml:space="preserve"> </w:t>
      </w:r>
      <w:r w:rsidRPr="00FC418F">
        <w:rPr>
          <w:rFonts w:ascii="Times" w:eastAsia="Times New Roman" w:hAnsi="Times" w:cs="Arial"/>
          <w:szCs w:val="20"/>
        </w:rPr>
        <w:t>uzyskania statusu organizacji producentów.</w:t>
      </w:r>
    </w:p>
    <w:p w:rsidR="00FC418F" w:rsidRPr="00FC418F" w:rsidRDefault="00FC418F" w:rsidP="00AA1137">
      <w:pPr>
        <w:suppressAutoHyphens/>
        <w:autoSpaceDE w:val="0"/>
        <w:autoSpaceDN w:val="0"/>
        <w:adjustRightInd w:val="0"/>
        <w:spacing w:after="0" w:line="360" w:lineRule="auto"/>
        <w:jc w:val="both"/>
        <w:rPr>
          <w:rFonts w:ascii="Times" w:eastAsia="Times New Roman" w:hAnsi="Times" w:cs="Arial"/>
          <w:szCs w:val="20"/>
        </w:rPr>
      </w:pPr>
      <w:r w:rsidRPr="00FC418F">
        <w:rPr>
          <w:rFonts w:ascii="Times" w:eastAsia="Times New Roman" w:hAnsi="Times" w:cs="Arial"/>
          <w:szCs w:val="20"/>
        </w:rPr>
        <w:lastRenderedPageBreak/>
        <w:t>W związku z rozszerzeniem zakresu ww. upoważnienia ustawowego, proponuje się również uzupełnienie brzmienia art. 48e w ust. 1 pkt 1 ustawy o organizacji rynku mleka określającego przesłanki stanowiące podstawę do wezwania organizacji do usunięcia naruszeń w zakresie niespełniania warunków uznania, o przesłankę dotyczącą warunków określonych w</w:t>
      </w:r>
      <w:r w:rsidR="002F7832">
        <w:rPr>
          <w:rFonts w:ascii="Times" w:eastAsia="Times New Roman" w:hAnsi="Times" w:cs="Arial"/>
          <w:szCs w:val="20"/>
        </w:rPr>
        <w:t xml:space="preserve"> </w:t>
      </w:r>
      <w:r w:rsidRPr="00FC418F">
        <w:rPr>
          <w:rFonts w:ascii="Times" w:eastAsia="Times New Roman" w:hAnsi="Times" w:cs="Arial"/>
          <w:szCs w:val="20"/>
        </w:rPr>
        <w:t xml:space="preserve">przepisach wydanych na podstawie </w:t>
      </w:r>
      <w:hyperlink r:id="rId27" w:history="1">
        <w:r w:rsidRPr="00FC418F">
          <w:rPr>
            <w:rFonts w:ascii="Times" w:eastAsia="Times New Roman" w:hAnsi="Times" w:cs="Arial"/>
            <w:szCs w:val="20"/>
          </w:rPr>
          <w:t>art. 48a ust. 7</w:t>
        </w:r>
      </w:hyperlink>
      <w:r w:rsidRPr="00FC418F">
        <w:rPr>
          <w:rFonts w:ascii="Times" w:eastAsia="Times New Roman" w:hAnsi="Times" w:cs="Arial"/>
          <w:szCs w:val="20"/>
        </w:rPr>
        <w:t>. ustawy.</w:t>
      </w:r>
    </w:p>
    <w:p w:rsidR="00FC418F" w:rsidRPr="00FC418F" w:rsidRDefault="00FC418F" w:rsidP="00AA1137">
      <w:pPr>
        <w:suppressAutoHyphens/>
        <w:autoSpaceDE w:val="0"/>
        <w:autoSpaceDN w:val="0"/>
        <w:adjustRightInd w:val="0"/>
        <w:spacing w:before="120" w:after="0" w:line="360" w:lineRule="auto"/>
        <w:jc w:val="both"/>
        <w:rPr>
          <w:rFonts w:ascii="Times" w:eastAsia="Times New Roman" w:hAnsi="Times" w:cs="Arial"/>
          <w:szCs w:val="20"/>
        </w:rPr>
      </w:pPr>
      <w:r w:rsidRPr="00FC418F">
        <w:rPr>
          <w:rFonts w:ascii="Times" w:eastAsia="Times New Roman" w:hAnsi="Times" w:cs="Arial"/>
          <w:szCs w:val="20"/>
        </w:rPr>
        <w:t>W projektowanym art. 4 proponuje się wprowadzenie zmiany w ustawie z dnia 20 lutego 2015 r. o wspieraniu rozwoju obszarów wiejskich z udziałem środków Europejskiego Funduszu Rolnego na rzecz Rozwoju Obszarów Wiejskich w ramach Programu Rozwoju Obszarów Wiejskich na lata 2014–2020 (Dz. U. z 2021 r. poz. 182 i 904). Zmiana ta ma na celu umożliwienie dyrektorowi oddziału regionalnego ARiMR zawieszenie postępowania w</w:t>
      </w:r>
      <w:r w:rsidR="002F7832">
        <w:rPr>
          <w:rFonts w:ascii="Times" w:eastAsia="Times New Roman" w:hAnsi="Times" w:cs="Arial"/>
          <w:szCs w:val="20"/>
        </w:rPr>
        <w:t xml:space="preserve"> </w:t>
      </w:r>
      <w:r w:rsidRPr="00FC418F">
        <w:rPr>
          <w:rFonts w:ascii="Times" w:eastAsia="Times New Roman" w:hAnsi="Times" w:cs="Arial"/>
          <w:szCs w:val="20"/>
        </w:rPr>
        <w:t>sprawie wypłaty pomocy w ramach działania „Tworzenie grup producentów i organizacji producentów” objętego PROW 2014–2020, w przypadku wszczęcia postępowania w sprawie cofnięcia uznania grupie producentów rolnych lub organizacji producentów, uznanym odpowiednio na</w:t>
      </w:r>
      <w:r w:rsidR="002F7832">
        <w:rPr>
          <w:rFonts w:ascii="Times" w:eastAsia="Times New Roman" w:hAnsi="Times" w:cs="Arial"/>
          <w:szCs w:val="20"/>
        </w:rPr>
        <w:t xml:space="preserve"> </w:t>
      </w:r>
      <w:r w:rsidRPr="00FC418F">
        <w:rPr>
          <w:rFonts w:ascii="Times" w:eastAsia="Times New Roman" w:hAnsi="Times" w:cs="Arial"/>
          <w:szCs w:val="20"/>
        </w:rPr>
        <w:t>podstawie przepisów ustawy z dnia 15 września 2000 r., przepisów ustawy o</w:t>
      </w:r>
      <w:r w:rsidR="002F7832">
        <w:rPr>
          <w:rFonts w:ascii="Times" w:eastAsia="Times New Roman" w:hAnsi="Times" w:cs="Arial"/>
          <w:szCs w:val="20"/>
        </w:rPr>
        <w:t xml:space="preserve"> </w:t>
      </w:r>
      <w:r w:rsidRPr="00FC418F">
        <w:rPr>
          <w:rFonts w:ascii="Times" w:eastAsia="Times New Roman" w:hAnsi="Times" w:cs="Arial"/>
          <w:szCs w:val="20"/>
        </w:rPr>
        <w:t>rynkach rolnych lub przepisów ustawy o rynku mleka, do czasu rozstrzygnięcia postępowania w</w:t>
      </w:r>
      <w:r w:rsidR="002F7832">
        <w:rPr>
          <w:rFonts w:ascii="Times" w:eastAsia="Times New Roman" w:hAnsi="Times" w:cs="Arial"/>
          <w:szCs w:val="20"/>
        </w:rPr>
        <w:t xml:space="preserve"> </w:t>
      </w:r>
      <w:r w:rsidRPr="00FC418F">
        <w:rPr>
          <w:rFonts w:ascii="Times" w:eastAsia="Times New Roman" w:hAnsi="Times" w:cs="Arial"/>
          <w:szCs w:val="20"/>
        </w:rPr>
        <w:t>sprawie cofnięcia tego uznania. Wynika to z tego, że wsparcie finansowe w ramach ww.</w:t>
      </w:r>
      <w:r w:rsidR="002F7832">
        <w:rPr>
          <w:rFonts w:ascii="Times" w:eastAsia="Times New Roman" w:hAnsi="Times" w:cs="Arial"/>
          <w:szCs w:val="20"/>
        </w:rPr>
        <w:t xml:space="preserve"> </w:t>
      </w:r>
      <w:r w:rsidRPr="00FC418F">
        <w:rPr>
          <w:rFonts w:ascii="Times" w:eastAsia="Times New Roman" w:hAnsi="Times" w:cs="Arial"/>
          <w:szCs w:val="20"/>
        </w:rPr>
        <w:t>działania „Tworzenie grup producentów i organizacji producentów” jest kierowane do</w:t>
      </w:r>
      <w:r w:rsidR="002F7832">
        <w:rPr>
          <w:rFonts w:ascii="Times" w:eastAsia="Times New Roman" w:hAnsi="Times" w:cs="Arial"/>
          <w:szCs w:val="20"/>
        </w:rPr>
        <w:t xml:space="preserve"> </w:t>
      </w:r>
      <w:r w:rsidRPr="00FC418F">
        <w:rPr>
          <w:rFonts w:ascii="Times" w:eastAsia="Times New Roman" w:hAnsi="Times" w:cs="Arial"/>
          <w:szCs w:val="20"/>
        </w:rPr>
        <w:t>grup producentów rolnych i organizacji producentów czyli przedsiębiorstw, które ten status posiadają, a więc spełniają warunki uznania zgodnie z właściwymi przepisami. A zatem projektowany przepis umożliwi wstrzymanie prowadzenia przez ARiMR postępowania w</w:t>
      </w:r>
      <w:r w:rsidR="002F7832">
        <w:rPr>
          <w:rFonts w:ascii="Times" w:eastAsia="Times New Roman" w:hAnsi="Times" w:cs="Arial"/>
          <w:szCs w:val="20"/>
        </w:rPr>
        <w:t xml:space="preserve"> </w:t>
      </w:r>
      <w:r w:rsidRPr="00FC418F">
        <w:rPr>
          <w:rFonts w:ascii="Times" w:eastAsia="Times New Roman" w:hAnsi="Times" w:cs="Arial"/>
          <w:szCs w:val="20"/>
        </w:rPr>
        <w:t>sprawie wypłaty pomocy w odniesieniu do podmiotu, co do którego wszczęte zostało postępowanie dotyczące ewentualnego stwierdzenia, że beneficjent przestał spełniać warunki uznania. Konsekwencją zastosowania tego przepisu, w przypadku stwierdzenia niespełniania warunków uznania, będzie odmowa wypłaty środków za dany okres objęcia wsparciem w</w:t>
      </w:r>
      <w:r w:rsidR="002F7832">
        <w:rPr>
          <w:rFonts w:ascii="Times" w:eastAsia="Times New Roman" w:hAnsi="Times" w:cs="Arial"/>
          <w:szCs w:val="20"/>
        </w:rPr>
        <w:t xml:space="preserve"> </w:t>
      </w:r>
      <w:r w:rsidRPr="00FC418F">
        <w:rPr>
          <w:rFonts w:ascii="Times" w:eastAsia="Times New Roman" w:hAnsi="Times" w:cs="Arial"/>
          <w:szCs w:val="20"/>
        </w:rPr>
        <w:t>ramach ww. instrumentu wsparcia PROW 2014–2020.</w:t>
      </w:r>
    </w:p>
    <w:p w:rsidR="00FC418F" w:rsidRPr="00FC418F" w:rsidRDefault="00FC418F" w:rsidP="00AA1137">
      <w:pPr>
        <w:suppressAutoHyphens/>
        <w:autoSpaceDE w:val="0"/>
        <w:autoSpaceDN w:val="0"/>
        <w:adjustRightInd w:val="0"/>
        <w:spacing w:after="0" w:line="360" w:lineRule="auto"/>
        <w:jc w:val="both"/>
        <w:rPr>
          <w:rFonts w:ascii="Times" w:eastAsia="Times New Roman" w:hAnsi="Times" w:cs="Arial"/>
          <w:szCs w:val="20"/>
        </w:rPr>
      </w:pPr>
      <w:r w:rsidRPr="00FC418F">
        <w:rPr>
          <w:rFonts w:ascii="Times" w:eastAsia="Times New Roman" w:hAnsi="Times" w:cs="Arial"/>
          <w:szCs w:val="20"/>
        </w:rPr>
        <w:t>Projektowana ustawa wprowadza również w art. 5 projektu zmianę w ustawie z dnia 11</w:t>
      </w:r>
      <w:r w:rsidR="002F7832">
        <w:rPr>
          <w:rFonts w:ascii="Times" w:eastAsia="Times New Roman" w:hAnsi="Times" w:cs="Arial"/>
          <w:szCs w:val="20"/>
        </w:rPr>
        <w:t xml:space="preserve"> </w:t>
      </w:r>
      <w:r w:rsidRPr="00FC418F">
        <w:rPr>
          <w:rFonts w:ascii="Times" w:eastAsia="Times New Roman" w:hAnsi="Times" w:cs="Arial"/>
          <w:szCs w:val="20"/>
        </w:rPr>
        <w:t>września 2015 r. o zmianie ustawy o grupach producentów rolnych i ich związkach oraz o</w:t>
      </w:r>
      <w:r w:rsidR="002F7832">
        <w:rPr>
          <w:rFonts w:ascii="Times" w:eastAsia="Times New Roman" w:hAnsi="Times" w:cs="Arial"/>
          <w:szCs w:val="20"/>
        </w:rPr>
        <w:t xml:space="preserve"> </w:t>
      </w:r>
      <w:r w:rsidRPr="00FC418F">
        <w:rPr>
          <w:rFonts w:ascii="Times" w:eastAsia="Times New Roman" w:hAnsi="Times" w:cs="Arial"/>
          <w:szCs w:val="20"/>
        </w:rPr>
        <w:t>zmianie innych ustaw oraz ustawy o wspieraniu rozwoju obszarów wiejskich z udziałem środków Europejskiego Funduszu Rolnego na rzecz Rozwoju Obszarów Wiejskich w ramach Programu Rozwoju Obszarów Wiejskich na lata 2014–2020 (Dz. U. poz. 1888). Zmiana ta ma na celu przyznanie Prezesowi ARiMR kompetencji do stwierdzenia nieważności decyzji w</w:t>
      </w:r>
      <w:r w:rsidR="002F7832">
        <w:rPr>
          <w:rFonts w:ascii="Times" w:eastAsia="Times New Roman" w:hAnsi="Times" w:cs="Arial"/>
          <w:szCs w:val="20"/>
        </w:rPr>
        <w:t xml:space="preserve"> </w:t>
      </w:r>
      <w:r w:rsidRPr="00FC418F">
        <w:rPr>
          <w:rFonts w:ascii="Times" w:eastAsia="Times New Roman" w:hAnsi="Times" w:cs="Arial"/>
          <w:szCs w:val="20"/>
        </w:rPr>
        <w:t xml:space="preserve">sprawie stwierdzenia spełniania przez grupę </w:t>
      </w:r>
      <w:r w:rsidRPr="00FC418F">
        <w:rPr>
          <w:rFonts w:ascii="Times" w:eastAsia="Times New Roman" w:hAnsi="Times" w:cs="Arial"/>
          <w:szCs w:val="20"/>
        </w:rPr>
        <w:lastRenderedPageBreak/>
        <w:t>producentów rolnych warunków określonych w</w:t>
      </w:r>
      <w:r w:rsidR="002F7832">
        <w:rPr>
          <w:rFonts w:ascii="Times" w:eastAsia="Times New Roman" w:hAnsi="Times" w:cs="Arial"/>
          <w:szCs w:val="20"/>
        </w:rPr>
        <w:t xml:space="preserve"> </w:t>
      </w:r>
      <w:r w:rsidRPr="00FC418F">
        <w:rPr>
          <w:rFonts w:ascii="Times" w:eastAsia="Times New Roman" w:hAnsi="Times" w:cs="Arial"/>
          <w:szCs w:val="20"/>
        </w:rPr>
        <w:t>art. 3 albo art. 3a oraz w przepisach wydanych na podstawie art. 6 ustawy z dnia 15 września 2000 r. wydanej przed dniem wejścia w życie ustawy z dnia 11 września 2015 r. Zgodnie bowiem z obowiązującymi przepisami, organem zarówno I, jak i II instancji w ww. sprawach jest Minister Rolnictwa i Rozwoju Wsi. Biorąc pod uwagę fakt, że obecnie organem właściwym w sprawie uznawania grup producentów rolnych oraz sprawowania nad nimi nadzoru jest dyrektor oddziału regionalnego ARiMR właściwy ze względu na siedzibę grupy, a zgodnie z</w:t>
      </w:r>
      <w:r w:rsidR="002F7832">
        <w:rPr>
          <w:rFonts w:ascii="Times" w:eastAsia="Times New Roman" w:hAnsi="Times" w:cs="Arial"/>
          <w:szCs w:val="20"/>
        </w:rPr>
        <w:t xml:space="preserve"> </w:t>
      </w:r>
      <w:r w:rsidRPr="00FC418F">
        <w:rPr>
          <w:rFonts w:ascii="Times" w:eastAsia="Times New Roman" w:hAnsi="Times" w:cs="Arial"/>
          <w:szCs w:val="20"/>
        </w:rPr>
        <w:t>art. 157 Kodeksu postępowania administracyjnego właściwy do</w:t>
      </w:r>
      <w:r w:rsidR="002F7832">
        <w:rPr>
          <w:rFonts w:ascii="Times" w:eastAsia="Times New Roman" w:hAnsi="Times" w:cs="Arial"/>
          <w:szCs w:val="20"/>
        </w:rPr>
        <w:t xml:space="preserve"> </w:t>
      </w:r>
      <w:r w:rsidRPr="00FC418F">
        <w:rPr>
          <w:rFonts w:ascii="Times" w:eastAsia="Times New Roman" w:hAnsi="Times" w:cs="Arial"/>
          <w:szCs w:val="20"/>
        </w:rPr>
        <w:t xml:space="preserve">stwierdzenia nieważności decyzji jest organ wyższego stopnia, proponuje się, aby organem I instancji w postępowaniu </w:t>
      </w:r>
      <w:proofErr w:type="spellStart"/>
      <w:r w:rsidRPr="00FC418F">
        <w:rPr>
          <w:rFonts w:ascii="Times" w:eastAsia="Times New Roman" w:hAnsi="Times" w:cs="Arial"/>
          <w:szCs w:val="20"/>
        </w:rPr>
        <w:t>nieważnościowym</w:t>
      </w:r>
      <w:proofErr w:type="spellEnd"/>
      <w:r w:rsidRPr="00FC418F">
        <w:rPr>
          <w:rFonts w:ascii="Times" w:eastAsia="Times New Roman" w:hAnsi="Times" w:cs="Arial"/>
          <w:szCs w:val="20"/>
        </w:rPr>
        <w:t xml:space="preserve"> był Prezes ARiMR. Z kolei organem właściwym w ewentualnym postępowaniu odwoławczym byłby Minister Rolnictwa i Rozwoju Wsi.</w:t>
      </w:r>
    </w:p>
    <w:p w:rsidR="00FC418F" w:rsidRPr="00FC418F" w:rsidRDefault="00FC418F" w:rsidP="00AA1137">
      <w:pPr>
        <w:suppressAutoHyphens/>
        <w:autoSpaceDE w:val="0"/>
        <w:autoSpaceDN w:val="0"/>
        <w:adjustRightInd w:val="0"/>
        <w:spacing w:after="0" w:line="360" w:lineRule="auto"/>
        <w:jc w:val="both"/>
        <w:rPr>
          <w:rFonts w:ascii="Times" w:eastAsia="Times New Roman" w:hAnsi="Times" w:cs="Arial"/>
          <w:szCs w:val="20"/>
        </w:rPr>
      </w:pPr>
      <w:r w:rsidRPr="00FC418F">
        <w:rPr>
          <w:rFonts w:ascii="Times" w:eastAsia="Times New Roman" w:hAnsi="Times" w:cs="Arial"/>
          <w:szCs w:val="20"/>
        </w:rPr>
        <w:t>W projektowanym art. 6 przewidziano przepisy przejściowe w zakresie:</w:t>
      </w:r>
    </w:p>
    <w:p w:rsidR="00FC418F" w:rsidRPr="00FC418F" w:rsidRDefault="00FC418F" w:rsidP="00AA1137">
      <w:pPr>
        <w:suppressAutoHyphens/>
        <w:autoSpaceDE w:val="0"/>
        <w:autoSpaceDN w:val="0"/>
        <w:adjustRightInd w:val="0"/>
        <w:spacing w:after="0" w:line="360" w:lineRule="auto"/>
        <w:jc w:val="both"/>
        <w:rPr>
          <w:rFonts w:ascii="Times" w:eastAsia="Times New Roman" w:hAnsi="Times" w:cs="Arial"/>
          <w:szCs w:val="20"/>
        </w:rPr>
      </w:pPr>
      <w:r w:rsidRPr="00FC418F">
        <w:rPr>
          <w:rFonts w:ascii="Times" w:eastAsia="Times New Roman" w:hAnsi="Times" w:cs="Arial"/>
          <w:szCs w:val="20"/>
        </w:rPr>
        <w:t>1) wszczętych i niezakończonych decyzją ostateczną przed dniem wejścia w życie niniejszej ustawy postępowań administracyjnych w sprawie uznania organizacji producentów, uznania grupy producentów rolnych i zatwierdzenia planu biznesowego oraz zatwierdzenia zmian do planu biznesowego grupy producentów rolnych, prowadzonych przez właściwego dyrektora oddziału regionalnego ARiMR, a także stwierdzenia nieważności decyzji, prowadzonych przez ministra właściwego do spraw rynków rolnych w oparciu o art. 7 ust. 1 pkt 2 ustawy z dnia 11 września 2015 r. Proponuje się, aby w przypadku ww. postępowań administracyjnych zastosowanie miały przepisy dotychczasowe. Rozwiązanie to pozwoli na</w:t>
      </w:r>
      <w:r w:rsidR="002F7832">
        <w:rPr>
          <w:rFonts w:ascii="Times" w:eastAsia="Times New Roman" w:hAnsi="Times" w:cs="Arial"/>
          <w:szCs w:val="20"/>
        </w:rPr>
        <w:t xml:space="preserve"> </w:t>
      </w:r>
      <w:r w:rsidRPr="00FC418F">
        <w:rPr>
          <w:rFonts w:ascii="Times" w:eastAsia="Times New Roman" w:hAnsi="Times" w:cs="Arial"/>
          <w:szCs w:val="20"/>
        </w:rPr>
        <w:t>jednolite stosowanie właściwych przepisów w tym zakresie, co z pewnością leży w interesie samych stron postępowania oraz służy urzeczywistnieniu zasady demokratycznego państwa prawnego. Jednocześnie należy wskazać, że dotychczas nie zostały uznane żadne organizacje producentów (za wyjątkiem sektora owoców i warzyw, który nie jest objęty projektowanymi przepisami), w związku z powyższym nie ma potrzeby regulowania sytuacji dotyczących postępowań wszczętych i niezakończonych w zakresie zmiany planu biznesowego,</w:t>
      </w:r>
    </w:p>
    <w:p w:rsidR="00FC418F" w:rsidRPr="00FC418F" w:rsidRDefault="00FC418F" w:rsidP="00AA1137">
      <w:pPr>
        <w:suppressAutoHyphens/>
        <w:autoSpaceDE w:val="0"/>
        <w:autoSpaceDN w:val="0"/>
        <w:adjustRightInd w:val="0"/>
        <w:spacing w:after="0" w:line="360" w:lineRule="auto"/>
        <w:jc w:val="both"/>
        <w:rPr>
          <w:rFonts w:ascii="Times" w:eastAsia="Times New Roman" w:hAnsi="Times" w:cs="Arial"/>
          <w:bCs/>
          <w:szCs w:val="20"/>
        </w:rPr>
      </w:pPr>
      <w:r w:rsidRPr="00FC418F">
        <w:rPr>
          <w:rFonts w:ascii="Times" w:eastAsia="Times New Roman" w:hAnsi="Times" w:cs="Arial"/>
          <w:bCs/>
          <w:szCs w:val="20"/>
        </w:rPr>
        <w:t>2) wejścia w życie przepisów, o których mowa w art. 3 ust. 1 pkt 6 i 8, art. 3a pkt 6 i 8 oraz art. 3 ustawy zmienianej w art. 1. Proponuje się, aby ww. przepisy w brzmieniu nadanym niniejszą ustawą miały zastosowanie już od roku działalności grupy producentów rolnych rozpoczętego i niezakończonego do dnia wejścia w życie niniejszej ustawy. Powyższe wynika z faktu, że zmiany te są korzystane dla grup producentów rolnych i powinny mieć zastosowanie już od bieżących lat działalności tych podmiotów.</w:t>
      </w:r>
    </w:p>
    <w:p w:rsidR="00FC418F" w:rsidRPr="00FC418F" w:rsidRDefault="00FC418F" w:rsidP="00AA1137">
      <w:pPr>
        <w:suppressAutoHyphens/>
        <w:autoSpaceDE w:val="0"/>
        <w:autoSpaceDN w:val="0"/>
        <w:adjustRightInd w:val="0"/>
        <w:spacing w:after="0" w:line="360" w:lineRule="auto"/>
        <w:jc w:val="both"/>
        <w:rPr>
          <w:rFonts w:ascii="Times" w:eastAsia="Times New Roman" w:hAnsi="Times" w:cs="Arial"/>
          <w:szCs w:val="20"/>
        </w:rPr>
      </w:pPr>
      <w:r w:rsidRPr="00FC418F">
        <w:rPr>
          <w:rFonts w:ascii="Times" w:eastAsia="Times New Roman" w:hAnsi="Times" w:cs="Arial"/>
          <w:szCs w:val="20"/>
        </w:rPr>
        <w:lastRenderedPageBreak/>
        <w:t>Projektowany art. 7 wskazuje, że dotychczasowe przepisy wykonawcze wydane na</w:t>
      </w:r>
      <w:r w:rsidR="002F7832">
        <w:rPr>
          <w:rFonts w:ascii="Times" w:eastAsia="Times New Roman" w:hAnsi="Times" w:cs="Arial"/>
          <w:szCs w:val="20"/>
        </w:rPr>
        <w:t xml:space="preserve"> </w:t>
      </w:r>
      <w:r w:rsidRPr="00FC418F">
        <w:rPr>
          <w:rFonts w:ascii="Times" w:eastAsia="Times New Roman" w:hAnsi="Times" w:cs="Arial"/>
          <w:szCs w:val="20"/>
        </w:rPr>
        <w:t>podstawie:</w:t>
      </w:r>
    </w:p>
    <w:p w:rsidR="00FC418F" w:rsidRPr="00FC418F" w:rsidRDefault="00FC418F" w:rsidP="00AA1137">
      <w:pPr>
        <w:suppressAutoHyphens/>
        <w:autoSpaceDE w:val="0"/>
        <w:autoSpaceDN w:val="0"/>
        <w:adjustRightInd w:val="0"/>
        <w:spacing w:after="0" w:line="360" w:lineRule="auto"/>
        <w:jc w:val="both"/>
        <w:rPr>
          <w:rFonts w:ascii="Times" w:eastAsia="Times New Roman" w:hAnsi="Times" w:cs="Arial"/>
          <w:bCs/>
          <w:szCs w:val="20"/>
        </w:rPr>
      </w:pPr>
      <w:r w:rsidRPr="00FC418F">
        <w:rPr>
          <w:rFonts w:ascii="Times" w:eastAsia="Times New Roman" w:hAnsi="Times" w:cs="Arial"/>
          <w:bCs/>
          <w:szCs w:val="20"/>
        </w:rPr>
        <w:t xml:space="preserve">1) </w:t>
      </w:r>
      <w:r w:rsidRPr="00FC418F">
        <w:rPr>
          <w:rFonts w:ascii="Times" w:eastAsia="Times New Roman" w:hAnsi="Times" w:cs="Arial"/>
          <w:bCs/>
          <w:szCs w:val="20"/>
        </w:rPr>
        <w:tab/>
        <w:t>art. 8 ust. 9 ustawy zmienianej w art. 1 zachowują moc i mogą być zmieniane lub uchylane na podstawie art. 8 ust. 9 ustawy zmienianej w art. 1;</w:t>
      </w:r>
    </w:p>
    <w:p w:rsidR="00FC418F" w:rsidRPr="00FC418F" w:rsidRDefault="00FC418F" w:rsidP="00AA1137">
      <w:pPr>
        <w:suppressAutoHyphens/>
        <w:autoSpaceDE w:val="0"/>
        <w:autoSpaceDN w:val="0"/>
        <w:adjustRightInd w:val="0"/>
        <w:spacing w:after="0" w:line="360" w:lineRule="auto"/>
        <w:jc w:val="both"/>
        <w:rPr>
          <w:rFonts w:ascii="Times" w:eastAsia="Times New Roman" w:hAnsi="Times" w:cs="Arial"/>
          <w:szCs w:val="20"/>
        </w:rPr>
      </w:pPr>
      <w:r w:rsidRPr="00FC418F">
        <w:rPr>
          <w:rFonts w:eastAsia="Times New Roman" w:cs="Arial"/>
          <w:szCs w:val="20"/>
        </w:rPr>
        <w:t xml:space="preserve">2) </w:t>
      </w:r>
      <w:hyperlink r:id="rId28" w:history="1">
        <w:hyperlink r:id="rId29" w:history="1">
          <w:r w:rsidRPr="00FC418F">
            <w:rPr>
              <w:rFonts w:ascii="Times" w:eastAsia="Times New Roman" w:hAnsi="Times" w:cs="Arial"/>
              <w:szCs w:val="20"/>
            </w:rPr>
            <w:t>art. 38i ust. 3 ustawy zmienianej w art. 2</w:t>
          </w:r>
        </w:hyperlink>
      </w:hyperlink>
      <w:r w:rsidRPr="00FC418F">
        <w:rPr>
          <w:rFonts w:ascii="Times" w:eastAsia="Times New Roman" w:hAnsi="Times" w:cs="Arial"/>
          <w:szCs w:val="20"/>
        </w:rPr>
        <w:t xml:space="preserve">, zachowują moc do dnia wejścia w życie przepisów wykonawczych wydanych na podstawie </w:t>
      </w:r>
      <w:hyperlink r:id="rId30" w:history="1">
        <w:hyperlink r:id="rId31" w:history="1">
          <w:r w:rsidRPr="00FC418F">
            <w:rPr>
              <w:rFonts w:ascii="Times" w:eastAsia="Times New Roman" w:hAnsi="Times" w:cs="Arial"/>
              <w:szCs w:val="20"/>
            </w:rPr>
            <w:t xml:space="preserve">art. 38i ust. </w:t>
          </w:r>
        </w:hyperlink>
      </w:hyperlink>
      <w:r w:rsidRPr="00FC418F">
        <w:rPr>
          <w:rFonts w:ascii="Times" w:eastAsia="Times New Roman" w:hAnsi="Times" w:cs="Arial"/>
          <w:szCs w:val="20"/>
        </w:rPr>
        <w:t>9</w:t>
      </w:r>
      <w:r w:rsidRPr="00FC418F">
        <w:rPr>
          <w:rFonts w:eastAsia="Times New Roman" w:cs="Arial"/>
          <w:szCs w:val="20"/>
        </w:rPr>
        <w:t xml:space="preserve"> </w:t>
      </w:r>
      <w:r w:rsidRPr="00FC418F">
        <w:rPr>
          <w:rFonts w:ascii="Times" w:eastAsia="Times New Roman" w:hAnsi="Times" w:cs="Arial"/>
          <w:szCs w:val="20"/>
        </w:rPr>
        <w:t>ustawy zmienianej w art. 2, nie dłużej jednak niż przez 24 miesięcy od dnia wejścia w życie niniejszej ustawy, i mogą być zmieniane lub uchylane;</w:t>
      </w:r>
    </w:p>
    <w:p w:rsidR="00FC418F" w:rsidRPr="00FC418F" w:rsidRDefault="00FC418F" w:rsidP="00AA1137">
      <w:pPr>
        <w:suppressAutoHyphens/>
        <w:autoSpaceDE w:val="0"/>
        <w:autoSpaceDN w:val="0"/>
        <w:adjustRightInd w:val="0"/>
        <w:spacing w:after="0" w:line="360" w:lineRule="auto"/>
        <w:jc w:val="both"/>
        <w:rPr>
          <w:rFonts w:ascii="Times" w:eastAsia="Times New Roman" w:hAnsi="Times" w:cs="Arial"/>
          <w:szCs w:val="20"/>
        </w:rPr>
      </w:pPr>
      <w:r w:rsidRPr="00FC418F">
        <w:rPr>
          <w:rFonts w:eastAsia="Times New Roman" w:cs="Arial"/>
          <w:szCs w:val="20"/>
        </w:rPr>
        <w:t xml:space="preserve">3) </w:t>
      </w:r>
      <w:hyperlink r:id="rId32" w:history="1">
        <w:hyperlink r:id="rId33" w:history="1">
          <w:r w:rsidRPr="00FC418F">
            <w:rPr>
              <w:rFonts w:ascii="Times" w:eastAsia="Times New Roman" w:hAnsi="Times" w:cs="Arial"/>
              <w:szCs w:val="20"/>
            </w:rPr>
            <w:t xml:space="preserve">art. 48a ust. 7 ustawy zmienianej w art. </w:t>
          </w:r>
        </w:hyperlink>
      </w:hyperlink>
      <w:r w:rsidRPr="00FC418F">
        <w:rPr>
          <w:rFonts w:ascii="Times" w:eastAsia="Times New Roman" w:hAnsi="Times" w:cs="Arial"/>
          <w:szCs w:val="20"/>
        </w:rPr>
        <w:t xml:space="preserve">3, zachowują moc do dnia wejścia w życie przepisów wykonawczych wydanych na podstawie </w:t>
      </w:r>
      <w:hyperlink r:id="rId34" w:history="1">
        <w:hyperlink r:id="rId35" w:history="1">
          <w:r w:rsidRPr="00FC418F">
            <w:rPr>
              <w:rFonts w:ascii="Times" w:eastAsia="Times New Roman" w:hAnsi="Times" w:cs="Arial"/>
              <w:szCs w:val="20"/>
            </w:rPr>
            <w:t xml:space="preserve">art. 48a ust. </w:t>
          </w:r>
        </w:hyperlink>
      </w:hyperlink>
      <w:r w:rsidRPr="00FC418F">
        <w:rPr>
          <w:rFonts w:ascii="Times" w:eastAsia="Times New Roman" w:hAnsi="Times" w:cs="Arial"/>
          <w:szCs w:val="20"/>
        </w:rPr>
        <w:t>7</w:t>
      </w:r>
      <w:r w:rsidRPr="00FC418F">
        <w:rPr>
          <w:rFonts w:eastAsia="Times New Roman" w:cs="Arial"/>
          <w:szCs w:val="20"/>
        </w:rPr>
        <w:t xml:space="preserve"> u</w:t>
      </w:r>
      <w:r w:rsidRPr="00FC418F">
        <w:rPr>
          <w:rFonts w:ascii="Times" w:eastAsia="Times New Roman" w:hAnsi="Times" w:cs="Arial"/>
          <w:szCs w:val="20"/>
        </w:rPr>
        <w:t>stawy zmienianej w art. 3 w brzmieniu nadanym niniejszą ustawą, nie dłużej jednak niż 24 miesięcy w brzmieniu nadanym niniejszą ustawą, jednak nie dłużej niż przez 24 miesięcy od dnia wejścia w życie niniejszej ustawy, i mogą być zmieniane lub uchylane.</w:t>
      </w:r>
    </w:p>
    <w:p w:rsidR="00FC418F" w:rsidRPr="00FC418F" w:rsidRDefault="00FC418F" w:rsidP="00AA1137">
      <w:pPr>
        <w:suppressAutoHyphens/>
        <w:autoSpaceDE w:val="0"/>
        <w:autoSpaceDN w:val="0"/>
        <w:adjustRightInd w:val="0"/>
        <w:spacing w:before="120" w:after="0" w:line="360" w:lineRule="auto"/>
        <w:jc w:val="both"/>
        <w:rPr>
          <w:rFonts w:ascii="Times" w:eastAsia="Times New Roman" w:hAnsi="Times" w:cs="Arial"/>
          <w:szCs w:val="20"/>
        </w:rPr>
      </w:pPr>
      <w:r w:rsidRPr="00FC418F">
        <w:rPr>
          <w:rFonts w:ascii="Times" w:eastAsia="Times New Roman" w:hAnsi="Times" w:cs="Arial"/>
          <w:szCs w:val="20"/>
        </w:rPr>
        <w:t>Projektowany art. 8 określa, iż zmiana wprowadzana w art. 17a będzie miała zastosowanie do sprawozdań, jakie związki grup będą składały Prezesowi ARiMR za lata działalności, które rozpoczęły się i nie zakończyły do dnia wejścia w życie niniejszej ustawy.</w:t>
      </w:r>
    </w:p>
    <w:p w:rsidR="00FC418F" w:rsidRPr="00FC418F" w:rsidRDefault="00FC418F" w:rsidP="00AA1137">
      <w:pPr>
        <w:suppressAutoHyphens/>
        <w:autoSpaceDE w:val="0"/>
        <w:autoSpaceDN w:val="0"/>
        <w:adjustRightInd w:val="0"/>
        <w:spacing w:before="120" w:after="0" w:line="360" w:lineRule="auto"/>
        <w:jc w:val="both"/>
        <w:rPr>
          <w:rFonts w:ascii="Times" w:eastAsia="Times New Roman" w:hAnsi="Times" w:cs="Arial"/>
          <w:szCs w:val="20"/>
        </w:rPr>
      </w:pPr>
      <w:r w:rsidRPr="00FC418F">
        <w:rPr>
          <w:rFonts w:ascii="Times" w:eastAsia="Times New Roman" w:hAnsi="Times" w:cs="Arial"/>
          <w:szCs w:val="20"/>
        </w:rPr>
        <w:t>Projektowany art. 9 wskazuje, że ustawa wchodzi w życie po upływie 30 dni od dnia jej ogłoszenia.</w:t>
      </w:r>
    </w:p>
    <w:p w:rsidR="00FC418F" w:rsidRPr="00FC418F" w:rsidRDefault="00FC418F" w:rsidP="00AA1137">
      <w:pPr>
        <w:suppressAutoHyphens/>
        <w:autoSpaceDE w:val="0"/>
        <w:autoSpaceDN w:val="0"/>
        <w:adjustRightInd w:val="0"/>
        <w:spacing w:before="120" w:after="0" w:line="360" w:lineRule="auto"/>
        <w:jc w:val="both"/>
        <w:rPr>
          <w:rFonts w:ascii="Times" w:eastAsia="Times New Roman" w:hAnsi="Times" w:cs="Arial"/>
          <w:szCs w:val="20"/>
        </w:rPr>
      </w:pPr>
      <w:r w:rsidRPr="00FC418F">
        <w:rPr>
          <w:rFonts w:ascii="Times" w:eastAsia="Times New Roman" w:hAnsi="Times" w:cs="Arial"/>
          <w:szCs w:val="20"/>
        </w:rPr>
        <w:t>Projekt nie spowoduje zwiększenia wydatków z budżetu państwa ani z budżetów jednostek samorządu terytorialnego. Nie wpłynie na konkurencyjność gospodarki, niemniej jednak oczekuje się, że wprowadzenie projektowanych przepisów ułatwi funkcjonowanie MŚP posiadających status grupy producentów rolnych oraz wzmocni proces tworzenia tego typu podmiotów na obszarach wiejskich w szczególności dzięki proponowanym ułatwieniom w</w:t>
      </w:r>
      <w:r w:rsidR="002F7832">
        <w:rPr>
          <w:rFonts w:ascii="Times" w:eastAsia="Times New Roman" w:hAnsi="Times" w:cs="Arial"/>
          <w:szCs w:val="20"/>
        </w:rPr>
        <w:t xml:space="preserve"> </w:t>
      </w:r>
      <w:r w:rsidRPr="00FC418F">
        <w:rPr>
          <w:rFonts w:ascii="Times" w:eastAsia="Times New Roman" w:hAnsi="Times" w:cs="Arial"/>
          <w:szCs w:val="20"/>
        </w:rPr>
        <w:t>zakresie stosowania przepisów nowelizowanej ustawy.</w:t>
      </w:r>
    </w:p>
    <w:p w:rsidR="00FC418F" w:rsidRPr="00FC418F" w:rsidRDefault="00FC418F" w:rsidP="00AA1137">
      <w:pPr>
        <w:suppressAutoHyphens/>
        <w:autoSpaceDE w:val="0"/>
        <w:autoSpaceDN w:val="0"/>
        <w:adjustRightInd w:val="0"/>
        <w:spacing w:before="120" w:after="0" w:line="360" w:lineRule="auto"/>
        <w:jc w:val="both"/>
        <w:rPr>
          <w:rFonts w:ascii="Times" w:eastAsia="Times New Roman" w:hAnsi="Times" w:cs="Arial"/>
          <w:szCs w:val="20"/>
        </w:rPr>
      </w:pPr>
      <w:r w:rsidRPr="00FC418F">
        <w:rPr>
          <w:rFonts w:ascii="Times" w:eastAsia="Times New Roman" w:hAnsi="Times" w:cs="Arial"/>
          <w:szCs w:val="20"/>
        </w:rPr>
        <w:t>Projekt jest zgodny z prawem Unii Europejskiej.</w:t>
      </w:r>
    </w:p>
    <w:p w:rsidR="00FC418F" w:rsidRPr="00FC418F" w:rsidRDefault="00FC418F" w:rsidP="00AA1137">
      <w:pPr>
        <w:suppressAutoHyphens/>
        <w:autoSpaceDE w:val="0"/>
        <w:autoSpaceDN w:val="0"/>
        <w:adjustRightInd w:val="0"/>
        <w:spacing w:before="120" w:after="0" w:line="360" w:lineRule="auto"/>
        <w:jc w:val="both"/>
        <w:rPr>
          <w:rFonts w:ascii="Times" w:eastAsia="Times New Roman" w:hAnsi="Times" w:cs="Arial"/>
          <w:szCs w:val="20"/>
        </w:rPr>
      </w:pPr>
      <w:r w:rsidRPr="00FC418F">
        <w:rPr>
          <w:rFonts w:ascii="Times" w:eastAsia="Times New Roman" w:hAnsi="Times" w:cs="Arial"/>
          <w:szCs w:val="20"/>
        </w:rPr>
        <w:t>Zgodnie z art. 5 ustawy z dnia 7 lipca 2005 r. o działalności lobbingowej w procesie stanowienia prawa (Dz. U. z 2017 r. poz. 248) projekt ustawy został zamieszczony na stronie internetowej Biuletynu Informacji Publicznej Ministerstwa Rolnictwa i Rozwoju Wsi oraz Rządowego Centrum Legislacji.</w:t>
      </w:r>
    </w:p>
    <w:p w:rsidR="00FC418F" w:rsidRPr="00FC418F" w:rsidRDefault="00FC418F" w:rsidP="00AA1137">
      <w:pPr>
        <w:suppressAutoHyphens/>
        <w:autoSpaceDE w:val="0"/>
        <w:autoSpaceDN w:val="0"/>
        <w:adjustRightInd w:val="0"/>
        <w:spacing w:before="120" w:after="0" w:line="360" w:lineRule="auto"/>
        <w:jc w:val="both"/>
        <w:rPr>
          <w:rFonts w:ascii="Times" w:eastAsia="Times New Roman" w:hAnsi="Times" w:cs="Arial"/>
          <w:szCs w:val="20"/>
        </w:rPr>
      </w:pPr>
      <w:r w:rsidRPr="00FC418F">
        <w:rPr>
          <w:rFonts w:ascii="Times" w:eastAsia="Times New Roman" w:hAnsi="Times" w:cs="Arial"/>
          <w:szCs w:val="20"/>
        </w:rPr>
        <w:t xml:space="preserve">Projekt ustawy nie zawiera przepisów technicznych, w związku z tym nie podlega notyfikacji w rozumieniu przepisów rozporządzenia Rady Ministrów z dnia 23 grudnia </w:t>
      </w:r>
      <w:r w:rsidRPr="00FC418F">
        <w:rPr>
          <w:rFonts w:ascii="Times" w:eastAsia="Times New Roman" w:hAnsi="Times" w:cs="Arial"/>
          <w:szCs w:val="20"/>
        </w:rPr>
        <w:lastRenderedPageBreak/>
        <w:t>2002</w:t>
      </w:r>
      <w:r w:rsidR="002F7832">
        <w:rPr>
          <w:rFonts w:ascii="Times" w:eastAsia="Times New Roman" w:hAnsi="Times" w:cs="Arial"/>
          <w:szCs w:val="20"/>
        </w:rPr>
        <w:t xml:space="preserve"> </w:t>
      </w:r>
      <w:r w:rsidRPr="00FC418F">
        <w:rPr>
          <w:rFonts w:ascii="Times" w:eastAsia="Times New Roman" w:hAnsi="Times" w:cs="Arial"/>
          <w:szCs w:val="20"/>
        </w:rPr>
        <w:t xml:space="preserve">r. w sprawie sposobu funkcjonowania krajowego systemu notyfikacji norm i aktów prawnych (Dz. U. poz. 2039, z </w:t>
      </w:r>
      <w:proofErr w:type="spellStart"/>
      <w:r w:rsidRPr="00FC418F">
        <w:rPr>
          <w:rFonts w:ascii="Times" w:eastAsia="Times New Roman" w:hAnsi="Times" w:cs="Arial"/>
          <w:szCs w:val="20"/>
        </w:rPr>
        <w:t>późn</w:t>
      </w:r>
      <w:proofErr w:type="spellEnd"/>
      <w:r w:rsidRPr="00FC418F">
        <w:rPr>
          <w:rFonts w:ascii="Times" w:eastAsia="Times New Roman" w:hAnsi="Times" w:cs="Arial"/>
          <w:szCs w:val="20"/>
        </w:rPr>
        <w:t>. zm.).</w:t>
      </w:r>
    </w:p>
    <w:p w:rsidR="00FC418F" w:rsidRPr="00FC418F" w:rsidRDefault="00FC418F" w:rsidP="00AA1137">
      <w:pPr>
        <w:suppressAutoHyphens/>
        <w:autoSpaceDE w:val="0"/>
        <w:autoSpaceDN w:val="0"/>
        <w:adjustRightInd w:val="0"/>
        <w:spacing w:after="0" w:line="360" w:lineRule="auto"/>
        <w:jc w:val="both"/>
        <w:rPr>
          <w:rFonts w:ascii="Times" w:eastAsia="Times New Roman" w:hAnsi="Times" w:cs="Arial"/>
          <w:szCs w:val="20"/>
        </w:rPr>
      </w:pPr>
      <w:r w:rsidRPr="00FC418F">
        <w:rPr>
          <w:rFonts w:ascii="Times" w:eastAsia="Times New Roman" w:hAnsi="Times" w:cs="Arial"/>
          <w:szCs w:val="20"/>
        </w:rPr>
        <w:t>Projekt ustawy został zgłoszony do Wykazu prac legislacyjnych i programowych Rady Ministrów.</w:t>
      </w:r>
    </w:p>
    <w:p w:rsidR="00835AC7" w:rsidRDefault="00835AC7"/>
    <w:sectPr w:rsidR="00835AC7" w:rsidSect="00AA1137">
      <w:footerReference w:type="default" r:id="rId36"/>
      <w:pgSz w:w="11906" w:h="16838"/>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0532" w:rsidRDefault="00AD0532" w:rsidP="002F7832">
      <w:pPr>
        <w:spacing w:after="0" w:line="240" w:lineRule="auto"/>
      </w:pPr>
      <w:r>
        <w:separator/>
      </w:r>
    </w:p>
  </w:endnote>
  <w:endnote w:type="continuationSeparator" w:id="0">
    <w:p w:rsidR="00AD0532" w:rsidRDefault="00AD0532" w:rsidP="002F78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0213319"/>
      <w:docPartObj>
        <w:docPartGallery w:val="Page Numbers (Bottom of Page)"/>
        <w:docPartUnique/>
      </w:docPartObj>
    </w:sdtPr>
    <w:sdtEndPr/>
    <w:sdtContent>
      <w:p w:rsidR="002F7832" w:rsidRDefault="002F7832" w:rsidP="00AA1137">
        <w:pPr>
          <w:pStyle w:val="Stopka"/>
          <w:jc w:val="center"/>
        </w:pPr>
        <w:r>
          <w:fldChar w:fldCharType="begin"/>
        </w:r>
        <w:r>
          <w:instrText>PAGE   \* MERGEFORMAT</w:instrText>
        </w:r>
        <w:r>
          <w:fldChar w:fldCharType="separate"/>
        </w:r>
        <w:r w:rsidR="009D15BA">
          <w:rPr>
            <w:noProof/>
          </w:rPr>
          <w:t>17</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0532" w:rsidRDefault="00AD0532" w:rsidP="002F7832">
      <w:pPr>
        <w:spacing w:after="0" w:line="240" w:lineRule="auto"/>
      </w:pPr>
      <w:r>
        <w:separator/>
      </w:r>
    </w:p>
  </w:footnote>
  <w:footnote w:type="continuationSeparator" w:id="0">
    <w:p w:rsidR="00AD0532" w:rsidRDefault="00AD0532" w:rsidP="002F78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365460"/>
    <w:multiLevelType w:val="hybridMultilevel"/>
    <w:tmpl w:val="3F66ABB8"/>
    <w:lvl w:ilvl="0" w:tplc="FFFFFFF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621C0533"/>
    <w:multiLevelType w:val="hybridMultilevel"/>
    <w:tmpl w:val="DF901E26"/>
    <w:lvl w:ilvl="0" w:tplc="FFFFFFFF">
      <w:start w:val="1"/>
      <w:numFmt w:val="decimal"/>
      <w:lvlText w:val="%1)"/>
      <w:lvlJc w:val="left"/>
      <w:pPr>
        <w:ind w:left="-150" w:hanging="360"/>
      </w:pPr>
    </w:lvl>
    <w:lvl w:ilvl="1" w:tplc="04150019" w:tentative="1">
      <w:start w:val="1"/>
      <w:numFmt w:val="lowerLetter"/>
      <w:lvlText w:val="%2."/>
      <w:lvlJc w:val="left"/>
      <w:pPr>
        <w:ind w:left="570" w:hanging="360"/>
      </w:pPr>
    </w:lvl>
    <w:lvl w:ilvl="2" w:tplc="0415001B" w:tentative="1">
      <w:start w:val="1"/>
      <w:numFmt w:val="lowerRoman"/>
      <w:lvlText w:val="%3."/>
      <w:lvlJc w:val="right"/>
      <w:pPr>
        <w:ind w:left="1290" w:hanging="180"/>
      </w:pPr>
    </w:lvl>
    <w:lvl w:ilvl="3" w:tplc="0415000F" w:tentative="1">
      <w:start w:val="1"/>
      <w:numFmt w:val="decimal"/>
      <w:lvlText w:val="%4."/>
      <w:lvlJc w:val="left"/>
      <w:pPr>
        <w:ind w:left="2010" w:hanging="360"/>
      </w:pPr>
    </w:lvl>
    <w:lvl w:ilvl="4" w:tplc="04150019" w:tentative="1">
      <w:start w:val="1"/>
      <w:numFmt w:val="lowerLetter"/>
      <w:lvlText w:val="%5."/>
      <w:lvlJc w:val="left"/>
      <w:pPr>
        <w:ind w:left="2730" w:hanging="360"/>
      </w:pPr>
    </w:lvl>
    <w:lvl w:ilvl="5" w:tplc="0415001B" w:tentative="1">
      <w:start w:val="1"/>
      <w:numFmt w:val="lowerRoman"/>
      <w:lvlText w:val="%6."/>
      <w:lvlJc w:val="right"/>
      <w:pPr>
        <w:ind w:left="3450" w:hanging="180"/>
      </w:pPr>
    </w:lvl>
    <w:lvl w:ilvl="6" w:tplc="0415000F" w:tentative="1">
      <w:start w:val="1"/>
      <w:numFmt w:val="decimal"/>
      <w:lvlText w:val="%7."/>
      <w:lvlJc w:val="left"/>
      <w:pPr>
        <w:ind w:left="4170" w:hanging="360"/>
      </w:pPr>
    </w:lvl>
    <w:lvl w:ilvl="7" w:tplc="04150019" w:tentative="1">
      <w:start w:val="1"/>
      <w:numFmt w:val="lowerLetter"/>
      <w:lvlText w:val="%8."/>
      <w:lvlJc w:val="left"/>
      <w:pPr>
        <w:ind w:left="4890" w:hanging="360"/>
      </w:pPr>
    </w:lvl>
    <w:lvl w:ilvl="8" w:tplc="0415001B" w:tentative="1">
      <w:start w:val="1"/>
      <w:numFmt w:val="lowerRoman"/>
      <w:lvlText w:val="%9."/>
      <w:lvlJc w:val="right"/>
      <w:pPr>
        <w:ind w:left="561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418F"/>
    <w:rsid w:val="00165165"/>
    <w:rsid w:val="001D2065"/>
    <w:rsid w:val="002F7832"/>
    <w:rsid w:val="005E631D"/>
    <w:rsid w:val="006A1545"/>
    <w:rsid w:val="00835AC7"/>
    <w:rsid w:val="009D15BA"/>
    <w:rsid w:val="00AA1137"/>
    <w:rsid w:val="00AD0532"/>
    <w:rsid w:val="00B622A7"/>
    <w:rsid w:val="00FC418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65871B-3057-4CC6-AE17-2FB9EF5F6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165165"/>
    <w:rPr>
      <w:rFonts w:ascii="Times New Roman" w:hAnsi="Times New Roman"/>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2F7832"/>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F7832"/>
    <w:rPr>
      <w:rFonts w:ascii="Segoe UI" w:hAnsi="Segoe UI" w:cs="Segoe UI"/>
      <w:sz w:val="18"/>
      <w:szCs w:val="18"/>
    </w:rPr>
  </w:style>
  <w:style w:type="paragraph" w:styleId="Nagwek">
    <w:name w:val="header"/>
    <w:basedOn w:val="Normalny"/>
    <w:link w:val="NagwekZnak"/>
    <w:uiPriority w:val="99"/>
    <w:unhideWhenUsed/>
    <w:rsid w:val="002F783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F7832"/>
    <w:rPr>
      <w:rFonts w:ascii="Times New Roman" w:hAnsi="Times New Roman"/>
      <w:sz w:val="24"/>
    </w:rPr>
  </w:style>
  <w:style w:type="paragraph" w:styleId="Stopka">
    <w:name w:val="footer"/>
    <w:basedOn w:val="Normalny"/>
    <w:link w:val="StopkaZnak"/>
    <w:uiPriority w:val="99"/>
    <w:unhideWhenUsed/>
    <w:rsid w:val="002F783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F7832"/>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ip.legalis.pl/document-view.seam?documentId=mfrxilrtg4ytiobrgezdm" TargetMode="External"/><Relationship Id="rId18" Type="http://schemas.openxmlformats.org/officeDocument/2006/relationships/hyperlink" Target="https://sip.legalis.pl/document-view.seam?documentId=mfrxilrtg4ytiobrgezdm" TargetMode="External"/><Relationship Id="rId26" Type="http://schemas.openxmlformats.org/officeDocument/2006/relationships/hyperlink" Target="https://sip.legalis.pl/document-view.seam?documentId=mfrxilrtg4ytiobrgezdm" TargetMode="External"/><Relationship Id="rId21" Type="http://schemas.openxmlformats.org/officeDocument/2006/relationships/hyperlink" Target="https://sip.legalis.pl/document-view.seam?documentId=mfrxilrtg4ytiobrgezdm" TargetMode="External"/><Relationship Id="rId34" Type="http://schemas.openxmlformats.org/officeDocument/2006/relationships/hyperlink" Target="https://sip.legalis.pl/document-view.seam?documentId=mfrxilrtg4ytiobwgu3dgltqmfyc4njtguztenbvgi" TargetMode="External"/><Relationship Id="rId7" Type="http://schemas.openxmlformats.org/officeDocument/2006/relationships/hyperlink" Target="https://sip.legalis.pl/document-view.seam?documentId=mfrxilrtg4ytiobrgezdm" TargetMode="External"/><Relationship Id="rId12" Type="http://schemas.openxmlformats.org/officeDocument/2006/relationships/hyperlink" Target="https://sip.legalis.pl/document-view.seam?documentId=mfrxilrtg4ytiobrgezdm" TargetMode="External"/><Relationship Id="rId17" Type="http://schemas.openxmlformats.org/officeDocument/2006/relationships/hyperlink" Target="https://sip.legalis.pl/document-view.seam?documentId=mfrxilrtg4ytiobrgezdm" TargetMode="External"/><Relationship Id="rId25" Type="http://schemas.openxmlformats.org/officeDocument/2006/relationships/hyperlink" Target="https://sip.legalis.pl/document-view.seam?documentId=mfrxilrtg4ytiobrgezdm" TargetMode="External"/><Relationship Id="rId33" Type="http://schemas.openxmlformats.org/officeDocument/2006/relationships/hyperlink" Target="https://sip.legalis.pl/document-view.seam?documentId=mfrxilrtg4ytgnzqgi3tmltqmfyc4nbzga4dcmbtgu"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sip.legalis.pl/document-view.seam?documentId=mfrxilrtg4ytiobrgezdm" TargetMode="External"/><Relationship Id="rId20" Type="http://schemas.openxmlformats.org/officeDocument/2006/relationships/hyperlink" Target="https://sip.legalis.pl/document-view.seam?documentId=mfrxilrtg4ytiobrgezdm" TargetMode="External"/><Relationship Id="rId29" Type="http://schemas.openxmlformats.org/officeDocument/2006/relationships/hyperlink" Target="https://sip.legalis.pl/document-view.seam?documentId=mfrxilrtg4ytgnzqgi3tmltqmfyc4nbzga4dcmbtg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ip.legalis.pl/document-view.seam?documentId=mfrxilrtg4ytiobrgezdm" TargetMode="External"/><Relationship Id="rId24" Type="http://schemas.openxmlformats.org/officeDocument/2006/relationships/hyperlink" Target="https://sip.legalis.pl/document-view.seam?documentId=mfrxilrtg4ytiobrgezdm" TargetMode="External"/><Relationship Id="rId32" Type="http://schemas.openxmlformats.org/officeDocument/2006/relationships/hyperlink" Target="https://sip.legalis.pl/document-view.seam?documentId=mfrxilrtg4ytgnzqgi3tmltqmfyc4nbzga4dcmbtgu"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sip.legalis.pl/document-view.seam?documentId=mfrxilrtg4ytiobrgezdm" TargetMode="External"/><Relationship Id="rId23" Type="http://schemas.openxmlformats.org/officeDocument/2006/relationships/hyperlink" Target="https://sip.legalis.pl/document-view.seam?documentId=mfrxilrtg4ytiobrgezdm" TargetMode="External"/><Relationship Id="rId28" Type="http://schemas.openxmlformats.org/officeDocument/2006/relationships/hyperlink" Target="https://sip.legalis.pl/document-view.seam?documentId=mfrxilrtg4ytgnzqgi3tmltqmfyc4nbzga4dcmbtgu" TargetMode="External"/><Relationship Id="rId36" Type="http://schemas.openxmlformats.org/officeDocument/2006/relationships/footer" Target="footer1.xml"/><Relationship Id="rId10" Type="http://schemas.openxmlformats.org/officeDocument/2006/relationships/hyperlink" Target="https://sip.legalis.pl/document-view.seam?documentId=mfrxilrtg4ytiobrgezdm" TargetMode="External"/><Relationship Id="rId19" Type="http://schemas.openxmlformats.org/officeDocument/2006/relationships/hyperlink" Target="https://sip.legalis.pl/document-view.seam?documentId=mfrxilrtg4ytiobrgezdm" TargetMode="External"/><Relationship Id="rId31" Type="http://schemas.openxmlformats.org/officeDocument/2006/relationships/hyperlink" Target="https://sip.legalis.pl/document-view.seam?documentId=mfrxilrtg4ytiobwgu3dgltqmfyc4njtguztenbvgi" TargetMode="External"/><Relationship Id="rId4" Type="http://schemas.openxmlformats.org/officeDocument/2006/relationships/webSettings" Target="webSettings.xml"/><Relationship Id="rId9" Type="http://schemas.openxmlformats.org/officeDocument/2006/relationships/hyperlink" Target="https://sip.legalis.pl/document-view.seam?documentId=mfrxilrtg4ytiobrgezdm" TargetMode="External"/><Relationship Id="rId14" Type="http://schemas.openxmlformats.org/officeDocument/2006/relationships/hyperlink" Target="https://sip.legalis.pl/document-view.seam?documentId=mfrxilrtg4ytiobrgezdm" TargetMode="External"/><Relationship Id="rId22" Type="http://schemas.openxmlformats.org/officeDocument/2006/relationships/hyperlink" Target="https://sip.legalis.pl/document-view.seam?documentId=mfrxilrtg4ytiobrgezdm" TargetMode="External"/><Relationship Id="rId27" Type="http://schemas.openxmlformats.org/officeDocument/2006/relationships/hyperlink" Target="https://sip.legalis.pl/document-view.seam?documentId=mfrxilrtg4ytemzugm3dmltqmfyc4nbshe4dcmzqgq" TargetMode="External"/><Relationship Id="rId30" Type="http://schemas.openxmlformats.org/officeDocument/2006/relationships/hyperlink" Target="https://sip.legalis.pl/document-view.seam?documentId=mfrxilrtg4ytiobwgu3dgltqmfyc4njtguztenbvgi" TargetMode="External"/><Relationship Id="rId35" Type="http://schemas.openxmlformats.org/officeDocument/2006/relationships/hyperlink" Target="https://sip.legalis.pl/document-view.seam?documentId=mfrxilrtg4ytiobwgu3dgltqmfyc4njtguztenbvgi" TargetMode="External"/><Relationship Id="rId8" Type="http://schemas.openxmlformats.org/officeDocument/2006/relationships/hyperlink" Target="https://sip.legalis.pl/document-view.seam?documentId=mfrxilrtg4ytiobrgezdm" TargetMode="External"/><Relationship Id="rId3"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6964</Words>
  <Characters>41786</Characters>
  <Application>Microsoft Office Word</Application>
  <DocSecurity>0</DocSecurity>
  <Lines>348</Lines>
  <Paragraphs>97</Paragraphs>
  <ScaleCrop>false</ScaleCrop>
  <HeadingPairs>
    <vt:vector size="2" baseType="variant">
      <vt:variant>
        <vt:lpstr>Tytuł</vt:lpstr>
      </vt:variant>
      <vt:variant>
        <vt:i4>1</vt:i4>
      </vt:variant>
    </vt:vector>
  </HeadingPairs>
  <TitlesOfParts>
    <vt:vector size="1" baseType="lpstr">
      <vt:lpstr/>
    </vt:vector>
  </TitlesOfParts>
  <Company>Kancelaria Prezesa Rady Ministrow</Company>
  <LinksUpToDate>false</LinksUpToDate>
  <CharactersWithSpaces>48653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Zesławska Barbara</dc:creator>
  <cp:keywords/>
  <dc:description/>
  <cp:lastModifiedBy>Rybkowska Bożena</cp:lastModifiedBy>
  <cp:revision>3</cp:revision>
  <dcterms:created xsi:type="dcterms:W3CDTF">2021-06-29T17:29:00Z</dcterms:created>
  <dcterms:modified xsi:type="dcterms:W3CDTF">2021-06-29T17:51:00Z</dcterms:modified>
</cp:coreProperties>
</file>