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CB9ADF5" w14:textId="248C4315" w:rsidR="008D28E0" w:rsidRPr="00FB07E3" w:rsidRDefault="008D28E0" w:rsidP="00FB07E3">
      <w:pPr>
        <w:pStyle w:val="ARTartustawynprozporzdzenia"/>
        <w:tabs>
          <w:tab w:val="left" w:pos="8647"/>
        </w:tabs>
        <w:ind w:firstLine="0"/>
        <w:jc w:val="center"/>
        <w:rPr>
          <w:rFonts w:ascii="Times New Roman" w:eastAsia="Times New Roman" w:hAnsi="Times New Roman" w:cs="Times New Roman"/>
          <w:szCs w:val="24"/>
          <w:shd w:val="clear" w:color="auto" w:fill="FFFFFF"/>
        </w:rPr>
      </w:pPr>
      <w:bookmarkStart w:id="0" w:name="_GoBack"/>
      <w:bookmarkEnd w:id="0"/>
      <w:r w:rsidRPr="00FB07E3">
        <w:rPr>
          <w:rFonts w:ascii="Times New Roman" w:eastAsia="Times New Roman" w:hAnsi="Times New Roman" w:cs="Times New Roman"/>
          <w:szCs w:val="24"/>
          <w:shd w:val="clear" w:color="auto" w:fill="FFFFFF"/>
        </w:rPr>
        <w:t>UZASADNIENIE</w:t>
      </w:r>
    </w:p>
    <w:p w14:paraId="685707BE" w14:textId="64A01416" w:rsidR="00AF4EFF" w:rsidRPr="004D731E" w:rsidRDefault="008D28E0" w:rsidP="00FB07E3">
      <w:pPr>
        <w:pStyle w:val="ARTartustawynprozporzdzenia"/>
        <w:ind w:firstLine="0"/>
        <w:rPr>
          <w:rFonts w:ascii="Times New Roman" w:eastAsia="Times New Roman" w:hAnsi="Times New Roman" w:cs="Times New Roman"/>
          <w:b/>
          <w:szCs w:val="24"/>
          <w:shd w:val="clear" w:color="auto" w:fill="FFFFFF"/>
        </w:rPr>
      </w:pPr>
      <w:r w:rsidRPr="004D731E">
        <w:rPr>
          <w:rFonts w:ascii="Times New Roman" w:eastAsia="Times New Roman" w:hAnsi="Times New Roman" w:cs="Times New Roman"/>
          <w:b/>
          <w:szCs w:val="24"/>
          <w:shd w:val="clear" w:color="auto" w:fill="FFFFFF"/>
        </w:rPr>
        <w:t>Projektowana zmiana art. 121</w:t>
      </w:r>
      <w:r w:rsidR="00AF4EFF" w:rsidRPr="004D731E">
        <w:rPr>
          <w:rFonts w:ascii="Times New Roman" w:eastAsia="Times New Roman" w:hAnsi="Times New Roman" w:cs="Times New Roman"/>
          <w:b/>
          <w:szCs w:val="24"/>
          <w:shd w:val="clear" w:color="auto" w:fill="FFFFFF"/>
        </w:rPr>
        <w:t xml:space="preserve">, </w:t>
      </w:r>
      <w:r w:rsidRPr="004D731E">
        <w:rPr>
          <w:rFonts w:ascii="Times New Roman" w:eastAsia="Times New Roman" w:hAnsi="Times New Roman" w:cs="Times New Roman"/>
          <w:b/>
          <w:szCs w:val="24"/>
          <w:shd w:val="clear" w:color="auto" w:fill="FFFFFF"/>
        </w:rPr>
        <w:t xml:space="preserve">art. 123 </w:t>
      </w:r>
      <w:r w:rsidR="00AF4EFF" w:rsidRPr="004D731E">
        <w:rPr>
          <w:rFonts w:ascii="Times New Roman" w:eastAsia="Times New Roman" w:hAnsi="Times New Roman" w:cs="Times New Roman"/>
          <w:b/>
          <w:szCs w:val="24"/>
          <w:shd w:val="clear" w:color="auto" w:fill="FFFFFF"/>
        </w:rPr>
        <w:t xml:space="preserve">i art. </w:t>
      </w:r>
      <w:r w:rsidR="003C6061" w:rsidRPr="004D731E">
        <w:rPr>
          <w:rFonts w:ascii="Times New Roman" w:eastAsia="Times New Roman" w:hAnsi="Times New Roman" w:cs="Times New Roman"/>
          <w:b/>
          <w:szCs w:val="24"/>
          <w:shd w:val="clear" w:color="auto" w:fill="FFFFFF"/>
        </w:rPr>
        <w:t>1</w:t>
      </w:r>
      <w:r w:rsidR="00AF4EFF" w:rsidRPr="004D731E">
        <w:rPr>
          <w:rFonts w:ascii="Times New Roman" w:eastAsia="Times New Roman" w:hAnsi="Times New Roman" w:cs="Times New Roman"/>
          <w:b/>
          <w:szCs w:val="24"/>
          <w:shd w:val="clear" w:color="auto" w:fill="FFFFFF"/>
        </w:rPr>
        <w:t xml:space="preserve">24 </w:t>
      </w:r>
      <w:r w:rsidRPr="004D731E">
        <w:rPr>
          <w:rFonts w:ascii="Times New Roman" w:eastAsia="Times New Roman" w:hAnsi="Times New Roman" w:cs="Times New Roman"/>
          <w:b/>
          <w:szCs w:val="24"/>
          <w:shd w:val="clear" w:color="auto" w:fill="FFFFFF"/>
        </w:rPr>
        <w:t>ustawy z dnia 23 kwietnia 1964 r. – Kodeks cywilny (</w:t>
      </w:r>
      <w:r w:rsidR="009015EF" w:rsidRPr="00FB07E3">
        <w:rPr>
          <w:rFonts w:ascii="Times New Roman" w:eastAsia="Times New Roman" w:hAnsi="Times New Roman" w:cs="Times New Roman"/>
          <w:b/>
          <w:szCs w:val="24"/>
        </w:rPr>
        <w:t>Dz. U. z 2020 r. poz. 1740</w:t>
      </w:r>
      <w:r w:rsidR="0050643C" w:rsidRPr="00FB07E3">
        <w:rPr>
          <w:rFonts w:ascii="Times New Roman" w:eastAsia="Times New Roman" w:hAnsi="Times New Roman" w:cs="Times New Roman"/>
          <w:b/>
          <w:szCs w:val="24"/>
        </w:rPr>
        <w:t>,</w:t>
      </w:r>
      <w:r w:rsidR="009015EF" w:rsidRPr="00FB07E3">
        <w:rPr>
          <w:rFonts w:ascii="Times New Roman" w:eastAsia="Times New Roman" w:hAnsi="Times New Roman" w:cs="Times New Roman"/>
          <w:b/>
          <w:szCs w:val="24"/>
        </w:rPr>
        <w:t xml:space="preserve"> </w:t>
      </w:r>
      <w:r w:rsidR="00B6538A" w:rsidRPr="00FB07E3">
        <w:rPr>
          <w:rFonts w:ascii="Times New Roman" w:eastAsia="Times New Roman" w:hAnsi="Times New Roman" w:cs="Times New Roman"/>
          <w:b/>
          <w:szCs w:val="24"/>
        </w:rPr>
        <w:t>z późn. zm.</w:t>
      </w:r>
      <w:r w:rsidRPr="004D731E">
        <w:rPr>
          <w:rFonts w:ascii="Times New Roman" w:eastAsia="Times New Roman" w:hAnsi="Times New Roman" w:cs="Times New Roman"/>
          <w:b/>
          <w:szCs w:val="24"/>
          <w:shd w:val="clear" w:color="auto" w:fill="FFFFFF"/>
        </w:rPr>
        <w:t xml:space="preserve">) – dalej zwanej </w:t>
      </w:r>
      <w:r w:rsidR="004D731E">
        <w:rPr>
          <w:rFonts w:ascii="Times New Roman" w:eastAsia="Times New Roman" w:hAnsi="Times New Roman" w:cs="Times New Roman"/>
          <w:b/>
          <w:szCs w:val="24"/>
          <w:shd w:val="clear" w:color="auto" w:fill="FFFFFF"/>
        </w:rPr>
        <w:t>„</w:t>
      </w:r>
      <w:r w:rsidRPr="004D731E">
        <w:rPr>
          <w:rFonts w:ascii="Times New Roman" w:eastAsia="Times New Roman" w:hAnsi="Times New Roman" w:cs="Times New Roman"/>
          <w:b/>
          <w:szCs w:val="24"/>
          <w:shd w:val="clear" w:color="auto" w:fill="FFFFFF"/>
        </w:rPr>
        <w:t>Kodeks cywilny”</w:t>
      </w:r>
    </w:p>
    <w:p w14:paraId="7D91F2EF" w14:textId="1AC352CF" w:rsidR="008D28E0" w:rsidRPr="004D731E" w:rsidRDefault="008D28E0" w:rsidP="00FB07E3">
      <w:pPr>
        <w:pStyle w:val="ARTartustawynprozporzdzenia"/>
        <w:ind w:firstLine="0"/>
        <w:rPr>
          <w:rFonts w:ascii="Times New Roman" w:eastAsia="Times New Roman" w:hAnsi="Times New Roman" w:cs="Times New Roman"/>
          <w:szCs w:val="24"/>
          <w:highlight w:val="white"/>
        </w:rPr>
      </w:pPr>
      <w:r w:rsidRPr="004D731E">
        <w:rPr>
          <w:rFonts w:ascii="Times New Roman" w:eastAsia="Times New Roman" w:hAnsi="Times New Roman" w:cs="Times New Roman"/>
          <w:szCs w:val="24"/>
          <w:shd w:val="clear" w:color="auto" w:fill="FFFFFF"/>
        </w:rPr>
        <w:t>W obecnym stanie prawnym zarówno w doktrynie, jak i orzecznictwie sądów powszechnych oraz Sądu Najwyższego</w:t>
      </w:r>
      <w:r w:rsidR="007735FD" w:rsidRPr="004D731E">
        <w:rPr>
          <w:rFonts w:ascii="Times New Roman" w:eastAsia="Times New Roman" w:hAnsi="Times New Roman" w:cs="Times New Roman"/>
          <w:szCs w:val="24"/>
          <w:shd w:val="clear" w:color="auto" w:fill="FFFFFF"/>
        </w:rPr>
        <w:t>,</w:t>
      </w:r>
      <w:r w:rsidRPr="004D731E">
        <w:rPr>
          <w:rFonts w:ascii="Times New Roman" w:eastAsia="Times New Roman" w:hAnsi="Times New Roman" w:cs="Times New Roman"/>
          <w:szCs w:val="24"/>
          <w:shd w:val="clear" w:color="auto" w:fill="FFFFFF"/>
        </w:rPr>
        <w:t xml:space="preserve"> </w:t>
      </w:r>
      <w:r w:rsidR="00A83F61" w:rsidRPr="004D731E">
        <w:rPr>
          <w:rFonts w:ascii="Times New Roman" w:eastAsia="Times New Roman" w:hAnsi="Times New Roman" w:cs="Times New Roman"/>
          <w:szCs w:val="24"/>
          <w:shd w:val="clear" w:color="auto" w:fill="FFFFFF"/>
        </w:rPr>
        <w:t xml:space="preserve">za </w:t>
      </w:r>
      <w:r w:rsidR="004B4E70" w:rsidRPr="004D731E">
        <w:rPr>
          <w:rFonts w:ascii="Times New Roman" w:eastAsia="Times New Roman" w:hAnsi="Times New Roman" w:cs="Times New Roman"/>
          <w:szCs w:val="24"/>
          <w:shd w:val="clear" w:color="auto" w:fill="FFFFFF"/>
        </w:rPr>
        <w:t>dominujący</w:t>
      </w:r>
      <w:r w:rsidR="00A83F61" w:rsidRPr="004D731E">
        <w:rPr>
          <w:rFonts w:ascii="Times New Roman" w:eastAsia="Times New Roman" w:hAnsi="Times New Roman" w:cs="Times New Roman"/>
          <w:szCs w:val="24"/>
          <w:shd w:val="clear" w:color="auto" w:fill="FFFFFF"/>
        </w:rPr>
        <w:t xml:space="preserve"> należy uznać</w:t>
      </w:r>
      <w:r w:rsidRPr="004D731E">
        <w:rPr>
          <w:rFonts w:ascii="Times New Roman" w:eastAsia="Times New Roman" w:hAnsi="Times New Roman" w:cs="Times New Roman"/>
          <w:szCs w:val="24"/>
          <w:shd w:val="clear" w:color="auto" w:fill="FFFFFF"/>
        </w:rPr>
        <w:t xml:space="preserve"> pogląd, że</w:t>
      </w:r>
      <w:r w:rsidR="004D731E">
        <w:rPr>
          <w:rFonts w:ascii="Times New Roman" w:eastAsia="Times New Roman" w:hAnsi="Times New Roman" w:cs="Times New Roman"/>
          <w:szCs w:val="24"/>
          <w:shd w:val="clear" w:color="auto" w:fill="FFFFFF"/>
        </w:rPr>
        <w:t xml:space="preserve"> </w:t>
      </w:r>
      <w:r w:rsidRPr="004D731E">
        <w:rPr>
          <w:rFonts w:ascii="Times New Roman" w:eastAsia="Times New Roman" w:hAnsi="Times New Roman" w:cs="Times New Roman"/>
          <w:szCs w:val="24"/>
          <w:shd w:val="clear" w:color="auto" w:fill="FFFFFF"/>
        </w:rPr>
        <w:t>do</w:t>
      </w:r>
      <w:r w:rsidR="004D731E">
        <w:rPr>
          <w:rFonts w:ascii="Times New Roman" w:eastAsia="Times New Roman" w:hAnsi="Times New Roman" w:cs="Times New Roman"/>
          <w:szCs w:val="24"/>
          <w:shd w:val="clear" w:color="auto" w:fill="FFFFFF"/>
        </w:rPr>
        <w:t xml:space="preserve"> </w:t>
      </w:r>
      <w:r w:rsidRPr="004D731E">
        <w:rPr>
          <w:rFonts w:ascii="Times New Roman" w:eastAsia="Times New Roman" w:hAnsi="Times New Roman" w:cs="Times New Roman"/>
          <w:szCs w:val="24"/>
          <w:shd w:val="clear" w:color="auto" w:fill="FFFFFF"/>
        </w:rPr>
        <w:t>przerwania biegu terminu przedawnienia dochodzi na skutek</w:t>
      </w:r>
      <w:r w:rsidR="00F32275" w:rsidRPr="004D731E">
        <w:rPr>
          <w:rFonts w:ascii="Times New Roman" w:eastAsia="Times New Roman" w:hAnsi="Times New Roman" w:cs="Times New Roman"/>
          <w:szCs w:val="24"/>
          <w:shd w:val="clear" w:color="auto" w:fill="FFFFFF"/>
        </w:rPr>
        <w:t xml:space="preserve"> między innymi</w:t>
      </w:r>
      <w:r w:rsidRPr="004D731E">
        <w:rPr>
          <w:rFonts w:ascii="Times New Roman" w:eastAsia="Times New Roman" w:hAnsi="Times New Roman" w:cs="Times New Roman"/>
          <w:szCs w:val="24"/>
          <w:shd w:val="clear" w:color="auto" w:fill="FFFFFF"/>
        </w:rPr>
        <w:t xml:space="preserve"> złożenia pierwszego wniosku o</w:t>
      </w:r>
      <w:r w:rsidR="004D731E">
        <w:rPr>
          <w:rFonts w:ascii="Times New Roman" w:eastAsia="Times New Roman" w:hAnsi="Times New Roman" w:cs="Times New Roman"/>
          <w:szCs w:val="24"/>
          <w:shd w:val="clear" w:color="auto" w:fill="FFFFFF"/>
        </w:rPr>
        <w:t xml:space="preserve"> </w:t>
      </w:r>
      <w:r w:rsidRPr="004D731E">
        <w:rPr>
          <w:rFonts w:ascii="Times New Roman" w:eastAsia="Times New Roman" w:hAnsi="Times New Roman" w:cs="Times New Roman"/>
          <w:szCs w:val="24"/>
          <w:shd w:val="clear" w:color="auto" w:fill="FFFFFF"/>
        </w:rPr>
        <w:t>zawezwanie do próby ugodowej, jako czynności przedsięwziętej przed sądem bezpośrednio w celu dochodzenia lub ustalenia albo zaspokojenia lub zabezpieczenia roszczenia (art. 123 §</w:t>
      </w:r>
      <w:r w:rsidR="004D731E">
        <w:rPr>
          <w:rFonts w:ascii="Times New Roman" w:eastAsia="Times New Roman" w:hAnsi="Times New Roman" w:cs="Times New Roman"/>
          <w:szCs w:val="24"/>
          <w:shd w:val="clear" w:color="auto" w:fill="FFFFFF"/>
        </w:rPr>
        <w:t xml:space="preserve"> </w:t>
      </w:r>
      <w:r w:rsidRPr="004D731E">
        <w:rPr>
          <w:rFonts w:ascii="Times New Roman" w:eastAsia="Times New Roman" w:hAnsi="Times New Roman" w:cs="Times New Roman"/>
          <w:szCs w:val="24"/>
          <w:shd w:val="clear" w:color="auto" w:fill="FFFFFF"/>
        </w:rPr>
        <w:t>1</w:t>
      </w:r>
      <w:r w:rsidR="004D731E">
        <w:rPr>
          <w:rFonts w:ascii="Times New Roman" w:eastAsia="Times New Roman" w:hAnsi="Times New Roman" w:cs="Times New Roman"/>
          <w:szCs w:val="24"/>
          <w:shd w:val="clear" w:color="auto" w:fill="FFFFFF"/>
        </w:rPr>
        <w:t xml:space="preserve"> </w:t>
      </w:r>
      <w:r w:rsidRPr="004D731E">
        <w:rPr>
          <w:rFonts w:ascii="Times New Roman" w:eastAsia="Times New Roman" w:hAnsi="Times New Roman" w:cs="Times New Roman"/>
          <w:szCs w:val="24"/>
          <w:shd w:val="clear" w:color="auto" w:fill="FFFFFF"/>
        </w:rPr>
        <w:t xml:space="preserve">pkt 1 </w:t>
      </w:r>
      <w:r w:rsidR="000753B8" w:rsidRPr="004D731E">
        <w:rPr>
          <w:rFonts w:ascii="Times New Roman" w:eastAsia="Times New Roman" w:hAnsi="Times New Roman" w:cs="Times New Roman"/>
          <w:szCs w:val="24"/>
          <w:shd w:val="clear" w:color="auto" w:fill="FFFFFF"/>
        </w:rPr>
        <w:t xml:space="preserve">Kodeksu </w:t>
      </w:r>
      <w:r w:rsidRPr="004D731E">
        <w:rPr>
          <w:rFonts w:ascii="Times New Roman" w:eastAsia="Times New Roman" w:hAnsi="Times New Roman" w:cs="Times New Roman"/>
          <w:szCs w:val="24"/>
          <w:shd w:val="clear" w:color="auto" w:fill="FFFFFF"/>
        </w:rPr>
        <w:t>c</w:t>
      </w:r>
      <w:r w:rsidR="000753B8" w:rsidRPr="004D731E">
        <w:rPr>
          <w:rFonts w:ascii="Times New Roman" w:eastAsia="Times New Roman" w:hAnsi="Times New Roman" w:cs="Times New Roman"/>
          <w:szCs w:val="24"/>
          <w:shd w:val="clear" w:color="auto" w:fill="FFFFFF"/>
        </w:rPr>
        <w:t>ywilnego</w:t>
      </w:r>
      <w:r w:rsidRPr="004D731E">
        <w:rPr>
          <w:rFonts w:ascii="Times New Roman" w:eastAsia="Times New Roman" w:hAnsi="Times New Roman" w:cs="Times New Roman"/>
          <w:szCs w:val="24"/>
          <w:shd w:val="clear" w:color="auto" w:fill="FFFFFF"/>
        </w:rPr>
        <w:t>), jak i wszczęcia pierwszej mediacji</w:t>
      </w:r>
      <w:r w:rsidR="007B2913" w:rsidRPr="00324258">
        <w:rPr>
          <w:rFonts w:ascii="Times New Roman" w:eastAsia="Times New Roman" w:hAnsi="Times New Roman" w:cs="Times New Roman"/>
          <w:szCs w:val="24"/>
          <w:shd w:val="clear" w:color="auto" w:fill="FFFFFF"/>
        </w:rPr>
        <w:t xml:space="preserve"> pozasądowej</w:t>
      </w:r>
      <w:r w:rsidRPr="00324258">
        <w:rPr>
          <w:rFonts w:ascii="Times New Roman" w:eastAsia="Times New Roman" w:hAnsi="Times New Roman" w:cs="Times New Roman"/>
          <w:szCs w:val="24"/>
          <w:shd w:val="clear" w:color="auto" w:fill="FFFFFF"/>
        </w:rPr>
        <w:t xml:space="preserve"> (art. 123 § 1 pkt 3 </w:t>
      </w:r>
      <w:r w:rsidR="000753B8" w:rsidRPr="00324258">
        <w:rPr>
          <w:rFonts w:ascii="Times New Roman" w:eastAsia="Times New Roman" w:hAnsi="Times New Roman" w:cs="Times New Roman"/>
          <w:szCs w:val="24"/>
          <w:shd w:val="clear" w:color="auto" w:fill="FFFFFF"/>
        </w:rPr>
        <w:t xml:space="preserve">Kodeksu </w:t>
      </w:r>
      <w:r w:rsidRPr="00324258">
        <w:rPr>
          <w:rFonts w:ascii="Times New Roman" w:eastAsia="Times New Roman" w:hAnsi="Times New Roman" w:cs="Times New Roman"/>
          <w:szCs w:val="24"/>
          <w:shd w:val="clear" w:color="auto" w:fill="FFFFFF"/>
        </w:rPr>
        <w:t>c</w:t>
      </w:r>
      <w:r w:rsidR="000753B8" w:rsidRPr="004D731E">
        <w:rPr>
          <w:rFonts w:ascii="Times New Roman" w:eastAsia="Times New Roman" w:hAnsi="Times New Roman" w:cs="Times New Roman"/>
          <w:szCs w:val="24"/>
          <w:shd w:val="clear" w:color="auto" w:fill="FFFFFF"/>
        </w:rPr>
        <w:t>ywilnego</w:t>
      </w:r>
      <w:r w:rsidRPr="004D731E">
        <w:rPr>
          <w:rFonts w:ascii="Times New Roman" w:eastAsia="Times New Roman" w:hAnsi="Times New Roman" w:cs="Times New Roman"/>
          <w:szCs w:val="24"/>
          <w:shd w:val="clear" w:color="auto" w:fill="FFFFFF"/>
        </w:rPr>
        <w:t>).</w:t>
      </w:r>
    </w:p>
    <w:p w14:paraId="6321C969" w14:textId="4836EB3D" w:rsidR="008D28E0" w:rsidRPr="004D731E" w:rsidRDefault="008D28E0" w:rsidP="00FB07E3">
      <w:pPr>
        <w:pStyle w:val="ARTartustawynprozporzdzenia"/>
        <w:ind w:firstLine="0"/>
        <w:rPr>
          <w:rFonts w:ascii="Times New Roman" w:hAnsi="Times New Roman" w:cs="Times New Roman"/>
          <w:szCs w:val="24"/>
          <w:highlight w:val="white"/>
        </w:rPr>
      </w:pPr>
      <w:r w:rsidRPr="004D731E">
        <w:rPr>
          <w:rFonts w:ascii="Times New Roman" w:eastAsia="Times New Roman" w:hAnsi="Times New Roman" w:cs="Times New Roman"/>
          <w:szCs w:val="24"/>
          <w:shd w:val="clear" w:color="auto" w:fill="FFFFFF"/>
        </w:rPr>
        <w:t>Kontrowersje natomiast budzi, czy taki sam skutek odnoszą również kolejne wnioski o</w:t>
      </w:r>
      <w:r w:rsidR="004D731E">
        <w:rPr>
          <w:rFonts w:ascii="Times New Roman" w:eastAsia="Times New Roman" w:hAnsi="Times New Roman" w:cs="Times New Roman"/>
          <w:szCs w:val="24"/>
          <w:shd w:val="clear" w:color="auto" w:fill="FFFFFF"/>
        </w:rPr>
        <w:t xml:space="preserve"> </w:t>
      </w:r>
      <w:r w:rsidRPr="004D731E">
        <w:rPr>
          <w:rFonts w:ascii="Times New Roman" w:eastAsia="Times New Roman" w:hAnsi="Times New Roman" w:cs="Times New Roman"/>
          <w:szCs w:val="24"/>
          <w:shd w:val="clear" w:color="auto" w:fill="FFFFFF"/>
        </w:rPr>
        <w:t xml:space="preserve">zawezwanie do próby ugodowej lub kolejne wszczęcie mediacji. W praktyce bowiem obserwuje się narastające zjawisko, polegające na składaniu przez wierzycieli </w:t>
      </w:r>
      <w:r w:rsidRPr="00324258">
        <w:rPr>
          <w:rFonts w:ascii="Times New Roman" w:eastAsia="Times New Roman" w:hAnsi="Times New Roman" w:cs="Times New Roman"/>
          <w:szCs w:val="24"/>
          <w:shd w:val="clear" w:color="auto" w:fill="FFFFFF"/>
        </w:rPr>
        <w:t xml:space="preserve">powtórnych wniosków o zawezwanie do próby ugodowej jedynie w celu przerwania biegu przedawnienia. Powyższe działanie wierzycieli, </w:t>
      </w:r>
      <w:r w:rsidR="003C47ED" w:rsidRPr="004D731E">
        <w:rPr>
          <w:rFonts w:ascii="Times New Roman" w:eastAsia="Times New Roman" w:hAnsi="Times New Roman" w:cs="Times New Roman"/>
          <w:szCs w:val="24"/>
          <w:shd w:val="clear" w:color="auto" w:fill="FFFFFF"/>
        </w:rPr>
        <w:t xml:space="preserve">oceniane </w:t>
      </w:r>
      <w:r w:rsidRPr="004D731E">
        <w:rPr>
          <w:rFonts w:ascii="Times New Roman" w:eastAsia="Times New Roman" w:hAnsi="Times New Roman" w:cs="Times New Roman"/>
          <w:szCs w:val="24"/>
          <w:shd w:val="clear" w:color="auto" w:fill="FFFFFF"/>
        </w:rPr>
        <w:t>zdecydowanie negatywn</w:t>
      </w:r>
      <w:r w:rsidR="003C47ED" w:rsidRPr="004D731E">
        <w:rPr>
          <w:rFonts w:ascii="Times New Roman" w:eastAsia="Times New Roman" w:hAnsi="Times New Roman" w:cs="Times New Roman"/>
          <w:szCs w:val="24"/>
          <w:shd w:val="clear" w:color="auto" w:fill="FFFFFF"/>
        </w:rPr>
        <w:t>i</w:t>
      </w:r>
      <w:r w:rsidRPr="004D731E">
        <w:rPr>
          <w:rFonts w:ascii="Times New Roman" w:eastAsia="Times New Roman" w:hAnsi="Times New Roman" w:cs="Times New Roman"/>
          <w:szCs w:val="24"/>
          <w:shd w:val="clear" w:color="auto" w:fill="FFFFFF"/>
        </w:rPr>
        <w:t>e, stoi niewątpliwie w</w:t>
      </w:r>
      <w:r w:rsidR="004D731E">
        <w:rPr>
          <w:rFonts w:ascii="Times New Roman" w:eastAsia="Times New Roman" w:hAnsi="Times New Roman" w:cs="Times New Roman"/>
          <w:szCs w:val="24"/>
          <w:shd w:val="clear" w:color="auto" w:fill="FFFFFF"/>
        </w:rPr>
        <w:t xml:space="preserve"> </w:t>
      </w:r>
      <w:r w:rsidRPr="004D731E">
        <w:rPr>
          <w:rFonts w:ascii="Times New Roman" w:eastAsia="Times New Roman" w:hAnsi="Times New Roman" w:cs="Times New Roman"/>
          <w:szCs w:val="24"/>
          <w:shd w:val="clear" w:color="auto" w:fill="FFFFFF"/>
        </w:rPr>
        <w:t xml:space="preserve">sprzeczności </w:t>
      </w:r>
      <w:r w:rsidRPr="004D731E">
        <w:rPr>
          <w:rFonts w:ascii="Times New Roman" w:hAnsi="Times New Roman" w:cs="Times New Roman"/>
          <w:szCs w:val="24"/>
          <w:shd w:val="clear" w:color="auto" w:fill="FFFFFF"/>
        </w:rPr>
        <w:t>z</w:t>
      </w:r>
      <w:r w:rsidR="004D731E">
        <w:rPr>
          <w:rFonts w:ascii="Times New Roman" w:hAnsi="Times New Roman" w:cs="Times New Roman"/>
          <w:szCs w:val="24"/>
          <w:shd w:val="clear" w:color="auto" w:fill="FFFFFF"/>
        </w:rPr>
        <w:t xml:space="preserve"> </w:t>
      </w:r>
      <w:r w:rsidRPr="004D731E">
        <w:rPr>
          <w:rFonts w:ascii="Times New Roman" w:hAnsi="Times New Roman" w:cs="Times New Roman"/>
          <w:szCs w:val="24"/>
          <w:shd w:val="clear" w:color="auto" w:fill="FFFFFF"/>
        </w:rPr>
        <w:t>istotą instytucji przedawnienia, której celem jest stabilizacja stosunków prawnych, pewność obrotu prawnego, mobilizowanie wierzyciela do szybkiego dochodzenia praw i wreszcie ochrona dłużnika przed zbyt długo trwającym stanem niepewności</w:t>
      </w:r>
      <w:r w:rsidR="004D731E">
        <w:rPr>
          <w:rFonts w:ascii="Times New Roman" w:hAnsi="Times New Roman" w:cs="Times New Roman"/>
          <w:szCs w:val="24"/>
          <w:shd w:val="clear" w:color="auto" w:fill="FFFFFF"/>
        </w:rPr>
        <w:t xml:space="preserve"> </w:t>
      </w:r>
      <w:r w:rsidRPr="004D731E">
        <w:rPr>
          <w:rFonts w:ascii="Times New Roman" w:hAnsi="Times New Roman" w:cs="Times New Roman"/>
          <w:szCs w:val="24"/>
          <w:shd w:val="clear" w:color="auto" w:fill="FFFFFF"/>
        </w:rPr>
        <w:t>co do istnienia obowiązku. Nie jest również zgodne z podstawowym założeniem postępowania pojednawczego, którym jest zawarcie ugody, a nie przerwanie biegu przedawnienia. Dodatkowo może prowadzić do</w:t>
      </w:r>
      <w:r w:rsidR="004D731E">
        <w:rPr>
          <w:rFonts w:ascii="Times New Roman" w:hAnsi="Times New Roman" w:cs="Times New Roman"/>
          <w:szCs w:val="24"/>
          <w:shd w:val="clear" w:color="auto" w:fill="FFFFFF"/>
        </w:rPr>
        <w:t xml:space="preserve"> </w:t>
      </w:r>
      <w:r w:rsidRPr="004D731E">
        <w:rPr>
          <w:rFonts w:ascii="Times New Roman" w:hAnsi="Times New Roman" w:cs="Times New Roman"/>
          <w:szCs w:val="24"/>
          <w:shd w:val="clear" w:color="auto" w:fill="FFFFFF"/>
        </w:rPr>
        <w:t>skrajnej sytuacji, w której roszczenie, co do którego są</w:t>
      </w:r>
      <w:r w:rsidR="004D731E">
        <w:rPr>
          <w:rFonts w:ascii="Times New Roman" w:hAnsi="Times New Roman" w:cs="Times New Roman"/>
          <w:szCs w:val="24"/>
          <w:shd w:val="clear" w:color="auto" w:fill="FFFFFF"/>
        </w:rPr>
        <w:t xml:space="preserve"> </w:t>
      </w:r>
      <w:r w:rsidRPr="004D731E">
        <w:rPr>
          <w:rFonts w:ascii="Times New Roman" w:hAnsi="Times New Roman" w:cs="Times New Roman"/>
          <w:szCs w:val="24"/>
          <w:shd w:val="clear" w:color="auto" w:fill="FFFFFF"/>
        </w:rPr>
        <w:t>składane wnioski o zawezwanie do</w:t>
      </w:r>
      <w:r w:rsidR="004D731E">
        <w:rPr>
          <w:rFonts w:ascii="Times New Roman" w:hAnsi="Times New Roman" w:cs="Times New Roman"/>
          <w:szCs w:val="24"/>
          <w:shd w:val="clear" w:color="auto" w:fill="FFFFFF"/>
        </w:rPr>
        <w:t xml:space="preserve"> </w:t>
      </w:r>
      <w:r w:rsidRPr="004D731E">
        <w:rPr>
          <w:rFonts w:ascii="Times New Roman" w:hAnsi="Times New Roman" w:cs="Times New Roman"/>
          <w:szCs w:val="24"/>
          <w:shd w:val="clear" w:color="auto" w:fill="FFFFFF"/>
        </w:rPr>
        <w:t xml:space="preserve">próby ugodowej, nigdy nie ulegnie przedawnieniu. </w:t>
      </w:r>
    </w:p>
    <w:p w14:paraId="0CB11A95" w14:textId="1BA0219E" w:rsidR="00F80937" w:rsidRPr="004D731E" w:rsidRDefault="008D28E0" w:rsidP="00FB07E3">
      <w:pPr>
        <w:pStyle w:val="ARTartustawynprozporzdzenia"/>
        <w:ind w:firstLine="0"/>
        <w:rPr>
          <w:rFonts w:ascii="Times New Roman" w:hAnsi="Times New Roman" w:cs="Times New Roman"/>
          <w:szCs w:val="24"/>
          <w:shd w:val="clear" w:color="auto" w:fill="FFFFFF"/>
        </w:rPr>
      </w:pPr>
      <w:r w:rsidRPr="00FB07E3">
        <w:rPr>
          <w:rFonts w:ascii="Times New Roman" w:hAnsi="Times New Roman" w:cs="Times New Roman"/>
          <w:szCs w:val="24"/>
          <w:shd w:val="clear" w:color="auto" w:fill="FFFFFF"/>
        </w:rPr>
        <w:t>W orzecznictwie powyższa kwestia została dostrzeżona i jest rozstrzygana niejednolicie. Z jednej strony</w:t>
      </w:r>
      <w:r w:rsidR="007735FD" w:rsidRPr="00FB07E3">
        <w:rPr>
          <w:rFonts w:ascii="Times New Roman" w:hAnsi="Times New Roman" w:cs="Times New Roman"/>
          <w:szCs w:val="24"/>
          <w:shd w:val="clear" w:color="auto" w:fill="FFFFFF"/>
        </w:rPr>
        <w:t>,</w:t>
      </w:r>
      <w:r w:rsidRPr="00FB07E3">
        <w:rPr>
          <w:rFonts w:ascii="Times New Roman" w:hAnsi="Times New Roman" w:cs="Times New Roman"/>
          <w:szCs w:val="24"/>
          <w:shd w:val="clear" w:color="auto" w:fill="FFFFFF"/>
        </w:rPr>
        <w:t xml:space="preserve"> ze względu na brak zakazu wielokrotnego korzystania z instytucji zawezwania do próby ugodowej i brak konieczności zaspokojenia uprawnionego przez zawarcie ugody, każde zawezwanie do próby ugodowej uznaje się </w:t>
      </w:r>
      <w:r w:rsidR="00A83F61" w:rsidRPr="00FB07E3">
        <w:rPr>
          <w:rFonts w:ascii="Times New Roman" w:hAnsi="Times New Roman" w:cs="Times New Roman"/>
          <w:szCs w:val="24"/>
          <w:shd w:val="clear" w:color="auto" w:fill="FFFFFF"/>
        </w:rPr>
        <w:t xml:space="preserve">za </w:t>
      </w:r>
      <w:r w:rsidRPr="00FB07E3">
        <w:rPr>
          <w:rFonts w:ascii="Times New Roman" w:hAnsi="Times New Roman" w:cs="Times New Roman"/>
          <w:szCs w:val="24"/>
          <w:shd w:val="clear" w:color="auto" w:fill="FFFFFF"/>
        </w:rPr>
        <w:t>podjęcie czynności zmierzającej do dochodzenia roszczenia</w:t>
      </w:r>
      <w:r w:rsidR="005D2722" w:rsidRPr="00FB07E3">
        <w:rPr>
          <w:rStyle w:val="Odwoanieprzypisudolnego"/>
          <w:rFonts w:ascii="Times New Roman" w:hAnsi="Times New Roman" w:cs="Times New Roman"/>
          <w:szCs w:val="24"/>
          <w:shd w:val="clear" w:color="auto" w:fill="FFFFFF"/>
        </w:rPr>
        <w:footnoteReference w:id="1"/>
      </w:r>
      <w:r w:rsidR="007735FD" w:rsidRPr="00FB07E3">
        <w:rPr>
          <w:rStyle w:val="Odwoanieprzypisudolnego"/>
          <w:rFonts w:ascii="Times New Roman" w:hAnsi="Times New Roman" w:cs="Times New Roman"/>
          <w:szCs w:val="24"/>
        </w:rPr>
        <w:t>)</w:t>
      </w:r>
      <w:r w:rsidRPr="00FB07E3">
        <w:rPr>
          <w:rFonts w:ascii="Times New Roman" w:hAnsi="Times New Roman" w:cs="Times New Roman"/>
          <w:szCs w:val="24"/>
          <w:shd w:val="clear" w:color="auto" w:fill="FFFFFF"/>
        </w:rPr>
        <w:t>. Z drugiej natomiast strony kładzie się nacisk na</w:t>
      </w:r>
      <w:r w:rsidR="004D731E">
        <w:rPr>
          <w:rFonts w:ascii="Times New Roman" w:hAnsi="Times New Roman" w:cs="Times New Roman"/>
          <w:szCs w:val="24"/>
          <w:shd w:val="clear" w:color="auto" w:fill="FFFFFF"/>
        </w:rPr>
        <w:t xml:space="preserve"> </w:t>
      </w:r>
      <w:r w:rsidRPr="00FB07E3">
        <w:rPr>
          <w:rFonts w:ascii="Times New Roman" w:hAnsi="Times New Roman" w:cs="Times New Roman"/>
          <w:szCs w:val="24"/>
          <w:shd w:val="clear" w:color="auto" w:fill="FFFFFF"/>
        </w:rPr>
        <w:t xml:space="preserve">niedopuszczalność niweczenia sensu instytucji przedawnienia roszczenia przez </w:t>
      </w:r>
      <w:r w:rsidRPr="00FB07E3">
        <w:rPr>
          <w:rFonts w:ascii="Times New Roman" w:hAnsi="Times New Roman" w:cs="Times New Roman"/>
          <w:szCs w:val="24"/>
          <w:shd w:val="clear" w:color="auto" w:fill="FFFFFF"/>
        </w:rPr>
        <w:lastRenderedPageBreak/>
        <w:t>wielokrotną jednostronną czynność wierzyciela w postaci wniosków o zawezwanie do próby ugodowej i</w:t>
      </w:r>
      <w:r w:rsidR="004D731E">
        <w:rPr>
          <w:rFonts w:ascii="Times New Roman" w:hAnsi="Times New Roman" w:cs="Times New Roman"/>
          <w:szCs w:val="24"/>
          <w:shd w:val="clear" w:color="auto" w:fill="FFFFFF"/>
        </w:rPr>
        <w:t xml:space="preserve"> </w:t>
      </w:r>
      <w:r w:rsidRPr="00FB07E3">
        <w:rPr>
          <w:rFonts w:ascii="Times New Roman" w:hAnsi="Times New Roman" w:cs="Times New Roman"/>
          <w:szCs w:val="24"/>
          <w:shd w:val="clear" w:color="auto" w:fill="FFFFFF"/>
        </w:rPr>
        <w:t>destabilizację stosunków prawnych wskutek wydłużenia terminu przedawnienia</w:t>
      </w:r>
      <w:r w:rsidR="00563C4A" w:rsidRPr="00FB07E3">
        <w:rPr>
          <w:rStyle w:val="Odwoanieprzypisudolnego"/>
          <w:rFonts w:ascii="Times New Roman" w:hAnsi="Times New Roman" w:cs="Times New Roman"/>
          <w:szCs w:val="24"/>
          <w:shd w:val="clear" w:color="auto" w:fill="FFFFFF"/>
        </w:rPr>
        <w:footnoteReference w:id="2"/>
      </w:r>
      <w:r w:rsidR="007735FD" w:rsidRPr="00FB07E3">
        <w:rPr>
          <w:rStyle w:val="Odwoanieprzypisudolnego"/>
          <w:rFonts w:ascii="Times New Roman" w:hAnsi="Times New Roman" w:cs="Times New Roman"/>
          <w:szCs w:val="24"/>
        </w:rPr>
        <w:t>)</w:t>
      </w:r>
      <w:r w:rsidRPr="00FB07E3">
        <w:rPr>
          <w:rFonts w:ascii="Times New Roman" w:hAnsi="Times New Roman" w:cs="Times New Roman"/>
          <w:szCs w:val="24"/>
          <w:shd w:val="clear" w:color="auto" w:fill="FFFFFF"/>
        </w:rPr>
        <w:t>.</w:t>
      </w:r>
      <w:r w:rsidRPr="004D731E">
        <w:rPr>
          <w:rFonts w:ascii="Times New Roman" w:hAnsi="Times New Roman" w:cs="Times New Roman"/>
          <w:szCs w:val="24"/>
          <w:shd w:val="clear" w:color="auto" w:fill="FFFFFF"/>
        </w:rPr>
        <w:t xml:space="preserve"> </w:t>
      </w:r>
    </w:p>
    <w:p w14:paraId="5318BA43" w14:textId="41F37C23" w:rsidR="00426AEA" w:rsidRPr="00FB07E3" w:rsidRDefault="008D28E0" w:rsidP="00FB07E3">
      <w:pPr>
        <w:pStyle w:val="ARTartustawynprozporzdzenia"/>
        <w:ind w:firstLine="0"/>
        <w:rPr>
          <w:rFonts w:ascii="Times New Roman" w:hAnsi="Times New Roman" w:cs="Times New Roman"/>
          <w:szCs w:val="24"/>
        </w:rPr>
      </w:pPr>
      <w:r w:rsidRPr="00FB07E3">
        <w:rPr>
          <w:rFonts w:ascii="Times New Roman" w:hAnsi="Times New Roman" w:cs="Times New Roman"/>
          <w:szCs w:val="24"/>
          <w:shd w:val="clear" w:color="auto" w:fill="FFFFFF"/>
        </w:rPr>
        <w:t>Istnieje również zapatrywanie pośrednie, które akceptuje co do zasady kolejne zawezwanie do próby ugodowej jako czynność, która przerywa bieg przedawnienia, jednakże nakłada na sąd obowiązek badania, czy jest to czynność, która potencjalnie może doprowadzić do realizacji roszczenia</w:t>
      </w:r>
      <w:r w:rsidR="00CB06E8">
        <w:rPr>
          <w:rFonts w:ascii="Times New Roman" w:hAnsi="Times New Roman" w:cs="Times New Roman"/>
          <w:szCs w:val="24"/>
          <w:shd w:val="clear" w:color="auto" w:fill="FFFFFF"/>
        </w:rPr>
        <w:t>,</w:t>
      </w:r>
      <w:r w:rsidRPr="00FB07E3">
        <w:rPr>
          <w:rFonts w:ascii="Times New Roman" w:hAnsi="Times New Roman" w:cs="Times New Roman"/>
          <w:szCs w:val="24"/>
          <w:shd w:val="clear" w:color="auto" w:fill="FFFFFF"/>
        </w:rPr>
        <w:t xml:space="preserve"> oraz badania, jaki jest jej rzeczywisty cel</w:t>
      </w:r>
      <w:r w:rsidR="00563C4A" w:rsidRPr="00FB07E3">
        <w:rPr>
          <w:rStyle w:val="Odwoanieprzypisudolnego"/>
          <w:rFonts w:ascii="Times New Roman" w:hAnsi="Times New Roman" w:cs="Times New Roman"/>
          <w:szCs w:val="24"/>
          <w:shd w:val="clear" w:color="auto" w:fill="FFFFFF"/>
        </w:rPr>
        <w:footnoteReference w:id="3"/>
      </w:r>
      <w:r w:rsidR="007735FD" w:rsidRPr="00FB07E3">
        <w:rPr>
          <w:rStyle w:val="Odwoanieprzypisudolnego"/>
          <w:rFonts w:ascii="Times New Roman" w:hAnsi="Times New Roman" w:cs="Times New Roman"/>
          <w:szCs w:val="24"/>
        </w:rPr>
        <w:t>)</w:t>
      </w:r>
      <w:r w:rsidRPr="00FB07E3">
        <w:rPr>
          <w:rFonts w:ascii="Times New Roman" w:hAnsi="Times New Roman" w:cs="Times New Roman"/>
          <w:szCs w:val="24"/>
          <w:shd w:val="clear" w:color="auto" w:fill="FFFFFF"/>
        </w:rPr>
        <w:t xml:space="preserve">. W literaturze przedmiotu podkreśla się jednak, że </w:t>
      </w:r>
      <w:r w:rsidRPr="00FB07E3">
        <w:rPr>
          <w:rFonts w:ascii="Times New Roman" w:hAnsi="Times New Roman" w:cs="Times New Roman"/>
          <w:szCs w:val="24"/>
        </w:rPr>
        <w:t>w postępowaniu pojednawczym nie przeprowadza się żadnych dowodów. We wniosku o zawezwanie do próby ugodowej, zgodnie z</w:t>
      </w:r>
      <w:r w:rsidR="004D731E">
        <w:rPr>
          <w:rFonts w:ascii="Times New Roman" w:hAnsi="Times New Roman" w:cs="Times New Roman"/>
          <w:szCs w:val="24"/>
        </w:rPr>
        <w:t xml:space="preserve"> </w:t>
      </w:r>
      <w:r w:rsidR="00324258" w:rsidRPr="00FB07E3">
        <w:rPr>
          <w:rStyle w:val="czeinternetowe"/>
          <w:rFonts w:ascii="Times New Roman" w:hAnsi="Times New Roman" w:cs="Times New Roman"/>
          <w:color w:val="auto"/>
          <w:szCs w:val="24"/>
          <w:u w:val="none"/>
        </w:rPr>
        <w:t>art. 185 § 1</w:t>
      </w:r>
      <w:r w:rsidRPr="00FB07E3">
        <w:rPr>
          <w:rStyle w:val="czeinternetowe"/>
          <w:rFonts w:ascii="Times New Roman" w:hAnsi="Times New Roman" w:cs="Times New Roman"/>
          <w:color w:val="auto"/>
          <w:szCs w:val="24"/>
          <w:u w:val="none"/>
        </w:rPr>
        <w:t xml:space="preserve"> ustawy z</w:t>
      </w:r>
      <w:r w:rsidR="004D731E">
        <w:rPr>
          <w:rStyle w:val="czeinternetowe"/>
          <w:rFonts w:ascii="Times New Roman" w:hAnsi="Times New Roman" w:cs="Times New Roman"/>
          <w:color w:val="auto"/>
          <w:szCs w:val="24"/>
          <w:u w:val="none"/>
        </w:rPr>
        <w:t xml:space="preserve"> </w:t>
      </w:r>
      <w:r w:rsidRPr="00FB07E3">
        <w:rPr>
          <w:rStyle w:val="czeinternetowe"/>
          <w:rFonts w:ascii="Times New Roman" w:hAnsi="Times New Roman" w:cs="Times New Roman"/>
          <w:color w:val="auto"/>
          <w:szCs w:val="24"/>
          <w:u w:val="none"/>
        </w:rPr>
        <w:t>dnia</w:t>
      </w:r>
      <w:r w:rsidR="00205B20" w:rsidRPr="00FB07E3">
        <w:rPr>
          <w:rStyle w:val="czeinternetowe"/>
          <w:rFonts w:ascii="Times New Roman" w:hAnsi="Times New Roman" w:cs="Times New Roman"/>
          <w:color w:val="auto"/>
          <w:szCs w:val="24"/>
          <w:u w:val="none"/>
        </w:rPr>
        <w:t xml:space="preserve"> </w:t>
      </w:r>
      <w:r w:rsidRPr="00FB07E3">
        <w:rPr>
          <w:rStyle w:val="czeinternetowe"/>
          <w:rFonts w:ascii="Times New Roman" w:hAnsi="Times New Roman" w:cs="Times New Roman"/>
          <w:color w:val="auto"/>
          <w:szCs w:val="24"/>
          <w:u w:val="none"/>
        </w:rPr>
        <w:t>17 listopada 1964 r. –</w:t>
      </w:r>
      <w:r w:rsidRPr="004D731E">
        <w:rPr>
          <w:rFonts w:ascii="Times New Roman" w:hAnsi="Times New Roman" w:cs="Times New Roman"/>
          <w:szCs w:val="24"/>
        </w:rPr>
        <w:t xml:space="preserve"> Kodeks postępowania cywilnego</w:t>
      </w:r>
      <w:r w:rsidRPr="00FB07E3">
        <w:rPr>
          <w:rFonts w:ascii="Times New Roman" w:hAnsi="Times New Roman" w:cs="Times New Roman"/>
          <w:szCs w:val="24"/>
        </w:rPr>
        <w:t xml:space="preserve"> (Dz. U. z 2020 r. poz. 1575</w:t>
      </w:r>
      <w:r w:rsidR="007735FD" w:rsidRPr="00FB07E3">
        <w:rPr>
          <w:rFonts w:ascii="Times New Roman" w:hAnsi="Times New Roman" w:cs="Times New Roman"/>
          <w:szCs w:val="24"/>
        </w:rPr>
        <w:t>, z późn. zm.</w:t>
      </w:r>
      <w:r w:rsidRPr="00FB07E3">
        <w:rPr>
          <w:rFonts w:ascii="Times New Roman" w:hAnsi="Times New Roman" w:cs="Times New Roman"/>
          <w:szCs w:val="24"/>
        </w:rPr>
        <w:t>)</w:t>
      </w:r>
      <w:r w:rsidR="00CB06E8">
        <w:rPr>
          <w:rFonts w:ascii="Times New Roman" w:hAnsi="Times New Roman" w:cs="Times New Roman"/>
          <w:szCs w:val="24"/>
        </w:rPr>
        <w:t>,</w:t>
      </w:r>
      <w:r w:rsidRPr="00FB07E3">
        <w:rPr>
          <w:rFonts w:ascii="Times New Roman" w:hAnsi="Times New Roman" w:cs="Times New Roman"/>
          <w:szCs w:val="24"/>
        </w:rPr>
        <w:t xml:space="preserve"> wnioskodawca </w:t>
      </w:r>
      <w:r w:rsidR="00CB06E8" w:rsidRPr="00FB07E3">
        <w:rPr>
          <w:rFonts w:ascii="Times New Roman" w:hAnsi="Times New Roman" w:cs="Times New Roman"/>
          <w:szCs w:val="24"/>
        </w:rPr>
        <w:t xml:space="preserve">jest </w:t>
      </w:r>
      <w:r w:rsidRPr="00FB07E3">
        <w:rPr>
          <w:rFonts w:ascii="Times New Roman" w:hAnsi="Times New Roman" w:cs="Times New Roman"/>
          <w:szCs w:val="24"/>
        </w:rPr>
        <w:t>obowiązany jedynie oznaczyć zwięźle sprawę, przy czym nie zwalnia to</w:t>
      </w:r>
      <w:r w:rsidR="004D731E">
        <w:rPr>
          <w:rFonts w:ascii="Times New Roman" w:hAnsi="Times New Roman" w:cs="Times New Roman"/>
          <w:szCs w:val="24"/>
        </w:rPr>
        <w:t xml:space="preserve"> </w:t>
      </w:r>
      <w:r w:rsidRPr="00FB07E3">
        <w:rPr>
          <w:rFonts w:ascii="Times New Roman" w:hAnsi="Times New Roman" w:cs="Times New Roman"/>
          <w:szCs w:val="24"/>
        </w:rPr>
        <w:t xml:space="preserve">sądu od przeprowadzania ustaleń ogólnego stanu faktycznego. Niemożliwe jest jednak przeprowadzenie postępowania dowodowego w celu </w:t>
      </w:r>
      <w:r w:rsidR="00B87162" w:rsidRPr="00FB07E3">
        <w:rPr>
          <w:rFonts w:ascii="Times New Roman" w:hAnsi="Times New Roman" w:cs="Times New Roman"/>
          <w:szCs w:val="24"/>
        </w:rPr>
        <w:t>ustalenia</w:t>
      </w:r>
      <w:r w:rsidR="0066101B" w:rsidRPr="00FB07E3">
        <w:rPr>
          <w:rFonts w:ascii="Times New Roman" w:hAnsi="Times New Roman" w:cs="Times New Roman"/>
          <w:szCs w:val="24"/>
        </w:rPr>
        <w:t>,</w:t>
      </w:r>
      <w:r w:rsidRPr="00FB07E3">
        <w:rPr>
          <w:rFonts w:ascii="Times New Roman" w:hAnsi="Times New Roman" w:cs="Times New Roman"/>
          <w:szCs w:val="24"/>
        </w:rPr>
        <w:t xml:space="preserve"> czy roszczenie objęte próbą ugodową w ogóle istnieje, a jeśli istnieje – to w jakim rozmiarze, jak również tego, czy przedłożony wniosek stanowi czynność przedsięwziętą bezpośrednio w celu jego dochodzenia, czy został złożony wyłącznie w celu przerwania biegu przedawnienia. Koncepcja ta nie znalazła poparcia w praktyce sądowej ze względu na podkreślaną przez sądy rejonowe przeszkodę, jaką jest brak wyraźnej podstawy prawnej do odrzucenia wniosku o zawezwanie </w:t>
      </w:r>
      <w:r w:rsidR="00B505C4" w:rsidRPr="00FB07E3">
        <w:rPr>
          <w:rFonts w:ascii="Times New Roman" w:hAnsi="Times New Roman" w:cs="Times New Roman"/>
          <w:szCs w:val="24"/>
        </w:rPr>
        <w:t xml:space="preserve">do </w:t>
      </w:r>
      <w:r w:rsidRPr="00FB07E3">
        <w:rPr>
          <w:rFonts w:ascii="Times New Roman" w:hAnsi="Times New Roman" w:cs="Times New Roman"/>
          <w:szCs w:val="24"/>
        </w:rPr>
        <w:t>próby ugodowej w razie uznania, że</w:t>
      </w:r>
      <w:r w:rsidR="00CC4200" w:rsidRPr="00FB07E3">
        <w:rPr>
          <w:rFonts w:ascii="Times New Roman" w:hAnsi="Times New Roman" w:cs="Times New Roman"/>
          <w:szCs w:val="24"/>
        </w:rPr>
        <w:t>,</w:t>
      </w:r>
      <w:r w:rsidRPr="00FB07E3">
        <w:rPr>
          <w:rFonts w:ascii="Times New Roman" w:hAnsi="Times New Roman" w:cs="Times New Roman"/>
          <w:szCs w:val="24"/>
        </w:rPr>
        <w:t xml:space="preserve"> wbrew celom postępowania pojednawczego</w:t>
      </w:r>
      <w:r w:rsidR="00CC4200" w:rsidRPr="00FB07E3">
        <w:rPr>
          <w:rFonts w:ascii="Times New Roman" w:hAnsi="Times New Roman" w:cs="Times New Roman"/>
          <w:szCs w:val="24"/>
        </w:rPr>
        <w:t>,</w:t>
      </w:r>
      <w:r w:rsidRPr="00FB07E3">
        <w:rPr>
          <w:rFonts w:ascii="Times New Roman" w:hAnsi="Times New Roman" w:cs="Times New Roman"/>
          <w:szCs w:val="24"/>
        </w:rPr>
        <w:t xml:space="preserve"> nie zmierza do zawarcia ugody, a jedynie do przerwania biegu przedawnienia, a co za tym idzie stanowi nadużycie prawa procesowego</w:t>
      </w:r>
      <w:r w:rsidR="00CD6967" w:rsidRPr="00FB07E3">
        <w:rPr>
          <w:rFonts w:ascii="Times New Roman" w:hAnsi="Times New Roman" w:cs="Times New Roman"/>
          <w:szCs w:val="24"/>
        </w:rPr>
        <w:t>.</w:t>
      </w:r>
      <w:r w:rsidRPr="00FB07E3">
        <w:rPr>
          <w:rFonts w:ascii="Times New Roman" w:hAnsi="Times New Roman" w:cs="Times New Roman"/>
          <w:szCs w:val="24"/>
        </w:rPr>
        <w:t xml:space="preserve"> </w:t>
      </w:r>
      <w:r w:rsidR="007E3D7C" w:rsidRPr="00FB07E3">
        <w:rPr>
          <w:rFonts w:ascii="Times New Roman" w:hAnsi="Times New Roman" w:cs="Times New Roman"/>
          <w:szCs w:val="24"/>
        </w:rPr>
        <w:tab/>
      </w:r>
    </w:p>
    <w:p w14:paraId="2238B476" w14:textId="2DC044E0" w:rsidR="008D28E0" w:rsidRPr="00324258" w:rsidRDefault="008D28E0" w:rsidP="00FB07E3">
      <w:pPr>
        <w:pStyle w:val="ARTartustawynprozporzdzenia"/>
        <w:ind w:firstLine="0"/>
        <w:rPr>
          <w:rFonts w:ascii="Times New Roman" w:hAnsi="Times New Roman" w:cs="Times New Roman"/>
          <w:szCs w:val="24"/>
        </w:rPr>
      </w:pPr>
      <w:r w:rsidRPr="004D731E">
        <w:rPr>
          <w:rFonts w:ascii="Times New Roman" w:hAnsi="Times New Roman" w:cs="Times New Roman"/>
          <w:szCs w:val="24"/>
        </w:rPr>
        <w:t xml:space="preserve">Wniosek o zawezwanie dłużnika do próby ugodowej w obecnym stanie prawnym został </w:t>
      </w:r>
      <w:r w:rsidR="00B87162" w:rsidRPr="004D731E">
        <w:rPr>
          <w:rFonts w:ascii="Times New Roman" w:hAnsi="Times New Roman" w:cs="Times New Roman"/>
          <w:szCs w:val="24"/>
        </w:rPr>
        <w:t>zatem wyposażony</w:t>
      </w:r>
      <w:r w:rsidRPr="004D731E">
        <w:rPr>
          <w:rFonts w:ascii="Times New Roman" w:hAnsi="Times New Roman" w:cs="Times New Roman"/>
          <w:szCs w:val="24"/>
        </w:rPr>
        <w:t xml:space="preserve"> w daleko idący skutek materialnoprawny, umożliwiający wydłużenie czasu przyznanego przez prawo na dochodzenie roszczenia</w:t>
      </w:r>
      <w:r w:rsidR="00CB06E8">
        <w:rPr>
          <w:rFonts w:ascii="Times New Roman" w:hAnsi="Times New Roman" w:cs="Times New Roman"/>
          <w:szCs w:val="24"/>
        </w:rPr>
        <w:t>,</w:t>
      </w:r>
      <w:r w:rsidRPr="004D731E">
        <w:rPr>
          <w:rFonts w:ascii="Times New Roman" w:hAnsi="Times New Roman" w:cs="Times New Roman"/>
          <w:szCs w:val="24"/>
        </w:rPr>
        <w:t xml:space="preserve"> mimo że jest to</w:t>
      </w:r>
      <w:r w:rsidR="00CF1F2D" w:rsidRPr="004D731E">
        <w:rPr>
          <w:rFonts w:ascii="Times New Roman" w:hAnsi="Times New Roman" w:cs="Times New Roman"/>
          <w:szCs w:val="24"/>
        </w:rPr>
        <w:t xml:space="preserve"> </w:t>
      </w:r>
      <w:r w:rsidRPr="004D731E">
        <w:rPr>
          <w:rFonts w:ascii="Times New Roman" w:hAnsi="Times New Roman" w:cs="Times New Roman"/>
          <w:szCs w:val="24"/>
        </w:rPr>
        <w:t xml:space="preserve">czynność wywołująca skutek procesowy jedynie w postaci odbycia posiedzenia pojednawczego, kończonego </w:t>
      </w:r>
      <w:r w:rsidR="00B80F2B" w:rsidRPr="004D731E">
        <w:rPr>
          <w:rFonts w:ascii="Times New Roman" w:hAnsi="Times New Roman" w:cs="Times New Roman"/>
          <w:szCs w:val="24"/>
        </w:rPr>
        <w:t xml:space="preserve">w ponad 90% przypadków </w:t>
      </w:r>
      <w:r w:rsidRPr="004D731E">
        <w:rPr>
          <w:rFonts w:ascii="Times New Roman" w:hAnsi="Times New Roman" w:cs="Times New Roman"/>
          <w:szCs w:val="24"/>
        </w:rPr>
        <w:t>stwierdzeniem, że do zawarcia ugody nie doszło. Przerwanie biegu przedawnienia następuje</w:t>
      </w:r>
      <w:r w:rsidR="00CB06E8">
        <w:rPr>
          <w:rFonts w:ascii="Times New Roman" w:hAnsi="Times New Roman" w:cs="Times New Roman"/>
          <w:szCs w:val="24"/>
        </w:rPr>
        <w:t>,</w:t>
      </w:r>
      <w:r w:rsidRPr="004D731E">
        <w:rPr>
          <w:rFonts w:ascii="Times New Roman" w:hAnsi="Times New Roman" w:cs="Times New Roman"/>
          <w:szCs w:val="24"/>
        </w:rPr>
        <w:t xml:space="preserve"> mimo że w większości przypadków przebieg postępowania pojednawczego nie daje wierzycielowi żadnych podstaw do oczekiwania, </w:t>
      </w:r>
      <w:r w:rsidRPr="004D731E">
        <w:rPr>
          <w:rFonts w:ascii="Times New Roman" w:hAnsi="Times New Roman" w:cs="Times New Roman"/>
          <w:szCs w:val="24"/>
        </w:rPr>
        <w:lastRenderedPageBreak/>
        <w:t>że</w:t>
      </w:r>
      <w:r w:rsidR="004D731E">
        <w:rPr>
          <w:rFonts w:ascii="Times New Roman" w:hAnsi="Times New Roman" w:cs="Times New Roman"/>
          <w:szCs w:val="24"/>
        </w:rPr>
        <w:t xml:space="preserve"> </w:t>
      </w:r>
      <w:r w:rsidRPr="004D731E">
        <w:rPr>
          <w:rFonts w:ascii="Times New Roman" w:hAnsi="Times New Roman" w:cs="Times New Roman"/>
          <w:szCs w:val="24"/>
        </w:rPr>
        <w:t>dłużnik spełni świadczenie dobrowolnie (co uzasadniałoby przerwanie biegu przedawnienia).</w:t>
      </w:r>
      <w:r w:rsidR="00CF1F2D" w:rsidRPr="00324258">
        <w:rPr>
          <w:rFonts w:ascii="Times New Roman" w:hAnsi="Times New Roman" w:cs="Times New Roman"/>
          <w:szCs w:val="24"/>
        </w:rPr>
        <w:t xml:space="preserve"> </w:t>
      </w:r>
      <w:r w:rsidRPr="00324258">
        <w:rPr>
          <w:rFonts w:ascii="Times New Roman" w:hAnsi="Times New Roman" w:cs="Times New Roman"/>
          <w:szCs w:val="24"/>
        </w:rPr>
        <w:t>Wniosek o</w:t>
      </w:r>
      <w:r w:rsidR="004D731E">
        <w:rPr>
          <w:rFonts w:ascii="Times New Roman" w:hAnsi="Times New Roman" w:cs="Times New Roman"/>
          <w:szCs w:val="24"/>
        </w:rPr>
        <w:t xml:space="preserve"> </w:t>
      </w:r>
      <w:r w:rsidRPr="004D731E">
        <w:rPr>
          <w:rFonts w:ascii="Times New Roman" w:hAnsi="Times New Roman" w:cs="Times New Roman"/>
          <w:szCs w:val="24"/>
        </w:rPr>
        <w:t>zawezwanie do próby ugodowej na tle pozostałych czynności procesowych przerywających bieg przedawnienia przedstawia się przy tym o tyle szczególnie, że zakończona niepowodzeniem próba ugodowa nie korzysta z powagi rzeczy osądzonej. Wniosek taki z</w:t>
      </w:r>
      <w:r w:rsidR="004D731E">
        <w:rPr>
          <w:rFonts w:ascii="Times New Roman" w:hAnsi="Times New Roman" w:cs="Times New Roman"/>
          <w:szCs w:val="24"/>
        </w:rPr>
        <w:t xml:space="preserve"> </w:t>
      </w:r>
      <w:r w:rsidRPr="004D731E">
        <w:rPr>
          <w:rFonts w:ascii="Times New Roman" w:hAnsi="Times New Roman" w:cs="Times New Roman"/>
          <w:szCs w:val="24"/>
        </w:rPr>
        <w:t>jednej strony przedłuża zatem czas, jakim dysponuje wierzyciel na dochodzenie roszczenia, a z drugiej strony – nie przesądza o</w:t>
      </w:r>
      <w:r w:rsidR="004D731E">
        <w:rPr>
          <w:rFonts w:ascii="Times New Roman" w:hAnsi="Times New Roman" w:cs="Times New Roman"/>
          <w:szCs w:val="24"/>
        </w:rPr>
        <w:t xml:space="preserve"> </w:t>
      </w:r>
      <w:r w:rsidRPr="004D731E">
        <w:rPr>
          <w:rFonts w:ascii="Times New Roman" w:hAnsi="Times New Roman" w:cs="Times New Roman"/>
          <w:szCs w:val="24"/>
        </w:rPr>
        <w:t>istnieniu albo nieistnieniu zobowiązania dłużnika i nie zamyka wierzycielowi drogi do</w:t>
      </w:r>
      <w:r w:rsidR="004D731E">
        <w:rPr>
          <w:rFonts w:ascii="Times New Roman" w:hAnsi="Times New Roman" w:cs="Times New Roman"/>
          <w:szCs w:val="24"/>
        </w:rPr>
        <w:t xml:space="preserve"> </w:t>
      </w:r>
      <w:r w:rsidRPr="004D731E">
        <w:rPr>
          <w:rFonts w:ascii="Times New Roman" w:hAnsi="Times New Roman" w:cs="Times New Roman"/>
          <w:szCs w:val="24"/>
        </w:rPr>
        <w:t>dalszego dochodzenia roszczenia. Trudno to pogodzić z</w:t>
      </w:r>
      <w:r w:rsidR="004D731E">
        <w:rPr>
          <w:rFonts w:ascii="Times New Roman" w:hAnsi="Times New Roman" w:cs="Times New Roman"/>
          <w:szCs w:val="24"/>
        </w:rPr>
        <w:t xml:space="preserve"> </w:t>
      </w:r>
      <w:r w:rsidRPr="004D731E">
        <w:rPr>
          <w:rFonts w:ascii="Times New Roman" w:hAnsi="Times New Roman" w:cs="Times New Roman"/>
          <w:szCs w:val="24"/>
        </w:rPr>
        <w:t>opisanymi wyżej celami instytucji przedawnienia.</w:t>
      </w:r>
    </w:p>
    <w:p w14:paraId="746FDB3F" w14:textId="74BBE3AA" w:rsidR="008D28E0" w:rsidRPr="004D731E" w:rsidRDefault="008D28E0" w:rsidP="00FB07E3">
      <w:pPr>
        <w:pStyle w:val="ARTartustawynprozporzdzenia"/>
        <w:ind w:firstLine="0"/>
        <w:rPr>
          <w:rFonts w:ascii="Times New Roman" w:hAnsi="Times New Roman" w:cs="Times New Roman"/>
          <w:szCs w:val="24"/>
        </w:rPr>
      </w:pPr>
      <w:r w:rsidRPr="004D731E">
        <w:rPr>
          <w:rFonts w:ascii="Times New Roman" w:hAnsi="Times New Roman" w:cs="Times New Roman"/>
          <w:szCs w:val="24"/>
          <w:shd w:val="clear" w:color="auto" w:fill="FFFFFF"/>
        </w:rPr>
        <w:t>Mając na uwadze powyższe kontrowersje</w:t>
      </w:r>
      <w:r w:rsidR="00CF1F2D" w:rsidRPr="004D731E">
        <w:rPr>
          <w:rFonts w:ascii="Times New Roman" w:hAnsi="Times New Roman" w:cs="Times New Roman"/>
          <w:szCs w:val="24"/>
          <w:shd w:val="clear" w:color="auto" w:fill="FFFFFF"/>
        </w:rPr>
        <w:t>,</w:t>
      </w:r>
      <w:r w:rsidRPr="004D731E">
        <w:rPr>
          <w:rFonts w:ascii="Times New Roman" w:hAnsi="Times New Roman" w:cs="Times New Roman"/>
          <w:szCs w:val="24"/>
          <w:shd w:val="clear" w:color="auto" w:fill="FFFFFF"/>
        </w:rPr>
        <w:t xml:space="preserve"> związane z nadużywaniem przez wierzycieli instytucji zawezwania do próby ugodowej, zdecydowano się wprowadzić regulację ograniczającą wpływ złożenia wniosku o zawezwanie do próby ugodowej bądź </w:t>
      </w:r>
      <w:r w:rsidR="007735FD" w:rsidRPr="004D731E">
        <w:rPr>
          <w:rFonts w:ascii="Times New Roman" w:hAnsi="Times New Roman" w:cs="Times New Roman"/>
          <w:szCs w:val="24"/>
          <w:shd w:val="clear" w:color="auto" w:fill="FFFFFF"/>
        </w:rPr>
        <w:t xml:space="preserve">wszczęcie </w:t>
      </w:r>
      <w:r w:rsidRPr="004D731E">
        <w:rPr>
          <w:rFonts w:ascii="Times New Roman" w:hAnsi="Times New Roman" w:cs="Times New Roman"/>
          <w:szCs w:val="24"/>
          <w:shd w:val="clear" w:color="auto" w:fill="FFFFFF"/>
        </w:rPr>
        <w:t>postępowania mediacyjnego</w:t>
      </w:r>
      <w:r w:rsidR="006825BB" w:rsidRPr="004D731E">
        <w:rPr>
          <w:rFonts w:ascii="Times New Roman" w:hAnsi="Times New Roman" w:cs="Times New Roman"/>
          <w:szCs w:val="24"/>
          <w:shd w:val="clear" w:color="auto" w:fill="FFFFFF"/>
        </w:rPr>
        <w:t>,</w:t>
      </w:r>
      <w:r w:rsidRPr="004D731E">
        <w:rPr>
          <w:rFonts w:ascii="Times New Roman" w:hAnsi="Times New Roman" w:cs="Times New Roman"/>
          <w:szCs w:val="24"/>
          <w:shd w:val="clear" w:color="auto" w:fill="FFFFFF"/>
        </w:rPr>
        <w:t xml:space="preserve"> </w:t>
      </w:r>
      <w:r w:rsidR="002D4D96" w:rsidRPr="004D731E">
        <w:rPr>
          <w:rFonts w:ascii="Times New Roman" w:hAnsi="Times New Roman" w:cs="Times New Roman"/>
          <w:szCs w:val="24"/>
          <w:shd w:val="clear" w:color="auto" w:fill="FFFFFF"/>
        </w:rPr>
        <w:t>prowadzonego bez zaangażowania sądu</w:t>
      </w:r>
      <w:r w:rsidR="006825BB" w:rsidRPr="004D731E">
        <w:rPr>
          <w:rFonts w:ascii="Times New Roman" w:hAnsi="Times New Roman" w:cs="Times New Roman"/>
          <w:szCs w:val="24"/>
          <w:shd w:val="clear" w:color="auto" w:fill="FFFFFF"/>
        </w:rPr>
        <w:t>,</w:t>
      </w:r>
      <w:r w:rsidR="002D4D96" w:rsidRPr="004D731E">
        <w:rPr>
          <w:rFonts w:ascii="Times New Roman" w:hAnsi="Times New Roman" w:cs="Times New Roman"/>
          <w:szCs w:val="24"/>
          <w:shd w:val="clear" w:color="auto" w:fill="FFFFFF"/>
        </w:rPr>
        <w:t xml:space="preserve"> </w:t>
      </w:r>
      <w:r w:rsidRPr="004D731E">
        <w:rPr>
          <w:rFonts w:ascii="Times New Roman" w:hAnsi="Times New Roman" w:cs="Times New Roman"/>
          <w:szCs w:val="24"/>
          <w:shd w:val="clear" w:color="auto" w:fill="FFFFFF"/>
        </w:rPr>
        <w:t xml:space="preserve">na bieg terminu przedawnienia </w:t>
      </w:r>
      <w:r w:rsidRPr="004D731E">
        <w:rPr>
          <w:rFonts w:ascii="Times New Roman" w:hAnsi="Times New Roman" w:cs="Times New Roman"/>
          <w:szCs w:val="24"/>
        </w:rPr>
        <w:t>do jego zawieszenia</w:t>
      </w:r>
      <w:r w:rsidR="007735FD" w:rsidRPr="004D731E">
        <w:rPr>
          <w:rFonts w:ascii="Times New Roman" w:hAnsi="Times New Roman" w:cs="Times New Roman"/>
          <w:szCs w:val="24"/>
        </w:rPr>
        <w:t>,</w:t>
      </w:r>
      <w:r w:rsidRPr="004D731E">
        <w:rPr>
          <w:rFonts w:ascii="Times New Roman" w:hAnsi="Times New Roman" w:cs="Times New Roman"/>
          <w:szCs w:val="24"/>
        </w:rPr>
        <w:t xml:space="preserve"> na czas trwania postępowania pojednawczego bądź mediacyjnego.</w:t>
      </w:r>
    </w:p>
    <w:p w14:paraId="296BA78A" w14:textId="678612D3" w:rsidR="008D28E0" w:rsidRPr="004D731E" w:rsidRDefault="008D28E0" w:rsidP="00FB07E3">
      <w:pPr>
        <w:pStyle w:val="ARTartustawynprozporzdzenia"/>
        <w:ind w:firstLine="0"/>
        <w:rPr>
          <w:rFonts w:ascii="Times New Roman" w:hAnsi="Times New Roman" w:cs="Times New Roman"/>
          <w:szCs w:val="24"/>
        </w:rPr>
      </w:pPr>
      <w:r w:rsidRPr="004D731E">
        <w:rPr>
          <w:rFonts w:ascii="Times New Roman" w:hAnsi="Times New Roman" w:cs="Times New Roman"/>
          <w:szCs w:val="24"/>
        </w:rPr>
        <w:t>W przeciwieństwie do przerwania biegu terminu przedawnienia</w:t>
      </w:r>
      <w:r w:rsidR="00646755" w:rsidRPr="004D731E">
        <w:rPr>
          <w:rFonts w:ascii="Times New Roman" w:hAnsi="Times New Roman" w:cs="Times New Roman"/>
          <w:szCs w:val="24"/>
        </w:rPr>
        <w:t>,</w:t>
      </w:r>
      <w:r w:rsidRPr="004D731E">
        <w:rPr>
          <w:rFonts w:ascii="Times New Roman" w:hAnsi="Times New Roman" w:cs="Times New Roman"/>
          <w:szCs w:val="24"/>
        </w:rPr>
        <w:t xml:space="preserve"> powodującego konieczność jego liczenia od początku, po ustaniu okoliczności uzasadniających zawieszenie, termin przedawnienia biegnie dalej od chwili, w której </w:t>
      </w:r>
      <w:r w:rsidR="002B4675" w:rsidRPr="004D731E">
        <w:rPr>
          <w:rFonts w:ascii="Times New Roman" w:hAnsi="Times New Roman" w:cs="Times New Roman"/>
          <w:szCs w:val="24"/>
        </w:rPr>
        <w:t>ustało</w:t>
      </w:r>
      <w:r w:rsidRPr="004D731E">
        <w:rPr>
          <w:rFonts w:ascii="Times New Roman" w:hAnsi="Times New Roman" w:cs="Times New Roman"/>
          <w:szCs w:val="24"/>
        </w:rPr>
        <w:t xml:space="preserve"> zawieszenie. Oznacza</w:t>
      </w:r>
      <w:r w:rsidR="004D731E">
        <w:rPr>
          <w:rFonts w:ascii="Times New Roman" w:hAnsi="Times New Roman" w:cs="Times New Roman"/>
          <w:szCs w:val="24"/>
        </w:rPr>
        <w:t xml:space="preserve"> </w:t>
      </w:r>
      <w:r w:rsidRPr="004D731E">
        <w:rPr>
          <w:rFonts w:ascii="Times New Roman" w:hAnsi="Times New Roman" w:cs="Times New Roman"/>
          <w:szCs w:val="24"/>
        </w:rPr>
        <w:t>to, że termin przedawnienia ulega przedłużeniu o czas trwania przeszkody w dochodzeniu roszczenia.</w:t>
      </w:r>
      <w:r w:rsidR="005C5281" w:rsidRPr="004D731E">
        <w:rPr>
          <w:rFonts w:ascii="Times New Roman" w:hAnsi="Times New Roman" w:cs="Times New Roman"/>
          <w:szCs w:val="24"/>
        </w:rPr>
        <w:t xml:space="preserve"> </w:t>
      </w:r>
      <w:r w:rsidRPr="004D731E">
        <w:rPr>
          <w:rFonts w:ascii="Times New Roman" w:eastAsiaTheme="minorHAnsi" w:hAnsi="Times New Roman" w:cs="Times New Roman"/>
          <w:szCs w:val="24"/>
          <w:lang w:eastAsia="en-US"/>
        </w:rPr>
        <w:t>Projektowana zmiana niewątpliwie wyeliminuje praktykę składania przez wierzycieli wniosku o zawezwanie do próby ugodowej jedynie w celu przerwania biegu przedawnienia, co w konsekwencji ograniczy liczbę spraw wpływających do sądów rejonowych z tego tytułu.</w:t>
      </w:r>
      <w:r w:rsidRPr="004D731E">
        <w:rPr>
          <w:rFonts w:ascii="Times New Roman" w:hAnsi="Times New Roman" w:cs="Times New Roman"/>
          <w:szCs w:val="24"/>
        </w:rPr>
        <w:t xml:space="preserve"> Pozwoli również na wyklarowanie sytuacji procesowej stron</w:t>
      </w:r>
      <w:r w:rsidRPr="00FB07E3">
        <w:rPr>
          <w:rFonts w:ascii="Times New Roman" w:hAnsi="Times New Roman" w:cs="Times New Roman"/>
          <w:szCs w:val="24"/>
        </w:rPr>
        <w:t xml:space="preserve"> sporów </w:t>
      </w:r>
      <w:r w:rsidRPr="00FB07E3">
        <w:rPr>
          <w:rFonts w:ascii="Times New Roman" w:hAnsi="Times New Roman" w:cs="Times New Roman"/>
          <w:szCs w:val="24"/>
          <w:shd w:val="clear" w:color="auto" w:fill="FFFFFF"/>
        </w:rPr>
        <w:t xml:space="preserve">oraz przywróci zawezwaniu do próby ugodowej jej pierwotny właściwy cel, czyli zawarcie ugody, mając na względzie słuszne interesy zarówno wierzyciela, jak i dłużnika. </w:t>
      </w:r>
      <w:r w:rsidRPr="004D731E">
        <w:rPr>
          <w:rFonts w:ascii="Times New Roman" w:eastAsiaTheme="minorHAnsi" w:hAnsi="Times New Roman" w:cs="Times New Roman"/>
          <w:szCs w:val="24"/>
          <w:lang w:eastAsia="en-US"/>
        </w:rPr>
        <w:t>Interesy dłużnika będą chronione przez zmobilizowanie wierzyciela do dochodzenia wierzytelności w</w:t>
      </w:r>
      <w:r w:rsidR="004D731E">
        <w:rPr>
          <w:rFonts w:ascii="Times New Roman" w:eastAsiaTheme="minorHAnsi" w:hAnsi="Times New Roman" w:cs="Times New Roman"/>
          <w:szCs w:val="24"/>
          <w:lang w:eastAsia="en-US"/>
        </w:rPr>
        <w:t xml:space="preserve"> </w:t>
      </w:r>
      <w:r w:rsidRPr="004D731E">
        <w:rPr>
          <w:rFonts w:ascii="Times New Roman" w:eastAsiaTheme="minorHAnsi" w:hAnsi="Times New Roman" w:cs="Times New Roman"/>
          <w:szCs w:val="24"/>
          <w:lang w:eastAsia="en-US"/>
        </w:rPr>
        <w:t>możliwie jak najkrótszym terminie, tzn. bez podejmowania zbędnych czynności</w:t>
      </w:r>
      <w:r w:rsidR="005C5281" w:rsidRPr="004D731E">
        <w:rPr>
          <w:rFonts w:ascii="Times New Roman" w:eastAsiaTheme="minorHAnsi" w:hAnsi="Times New Roman" w:cs="Times New Roman"/>
          <w:szCs w:val="24"/>
          <w:lang w:eastAsia="en-US"/>
        </w:rPr>
        <w:t xml:space="preserve"> </w:t>
      </w:r>
      <w:r w:rsidRPr="004D731E">
        <w:rPr>
          <w:rFonts w:ascii="Times New Roman" w:eastAsiaTheme="minorHAnsi" w:hAnsi="Times New Roman" w:cs="Times New Roman"/>
          <w:szCs w:val="24"/>
          <w:lang w:eastAsia="en-US"/>
        </w:rPr>
        <w:t>bądź podejmowania wielokrotnie tych samych czynności, które mają na celu jedynie przedłużenie terminu przedawnienia. Projektowane rozwiązanie będzie równie</w:t>
      </w:r>
      <w:r w:rsidR="00430B68">
        <w:rPr>
          <w:rFonts w:ascii="Times New Roman" w:eastAsiaTheme="minorHAnsi" w:hAnsi="Times New Roman" w:cs="Times New Roman"/>
          <w:szCs w:val="24"/>
          <w:lang w:eastAsia="en-US"/>
        </w:rPr>
        <w:t>ż</w:t>
      </w:r>
      <w:r w:rsidRPr="004D731E">
        <w:rPr>
          <w:rFonts w:ascii="Times New Roman" w:eastAsiaTheme="minorHAnsi" w:hAnsi="Times New Roman" w:cs="Times New Roman"/>
          <w:szCs w:val="24"/>
          <w:lang w:eastAsia="en-US"/>
        </w:rPr>
        <w:t xml:space="preserve"> korzystne dla wierzyciela. Nie ulega bowiem wątpliwości, że niezwłoczne dochodzenie wierzytelności zwiększa szanse powodzenia ich ewentualnej egzekucji i pozwala na zapewnienie stabilności obrotu prawnego. </w:t>
      </w:r>
      <w:r w:rsidR="00B80F2B" w:rsidRPr="004D731E">
        <w:rPr>
          <w:rFonts w:ascii="Times New Roman" w:eastAsiaTheme="minorHAnsi" w:hAnsi="Times New Roman" w:cs="Times New Roman"/>
          <w:szCs w:val="24"/>
          <w:lang w:eastAsia="en-US"/>
        </w:rPr>
        <w:lastRenderedPageBreak/>
        <w:t>Jednocześnie po złożeniu wniosku bieg terminu przedawnienia ulegnie wstrzymaniu na czas jego rozpoznania, przez co interes wierzyciela również nie ucierpi.</w:t>
      </w:r>
    </w:p>
    <w:p w14:paraId="14C25030" w14:textId="1D8D12C1" w:rsidR="006C5E03" w:rsidRPr="004D731E" w:rsidRDefault="008D28E0" w:rsidP="00FB07E3">
      <w:pPr>
        <w:pStyle w:val="ARTartustawynprozporzdzenia"/>
        <w:ind w:firstLine="0"/>
        <w:rPr>
          <w:rFonts w:ascii="Times New Roman" w:eastAsiaTheme="minorHAnsi" w:hAnsi="Times New Roman" w:cs="Times New Roman"/>
          <w:szCs w:val="24"/>
          <w:lang w:eastAsia="en-US"/>
        </w:rPr>
      </w:pPr>
      <w:r w:rsidRPr="00FB07E3">
        <w:rPr>
          <w:rFonts w:ascii="Times New Roman" w:hAnsi="Times New Roman" w:cs="Times New Roman"/>
          <w:szCs w:val="24"/>
          <w:shd w:val="clear" w:color="auto" w:fill="FFFFFF"/>
        </w:rPr>
        <w:t xml:space="preserve">W odniesieniu zaś do </w:t>
      </w:r>
      <w:r w:rsidR="006825BB" w:rsidRPr="00FB07E3">
        <w:rPr>
          <w:rFonts w:ascii="Times New Roman" w:hAnsi="Times New Roman" w:cs="Times New Roman"/>
          <w:szCs w:val="24"/>
          <w:shd w:val="clear" w:color="auto" w:fill="FFFFFF"/>
        </w:rPr>
        <w:t xml:space="preserve">pozasądowego </w:t>
      </w:r>
      <w:r w:rsidRPr="00FB07E3">
        <w:rPr>
          <w:rFonts w:ascii="Times New Roman" w:hAnsi="Times New Roman" w:cs="Times New Roman"/>
          <w:szCs w:val="24"/>
          <w:shd w:val="clear" w:color="auto" w:fill="FFFFFF"/>
        </w:rPr>
        <w:t xml:space="preserve">postępowania mediacyjnego </w:t>
      </w:r>
      <w:r w:rsidRPr="004D731E">
        <w:rPr>
          <w:rFonts w:ascii="Times New Roman" w:eastAsiaTheme="minorHAnsi" w:hAnsi="Times New Roman" w:cs="Times New Roman"/>
          <w:szCs w:val="24"/>
          <w:lang w:eastAsia="en-US"/>
        </w:rPr>
        <w:t xml:space="preserve">powyższa zmiana niewątpliwie wpłynie na zwiększenie zainteresowania </w:t>
      </w:r>
      <w:r w:rsidR="006825BB" w:rsidRPr="004D731E">
        <w:rPr>
          <w:rFonts w:ascii="Times New Roman" w:eastAsiaTheme="minorHAnsi" w:hAnsi="Times New Roman" w:cs="Times New Roman"/>
          <w:szCs w:val="24"/>
          <w:lang w:eastAsia="en-US"/>
        </w:rPr>
        <w:t xml:space="preserve">tą </w:t>
      </w:r>
      <w:r w:rsidR="00B87162" w:rsidRPr="004D731E">
        <w:rPr>
          <w:rFonts w:ascii="Times New Roman" w:eastAsiaTheme="minorHAnsi" w:hAnsi="Times New Roman" w:cs="Times New Roman"/>
          <w:szCs w:val="24"/>
          <w:lang w:eastAsia="en-US"/>
        </w:rPr>
        <w:t>instytucją</w:t>
      </w:r>
      <w:r w:rsidR="00214BA6" w:rsidRPr="004D731E">
        <w:rPr>
          <w:rFonts w:ascii="Times New Roman" w:eastAsiaTheme="minorHAnsi" w:hAnsi="Times New Roman" w:cs="Times New Roman"/>
          <w:szCs w:val="24"/>
          <w:lang w:eastAsia="en-US"/>
        </w:rPr>
        <w:t xml:space="preserve"> </w:t>
      </w:r>
      <w:r w:rsidRPr="004D731E">
        <w:rPr>
          <w:rFonts w:ascii="Times New Roman" w:eastAsiaTheme="minorHAnsi" w:hAnsi="Times New Roman" w:cs="Times New Roman"/>
          <w:szCs w:val="24"/>
          <w:lang w:eastAsia="en-US"/>
        </w:rPr>
        <w:t xml:space="preserve">jako sposobem polubownego rozwiązywania sporów. </w:t>
      </w:r>
      <w:r w:rsidR="00AC3979" w:rsidRPr="004D731E">
        <w:rPr>
          <w:rFonts w:ascii="Times New Roman" w:hAnsi="Times New Roman" w:cs="Times New Roman"/>
          <w:szCs w:val="24"/>
        </w:rPr>
        <w:t xml:space="preserve">Należy przy tym </w:t>
      </w:r>
      <w:r w:rsidR="006825BB" w:rsidRPr="004D731E">
        <w:rPr>
          <w:rFonts w:ascii="Times New Roman" w:hAnsi="Times New Roman" w:cs="Times New Roman"/>
          <w:szCs w:val="24"/>
        </w:rPr>
        <w:t>podkreślić</w:t>
      </w:r>
      <w:r w:rsidR="008B6F1C">
        <w:rPr>
          <w:rFonts w:ascii="Times New Roman" w:hAnsi="Times New Roman" w:cs="Times New Roman"/>
          <w:szCs w:val="24"/>
        </w:rPr>
        <w:t>, że obecny art. 123 § </w:t>
      </w:r>
      <w:r w:rsidR="002372A4" w:rsidRPr="004D731E">
        <w:rPr>
          <w:rFonts w:ascii="Times New Roman" w:hAnsi="Times New Roman" w:cs="Times New Roman"/>
          <w:szCs w:val="24"/>
        </w:rPr>
        <w:t xml:space="preserve">1 pkt 3 </w:t>
      </w:r>
      <w:r w:rsidR="000753B8" w:rsidRPr="004D731E">
        <w:rPr>
          <w:rFonts w:ascii="Times New Roman" w:hAnsi="Times New Roman" w:cs="Times New Roman"/>
          <w:szCs w:val="24"/>
        </w:rPr>
        <w:t>Kodeksu</w:t>
      </w:r>
      <w:r w:rsidR="007B0F93" w:rsidRPr="004D731E">
        <w:rPr>
          <w:rFonts w:ascii="Times New Roman" w:hAnsi="Times New Roman" w:cs="Times New Roman"/>
          <w:szCs w:val="24"/>
        </w:rPr>
        <w:t xml:space="preserve"> </w:t>
      </w:r>
      <w:r w:rsidR="002372A4" w:rsidRPr="004D731E">
        <w:rPr>
          <w:rFonts w:ascii="Times New Roman" w:hAnsi="Times New Roman" w:cs="Times New Roman"/>
          <w:szCs w:val="24"/>
        </w:rPr>
        <w:t>c</w:t>
      </w:r>
      <w:r w:rsidR="000753B8" w:rsidRPr="004D731E">
        <w:rPr>
          <w:rFonts w:ascii="Times New Roman" w:hAnsi="Times New Roman" w:cs="Times New Roman"/>
          <w:szCs w:val="24"/>
        </w:rPr>
        <w:t>ywilnego</w:t>
      </w:r>
      <w:r w:rsidR="002372A4" w:rsidRPr="004D731E">
        <w:rPr>
          <w:rFonts w:ascii="Times New Roman" w:hAnsi="Times New Roman" w:cs="Times New Roman"/>
          <w:szCs w:val="24"/>
        </w:rPr>
        <w:t xml:space="preserve"> </w:t>
      </w:r>
      <w:r w:rsidR="00CF462B" w:rsidRPr="004D731E">
        <w:rPr>
          <w:rFonts w:ascii="Times New Roman" w:hAnsi="Times New Roman" w:cs="Times New Roman"/>
          <w:szCs w:val="24"/>
        </w:rPr>
        <w:t>odnosi się wyłącznie do</w:t>
      </w:r>
      <w:r w:rsidR="002372A4" w:rsidRPr="004D731E">
        <w:rPr>
          <w:rFonts w:ascii="Times New Roman" w:hAnsi="Times New Roman" w:cs="Times New Roman"/>
          <w:szCs w:val="24"/>
        </w:rPr>
        <w:t xml:space="preserve"> mediacji prowadzonej przed wszczęciem postępowania sądowego</w:t>
      </w:r>
      <w:r w:rsidR="00CF462B" w:rsidRPr="004D731E">
        <w:rPr>
          <w:rFonts w:ascii="Times New Roman" w:hAnsi="Times New Roman" w:cs="Times New Roman"/>
          <w:szCs w:val="24"/>
        </w:rPr>
        <w:t xml:space="preserve">. W </w:t>
      </w:r>
      <w:r w:rsidR="002372A4" w:rsidRPr="004D731E">
        <w:rPr>
          <w:rFonts w:ascii="Times New Roman" w:hAnsi="Times New Roman" w:cs="Times New Roman"/>
          <w:szCs w:val="24"/>
        </w:rPr>
        <w:t>przypadku</w:t>
      </w:r>
      <w:r w:rsidR="00CF462B" w:rsidRPr="004D731E">
        <w:rPr>
          <w:rFonts w:ascii="Times New Roman" w:hAnsi="Times New Roman" w:cs="Times New Roman"/>
          <w:szCs w:val="24"/>
        </w:rPr>
        <w:t xml:space="preserve"> bowiem</w:t>
      </w:r>
      <w:r w:rsidR="002372A4" w:rsidRPr="004D731E">
        <w:rPr>
          <w:rFonts w:ascii="Times New Roman" w:hAnsi="Times New Roman" w:cs="Times New Roman"/>
          <w:szCs w:val="24"/>
        </w:rPr>
        <w:t xml:space="preserve"> mediacji prowadzonej w toku s</w:t>
      </w:r>
      <w:r w:rsidR="002372A4" w:rsidRPr="00324258">
        <w:rPr>
          <w:rFonts w:ascii="Times New Roman" w:hAnsi="Times New Roman" w:cs="Times New Roman"/>
          <w:szCs w:val="24"/>
        </w:rPr>
        <w:t xml:space="preserve">prawy sądowej bieg terminu przedawnienia zostaje przerwany wcześniej, tj. w momencie </w:t>
      </w:r>
      <w:r w:rsidR="00CF462B" w:rsidRPr="004D731E">
        <w:rPr>
          <w:rFonts w:ascii="Times New Roman" w:hAnsi="Times New Roman" w:cs="Times New Roman"/>
          <w:szCs w:val="24"/>
        </w:rPr>
        <w:t xml:space="preserve">złożenia pisma inicjującego </w:t>
      </w:r>
      <w:r w:rsidR="002372A4" w:rsidRPr="004D731E">
        <w:rPr>
          <w:rFonts w:ascii="Times New Roman" w:hAnsi="Times New Roman" w:cs="Times New Roman"/>
          <w:szCs w:val="24"/>
        </w:rPr>
        <w:t>postępowani</w:t>
      </w:r>
      <w:r w:rsidR="00CF462B" w:rsidRPr="004D731E">
        <w:rPr>
          <w:rFonts w:ascii="Times New Roman" w:hAnsi="Times New Roman" w:cs="Times New Roman"/>
          <w:szCs w:val="24"/>
        </w:rPr>
        <w:t>e</w:t>
      </w:r>
      <w:r w:rsidR="002372A4" w:rsidRPr="004D731E">
        <w:rPr>
          <w:rFonts w:ascii="Times New Roman" w:hAnsi="Times New Roman" w:cs="Times New Roman"/>
          <w:szCs w:val="24"/>
        </w:rPr>
        <w:t xml:space="preserve"> sądowe (art. 123 § 1 pkt 1 </w:t>
      </w:r>
      <w:r w:rsidR="000753B8" w:rsidRPr="004D731E">
        <w:rPr>
          <w:rFonts w:ascii="Times New Roman" w:hAnsi="Times New Roman" w:cs="Times New Roman"/>
          <w:szCs w:val="24"/>
        </w:rPr>
        <w:t xml:space="preserve">Kodeksu </w:t>
      </w:r>
      <w:r w:rsidR="002372A4" w:rsidRPr="004D731E">
        <w:rPr>
          <w:rFonts w:ascii="Times New Roman" w:hAnsi="Times New Roman" w:cs="Times New Roman"/>
          <w:szCs w:val="24"/>
        </w:rPr>
        <w:t>c</w:t>
      </w:r>
      <w:r w:rsidR="000753B8" w:rsidRPr="004D731E">
        <w:rPr>
          <w:rFonts w:ascii="Times New Roman" w:hAnsi="Times New Roman" w:cs="Times New Roman"/>
          <w:szCs w:val="24"/>
        </w:rPr>
        <w:t>ywilnego</w:t>
      </w:r>
      <w:r w:rsidR="002372A4" w:rsidRPr="004D731E">
        <w:rPr>
          <w:rFonts w:ascii="Times New Roman" w:hAnsi="Times New Roman" w:cs="Times New Roman"/>
          <w:szCs w:val="24"/>
        </w:rPr>
        <w:t xml:space="preserve">). </w:t>
      </w:r>
      <w:r w:rsidRPr="004D731E">
        <w:rPr>
          <w:rFonts w:ascii="Times New Roman" w:eastAsiaTheme="minorHAnsi" w:hAnsi="Times New Roman" w:cs="Times New Roman"/>
          <w:szCs w:val="24"/>
          <w:lang w:eastAsia="en-US"/>
        </w:rPr>
        <w:t xml:space="preserve">Przerwanie biegu przedawnienia przez wszczęcie mediacji </w:t>
      </w:r>
      <w:r w:rsidR="002372A4" w:rsidRPr="004D731E">
        <w:rPr>
          <w:rFonts w:ascii="Times New Roman" w:eastAsiaTheme="minorHAnsi" w:hAnsi="Times New Roman" w:cs="Times New Roman"/>
          <w:szCs w:val="24"/>
          <w:lang w:eastAsia="en-US"/>
        </w:rPr>
        <w:t xml:space="preserve">pozasądowej </w:t>
      </w:r>
      <w:r w:rsidRPr="004D731E">
        <w:rPr>
          <w:rFonts w:ascii="Times New Roman" w:eastAsiaTheme="minorHAnsi" w:hAnsi="Times New Roman" w:cs="Times New Roman"/>
          <w:szCs w:val="24"/>
          <w:lang w:eastAsia="en-US"/>
        </w:rPr>
        <w:t>nie wpływa pozytywnie na jej atrakcyjność z perspektywy dłużnika</w:t>
      </w:r>
      <w:r w:rsidR="004A7695" w:rsidRPr="004D731E">
        <w:rPr>
          <w:rFonts w:ascii="Times New Roman" w:eastAsiaTheme="minorHAnsi" w:hAnsi="Times New Roman" w:cs="Times New Roman"/>
          <w:szCs w:val="24"/>
          <w:lang w:eastAsia="en-US"/>
        </w:rPr>
        <w:t xml:space="preserve">. </w:t>
      </w:r>
      <w:r w:rsidRPr="004D731E">
        <w:rPr>
          <w:rFonts w:ascii="Times New Roman" w:eastAsiaTheme="minorHAnsi" w:hAnsi="Times New Roman" w:cs="Times New Roman"/>
          <w:szCs w:val="24"/>
          <w:lang w:eastAsia="en-US"/>
        </w:rPr>
        <w:t xml:space="preserve">Gdyby potencjalnie był on zainteresowany takim postępowaniem, to </w:t>
      </w:r>
      <w:r w:rsidR="006C5E03" w:rsidRPr="004D731E">
        <w:rPr>
          <w:rFonts w:ascii="Times New Roman" w:eastAsiaTheme="minorHAnsi" w:hAnsi="Times New Roman" w:cs="Times New Roman"/>
          <w:szCs w:val="24"/>
          <w:lang w:eastAsia="en-US"/>
        </w:rPr>
        <w:t xml:space="preserve">nie </w:t>
      </w:r>
      <w:r w:rsidRPr="004D731E">
        <w:rPr>
          <w:rFonts w:ascii="Times New Roman" w:eastAsiaTheme="minorHAnsi" w:hAnsi="Times New Roman" w:cs="Times New Roman"/>
          <w:szCs w:val="24"/>
          <w:lang w:eastAsia="en-US"/>
        </w:rPr>
        <w:t>będzie wzbraniał się przed wyrażeniem na nie</w:t>
      </w:r>
      <w:r w:rsidRPr="004D731E">
        <w:rPr>
          <w:rFonts w:ascii="Times New Roman" w:eastAsiaTheme="minorHAnsi" w:hAnsi="Times New Roman" w:cs="Times New Roman"/>
          <w:b/>
          <w:bCs/>
          <w:szCs w:val="24"/>
          <w:lang w:eastAsia="en-US"/>
        </w:rPr>
        <w:t xml:space="preserve"> </w:t>
      </w:r>
      <w:r w:rsidRPr="004D731E">
        <w:rPr>
          <w:rFonts w:ascii="Times New Roman" w:eastAsiaTheme="minorHAnsi" w:hAnsi="Times New Roman" w:cs="Times New Roman"/>
          <w:szCs w:val="24"/>
          <w:lang w:eastAsia="en-US"/>
        </w:rPr>
        <w:t>zgody</w:t>
      </w:r>
      <w:r w:rsidR="00263DA9" w:rsidRPr="004D731E">
        <w:rPr>
          <w:rFonts w:ascii="Times New Roman" w:eastAsiaTheme="minorHAnsi" w:hAnsi="Times New Roman" w:cs="Times New Roman"/>
          <w:szCs w:val="24"/>
          <w:lang w:eastAsia="en-US"/>
        </w:rPr>
        <w:t>,</w:t>
      </w:r>
      <w:r w:rsidRPr="004D731E">
        <w:rPr>
          <w:rFonts w:ascii="Times New Roman" w:eastAsiaTheme="minorHAnsi" w:hAnsi="Times New Roman" w:cs="Times New Roman"/>
          <w:szCs w:val="24"/>
          <w:lang w:eastAsia="en-US"/>
        </w:rPr>
        <w:t xml:space="preserve"> </w:t>
      </w:r>
      <w:r w:rsidR="006C5E03" w:rsidRPr="004D731E">
        <w:rPr>
          <w:rFonts w:ascii="Times New Roman" w:eastAsiaTheme="minorHAnsi" w:hAnsi="Times New Roman" w:cs="Times New Roman"/>
          <w:szCs w:val="24"/>
          <w:lang w:eastAsia="en-US"/>
        </w:rPr>
        <w:t xml:space="preserve">jeżeli </w:t>
      </w:r>
      <w:r w:rsidRPr="004D731E">
        <w:rPr>
          <w:rFonts w:ascii="Times New Roman" w:eastAsiaTheme="minorHAnsi" w:hAnsi="Times New Roman" w:cs="Times New Roman"/>
          <w:szCs w:val="24"/>
          <w:lang w:eastAsia="en-US"/>
        </w:rPr>
        <w:t>konsekwencj</w:t>
      </w:r>
      <w:r w:rsidR="006C5E03" w:rsidRPr="004D731E">
        <w:rPr>
          <w:rFonts w:ascii="Times New Roman" w:eastAsiaTheme="minorHAnsi" w:hAnsi="Times New Roman" w:cs="Times New Roman"/>
          <w:szCs w:val="24"/>
          <w:lang w:eastAsia="en-US"/>
        </w:rPr>
        <w:t>ą</w:t>
      </w:r>
      <w:r w:rsidRPr="004D731E">
        <w:rPr>
          <w:rFonts w:ascii="Times New Roman" w:eastAsiaTheme="minorHAnsi" w:hAnsi="Times New Roman" w:cs="Times New Roman"/>
          <w:szCs w:val="24"/>
          <w:lang w:eastAsia="en-US"/>
        </w:rPr>
        <w:t xml:space="preserve"> tej czynności </w:t>
      </w:r>
      <w:r w:rsidR="006C5E03" w:rsidRPr="004D731E">
        <w:rPr>
          <w:rFonts w:ascii="Times New Roman" w:eastAsiaTheme="minorHAnsi" w:hAnsi="Times New Roman" w:cs="Times New Roman"/>
          <w:szCs w:val="24"/>
          <w:lang w:eastAsia="en-US"/>
        </w:rPr>
        <w:t>będzie zawieszenie</w:t>
      </w:r>
      <w:r w:rsidRPr="004D731E">
        <w:rPr>
          <w:rFonts w:ascii="Times New Roman" w:eastAsiaTheme="minorHAnsi" w:hAnsi="Times New Roman" w:cs="Times New Roman"/>
          <w:szCs w:val="24"/>
          <w:lang w:eastAsia="en-US"/>
        </w:rPr>
        <w:t xml:space="preserve"> biegu terminu przedawnienia roszczeń przeciwko niemu</w:t>
      </w:r>
      <w:r w:rsidR="00B80F2B" w:rsidRPr="004D731E">
        <w:rPr>
          <w:rFonts w:ascii="Times New Roman" w:eastAsiaTheme="minorHAnsi" w:hAnsi="Times New Roman" w:cs="Times New Roman"/>
          <w:szCs w:val="24"/>
          <w:lang w:eastAsia="en-US"/>
        </w:rPr>
        <w:t>, a nie jego przerwanie</w:t>
      </w:r>
      <w:r w:rsidRPr="004D731E">
        <w:rPr>
          <w:rFonts w:ascii="Times New Roman" w:eastAsiaTheme="minorHAnsi" w:hAnsi="Times New Roman" w:cs="Times New Roman"/>
          <w:szCs w:val="24"/>
          <w:lang w:eastAsia="en-US"/>
        </w:rPr>
        <w:t>. Jak podnosi się w</w:t>
      </w:r>
      <w:r w:rsidR="004D731E">
        <w:rPr>
          <w:rFonts w:ascii="Times New Roman" w:eastAsiaTheme="minorHAnsi" w:hAnsi="Times New Roman" w:cs="Times New Roman"/>
          <w:szCs w:val="24"/>
          <w:lang w:eastAsia="en-US"/>
        </w:rPr>
        <w:t xml:space="preserve"> </w:t>
      </w:r>
      <w:r w:rsidRPr="004D731E">
        <w:rPr>
          <w:rFonts w:ascii="Times New Roman" w:eastAsiaTheme="minorHAnsi" w:hAnsi="Times New Roman" w:cs="Times New Roman"/>
          <w:szCs w:val="24"/>
          <w:lang w:eastAsia="en-US"/>
        </w:rPr>
        <w:t>doktrynie, uczynienie mediacji atrakcyjną dla jej uczestników nie wymaga wiązania z jej wszczęciem tak daleko idących skutków w zakresie przedawnienia, jak przerwanie jego biegu. W celu wyeliminowania niebezpieczeństwa upływu okresu przedawnienia w trakcie mediacji wystarczające jest, aby jej wszczęcie powodowało zawieszenie, a nie przerwanie biegu przedawnienia</w:t>
      </w:r>
      <w:r w:rsidR="00A7500D" w:rsidRPr="004D731E">
        <w:rPr>
          <w:rStyle w:val="Odwoanieprzypisudolnego"/>
          <w:rFonts w:ascii="Times New Roman" w:eastAsiaTheme="minorHAnsi" w:hAnsi="Times New Roman" w:cs="Times New Roman"/>
          <w:szCs w:val="24"/>
          <w:lang w:eastAsia="en-US"/>
        </w:rPr>
        <w:footnoteReference w:id="4"/>
      </w:r>
      <w:r w:rsidR="00130695" w:rsidRPr="00FB07E3">
        <w:rPr>
          <w:rStyle w:val="Odwoanieprzypisudolnego"/>
          <w:rFonts w:ascii="Times New Roman" w:hAnsi="Times New Roman" w:cs="Times New Roman"/>
          <w:szCs w:val="24"/>
        </w:rPr>
        <w:t>)</w:t>
      </w:r>
      <w:r w:rsidRPr="004D731E">
        <w:rPr>
          <w:rFonts w:ascii="Times New Roman" w:eastAsiaTheme="minorHAnsi" w:hAnsi="Times New Roman" w:cs="Times New Roman"/>
          <w:szCs w:val="24"/>
          <w:lang w:eastAsia="en-US"/>
        </w:rPr>
        <w:t>.</w:t>
      </w:r>
      <w:r w:rsidR="00214BA6" w:rsidRPr="004D731E">
        <w:rPr>
          <w:rFonts w:ascii="Times New Roman" w:eastAsiaTheme="minorHAnsi" w:hAnsi="Times New Roman" w:cs="Times New Roman"/>
          <w:szCs w:val="24"/>
          <w:lang w:eastAsia="en-US"/>
        </w:rPr>
        <w:t xml:space="preserve"> </w:t>
      </w:r>
    </w:p>
    <w:p w14:paraId="61198E99" w14:textId="1248CD8B" w:rsidR="00F118B6" w:rsidRPr="004D731E" w:rsidRDefault="00F118B6" w:rsidP="00FB07E3">
      <w:pPr>
        <w:pStyle w:val="ARTartustawynprozporzdzenia"/>
        <w:ind w:firstLine="0"/>
        <w:rPr>
          <w:rFonts w:ascii="Times New Roman" w:eastAsiaTheme="minorHAnsi" w:hAnsi="Times New Roman" w:cs="Times New Roman"/>
          <w:szCs w:val="24"/>
          <w:lang w:eastAsia="en-US"/>
        </w:rPr>
      </w:pPr>
      <w:r w:rsidRPr="004D731E">
        <w:rPr>
          <w:rFonts w:ascii="Times New Roman" w:eastAsiaTheme="minorHAnsi" w:hAnsi="Times New Roman" w:cs="Times New Roman"/>
          <w:szCs w:val="24"/>
          <w:lang w:eastAsia="en-US"/>
        </w:rPr>
        <w:t xml:space="preserve">Konsekwencją powyższej zmiany jest nowelizacja art. 124 § 2 </w:t>
      </w:r>
      <w:r w:rsidR="005C5281" w:rsidRPr="004D731E">
        <w:rPr>
          <w:rFonts w:ascii="Times New Roman" w:eastAsiaTheme="minorHAnsi" w:hAnsi="Times New Roman" w:cs="Times New Roman"/>
          <w:szCs w:val="24"/>
          <w:lang w:eastAsia="en-US"/>
        </w:rPr>
        <w:t>Kodeksu cywilnego</w:t>
      </w:r>
      <w:r w:rsidRPr="004D731E">
        <w:rPr>
          <w:rFonts w:ascii="Times New Roman" w:eastAsiaTheme="minorHAnsi" w:hAnsi="Times New Roman" w:cs="Times New Roman"/>
          <w:szCs w:val="24"/>
          <w:lang w:eastAsia="en-US"/>
        </w:rPr>
        <w:t xml:space="preserve">, </w:t>
      </w:r>
      <w:r w:rsidRPr="004D731E">
        <w:rPr>
          <w:rFonts w:ascii="Times New Roman" w:eastAsia="Times New Roman" w:hAnsi="Times New Roman" w:cs="Times New Roman"/>
          <w:szCs w:val="24"/>
        </w:rPr>
        <w:t>określającego skutki przerwania</w:t>
      </w:r>
      <w:r w:rsidR="00CF462B" w:rsidRPr="004D731E">
        <w:rPr>
          <w:rFonts w:ascii="Times New Roman" w:eastAsia="Times New Roman" w:hAnsi="Times New Roman" w:cs="Times New Roman"/>
          <w:szCs w:val="24"/>
        </w:rPr>
        <w:t xml:space="preserve"> biegu terminu</w:t>
      </w:r>
      <w:r w:rsidRPr="004D731E">
        <w:rPr>
          <w:rFonts w:ascii="Times New Roman" w:eastAsia="Times New Roman" w:hAnsi="Times New Roman" w:cs="Times New Roman"/>
          <w:szCs w:val="24"/>
        </w:rPr>
        <w:t xml:space="preserve"> przedawnienia, przez wyeliminowanie w tym przepisie odwołania do mediacji.</w:t>
      </w:r>
    </w:p>
    <w:p w14:paraId="36A1CC58" w14:textId="131EA582" w:rsidR="00F84C42" w:rsidRPr="00FB07E3" w:rsidRDefault="008D28E0" w:rsidP="00FB07E3">
      <w:pPr>
        <w:pStyle w:val="ARTartustawynprozporzdzenia"/>
        <w:ind w:firstLine="0"/>
        <w:rPr>
          <w:rFonts w:ascii="Times New Roman" w:eastAsiaTheme="minorHAnsi" w:hAnsi="Times New Roman" w:cs="Times New Roman"/>
          <w:szCs w:val="24"/>
          <w:lang w:eastAsia="en-US"/>
        </w:rPr>
      </w:pPr>
      <w:r w:rsidRPr="00FB07E3">
        <w:rPr>
          <w:rFonts w:ascii="Times New Roman" w:eastAsiaTheme="minorHAnsi" w:hAnsi="Times New Roman" w:cs="Times New Roman"/>
          <w:szCs w:val="24"/>
          <w:lang w:eastAsia="en-US"/>
        </w:rPr>
        <w:t xml:space="preserve">Dzięki powyższym zmianom </w:t>
      </w:r>
      <w:r w:rsidR="00B45A32" w:rsidRPr="00FB07E3">
        <w:rPr>
          <w:rFonts w:ascii="Times New Roman" w:eastAsiaTheme="minorHAnsi" w:hAnsi="Times New Roman" w:cs="Times New Roman"/>
          <w:szCs w:val="24"/>
          <w:lang w:eastAsia="en-US"/>
        </w:rPr>
        <w:t xml:space="preserve">będzie </w:t>
      </w:r>
      <w:r w:rsidRPr="00FB07E3">
        <w:rPr>
          <w:rFonts w:ascii="Times New Roman" w:eastAsiaTheme="minorHAnsi" w:hAnsi="Times New Roman" w:cs="Times New Roman"/>
          <w:szCs w:val="24"/>
          <w:lang w:eastAsia="en-US"/>
        </w:rPr>
        <w:t>możliwe ukierunkowanie stron na rzeczywiste rozwiązywani</w:t>
      </w:r>
      <w:r w:rsidR="005D5DE8" w:rsidRPr="00FB07E3">
        <w:rPr>
          <w:rFonts w:ascii="Times New Roman" w:eastAsiaTheme="minorHAnsi" w:hAnsi="Times New Roman" w:cs="Times New Roman"/>
          <w:szCs w:val="24"/>
          <w:lang w:eastAsia="en-US"/>
        </w:rPr>
        <w:t>e</w:t>
      </w:r>
      <w:r w:rsidRPr="00FB07E3">
        <w:rPr>
          <w:rFonts w:ascii="Times New Roman" w:eastAsiaTheme="minorHAnsi" w:hAnsi="Times New Roman" w:cs="Times New Roman"/>
          <w:szCs w:val="24"/>
          <w:lang w:eastAsia="en-US"/>
        </w:rPr>
        <w:t xml:space="preserve"> konfliktów i dochodzenie do porozumienia drogą ugodową. Rozwiązanie takie wydaje się </w:t>
      </w:r>
      <w:r w:rsidR="00512706" w:rsidRPr="00FB07E3">
        <w:rPr>
          <w:rFonts w:ascii="Times New Roman" w:eastAsiaTheme="minorHAnsi" w:hAnsi="Times New Roman" w:cs="Times New Roman"/>
          <w:szCs w:val="24"/>
          <w:lang w:eastAsia="en-US"/>
        </w:rPr>
        <w:t>optymalnym</w:t>
      </w:r>
      <w:r w:rsidRPr="00FB07E3">
        <w:rPr>
          <w:rFonts w:ascii="Times New Roman" w:eastAsiaTheme="minorHAnsi" w:hAnsi="Times New Roman" w:cs="Times New Roman"/>
          <w:szCs w:val="24"/>
          <w:lang w:eastAsia="en-US"/>
        </w:rPr>
        <w:t xml:space="preserve"> i wychodzącym naprzeciw</w:t>
      </w:r>
      <w:r w:rsidR="00B80F2B" w:rsidRPr="00FB07E3">
        <w:rPr>
          <w:rFonts w:ascii="Times New Roman" w:eastAsiaTheme="minorHAnsi" w:hAnsi="Times New Roman" w:cs="Times New Roman"/>
          <w:szCs w:val="24"/>
          <w:lang w:eastAsia="en-US"/>
        </w:rPr>
        <w:t xml:space="preserve"> oczekiwaniom</w:t>
      </w:r>
      <w:r w:rsidRPr="00FB07E3">
        <w:rPr>
          <w:rFonts w:ascii="Times New Roman" w:eastAsiaTheme="minorHAnsi" w:hAnsi="Times New Roman" w:cs="Times New Roman"/>
          <w:szCs w:val="24"/>
          <w:lang w:eastAsia="en-US"/>
        </w:rPr>
        <w:t xml:space="preserve"> zarówno wierzyciel</w:t>
      </w:r>
      <w:r w:rsidR="00B80F2B" w:rsidRPr="00FB07E3">
        <w:rPr>
          <w:rFonts w:ascii="Times New Roman" w:eastAsiaTheme="minorHAnsi" w:hAnsi="Times New Roman" w:cs="Times New Roman"/>
          <w:szCs w:val="24"/>
          <w:lang w:eastAsia="en-US"/>
        </w:rPr>
        <w:t>i</w:t>
      </w:r>
      <w:r w:rsidRPr="00FB07E3">
        <w:rPr>
          <w:rFonts w:ascii="Times New Roman" w:eastAsiaTheme="minorHAnsi" w:hAnsi="Times New Roman" w:cs="Times New Roman"/>
          <w:szCs w:val="24"/>
          <w:lang w:eastAsia="en-US"/>
        </w:rPr>
        <w:t>, jak i</w:t>
      </w:r>
      <w:r w:rsidR="004D731E">
        <w:rPr>
          <w:rFonts w:ascii="Times New Roman" w:eastAsiaTheme="minorHAnsi" w:hAnsi="Times New Roman" w:cs="Times New Roman"/>
          <w:szCs w:val="24"/>
          <w:lang w:eastAsia="en-US"/>
        </w:rPr>
        <w:t xml:space="preserve"> </w:t>
      </w:r>
      <w:r w:rsidRPr="00FB07E3">
        <w:rPr>
          <w:rFonts w:ascii="Times New Roman" w:eastAsiaTheme="minorHAnsi" w:hAnsi="Times New Roman" w:cs="Times New Roman"/>
          <w:szCs w:val="24"/>
          <w:lang w:eastAsia="en-US"/>
        </w:rPr>
        <w:t>dłużnik</w:t>
      </w:r>
      <w:r w:rsidR="00B80F2B" w:rsidRPr="00FB07E3">
        <w:rPr>
          <w:rFonts w:ascii="Times New Roman" w:eastAsiaTheme="minorHAnsi" w:hAnsi="Times New Roman" w:cs="Times New Roman"/>
          <w:szCs w:val="24"/>
          <w:lang w:eastAsia="en-US"/>
        </w:rPr>
        <w:t>ów</w:t>
      </w:r>
      <w:r w:rsidRPr="00FB07E3">
        <w:rPr>
          <w:rFonts w:ascii="Times New Roman" w:eastAsiaTheme="minorHAnsi" w:hAnsi="Times New Roman" w:cs="Times New Roman"/>
          <w:szCs w:val="24"/>
          <w:lang w:eastAsia="en-US"/>
        </w:rPr>
        <w:t>, chroniąc tym samym interesy obu stron stosunku zobowiązaniowego.</w:t>
      </w:r>
    </w:p>
    <w:p w14:paraId="617B4E4C" w14:textId="48153162" w:rsidR="00FD1018" w:rsidRPr="00FB07E3" w:rsidRDefault="00FD1018" w:rsidP="0030657F">
      <w:pPr>
        <w:pStyle w:val="ARTartustawynprozporzdzenia"/>
        <w:spacing w:before="320"/>
        <w:ind w:firstLine="0"/>
        <w:rPr>
          <w:rFonts w:ascii="Times New Roman" w:eastAsia="Times New Roman" w:hAnsi="Times New Roman" w:cs="Times New Roman"/>
          <w:b/>
          <w:bCs/>
          <w:szCs w:val="24"/>
        </w:rPr>
      </w:pPr>
      <w:r w:rsidRPr="00FB07E3">
        <w:rPr>
          <w:rFonts w:ascii="Times New Roman" w:eastAsiaTheme="minorHAnsi" w:hAnsi="Times New Roman" w:cs="Times New Roman"/>
          <w:b/>
          <w:bCs/>
          <w:szCs w:val="24"/>
          <w:lang w:eastAsia="en-US"/>
        </w:rPr>
        <w:lastRenderedPageBreak/>
        <w:t>Projektowan</w:t>
      </w:r>
      <w:r w:rsidR="00745FF2" w:rsidRPr="00FB07E3">
        <w:rPr>
          <w:rFonts w:ascii="Times New Roman" w:eastAsiaTheme="minorHAnsi" w:hAnsi="Times New Roman" w:cs="Times New Roman"/>
          <w:b/>
          <w:bCs/>
          <w:szCs w:val="24"/>
          <w:lang w:eastAsia="en-US"/>
        </w:rPr>
        <w:t>a</w:t>
      </w:r>
      <w:r w:rsidRPr="00FB07E3">
        <w:rPr>
          <w:rFonts w:ascii="Times New Roman" w:eastAsiaTheme="minorHAnsi" w:hAnsi="Times New Roman" w:cs="Times New Roman"/>
          <w:b/>
          <w:bCs/>
          <w:szCs w:val="24"/>
          <w:lang w:eastAsia="en-US"/>
        </w:rPr>
        <w:t xml:space="preserve"> zmian</w:t>
      </w:r>
      <w:r w:rsidR="000E607D" w:rsidRPr="00FB07E3">
        <w:rPr>
          <w:rFonts w:ascii="Times New Roman" w:eastAsiaTheme="minorHAnsi" w:hAnsi="Times New Roman" w:cs="Times New Roman"/>
          <w:b/>
          <w:bCs/>
          <w:szCs w:val="24"/>
          <w:lang w:eastAsia="en-US"/>
        </w:rPr>
        <w:t>a</w:t>
      </w:r>
      <w:r w:rsidRPr="00FB07E3">
        <w:rPr>
          <w:rFonts w:ascii="Times New Roman" w:eastAsiaTheme="minorHAnsi" w:hAnsi="Times New Roman" w:cs="Times New Roman"/>
          <w:b/>
          <w:bCs/>
          <w:szCs w:val="24"/>
          <w:lang w:eastAsia="en-US"/>
        </w:rPr>
        <w:t xml:space="preserve"> w zakresie </w:t>
      </w:r>
      <w:r w:rsidR="00745FF2" w:rsidRPr="00FB07E3">
        <w:rPr>
          <w:rFonts w:ascii="Times New Roman" w:eastAsiaTheme="minorHAnsi" w:hAnsi="Times New Roman" w:cs="Times New Roman"/>
          <w:b/>
          <w:bCs/>
          <w:szCs w:val="24"/>
          <w:lang w:eastAsia="en-US"/>
        </w:rPr>
        <w:t xml:space="preserve">art. </w:t>
      </w:r>
      <w:bookmarkStart w:id="1" w:name="_Hlk69801979"/>
      <w:r w:rsidR="000E607D" w:rsidRPr="00FB07E3">
        <w:rPr>
          <w:rFonts w:ascii="Times New Roman" w:eastAsiaTheme="minorHAnsi" w:hAnsi="Times New Roman" w:cs="Times New Roman"/>
          <w:b/>
          <w:bCs/>
          <w:szCs w:val="24"/>
          <w:lang w:eastAsia="en-US"/>
        </w:rPr>
        <w:t>183</w:t>
      </w:r>
      <w:r w:rsidR="000E607D" w:rsidRPr="00FB07E3">
        <w:rPr>
          <w:rFonts w:ascii="Times New Roman" w:eastAsiaTheme="minorHAnsi" w:hAnsi="Times New Roman" w:cs="Times New Roman"/>
          <w:b/>
          <w:bCs/>
          <w:szCs w:val="24"/>
          <w:vertAlign w:val="superscript"/>
          <w:lang w:eastAsia="en-US"/>
        </w:rPr>
        <w:t>6</w:t>
      </w:r>
      <w:bookmarkEnd w:id="1"/>
      <w:r w:rsidR="00745FF2" w:rsidRPr="00FB07E3">
        <w:rPr>
          <w:rFonts w:ascii="Times New Roman" w:eastAsiaTheme="minorHAnsi" w:hAnsi="Times New Roman" w:cs="Times New Roman"/>
          <w:b/>
          <w:bCs/>
          <w:szCs w:val="24"/>
          <w:lang w:eastAsia="en-US"/>
        </w:rPr>
        <w:t xml:space="preserve"> </w:t>
      </w:r>
      <w:r w:rsidRPr="00FB07E3">
        <w:rPr>
          <w:rFonts w:ascii="Times New Roman" w:eastAsiaTheme="minorHAnsi" w:hAnsi="Times New Roman" w:cs="Times New Roman"/>
          <w:b/>
          <w:bCs/>
          <w:szCs w:val="24"/>
          <w:lang w:eastAsia="en-US"/>
        </w:rPr>
        <w:t xml:space="preserve">ustawy </w:t>
      </w:r>
      <w:r w:rsidRPr="00FB07E3">
        <w:rPr>
          <w:rFonts w:ascii="Times New Roman" w:hAnsi="Times New Roman" w:cs="Times New Roman"/>
          <w:b/>
          <w:bCs/>
          <w:szCs w:val="24"/>
        </w:rPr>
        <w:t xml:space="preserve">z dnia 17 listopada 1964 r. – Kodeks postępowania </w:t>
      </w:r>
      <w:bookmarkStart w:id="2" w:name="_Hlk60311201"/>
      <w:r w:rsidRPr="00FB07E3">
        <w:rPr>
          <w:rFonts w:ascii="Times New Roman" w:hAnsi="Times New Roman" w:cs="Times New Roman"/>
          <w:b/>
          <w:bCs/>
          <w:szCs w:val="24"/>
        </w:rPr>
        <w:t>cywilnego (Dz. U. z 2020 r. poz. 1575, z późn. zm.)</w:t>
      </w:r>
      <w:bookmarkEnd w:id="2"/>
      <w:r w:rsidRPr="004D731E">
        <w:rPr>
          <w:rFonts w:ascii="Times New Roman" w:eastAsia="Times New Roman" w:hAnsi="Times New Roman" w:cs="Times New Roman"/>
          <w:b/>
          <w:bCs/>
          <w:szCs w:val="24"/>
          <w:shd w:val="clear" w:color="auto" w:fill="FFFFFF"/>
        </w:rPr>
        <w:t xml:space="preserve"> – dalej zwanej </w:t>
      </w:r>
      <w:r w:rsidR="004D731E">
        <w:rPr>
          <w:rFonts w:ascii="Times New Roman" w:eastAsia="Times New Roman" w:hAnsi="Times New Roman" w:cs="Times New Roman"/>
          <w:b/>
          <w:bCs/>
          <w:szCs w:val="24"/>
          <w:shd w:val="clear" w:color="auto" w:fill="FFFFFF"/>
        </w:rPr>
        <w:t>„</w:t>
      </w:r>
      <w:r w:rsidRPr="004D731E">
        <w:rPr>
          <w:rFonts w:ascii="Times New Roman" w:eastAsia="Times New Roman" w:hAnsi="Times New Roman" w:cs="Times New Roman"/>
          <w:b/>
          <w:bCs/>
          <w:szCs w:val="24"/>
          <w:shd w:val="clear" w:color="auto" w:fill="FFFFFF"/>
        </w:rPr>
        <w:t>Kodeks postępowania cywilnego”</w:t>
      </w:r>
    </w:p>
    <w:p w14:paraId="599D0823" w14:textId="4EC5B029" w:rsidR="00B96835" w:rsidRPr="00FB07E3" w:rsidRDefault="00086F81" w:rsidP="00FB07E3">
      <w:pPr>
        <w:pStyle w:val="ARTartustawynprozporzdzenia"/>
        <w:ind w:firstLine="0"/>
        <w:rPr>
          <w:rFonts w:ascii="Times New Roman" w:hAnsi="Times New Roman" w:cs="Times New Roman"/>
          <w:szCs w:val="24"/>
        </w:rPr>
      </w:pPr>
      <w:r w:rsidRPr="004D731E">
        <w:rPr>
          <w:rFonts w:ascii="Times New Roman" w:hAnsi="Times New Roman" w:cs="Times New Roman"/>
          <w:szCs w:val="24"/>
          <w:shd w:val="clear" w:color="auto" w:fill="FFFFFF"/>
        </w:rPr>
        <w:t>W związku z pro</w:t>
      </w:r>
      <w:r w:rsidR="009D0378" w:rsidRPr="004D731E">
        <w:rPr>
          <w:rFonts w:ascii="Times New Roman" w:hAnsi="Times New Roman" w:cs="Times New Roman"/>
          <w:szCs w:val="24"/>
          <w:shd w:val="clear" w:color="auto" w:fill="FFFFFF"/>
        </w:rPr>
        <w:t xml:space="preserve">jektowaną </w:t>
      </w:r>
      <w:r w:rsidR="00F4641D" w:rsidRPr="004D731E">
        <w:rPr>
          <w:rFonts w:ascii="Times New Roman" w:hAnsi="Times New Roman" w:cs="Times New Roman"/>
          <w:szCs w:val="24"/>
          <w:shd w:val="clear" w:color="auto" w:fill="FFFFFF"/>
        </w:rPr>
        <w:t xml:space="preserve">zmianą art. </w:t>
      </w:r>
      <w:r w:rsidR="00F4641D" w:rsidRPr="00FB07E3">
        <w:rPr>
          <w:rFonts w:ascii="Times New Roman" w:hAnsi="Times New Roman" w:cs="Times New Roman"/>
          <w:szCs w:val="24"/>
        </w:rPr>
        <w:t xml:space="preserve">121 pkt 5 Kodeksu cywilnego, </w:t>
      </w:r>
      <w:r w:rsidRPr="004D731E">
        <w:rPr>
          <w:rFonts w:ascii="Times New Roman" w:hAnsi="Times New Roman" w:cs="Times New Roman"/>
          <w:szCs w:val="24"/>
          <w:shd w:val="clear" w:color="auto" w:fill="FFFFFF"/>
        </w:rPr>
        <w:t>ogranicz</w:t>
      </w:r>
      <w:r w:rsidR="009D0378" w:rsidRPr="004D731E">
        <w:rPr>
          <w:rFonts w:ascii="Times New Roman" w:hAnsi="Times New Roman" w:cs="Times New Roman"/>
          <w:szCs w:val="24"/>
          <w:shd w:val="clear" w:color="auto" w:fill="FFFFFF"/>
        </w:rPr>
        <w:t>ającą</w:t>
      </w:r>
      <w:r w:rsidRPr="004D731E">
        <w:rPr>
          <w:rFonts w:ascii="Times New Roman" w:hAnsi="Times New Roman" w:cs="Times New Roman"/>
          <w:szCs w:val="24"/>
          <w:shd w:val="clear" w:color="auto" w:fill="FFFFFF"/>
        </w:rPr>
        <w:t xml:space="preserve"> wpływ wszczęcia </w:t>
      </w:r>
      <w:r w:rsidR="009B1E7E" w:rsidRPr="004D731E">
        <w:rPr>
          <w:rFonts w:ascii="Times New Roman" w:hAnsi="Times New Roman" w:cs="Times New Roman"/>
          <w:szCs w:val="24"/>
          <w:shd w:val="clear" w:color="auto" w:fill="FFFFFF"/>
        </w:rPr>
        <w:t xml:space="preserve">pozasądowego </w:t>
      </w:r>
      <w:r w:rsidRPr="004D731E">
        <w:rPr>
          <w:rFonts w:ascii="Times New Roman" w:hAnsi="Times New Roman" w:cs="Times New Roman"/>
          <w:szCs w:val="24"/>
          <w:shd w:val="clear" w:color="auto" w:fill="FFFFFF"/>
        </w:rPr>
        <w:t>postępowania mediacyjnego na</w:t>
      </w:r>
      <w:r w:rsidR="009B1E7E" w:rsidRPr="004D731E">
        <w:rPr>
          <w:rFonts w:ascii="Times New Roman" w:hAnsi="Times New Roman" w:cs="Times New Roman"/>
          <w:szCs w:val="24"/>
          <w:shd w:val="clear" w:color="auto" w:fill="FFFFFF"/>
        </w:rPr>
        <w:t xml:space="preserve"> </w:t>
      </w:r>
      <w:r w:rsidRPr="004D731E">
        <w:rPr>
          <w:rFonts w:ascii="Times New Roman" w:hAnsi="Times New Roman" w:cs="Times New Roman"/>
          <w:szCs w:val="24"/>
          <w:shd w:val="clear" w:color="auto" w:fill="FFFFFF"/>
        </w:rPr>
        <w:t xml:space="preserve">bieg terminu przedawnienia </w:t>
      </w:r>
      <w:r w:rsidRPr="004D731E">
        <w:rPr>
          <w:rFonts w:ascii="Times New Roman" w:hAnsi="Times New Roman" w:cs="Times New Roman"/>
          <w:szCs w:val="24"/>
        </w:rPr>
        <w:t xml:space="preserve">do zawieszenia na czas </w:t>
      </w:r>
      <w:r w:rsidR="009B1E7E" w:rsidRPr="004D731E">
        <w:rPr>
          <w:rFonts w:ascii="Times New Roman" w:hAnsi="Times New Roman" w:cs="Times New Roman"/>
          <w:szCs w:val="24"/>
        </w:rPr>
        <w:t xml:space="preserve">jego </w:t>
      </w:r>
      <w:r w:rsidRPr="004D731E">
        <w:rPr>
          <w:rFonts w:ascii="Times New Roman" w:hAnsi="Times New Roman" w:cs="Times New Roman"/>
          <w:szCs w:val="24"/>
        </w:rPr>
        <w:t>trwania</w:t>
      </w:r>
      <w:r w:rsidR="009D0378" w:rsidRPr="004D731E">
        <w:rPr>
          <w:rFonts w:ascii="Times New Roman" w:hAnsi="Times New Roman" w:cs="Times New Roman"/>
          <w:szCs w:val="24"/>
        </w:rPr>
        <w:t>, proponuje się zmianę</w:t>
      </w:r>
      <w:r w:rsidR="009B1E7E" w:rsidRPr="004D731E">
        <w:rPr>
          <w:rFonts w:ascii="Times New Roman" w:hAnsi="Times New Roman" w:cs="Times New Roman"/>
          <w:szCs w:val="24"/>
        </w:rPr>
        <w:t xml:space="preserve"> </w:t>
      </w:r>
      <w:r w:rsidR="008B6F1C">
        <w:rPr>
          <w:rFonts w:ascii="Times New Roman" w:hAnsi="Times New Roman" w:cs="Times New Roman"/>
          <w:szCs w:val="24"/>
        </w:rPr>
        <w:t>§ 3 w art. </w:t>
      </w:r>
      <w:r w:rsidR="009D0378" w:rsidRPr="00FB07E3">
        <w:rPr>
          <w:rFonts w:ascii="Times New Roman" w:eastAsiaTheme="minorHAnsi" w:hAnsi="Times New Roman" w:cs="Times New Roman"/>
          <w:szCs w:val="24"/>
          <w:lang w:eastAsia="en-US"/>
        </w:rPr>
        <w:t>183</w:t>
      </w:r>
      <w:r w:rsidR="009D0378" w:rsidRPr="00FB07E3">
        <w:rPr>
          <w:rFonts w:ascii="Times New Roman" w:eastAsiaTheme="minorHAnsi" w:hAnsi="Times New Roman" w:cs="Times New Roman"/>
          <w:szCs w:val="24"/>
          <w:vertAlign w:val="superscript"/>
          <w:lang w:eastAsia="en-US"/>
        </w:rPr>
        <w:t>6</w:t>
      </w:r>
      <w:r w:rsidR="009D0378" w:rsidRPr="00FB07E3">
        <w:rPr>
          <w:rFonts w:ascii="Times New Roman" w:eastAsiaTheme="minorHAnsi" w:hAnsi="Times New Roman" w:cs="Times New Roman"/>
          <w:szCs w:val="24"/>
          <w:lang w:eastAsia="en-US"/>
        </w:rPr>
        <w:t xml:space="preserve"> Kodeksu postępowania cywilnego</w:t>
      </w:r>
      <w:r w:rsidR="009B1E7E" w:rsidRPr="00FB07E3">
        <w:rPr>
          <w:rFonts w:ascii="Times New Roman" w:eastAsiaTheme="minorHAnsi" w:hAnsi="Times New Roman" w:cs="Times New Roman"/>
          <w:szCs w:val="24"/>
          <w:lang w:eastAsia="en-US"/>
        </w:rPr>
        <w:t xml:space="preserve">. Nowelizacja ta prowadziłaby do zachowania skutków przewidzianych </w:t>
      </w:r>
      <w:r w:rsidR="00F4641D" w:rsidRPr="00FB07E3">
        <w:rPr>
          <w:rFonts w:ascii="Times New Roman" w:eastAsiaTheme="minorHAnsi" w:hAnsi="Times New Roman" w:cs="Times New Roman"/>
          <w:szCs w:val="24"/>
          <w:lang w:eastAsia="en-US"/>
        </w:rPr>
        <w:t>dla wszcz</w:t>
      </w:r>
      <w:r w:rsidR="00DB4223" w:rsidRPr="00FB07E3">
        <w:rPr>
          <w:rFonts w:ascii="Times New Roman" w:eastAsiaTheme="minorHAnsi" w:hAnsi="Times New Roman" w:cs="Times New Roman"/>
          <w:szCs w:val="24"/>
          <w:lang w:eastAsia="en-US"/>
        </w:rPr>
        <w:t>ęcia</w:t>
      </w:r>
      <w:r w:rsidR="00F4641D" w:rsidRPr="00FB07E3">
        <w:rPr>
          <w:rFonts w:ascii="Times New Roman" w:eastAsiaTheme="minorHAnsi" w:hAnsi="Times New Roman" w:cs="Times New Roman"/>
          <w:szCs w:val="24"/>
          <w:lang w:eastAsia="en-US"/>
        </w:rPr>
        <w:t xml:space="preserve"> mediacji (zawieszenie </w:t>
      </w:r>
      <w:r w:rsidR="00DB4223" w:rsidRPr="00FB07E3">
        <w:rPr>
          <w:rFonts w:ascii="Times New Roman" w:eastAsiaTheme="minorHAnsi" w:hAnsi="Times New Roman" w:cs="Times New Roman"/>
          <w:szCs w:val="24"/>
          <w:lang w:eastAsia="en-US"/>
        </w:rPr>
        <w:t xml:space="preserve">biegu terminu przedawnienia) </w:t>
      </w:r>
      <w:r w:rsidR="00585312" w:rsidRPr="00FB07E3">
        <w:rPr>
          <w:rFonts w:ascii="Times New Roman" w:eastAsiaTheme="minorHAnsi" w:hAnsi="Times New Roman" w:cs="Times New Roman"/>
          <w:szCs w:val="24"/>
          <w:lang w:eastAsia="en-US"/>
        </w:rPr>
        <w:t>w</w:t>
      </w:r>
      <w:r w:rsidR="004D731E">
        <w:rPr>
          <w:rFonts w:ascii="Times New Roman" w:eastAsiaTheme="minorHAnsi" w:hAnsi="Times New Roman" w:cs="Times New Roman"/>
          <w:szCs w:val="24"/>
          <w:lang w:eastAsia="en-US"/>
        </w:rPr>
        <w:t xml:space="preserve"> </w:t>
      </w:r>
      <w:r w:rsidR="00585312" w:rsidRPr="00FB07E3">
        <w:rPr>
          <w:rFonts w:ascii="Times New Roman" w:eastAsiaTheme="minorHAnsi" w:hAnsi="Times New Roman" w:cs="Times New Roman"/>
          <w:szCs w:val="24"/>
          <w:lang w:eastAsia="en-US"/>
        </w:rPr>
        <w:t>odniesieniu do roszczenia</w:t>
      </w:r>
      <w:r w:rsidR="00824878" w:rsidRPr="00FB07E3">
        <w:rPr>
          <w:rFonts w:ascii="Times New Roman" w:eastAsiaTheme="minorHAnsi" w:hAnsi="Times New Roman" w:cs="Times New Roman"/>
          <w:szCs w:val="24"/>
          <w:lang w:eastAsia="en-US"/>
        </w:rPr>
        <w:t xml:space="preserve"> </w:t>
      </w:r>
      <w:r w:rsidR="00824878" w:rsidRPr="00FB07E3">
        <w:rPr>
          <w:rFonts w:ascii="Times New Roman" w:hAnsi="Times New Roman" w:cs="Times New Roman"/>
          <w:szCs w:val="24"/>
        </w:rPr>
        <w:t>objętego wnioskiem o przeprowadzenie mediacji, o które strona wytoczy powództwo w</w:t>
      </w:r>
      <w:r w:rsidR="009B1E7E" w:rsidRPr="00FB07E3">
        <w:rPr>
          <w:rFonts w:ascii="Times New Roman" w:hAnsi="Times New Roman" w:cs="Times New Roman"/>
          <w:szCs w:val="24"/>
        </w:rPr>
        <w:t xml:space="preserve"> </w:t>
      </w:r>
      <w:r w:rsidR="00824878" w:rsidRPr="00FB07E3">
        <w:rPr>
          <w:rFonts w:ascii="Times New Roman" w:hAnsi="Times New Roman" w:cs="Times New Roman"/>
          <w:szCs w:val="24"/>
        </w:rPr>
        <w:t>terminie trzech miesięcy</w:t>
      </w:r>
      <w:r w:rsidR="00C071FC" w:rsidRPr="00FB07E3">
        <w:rPr>
          <w:rFonts w:ascii="Times New Roman" w:hAnsi="Times New Roman" w:cs="Times New Roman"/>
          <w:szCs w:val="24"/>
        </w:rPr>
        <w:t xml:space="preserve">, </w:t>
      </w:r>
      <w:r w:rsidR="00255201" w:rsidRPr="00FB07E3">
        <w:rPr>
          <w:rFonts w:ascii="Times New Roman" w:hAnsi="Times New Roman" w:cs="Times New Roman"/>
          <w:szCs w:val="24"/>
        </w:rPr>
        <w:t>również w sytuacji</w:t>
      </w:r>
      <w:r w:rsidR="00255201" w:rsidRPr="00FB07E3">
        <w:rPr>
          <w:rFonts w:ascii="Times New Roman" w:eastAsiaTheme="minorHAnsi" w:hAnsi="Times New Roman" w:cs="Times New Roman"/>
          <w:szCs w:val="24"/>
          <w:lang w:eastAsia="en-US"/>
        </w:rPr>
        <w:t xml:space="preserve">, kiedy </w:t>
      </w:r>
      <w:r w:rsidR="00DB4223" w:rsidRPr="00FB07E3">
        <w:rPr>
          <w:rFonts w:ascii="Times New Roman" w:eastAsiaTheme="minorHAnsi" w:hAnsi="Times New Roman" w:cs="Times New Roman"/>
          <w:szCs w:val="24"/>
          <w:lang w:eastAsia="en-US"/>
        </w:rPr>
        <w:t>strony nie zawarły</w:t>
      </w:r>
      <w:r w:rsidR="003472C8" w:rsidRPr="00FB07E3">
        <w:rPr>
          <w:rFonts w:ascii="Times New Roman" w:eastAsiaTheme="minorHAnsi" w:hAnsi="Times New Roman" w:cs="Times New Roman"/>
          <w:szCs w:val="24"/>
          <w:lang w:eastAsia="en-US"/>
        </w:rPr>
        <w:t xml:space="preserve"> umowy o mediację, </w:t>
      </w:r>
      <w:r w:rsidR="009B1E7E" w:rsidRPr="00FB07E3">
        <w:rPr>
          <w:rFonts w:ascii="Times New Roman" w:eastAsiaTheme="minorHAnsi" w:hAnsi="Times New Roman" w:cs="Times New Roman"/>
          <w:szCs w:val="24"/>
          <w:lang w:eastAsia="en-US"/>
        </w:rPr>
        <w:t xml:space="preserve">a </w:t>
      </w:r>
      <w:r w:rsidR="003472C8" w:rsidRPr="00FB07E3">
        <w:rPr>
          <w:rFonts w:ascii="Times New Roman" w:eastAsiaTheme="minorHAnsi" w:hAnsi="Times New Roman" w:cs="Times New Roman"/>
          <w:szCs w:val="24"/>
          <w:lang w:eastAsia="en-US"/>
        </w:rPr>
        <w:t>druga strona nie wyraziła zgody na mediację</w:t>
      </w:r>
      <w:r w:rsidR="00255201" w:rsidRPr="00FB07E3">
        <w:rPr>
          <w:rFonts w:ascii="Times New Roman" w:eastAsiaTheme="minorHAnsi" w:hAnsi="Times New Roman" w:cs="Times New Roman"/>
          <w:szCs w:val="24"/>
          <w:lang w:eastAsia="en-US"/>
        </w:rPr>
        <w:t>.</w:t>
      </w:r>
      <w:r w:rsidR="009B1E7E" w:rsidRPr="00FB07E3">
        <w:rPr>
          <w:rFonts w:ascii="Times New Roman" w:eastAsiaTheme="minorHAnsi" w:hAnsi="Times New Roman" w:cs="Times New Roman"/>
          <w:szCs w:val="24"/>
          <w:lang w:eastAsia="en-US"/>
        </w:rPr>
        <w:t xml:space="preserve"> </w:t>
      </w:r>
      <w:r w:rsidR="00255201" w:rsidRPr="00FB07E3">
        <w:rPr>
          <w:rFonts w:ascii="Times New Roman" w:eastAsiaTheme="minorHAnsi" w:hAnsi="Times New Roman" w:cs="Times New Roman"/>
          <w:szCs w:val="24"/>
          <w:lang w:eastAsia="en-US"/>
        </w:rPr>
        <w:t>Tym samym, nawet gdy przeciwnik nie wyrazi zgody na mediację, strona będzie miała dodatkowe trzy miesiące na</w:t>
      </w:r>
      <w:r w:rsidR="004D731E">
        <w:rPr>
          <w:rFonts w:ascii="Times New Roman" w:eastAsiaTheme="minorHAnsi" w:hAnsi="Times New Roman" w:cs="Times New Roman"/>
          <w:szCs w:val="24"/>
          <w:lang w:eastAsia="en-US"/>
        </w:rPr>
        <w:t xml:space="preserve"> </w:t>
      </w:r>
      <w:r w:rsidR="00255201" w:rsidRPr="00FB07E3">
        <w:rPr>
          <w:rFonts w:ascii="Times New Roman" w:eastAsiaTheme="minorHAnsi" w:hAnsi="Times New Roman" w:cs="Times New Roman"/>
          <w:szCs w:val="24"/>
          <w:lang w:eastAsia="en-US"/>
        </w:rPr>
        <w:t>wytoczenie powództwa</w:t>
      </w:r>
      <w:r w:rsidR="00E96E83" w:rsidRPr="00FB07E3">
        <w:rPr>
          <w:rFonts w:ascii="Times New Roman" w:eastAsiaTheme="minorHAnsi" w:hAnsi="Times New Roman" w:cs="Times New Roman"/>
          <w:szCs w:val="24"/>
          <w:lang w:eastAsia="en-US"/>
        </w:rPr>
        <w:t xml:space="preserve"> o roszczenie, objęte wnioskiem o przeprowadzenie mediacji</w:t>
      </w:r>
      <w:r w:rsidR="00255201" w:rsidRPr="00FB07E3">
        <w:rPr>
          <w:rFonts w:ascii="Times New Roman" w:eastAsiaTheme="minorHAnsi" w:hAnsi="Times New Roman" w:cs="Times New Roman"/>
          <w:szCs w:val="24"/>
          <w:lang w:eastAsia="en-US"/>
        </w:rPr>
        <w:t xml:space="preserve">. </w:t>
      </w:r>
      <w:r w:rsidR="00C32FF3" w:rsidRPr="00FB07E3">
        <w:rPr>
          <w:rFonts w:ascii="Times New Roman" w:eastAsiaTheme="minorHAnsi" w:hAnsi="Times New Roman" w:cs="Times New Roman"/>
          <w:szCs w:val="24"/>
          <w:lang w:eastAsia="en-US"/>
        </w:rPr>
        <w:t>Jeżeli zaś w powyższym terminie powództw</w:t>
      </w:r>
      <w:r w:rsidR="00E96E83" w:rsidRPr="00FB07E3">
        <w:rPr>
          <w:rFonts w:ascii="Times New Roman" w:eastAsiaTheme="minorHAnsi" w:hAnsi="Times New Roman" w:cs="Times New Roman"/>
          <w:szCs w:val="24"/>
          <w:lang w:eastAsia="en-US"/>
        </w:rPr>
        <w:t>o nie zostanie wniesione</w:t>
      </w:r>
      <w:r w:rsidR="00C32FF3" w:rsidRPr="00FB07E3">
        <w:rPr>
          <w:rFonts w:ascii="Times New Roman" w:eastAsiaTheme="minorHAnsi" w:hAnsi="Times New Roman" w:cs="Times New Roman"/>
          <w:szCs w:val="24"/>
          <w:lang w:eastAsia="en-US"/>
        </w:rPr>
        <w:t xml:space="preserve">, skutki przewidziane dla wszczęcia mediacji nie nastąpią. </w:t>
      </w:r>
      <w:r w:rsidR="00B96835" w:rsidRPr="00FB07E3">
        <w:rPr>
          <w:rFonts w:ascii="Times New Roman" w:hAnsi="Times New Roman" w:cs="Times New Roman"/>
          <w:szCs w:val="24"/>
        </w:rPr>
        <w:t>W konsekwencji zakres zastosowania projektowanego przepisu</w:t>
      </w:r>
      <w:r w:rsidR="0031793A" w:rsidRPr="00FB07E3">
        <w:rPr>
          <w:rFonts w:ascii="Times New Roman" w:hAnsi="Times New Roman" w:cs="Times New Roman"/>
          <w:szCs w:val="24"/>
        </w:rPr>
        <w:t xml:space="preserve"> art. 121 pkt 5 Kodeksu cywilnego</w:t>
      </w:r>
      <w:r w:rsidR="00B96835" w:rsidRPr="00FB07E3">
        <w:rPr>
          <w:rFonts w:ascii="Times New Roman" w:hAnsi="Times New Roman" w:cs="Times New Roman"/>
          <w:szCs w:val="24"/>
        </w:rPr>
        <w:t xml:space="preserve"> i zwi</w:t>
      </w:r>
      <w:r w:rsidR="0031793A" w:rsidRPr="00FB07E3">
        <w:rPr>
          <w:rFonts w:ascii="Times New Roman" w:hAnsi="Times New Roman" w:cs="Times New Roman"/>
          <w:szCs w:val="24"/>
        </w:rPr>
        <w:t>ązanych</w:t>
      </w:r>
      <w:r w:rsidR="00B96835" w:rsidRPr="00FB07E3">
        <w:rPr>
          <w:rFonts w:ascii="Times New Roman" w:hAnsi="Times New Roman" w:cs="Times New Roman"/>
          <w:szCs w:val="24"/>
        </w:rPr>
        <w:t xml:space="preserve"> z nim konsekwencji dla biegu przedawn</w:t>
      </w:r>
      <w:r w:rsidR="0031793A" w:rsidRPr="00FB07E3">
        <w:rPr>
          <w:rFonts w:ascii="Times New Roman" w:hAnsi="Times New Roman" w:cs="Times New Roman"/>
          <w:szCs w:val="24"/>
        </w:rPr>
        <w:t>ienia</w:t>
      </w:r>
      <w:r w:rsidR="00B96835" w:rsidRPr="00FB07E3">
        <w:rPr>
          <w:rFonts w:ascii="Times New Roman" w:hAnsi="Times New Roman" w:cs="Times New Roman"/>
          <w:szCs w:val="24"/>
        </w:rPr>
        <w:t xml:space="preserve"> </w:t>
      </w:r>
      <w:r w:rsidR="00B45A32" w:rsidRPr="00FB07E3">
        <w:rPr>
          <w:rFonts w:ascii="Times New Roman" w:hAnsi="Times New Roman" w:cs="Times New Roman"/>
          <w:szCs w:val="24"/>
        </w:rPr>
        <w:t xml:space="preserve">zostanie </w:t>
      </w:r>
      <w:r w:rsidR="00AB090F" w:rsidRPr="00FB07E3">
        <w:rPr>
          <w:rFonts w:ascii="Times New Roman" w:hAnsi="Times New Roman" w:cs="Times New Roman"/>
          <w:szCs w:val="24"/>
        </w:rPr>
        <w:t xml:space="preserve">ograniczony </w:t>
      </w:r>
      <w:r w:rsidR="00B96835" w:rsidRPr="00FB07E3">
        <w:rPr>
          <w:rFonts w:ascii="Times New Roman" w:hAnsi="Times New Roman" w:cs="Times New Roman"/>
          <w:szCs w:val="24"/>
        </w:rPr>
        <w:t>jedynie do sytuacji, w której skierowano pierwszy wnios</w:t>
      </w:r>
      <w:r w:rsidR="00F732BB" w:rsidRPr="00FB07E3">
        <w:rPr>
          <w:rFonts w:ascii="Times New Roman" w:hAnsi="Times New Roman" w:cs="Times New Roman"/>
          <w:szCs w:val="24"/>
        </w:rPr>
        <w:t>ek</w:t>
      </w:r>
      <w:r w:rsidR="00B96835" w:rsidRPr="00FB07E3">
        <w:rPr>
          <w:rFonts w:ascii="Times New Roman" w:hAnsi="Times New Roman" w:cs="Times New Roman"/>
          <w:szCs w:val="24"/>
        </w:rPr>
        <w:t xml:space="preserve"> o</w:t>
      </w:r>
      <w:r w:rsidR="00AB090F" w:rsidRPr="00FB07E3">
        <w:rPr>
          <w:rFonts w:ascii="Times New Roman" w:hAnsi="Times New Roman" w:cs="Times New Roman"/>
          <w:szCs w:val="24"/>
        </w:rPr>
        <w:t xml:space="preserve"> </w:t>
      </w:r>
      <w:r w:rsidR="00B96835" w:rsidRPr="00FB07E3">
        <w:rPr>
          <w:rFonts w:ascii="Times New Roman" w:hAnsi="Times New Roman" w:cs="Times New Roman"/>
          <w:szCs w:val="24"/>
        </w:rPr>
        <w:t>przeprowadzen</w:t>
      </w:r>
      <w:r w:rsidR="001E17B3" w:rsidRPr="00FB07E3">
        <w:rPr>
          <w:rFonts w:ascii="Times New Roman" w:hAnsi="Times New Roman" w:cs="Times New Roman"/>
          <w:szCs w:val="24"/>
        </w:rPr>
        <w:t>ie</w:t>
      </w:r>
      <w:r w:rsidR="00B96835" w:rsidRPr="00FB07E3">
        <w:rPr>
          <w:rFonts w:ascii="Times New Roman" w:hAnsi="Times New Roman" w:cs="Times New Roman"/>
          <w:szCs w:val="24"/>
        </w:rPr>
        <w:t xml:space="preserve"> mediacji w danej sprawie</w:t>
      </w:r>
      <w:r w:rsidR="00AB090F" w:rsidRPr="00FB07E3">
        <w:rPr>
          <w:rFonts w:ascii="Times New Roman" w:hAnsi="Times New Roman" w:cs="Times New Roman"/>
          <w:szCs w:val="24"/>
        </w:rPr>
        <w:t>, w wyniku którego nie doszło do</w:t>
      </w:r>
      <w:r w:rsidR="004D731E">
        <w:rPr>
          <w:rFonts w:ascii="Times New Roman" w:hAnsi="Times New Roman" w:cs="Times New Roman"/>
          <w:szCs w:val="24"/>
        </w:rPr>
        <w:t xml:space="preserve"> </w:t>
      </w:r>
      <w:r w:rsidR="00AB090F" w:rsidRPr="00FB07E3">
        <w:rPr>
          <w:rFonts w:ascii="Times New Roman" w:hAnsi="Times New Roman" w:cs="Times New Roman"/>
          <w:szCs w:val="24"/>
        </w:rPr>
        <w:t>wszczęcia mediacji</w:t>
      </w:r>
      <w:r w:rsidR="00B96835" w:rsidRPr="00FB07E3">
        <w:rPr>
          <w:rFonts w:ascii="Times New Roman" w:hAnsi="Times New Roman" w:cs="Times New Roman"/>
          <w:szCs w:val="24"/>
        </w:rPr>
        <w:t>.</w:t>
      </w:r>
      <w:r w:rsidR="006B0CC2" w:rsidRPr="00FB07E3">
        <w:rPr>
          <w:rFonts w:ascii="Times New Roman" w:hAnsi="Times New Roman" w:cs="Times New Roman"/>
          <w:szCs w:val="24"/>
        </w:rPr>
        <w:t xml:space="preserve"> </w:t>
      </w:r>
      <w:r w:rsidR="00B96835" w:rsidRPr="00FB07E3">
        <w:rPr>
          <w:rFonts w:ascii="Times New Roman" w:hAnsi="Times New Roman" w:cs="Times New Roman"/>
          <w:szCs w:val="24"/>
        </w:rPr>
        <w:t>Po</w:t>
      </w:r>
      <w:r w:rsidR="00E96E83" w:rsidRPr="00FB07E3">
        <w:rPr>
          <w:rFonts w:ascii="Times New Roman" w:hAnsi="Times New Roman" w:cs="Times New Roman"/>
          <w:szCs w:val="24"/>
        </w:rPr>
        <w:t>wyższe rozwiązanie</w:t>
      </w:r>
      <w:r w:rsidR="00B96835" w:rsidRPr="00FB07E3">
        <w:rPr>
          <w:rFonts w:ascii="Times New Roman" w:hAnsi="Times New Roman" w:cs="Times New Roman"/>
          <w:szCs w:val="24"/>
        </w:rPr>
        <w:t xml:space="preserve"> ograniczy ryzyko kierowania kolejnych wniosków o mediację wyłącznie w celu wystąpienia skutku w postaci zawieszenia biegu przedawnienia</w:t>
      </w:r>
      <w:r w:rsidR="006B0CC2" w:rsidRPr="00FB07E3">
        <w:rPr>
          <w:rFonts w:ascii="Times New Roman" w:hAnsi="Times New Roman" w:cs="Times New Roman"/>
          <w:szCs w:val="24"/>
        </w:rPr>
        <w:t>.</w:t>
      </w:r>
    </w:p>
    <w:p w14:paraId="247E6EEB" w14:textId="70144A13" w:rsidR="00BC6DD0" w:rsidRPr="004D731E" w:rsidRDefault="00BC6DD0" w:rsidP="00FB07E3">
      <w:pPr>
        <w:pStyle w:val="ARTartustawynprozporzdzenia"/>
        <w:ind w:firstLine="0"/>
        <w:rPr>
          <w:rFonts w:ascii="Times New Roman" w:hAnsi="Times New Roman" w:cs="Times New Roman"/>
          <w:b/>
          <w:szCs w:val="24"/>
          <w:shd w:val="clear" w:color="auto" w:fill="FFFFFF"/>
        </w:rPr>
      </w:pPr>
      <w:r w:rsidRPr="004D731E">
        <w:rPr>
          <w:rFonts w:ascii="Times New Roman" w:hAnsi="Times New Roman" w:cs="Times New Roman"/>
          <w:b/>
          <w:szCs w:val="24"/>
          <w:shd w:val="clear" w:color="auto" w:fill="FFFFFF"/>
        </w:rPr>
        <w:t xml:space="preserve">Projektowana zmiana art. 159 Kodeksu cywilnego </w:t>
      </w:r>
    </w:p>
    <w:p w14:paraId="2B863714" w14:textId="67F6D914" w:rsidR="00BC6DD0" w:rsidRPr="004D731E" w:rsidRDefault="00BC6DD0" w:rsidP="00FB07E3">
      <w:pPr>
        <w:pStyle w:val="ARTartustawynprozporzdzenia"/>
        <w:ind w:firstLine="0"/>
        <w:rPr>
          <w:rFonts w:ascii="Times New Roman" w:hAnsi="Times New Roman" w:cs="Times New Roman"/>
          <w:szCs w:val="24"/>
          <w:highlight w:val="white"/>
        </w:rPr>
      </w:pPr>
      <w:r w:rsidRPr="004D731E">
        <w:rPr>
          <w:rFonts w:ascii="Times New Roman" w:hAnsi="Times New Roman" w:cs="Times New Roman"/>
          <w:szCs w:val="24"/>
          <w:shd w:val="clear" w:color="auto" w:fill="FFFFFF"/>
        </w:rPr>
        <w:t>Przepis art. 159 Kodeksu cywilnego wyłącza wymaganie formy aktu notarialnego w</w:t>
      </w:r>
      <w:r w:rsidR="004D731E">
        <w:rPr>
          <w:rFonts w:ascii="Times New Roman" w:hAnsi="Times New Roman" w:cs="Times New Roman"/>
          <w:szCs w:val="24"/>
          <w:shd w:val="clear" w:color="auto" w:fill="FFFFFF"/>
        </w:rPr>
        <w:t xml:space="preserve"> </w:t>
      </w:r>
      <w:r w:rsidRPr="004D731E">
        <w:rPr>
          <w:rFonts w:ascii="Times New Roman" w:hAnsi="Times New Roman" w:cs="Times New Roman"/>
          <w:szCs w:val="24"/>
          <w:shd w:val="clear" w:color="auto" w:fill="FFFFFF"/>
        </w:rPr>
        <w:t>sytuacjach, w których</w:t>
      </w:r>
      <w:r w:rsidR="004D731E">
        <w:rPr>
          <w:rFonts w:ascii="Times New Roman" w:hAnsi="Times New Roman" w:cs="Times New Roman"/>
          <w:szCs w:val="24"/>
          <w:shd w:val="clear" w:color="auto" w:fill="FFFFFF"/>
        </w:rPr>
        <w:t xml:space="preserve"> </w:t>
      </w:r>
      <w:r w:rsidRPr="004D731E">
        <w:rPr>
          <w:rFonts w:ascii="Times New Roman" w:hAnsi="Times New Roman" w:cs="Times New Roman"/>
          <w:bCs/>
          <w:szCs w:val="24"/>
          <w:shd w:val="clear" w:color="auto" w:fill="FFFFFF"/>
        </w:rPr>
        <w:t>grunty wniesione jako wkład do rolniczej spółdzielni produkcyjnej mają stać się współwłasnością dotychczasowych właścicieli</w:t>
      </w:r>
      <w:r w:rsidRPr="004D731E">
        <w:rPr>
          <w:rFonts w:ascii="Times New Roman" w:hAnsi="Times New Roman" w:cs="Times New Roman"/>
          <w:szCs w:val="24"/>
          <w:shd w:val="clear" w:color="auto" w:fill="FFFFFF"/>
        </w:rPr>
        <w:t xml:space="preserve">. </w:t>
      </w:r>
    </w:p>
    <w:p w14:paraId="56FBCFAF" w14:textId="77777777" w:rsidR="00BC6DD0" w:rsidRPr="004D731E" w:rsidRDefault="00BC6DD0" w:rsidP="00FB07E3">
      <w:pPr>
        <w:pStyle w:val="ARTartustawynprozporzdzenia"/>
        <w:ind w:firstLine="0"/>
        <w:rPr>
          <w:rFonts w:ascii="Times New Roman" w:hAnsi="Times New Roman" w:cs="Times New Roman"/>
          <w:szCs w:val="24"/>
          <w:shd w:val="clear" w:color="auto" w:fill="FFFFFF"/>
        </w:rPr>
      </w:pPr>
      <w:r w:rsidRPr="004D731E">
        <w:rPr>
          <w:rFonts w:ascii="Times New Roman" w:hAnsi="Times New Roman" w:cs="Times New Roman"/>
          <w:szCs w:val="24"/>
          <w:shd w:val="clear" w:color="auto" w:fill="FFFFFF"/>
        </w:rPr>
        <w:t xml:space="preserve">W literaturze przedmiotu zwraca się uwagę na nikłe znaczenie praktyczne omawianego przepisu, gdyż powyższe sytuacje w obecnych realiach społeczno-gospodarczych występują niezwykle rzadko, tak samo jak sytuacje, w których grunty mają stać się własnością spółdzielni. </w:t>
      </w:r>
    </w:p>
    <w:p w14:paraId="155B491D" w14:textId="748F933A" w:rsidR="00BC6DD0" w:rsidRPr="004D731E" w:rsidRDefault="00BC6DD0" w:rsidP="00FB07E3">
      <w:pPr>
        <w:pStyle w:val="ARTartustawynprozporzdzenia"/>
        <w:ind w:firstLine="0"/>
        <w:rPr>
          <w:rFonts w:ascii="Times New Roman" w:hAnsi="Times New Roman" w:cs="Times New Roman"/>
          <w:szCs w:val="24"/>
          <w:highlight w:val="white"/>
        </w:rPr>
      </w:pPr>
      <w:r w:rsidRPr="00324258">
        <w:rPr>
          <w:rFonts w:ascii="Times New Roman" w:hAnsi="Times New Roman" w:cs="Times New Roman"/>
          <w:szCs w:val="24"/>
          <w:highlight w:val="white"/>
        </w:rPr>
        <w:t xml:space="preserve">Mający zostać uchylony art. 159 Kodeksu cywilnego jest powiązany z przepisami ustawy z dnia 16 września 1982 r. – Prawo spółdzielcze (Dz. U. z </w:t>
      </w:r>
      <w:r w:rsidR="00130695" w:rsidRPr="004D731E">
        <w:rPr>
          <w:rFonts w:ascii="Times New Roman" w:hAnsi="Times New Roman" w:cs="Times New Roman"/>
          <w:szCs w:val="24"/>
          <w:highlight w:val="white"/>
        </w:rPr>
        <w:t xml:space="preserve">2021 </w:t>
      </w:r>
      <w:r w:rsidRPr="004D731E">
        <w:rPr>
          <w:rFonts w:ascii="Times New Roman" w:hAnsi="Times New Roman" w:cs="Times New Roman"/>
          <w:szCs w:val="24"/>
          <w:highlight w:val="white"/>
        </w:rPr>
        <w:t xml:space="preserve">r. poz. </w:t>
      </w:r>
      <w:r w:rsidR="00130695" w:rsidRPr="004D731E">
        <w:rPr>
          <w:rFonts w:ascii="Times New Roman" w:hAnsi="Times New Roman" w:cs="Times New Roman"/>
          <w:szCs w:val="24"/>
          <w:highlight w:val="white"/>
        </w:rPr>
        <w:t>648</w:t>
      </w:r>
      <w:r w:rsidRPr="004D731E">
        <w:rPr>
          <w:rFonts w:ascii="Times New Roman" w:hAnsi="Times New Roman" w:cs="Times New Roman"/>
          <w:szCs w:val="24"/>
          <w:highlight w:val="white"/>
        </w:rPr>
        <w:t xml:space="preserve">, dalej jako </w:t>
      </w:r>
      <w:r w:rsidR="00430B68">
        <w:rPr>
          <w:rFonts w:ascii="Times New Roman" w:hAnsi="Times New Roman" w:cs="Times New Roman"/>
          <w:szCs w:val="24"/>
          <w:highlight w:val="white"/>
        </w:rPr>
        <w:t>„</w:t>
      </w:r>
      <w:r w:rsidRPr="004D731E">
        <w:rPr>
          <w:rFonts w:ascii="Times New Roman" w:hAnsi="Times New Roman" w:cs="Times New Roman"/>
          <w:szCs w:val="24"/>
          <w:highlight w:val="white"/>
        </w:rPr>
        <w:t>pr. spół.</w:t>
      </w:r>
      <w:r w:rsidR="00430B68">
        <w:rPr>
          <w:rFonts w:ascii="Times New Roman" w:hAnsi="Times New Roman" w:cs="Times New Roman"/>
          <w:szCs w:val="24"/>
          <w:highlight w:val="white"/>
        </w:rPr>
        <w:t>”</w:t>
      </w:r>
      <w:r w:rsidRPr="004D731E">
        <w:rPr>
          <w:rFonts w:ascii="Times New Roman" w:hAnsi="Times New Roman" w:cs="Times New Roman"/>
          <w:szCs w:val="24"/>
          <w:highlight w:val="white"/>
        </w:rPr>
        <w:t xml:space="preserve">). Z art. 20 § 2 pr. spół. wynika, że statut może przewidywać wnoszenie przez </w:t>
      </w:r>
      <w:r w:rsidRPr="004D731E">
        <w:rPr>
          <w:rFonts w:ascii="Times New Roman" w:hAnsi="Times New Roman" w:cs="Times New Roman"/>
          <w:szCs w:val="24"/>
          <w:highlight w:val="white"/>
        </w:rPr>
        <w:lastRenderedPageBreak/>
        <w:t xml:space="preserve">członków wkładów na własność spółdzielni lub do </w:t>
      </w:r>
      <w:r w:rsidR="0063656F" w:rsidRPr="004D731E">
        <w:rPr>
          <w:rFonts w:ascii="Times New Roman" w:hAnsi="Times New Roman" w:cs="Times New Roman"/>
          <w:szCs w:val="24"/>
          <w:highlight w:val="white"/>
        </w:rPr>
        <w:t xml:space="preserve">korzystania </w:t>
      </w:r>
      <w:r w:rsidRPr="004D731E">
        <w:rPr>
          <w:rFonts w:ascii="Times New Roman" w:hAnsi="Times New Roman" w:cs="Times New Roman"/>
          <w:szCs w:val="24"/>
          <w:highlight w:val="white"/>
        </w:rPr>
        <w:t>z nich przez spółdzielnię na</w:t>
      </w:r>
      <w:r w:rsidR="004D731E">
        <w:rPr>
          <w:rFonts w:ascii="Times New Roman" w:hAnsi="Times New Roman" w:cs="Times New Roman"/>
          <w:szCs w:val="24"/>
          <w:highlight w:val="white"/>
        </w:rPr>
        <w:t xml:space="preserve"> </w:t>
      </w:r>
      <w:r w:rsidRPr="004D731E">
        <w:rPr>
          <w:rFonts w:ascii="Times New Roman" w:hAnsi="Times New Roman" w:cs="Times New Roman"/>
          <w:szCs w:val="24"/>
          <w:highlight w:val="white"/>
        </w:rPr>
        <w:t>podstawie innego stosunku prawnego. W takim przypadku statut powinien określać m.in. charakter i zakres przysługującego spółdzielni prawa do wkładów oraz ich rodzaj, jeżeli są</w:t>
      </w:r>
      <w:r w:rsidR="004D731E">
        <w:rPr>
          <w:rFonts w:ascii="Times New Roman" w:hAnsi="Times New Roman" w:cs="Times New Roman"/>
          <w:szCs w:val="24"/>
          <w:highlight w:val="white"/>
        </w:rPr>
        <w:t xml:space="preserve"> </w:t>
      </w:r>
      <w:r w:rsidRPr="004D731E">
        <w:rPr>
          <w:rFonts w:ascii="Times New Roman" w:hAnsi="Times New Roman" w:cs="Times New Roman"/>
          <w:szCs w:val="24"/>
          <w:highlight w:val="white"/>
        </w:rPr>
        <w:t>to</w:t>
      </w:r>
      <w:r w:rsidR="004D731E">
        <w:rPr>
          <w:rFonts w:ascii="Times New Roman" w:hAnsi="Times New Roman" w:cs="Times New Roman"/>
          <w:szCs w:val="24"/>
          <w:highlight w:val="white"/>
        </w:rPr>
        <w:t xml:space="preserve"> </w:t>
      </w:r>
      <w:r w:rsidRPr="004D731E">
        <w:rPr>
          <w:rFonts w:ascii="Times New Roman" w:hAnsi="Times New Roman" w:cs="Times New Roman"/>
          <w:szCs w:val="24"/>
          <w:highlight w:val="white"/>
        </w:rPr>
        <w:t xml:space="preserve">wkłady niepieniężne. W myśl zaś art. </w:t>
      </w:r>
      <w:r w:rsidR="00C118EF" w:rsidRPr="004D731E">
        <w:rPr>
          <w:rFonts w:ascii="Times New Roman" w:hAnsi="Times New Roman" w:cs="Times New Roman"/>
          <w:szCs w:val="24"/>
          <w:highlight w:val="white"/>
        </w:rPr>
        <w:t xml:space="preserve">141 </w:t>
      </w:r>
      <w:r w:rsidRPr="004D731E">
        <w:rPr>
          <w:rFonts w:ascii="Times New Roman" w:hAnsi="Times New Roman" w:cs="Times New Roman"/>
          <w:szCs w:val="24"/>
          <w:highlight w:val="white"/>
        </w:rPr>
        <w:t xml:space="preserve">§ 1 pr. spół. statut spółdzielni może przewidywać, że członek posiadający grunt jest obowiązany wnieść je w całości albo </w:t>
      </w:r>
      <w:r w:rsidR="00430B68">
        <w:rPr>
          <w:rFonts w:ascii="Times New Roman" w:hAnsi="Times New Roman" w:cs="Times New Roman"/>
          <w:szCs w:val="24"/>
          <w:highlight w:val="white"/>
        </w:rPr>
        <w:t xml:space="preserve">w </w:t>
      </w:r>
      <w:r w:rsidRPr="004D731E">
        <w:rPr>
          <w:rFonts w:ascii="Times New Roman" w:hAnsi="Times New Roman" w:cs="Times New Roman"/>
          <w:szCs w:val="24"/>
          <w:highlight w:val="white"/>
        </w:rPr>
        <w:t xml:space="preserve">części jako wkład do spółdzielni. Przepisy te nie regulują, w jakiej formie grunty te </w:t>
      </w:r>
      <w:r w:rsidR="00B45A32" w:rsidRPr="00324258">
        <w:rPr>
          <w:rFonts w:ascii="Times New Roman" w:hAnsi="Times New Roman" w:cs="Times New Roman"/>
          <w:szCs w:val="24"/>
          <w:highlight w:val="white"/>
        </w:rPr>
        <w:t xml:space="preserve">są </w:t>
      </w:r>
      <w:r w:rsidRPr="004D731E">
        <w:rPr>
          <w:rFonts w:ascii="Times New Roman" w:hAnsi="Times New Roman" w:cs="Times New Roman"/>
          <w:szCs w:val="24"/>
          <w:highlight w:val="white"/>
        </w:rPr>
        <w:t>wnoszone</w:t>
      </w:r>
      <w:r w:rsidR="00B45A32" w:rsidRPr="004D731E">
        <w:rPr>
          <w:rFonts w:ascii="Times New Roman" w:hAnsi="Times New Roman" w:cs="Times New Roman"/>
          <w:szCs w:val="24"/>
          <w:highlight w:val="white"/>
        </w:rPr>
        <w:t xml:space="preserve"> </w:t>
      </w:r>
      <w:r w:rsidRPr="004D731E">
        <w:rPr>
          <w:rFonts w:ascii="Times New Roman" w:hAnsi="Times New Roman" w:cs="Times New Roman"/>
          <w:szCs w:val="24"/>
          <w:highlight w:val="white"/>
        </w:rPr>
        <w:t>do</w:t>
      </w:r>
      <w:r w:rsidR="004D731E">
        <w:rPr>
          <w:rFonts w:ascii="Times New Roman" w:hAnsi="Times New Roman" w:cs="Times New Roman"/>
          <w:szCs w:val="24"/>
          <w:highlight w:val="white"/>
        </w:rPr>
        <w:t xml:space="preserve"> </w:t>
      </w:r>
      <w:r w:rsidRPr="004D731E">
        <w:rPr>
          <w:rFonts w:ascii="Times New Roman" w:hAnsi="Times New Roman" w:cs="Times New Roman"/>
          <w:szCs w:val="24"/>
          <w:highlight w:val="white"/>
        </w:rPr>
        <w:t xml:space="preserve">spółdzielni, a zatem uchylenie art. 159 Kodeksu cywilnego nie wymaga zmiany ustawy – Prawo spółdzielcze. Nie wydają się również konieczne zmiany w ustawie z dnia </w:t>
      </w:r>
      <w:r w:rsidR="00B45A32" w:rsidRPr="00324258">
        <w:rPr>
          <w:rFonts w:ascii="Times New Roman" w:hAnsi="Times New Roman" w:cs="Times New Roman"/>
          <w:szCs w:val="24"/>
          <w:highlight w:val="white"/>
        </w:rPr>
        <w:t xml:space="preserve">4 </w:t>
      </w:r>
      <w:r w:rsidR="00B87162" w:rsidRPr="00324258">
        <w:rPr>
          <w:rFonts w:ascii="Times New Roman" w:hAnsi="Times New Roman" w:cs="Times New Roman"/>
          <w:szCs w:val="24"/>
          <w:highlight w:val="white"/>
        </w:rPr>
        <w:t>października</w:t>
      </w:r>
      <w:r w:rsidRPr="004D731E">
        <w:rPr>
          <w:rFonts w:ascii="Times New Roman" w:hAnsi="Times New Roman" w:cs="Times New Roman"/>
          <w:szCs w:val="24"/>
          <w:highlight w:val="white"/>
        </w:rPr>
        <w:t xml:space="preserve"> 2018 r. o spółdzielniach rolników (Dz. U. poz. 2073), która nie reguluje formy wnoszenia wkładów, a w art. 3 odsyła do odpowiedniego stosowania ustawy – Prawo spółdzielcze. </w:t>
      </w:r>
    </w:p>
    <w:p w14:paraId="77C63CC0" w14:textId="66851A91" w:rsidR="00316C2D" w:rsidRPr="00FB07E3" w:rsidRDefault="00BC6DD0" w:rsidP="00FB07E3">
      <w:pPr>
        <w:pStyle w:val="Tekstkomentarza"/>
        <w:spacing w:before="120"/>
        <w:jc w:val="both"/>
        <w:rPr>
          <w:rFonts w:ascii="Times New Roman" w:hAnsi="Times New Roman"/>
        </w:rPr>
      </w:pPr>
      <w:r w:rsidRPr="004D731E">
        <w:rPr>
          <w:rFonts w:ascii="Times New Roman" w:hAnsi="Times New Roman"/>
          <w:highlight w:val="white"/>
        </w:rPr>
        <w:t xml:space="preserve">Projekt nie przewiduje przy tym uchylenia art. 277 § 2 Kodeksu cywilnego, wyłączającego obowiązek zachowania formy aktu notarialnego w odniesieniu do ustanowienia użytkowania na rzecz rolniczej spółdzielni produkcyjnej. Projektodawca nie widzi potrzeby interwencji legislacyjnej w tym zakresie. </w:t>
      </w:r>
      <w:r w:rsidRPr="004D731E">
        <w:rPr>
          <w:rFonts w:ascii="Times New Roman" w:hAnsi="Times New Roman"/>
        </w:rPr>
        <w:t xml:space="preserve">W doktrynie nie są bowiem zgłaszane postulaty uchylenia tego przepisu. Komentatorzy zwracają przy tym uwagę, </w:t>
      </w:r>
      <w:r w:rsidRPr="004D731E">
        <w:rPr>
          <w:rFonts w:ascii="Times New Roman" w:hAnsi="Times New Roman"/>
          <w:highlight w:val="white"/>
        </w:rPr>
        <w:t>że jeżeli statut spółdzielni lub umowa z członkiem inaczej nie postanawia, spółdzielnia nabywa</w:t>
      </w:r>
      <w:r w:rsidR="00130695" w:rsidRPr="004D731E">
        <w:rPr>
          <w:rFonts w:ascii="Times New Roman" w:hAnsi="Times New Roman"/>
          <w:highlight w:val="white"/>
        </w:rPr>
        <w:t>,</w:t>
      </w:r>
      <w:r w:rsidRPr="004D731E">
        <w:rPr>
          <w:rFonts w:ascii="Times New Roman" w:hAnsi="Times New Roman"/>
          <w:highlight w:val="white"/>
        </w:rPr>
        <w:t xml:space="preserve"> z chwilą przejęcia wniesionego przez członka wkładu gruntowego</w:t>
      </w:r>
      <w:r w:rsidR="00130695" w:rsidRPr="004D731E">
        <w:rPr>
          <w:rFonts w:ascii="Times New Roman" w:hAnsi="Times New Roman"/>
          <w:highlight w:val="white"/>
        </w:rPr>
        <w:t>,</w:t>
      </w:r>
      <w:r w:rsidRPr="004D731E">
        <w:rPr>
          <w:rFonts w:ascii="Times New Roman" w:hAnsi="Times New Roman"/>
          <w:highlight w:val="white"/>
        </w:rPr>
        <w:t xml:space="preserve"> użytkowanie na tym gruncie (art. 277</w:t>
      </w:r>
      <w:r w:rsidR="004D731E">
        <w:rPr>
          <w:rFonts w:ascii="Times New Roman" w:hAnsi="Times New Roman"/>
          <w:highlight w:val="white"/>
        </w:rPr>
        <w:t xml:space="preserve"> </w:t>
      </w:r>
      <w:r w:rsidRPr="004D731E">
        <w:rPr>
          <w:rFonts w:ascii="Times New Roman" w:hAnsi="Times New Roman"/>
          <w:highlight w:val="white"/>
        </w:rPr>
        <w:t xml:space="preserve">§ 1 Kodeksu cywilnego, art. 145 § 1 pr. spół). Użytkowanie powstaje zatem </w:t>
      </w:r>
      <w:r w:rsidRPr="004D731E">
        <w:rPr>
          <w:rFonts w:ascii="Times New Roman" w:hAnsi="Times New Roman"/>
          <w:i/>
          <w:iCs/>
          <w:highlight w:val="white"/>
        </w:rPr>
        <w:t xml:space="preserve">ex </w:t>
      </w:r>
      <w:r w:rsidR="00B87162" w:rsidRPr="004D731E">
        <w:rPr>
          <w:rFonts w:ascii="Times New Roman" w:hAnsi="Times New Roman"/>
          <w:i/>
          <w:iCs/>
          <w:highlight w:val="white"/>
        </w:rPr>
        <w:t>lege</w:t>
      </w:r>
      <w:r w:rsidR="00130695" w:rsidRPr="004D731E">
        <w:rPr>
          <w:rFonts w:ascii="Times New Roman" w:hAnsi="Times New Roman"/>
          <w:iCs/>
          <w:highlight w:val="white"/>
        </w:rPr>
        <w:t>,</w:t>
      </w:r>
      <w:r w:rsidRPr="004D731E">
        <w:rPr>
          <w:rFonts w:ascii="Times New Roman" w:hAnsi="Times New Roman"/>
          <w:i/>
          <w:iCs/>
          <w:highlight w:val="white"/>
        </w:rPr>
        <w:t xml:space="preserve"> </w:t>
      </w:r>
      <w:r w:rsidRPr="004D731E">
        <w:rPr>
          <w:rFonts w:ascii="Times New Roman" w:hAnsi="Times New Roman"/>
          <w:highlight w:val="white"/>
        </w:rPr>
        <w:t>jako konsekwencja wniesienia wkładu do spółdzielni, nie zaś w drodze umowy. Sama umowa o</w:t>
      </w:r>
      <w:r w:rsidR="004D731E">
        <w:rPr>
          <w:rFonts w:ascii="Times New Roman" w:hAnsi="Times New Roman"/>
          <w:highlight w:val="white"/>
        </w:rPr>
        <w:t xml:space="preserve"> </w:t>
      </w:r>
      <w:r w:rsidRPr="004D731E">
        <w:rPr>
          <w:rFonts w:ascii="Times New Roman" w:hAnsi="Times New Roman"/>
          <w:highlight w:val="white"/>
        </w:rPr>
        <w:t>wniesienie wkładu gruntowego nie wymaga formy aktu notarialnego</w:t>
      </w:r>
      <w:r w:rsidR="00EA119C" w:rsidRPr="004D731E">
        <w:rPr>
          <w:rStyle w:val="Odwoanieprzypisudolnego"/>
          <w:rFonts w:ascii="Times New Roman" w:hAnsi="Times New Roman"/>
          <w:highlight w:val="white"/>
        </w:rPr>
        <w:footnoteReference w:id="5"/>
      </w:r>
      <w:r w:rsidR="00E9159B" w:rsidRPr="00FB07E3">
        <w:rPr>
          <w:rStyle w:val="Odwoanieprzypisudolnego"/>
          <w:rFonts w:ascii="Times New Roman" w:hAnsi="Times New Roman"/>
        </w:rPr>
        <w:t>)</w:t>
      </w:r>
      <w:r w:rsidRPr="004D731E">
        <w:rPr>
          <w:rFonts w:ascii="Times New Roman" w:hAnsi="Times New Roman"/>
          <w:highlight w:val="white"/>
        </w:rPr>
        <w:t>.</w:t>
      </w:r>
      <w:r w:rsidRPr="004D731E">
        <w:rPr>
          <w:rFonts w:ascii="Times New Roman" w:hAnsi="Times New Roman"/>
        </w:rPr>
        <w:t xml:space="preserve"> Co </w:t>
      </w:r>
      <w:r w:rsidR="00EF025B" w:rsidRPr="004D731E">
        <w:rPr>
          <w:rFonts w:ascii="Times New Roman" w:hAnsi="Times New Roman"/>
        </w:rPr>
        <w:t xml:space="preserve">również </w:t>
      </w:r>
      <w:r w:rsidRPr="004D731E">
        <w:rPr>
          <w:rFonts w:ascii="Times New Roman" w:hAnsi="Times New Roman"/>
        </w:rPr>
        <w:t xml:space="preserve">istotne, umowa </w:t>
      </w:r>
      <w:r w:rsidRPr="00FB07E3">
        <w:rPr>
          <w:rFonts w:ascii="Times New Roman" w:hAnsi="Times New Roman"/>
        </w:rPr>
        <w:t>przeniesienia własności gruntów na rzecz rolniczej spółdzielni produkcyjnej jako wkład wywiera dalej idące skutki prawne</w:t>
      </w:r>
      <w:r w:rsidR="00E9159B" w:rsidRPr="00FB07E3">
        <w:rPr>
          <w:rFonts w:ascii="Times New Roman" w:hAnsi="Times New Roman"/>
        </w:rPr>
        <w:t>,</w:t>
      </w:r>
      <w:r w:rsidRPr="00FB07E3">
        <w:rPr>
          <w:rFonts w:ascii="Times New Roman" w:hAnsi="Times New Roman"/>
        </w:rPr>
        <w:t xml:space="preserve"> niż ustanowienie użytkowania tych gruntów </w:t>
      </w:r>
      <w:r w:rsidRPr="004D731E">
        <w:rPr>
          <w:rFonts w:ascii="Times New Roman" w:hAnsi="Times New Roman"/>
          <w:highlight w:val="white"/>
        </w:rPr>
        <w:t>na rzecz rolniczej spółdzielni produkcyjnej</w:t>
      </w:r>
      <w:r w:rsidRPr="00FB07E3">
        <w:rPr>
          <w:rFonts w:ascii="Times New Roman" w:hAnsi="Times New Roman"/>
        </w:rPr>
        <w:t xml:space="preserve">. </w:t>
      </w:r>
    </w:p>
    <w:p w14:paraId="36D891D1" w14:textId="072D09EC" w:rsidR="00AB090F" w:rsidRPr="00FB07E3" w:rsidRDefault="00316C2D" w:rsidP="00FB07E3">
      <w:pPr>
        <w:pStyle w:val="Tekstkomentarza"/>
        <w:spacing w:before="120"/>
        <w:jc w:val="both"/>
        <w:rPr>
          <w:rFonts w:ascii="Times New Roman" w:hAnsi="Times New Roman"/>
        </w:rPr>
      </w:pPr>
      <w:r w:rsidRPr="004D731E">
        <w:rPr>
          <w:rFonts w:ascii="Times New Roman" w:hAnsi="Times New Roman"/>
          <w:shd w:val="clear" w:color="auto" w:fill="FFFFFF"/>
        </w:rPr>
        <w:t>Mając powyższe na uwadze</w:t>
      </w:r>
      <w:r w:rsidR="00A253F8" w:rsidRPr="004D731E">
        <w:rPr>
          <w:rFonts w:ascii="Times New Roman" w:hAnsi="Times New Roman"/>
          <w:shd w:val="clear" w:color="auto" w:fill="FFFFFF"/>
        </w:rPr>
        <w:t>,</w:t>
      </w:r>
      <w:r w:rsidRPr="004D731E">
        <w:rPr>
          <w:rFonts w:ascii="Times New Roman" w:hAnsi="Times New Roman"/>
          <w:shd w:val="clear" w:color="auto" w:fill="FFFFFF"/>
        </w:rPr>
        <w:t xml:space="preserve"> dalsze utrzymywanie wyjątku od zasady określonej w art. 15</w:t>
      </w:r>
      <w:r w:rsidR="002B4675" w:rsidRPr="004D731E">
        <w:rPr>
          <w:rFonts w:ascii="Times New Roman" w:hAnsi="Times New Roman"/>
          <w:shd w:val="clear" w:color="auto" w:fill="FFFFFF"/>
        </w:rPr>
        <w:t>8</w:t>
      </w:r>
      <w:r w:rsidRPr="004D731E">
        <w:rPr>
          <w:rFonts w:ascii="Times New Roman" w:hAnsi="Times New Roman"/>
          <w:shd w:val="clear" w:color="auto" w:fill="FFFFFF"/>
        </w:rPr>
        <w:t xml:space="preserve"> Kodeksu cywilnego w zakresie formy czynności prawnej jest niecelowe.</w:t>
      </w:r>
      <w:r w:rsidR="00BC6DD0" w:rsidRPr="00FB07E3">
        <w:rPr>
          <w:rFonts w:ascii="Times New Roman" w:hAnsi="Times New Roman"/>
        </w:rPr>
        <w:t xml:space="preserve"> Jednocześnie nie </w:t>
      </w:r>
      <w:r w:rsidR="00646755" w:rsidRPr="00FB07E3">
        <w:rPr>
          <w:rFonts w:ascii="Times New Roman" w:hAnsi="Times New Roman"/>
        </w:rPr>
        <w:t>ma</w:t>
      </w:r>
      <w:r w:rsidR="00BC6DD0" w:rsidRPr="00FB07E3">
        <w:rPr>
          <w:rFonts w:ascii="Times New Roman" w:hAnsi="Times New Roman"/>
        </w:rPr>
        <w:t xml:space="preserve"> przeszkód, aby wyjątek ten pozostawić w zakresie umowy użytkowania, do której odnosi się art. 277 § 2 Kodeksu cywilnego.</w:t>
      </w:r>
      <w:r w:rsidR="00147C54" w:rsidRPr="00FB07E3">
        <w:rPr>
          <w:rFonts w:ascii="Times New Roman" w:hAnsi="Times New Roman"/>
        </w:rPr>
        <w:t xml:space="preserve"> </w:t>
      </w:r>
    </w:p>
    <w:p w14:paraId="0811B2F9" w14:textId="5A29A71E" w:rsidR="00BC6DD0" w:rsidRPr="004D731E" w:rsidRDefault="00BC6DD0" w:rsidP="00FB07E3">
      <w:pPr>
        <w:pStyle w:val="Tekstkomentarza"/>
        <w:spacing w:before="120"/>
        <w:jc w:val="both"/>
      </w:pPr>
      <w:r w:rsidRPr="004D731E">
        <w:rPr>
          <w:rFonts w:ascii="Times New Roman" w:hAnsi="Times New Roman"/>
          <w:shd w:val="clear" w:color="auto" w:fill="FFFFFF"/>
        </w:rPr>
        <w:t>Powyższa zmiana niewątpliwie przyczyni się do zagwarantowania pewności obrotu nieruchomościami</w:t>
      </w:r>
      <w:r w:rsidR="0099446F" w:rsidRPr="004D731E">
        <w:rPr>
          <w:rFonts w:ascii="Times New Roman" w:hAnsi="Times New Roman"/>
          <w:shd w:val="clear" w:color="auto" w:fill="FFFFFF"/>
        </w:rPr>
        <w:t xml:space="preserve">, który będzie odbywał się na zasadach ogólnych, w formie aktu notarialnego, określonych w przepisie art. 158 </w:t>
      </w:r>
      <w:r w:rsidR="0084021F" w:rsidRPr="004D731E">
        <w:rPr>
          <w:rFonts w:ascii="Times New Roman" w:hAnsi="Times New Roman"/>
          <w:shd w:val="clear" w:color="auto" w:fill="FFFFFF"/>
        </w:rPr>
        <w:t>K</w:t>
      </w:r>
      <w:r w:rsidR="000753B8" w:rsidRPr="004D731E">
        <w:rPr>
          <w:rFonts w:ascii="Times New Roman" w:hAnsi="Times New Roman"/>
          <w:shd w:val="clear" w:color="auto" w:fill="FFFFFF"/>
        </w:rPr>
        <w:t xml:space="preserve">odeksu </w:t>
      </w:r>
      <w:r w:rsidR="0099446F" w:rsidRPr="004D731E">
        <w:rPr>
          <w:rFonts w:ascii="Times New Roman" w:hAnsi="Times New Roman"/>
          <w:shd w:val="clear" w:color="auto" w:fill="FFFFFF"/>
        </w:rPr>
        <w:t>c</w:t>
      </w:r>
      <w:r w:rsidR="000753B8" w:rsidRPr="004D731E">
        <w:rPr>
          <w:rFonts w:ascii="Times New Roman" w:hAnsi="Times New Roman"/>
          <w:shd w:val="clear" w:color="auto" w:fill="FFFFFF"/>
        </w:rPr>
        <w:t>ywilnego</w:t>
      </w:r>
      <w:r w:rsidR="00FB07E3">
        <w:rPr>
          <w:rFonts w:ascii="Times New Roman" w:hAnsi="Times New Roman"/>
          <w:shd w:val="clear" w:color="auto" w:fill="FFFFFF"/>
        </w:rPr>
        <w:t>.</w:t>
      </w:r>
    </w:p>
    <w:p w14:paraId="14776481" w14:textId="556AB40F" w:rsidR="00F356BD" w:rsidRPr="004D731E" w:rsidRDefault="00F356BD" w:rsidP="00FB07E3">
      <w:pPr>
        <w:pStyle w:val="ARTartustawynprozporzdzenia"/>
        <w:ind w:firstLine="0"/>
        <w:rPr>
          <w:rFonts w:ascii="Times New Roman" w:hAnsi="Times New Roman" w:cs="Times New Roman"/>
          <w:b/>
          <w:bCs/>
          <w:szCs w:val="24"/>
        </w:rPr>
      </w:pPr>
      <w:r w:rsidRPr="004D731E">
        <w:rPr>
          <w:rFonts w:ascii="Times New Roman" w:hAnsi="Times New Roman" w:cs="Times New Roman"/>
          <w:b/>
          <w:bCs/>
          <w:szCs w:val="24"/>
        </w:rPr>
        <w:lastRenderedPageBreak/>
        <w:t xml:space="preserve">Projektowana zmiana art. 388 Kodeksu cywilnego </w:t>
      </w:r>
    </w:p>
    <w:p w14:paraId="089851A1" w14:textId="798A98B5" w:rsidR="00F356BD" w:rsidRPr="004D731E" w:rsidRDefault="00F356BD" w:rsidP="00FB07E3">
      <w:pPr>
        <w:spacing w:before="120"/>
        <w:jc w:val="both"/>
        <w:rPr>
          <w:rFonts w:cs="Times New Roman"/>
          <w:szCs w:val="24"/>
        </w:rPr>
      </w:pPr>
      <w:r w:rsidRPr="004D731E">
        <w:rPr>
          <w:rFonts w:cs="Times New Roman"/>
          <w:szCs w:val="24"/>
        </w:rPr>
        <w:t>Art. 388 Kodeksu cywilnego ustanawia w polskim prawie prywatnym instytucję tzw. wyzysku. Reguluje</w:t>
      </w:r>
      <w:r w:rsidR="003B6256" w:rsidRPr="004D731E">
        <w:rPr>
          <w:rFonts w:cs="Times New Roman"/>
          <w:szCs w:val="24"/>
        </w:rPr>
        <w:t xml:space="preserve"> </w:t>
      </w:r>
      <w:r w:rsidRPr="004D731E">
        <w:rPr>
          <w:rFonts w:cs="Times New Roman"/>
          <w:szCs w:val="24"/>
        </w:rPr>
        <w:t xml:space="preserve">on sytuacje, gdy jedna ze stron umowy, wykorzystując określone niekorzystne położenie drugiej strony, zastrzega dla siebie świadczenie rażąco przewyższające świadczenie własne, uprawniając stronę pokrzywdzoną taką umową do podjęcia czynności skutkujących </w:t>
      </w:r>
      <w:r w:rsidRPr="00324258">
        <w:rPr>
          <w:rFonts w:cs="Times New Roman"/>
          <w:szCs w:val="24"/>
        </w:rPr>
        <w:t xml:space="preserve">wyrównaniem </w:t>
      </w:r>
      <w:r w:rsidR="00B87162" w:rsidRPr="00324258">
        <w:rPr>
          <w:rFonts w:cs="Times New Roman"/>
          <w:szCs w:val="24"/>
        </w:rPr>
        <w:t>świadczeń</w:t>
      </w:r>
      <w:r w:rsidRPr="00324258">
        <w:rPr>
          <w:rFonts w:cs="Times New Roman"/>
          <w:szCs w:val="24"/>
        </w:rPr>
        <w:t xml:space="preserve"> bądź</w:t>
      </w:r>
      <w:r w:rsidR="00FF1D05">
        <w:rPr>
          <w:rFonts w:cs="Times New Roman"/>
          <w:szCs w:val="24"/>
        </w:rPr>
        <w:t>,</w:t>
      </w:r>
      <w:r w:rsidRPr="00324258">
        <w:rPr>
          <w:rFonts w:cs="Times New Roman"/>
          <w:szCs w:val="24"/>
        </w:rPr>
        <w:t xml:space="preserve"> w sytuacji gdy wyrównanie takie nie je</w:t>
      </w:r>
      <w:r w:rsidRPr="004D731E">
        <w:rPr>
          <w:rFonts w:cs="Times New Roman"/>
          <w:szCs w:val="24"/>
        </w:rPr>
        <w:t>st możliwe, unieważnienie</w:t>
      </w:r>
      <w:r w:rsidR="00FF1D05">
        <w:rPr>
          <w:rFonts w:cs="Times New Roman"/>
          <w:szCs w:val="24"/>
        </w:rPr>
        <w:t>m</w:t>
      </w:r>
      <w:r w:rsidRPr="004D731E">
        <w:rPr>
          <w:rFonts w:cs="Times New Roman"/>
          <w:szCs w:val="24"/>
        </w:rPr>
        <w:t xml:space="preserve"> tej umowy. </w:t>
      </w:r>
    </w:p>
    <w:p w14:paraId="568030EE" w14:textId="24EF0377" w:rsidR="00F356BD" w:rsidRPr="004D731E" w:rsidRDefault="00F356BD" w:rsidP="00FB07E3">
      <w:pPr>
        <w:spacing w:before="120"/>
        <w:jc w:val="both"/>
        <w:rPr>
          <w:rFonts w:cs="Times New Roman"/>
          <w:szCs w:val="24"/>
        </w:rPr>
      </w:pPr>
      <w:r w:rsidRPr="004D731E">
        <w:rPr>
          <w:rFonts w:cs="Times New Roman"/>
          <w:szCs w:val="24"/>
        </w:rPr>
        <w:t xml:space="preserve">Ogólne cechy wyzysku wynikające z normy art. 388 Kodeksu cywilnego </w:t>
      </w:r>
      <w:r w:rsidR="00971D72" w:rsidRPr="004D731E">
        <w:rPr>
          <w:rFonts w:cs="Times New Roman"/>
          <w:szCs w:val="24"/>
        </w:rPr>
        <w:t>to</w:t>
      </w:r>
      <w:r w:rsidRPr="004D731E">
        <w:rPr>
          <w:rFonts w:cs="Times New Roman"/>
          <w:szCs w:val="24"/>
        </w:rPr>
        <w:t xml:space="preserve">: </w:t>
      </w:r>
    </w:p>
    <w:p w14:paraId="0EE1F115" w14:textId="77777777" w:rsidR="00F356BD" w:rsidRPr="004D731E" w:rsidRDefault="00F356BD" w:rsidP="00FB07E3">
      <w:pPr>
        <w:numPr>
          <w:ilvl w:val="0"/>
          <w:numId w:val="1"/>
        </w:numPr>
        <w:ind w:left="425" w:hanging="425"/>
        <w:jc w:val="both"/>
        <w:rPr>
          <w:rFonts w:cs="Times New Roman"/>
          <w:szCs w:val="24"/>
        </w:rPr>
      </w:pPr>
      <w:r w:rsidRPr="004D731E">
        <w:rPr>
          <w:rFonts w:cs="Times New Roman"/>
          <w:szCs w:val="24"/>
        </w:rPr>
        <w:t xml:space="preserve">wykorzystanie przymusowego położenia, niedołęstwa lub niedoświadczenia strony wyzyskanej; </w:t>
      </w:r>
    </w:p>
    <w:p w14:paraId="0CEA6535" w14:textId="77777777" w:rsidR="00F356BD" w:rsidRPr="004D731E" w:rsidRDefault="00F356BD" w:rsidP="00FB07E3">
      <w:pPr>
        <w:numPr>
          <w:ilvl w:val="0"/>
          <w:numId w:val="1"/>
        </w:numPr>
        <w:ind w:left="425" w:hanging="425"/>
        <w:jc w:val="both"/>
        <w:rPr>
          <w:rFonts w:cs="Times New Roman"/>
          <w:szCs w:val="24"/>
        </w:rPr>
      </w:pPr>
      <w:r w:rsidRPr="004D731E">
        <w:rPr>
          <w:rFonts w:cs="Times New Roman"/>
          <w:szCs w:val="24"/>
        </w:rPr>
        <w:t>niewspółmierność świadczeń o charakterze rażącym;</w:t>
      </w:r>
    </w:p>
    <w:p w14:paraId="17396D09" w14:textId="6B1134CB" w:rsidR="00F356BD" w:rsidRPr="004D731E" w:rsidRDefault="00F356BD" w:rsidP="00FB07E3">
      <w:pPr>
        <w:numPr>
          <w:ilvl w:val="0"/>
          <w:numId w:val="1"/>
        </w:numPr>
        <w:ind w:left="425" w:hanging="425"/>
        <w:jc w:val="both"/>
        <w:rPr>
          <w:rFonts w:cs="Times New Roman"/>
          <w:szCs w:val="24"/>
        </w:rPr>
      </w:pPr>
      <w:r w:rsidRPr="004D731E">
        <w:rPr>
          <w:rFonts w:cs="Times New Roman"/>
          <w:szCs w:val="24"/>
        </w:rPr>
        <w:t>przyznanie wyzyskanemu możliwości wystąpienia z</w:t>
      </w:r>
      <w:r w:rsidR="004D731E">
        <w:rPr>
          <w:rFonts w:cs="Times New Roman"/>
          <w:szCs w:val="24"/>
        </w:rPr>
        <w:t xml:space="preserve"> </w:t>
      </w:r>
      <w:r w:rsidRPr="004D731E">
        <w:rPr>
          <w:rFonts w:cs="Times New Roman"/>
          <w:szCs w:val="24"/>
        </w:rPr>
        <w:t>żądaniem</w:t>
      </w:r>
      <w:r w:rsidR="007B673E" w:rsidRPr="004D731E">
        <w:rPr>
          <w:rFonts w:cs="Times New Roman"/>
          <w:szCs w:val="24"/>
        </w:rPr>
        <w:t xml:space="preserve"> </w:t>
      </w:r>
      <w:r w:rsidRPr="004D731E">
        <w:rPr>
          <w:rFonts w:cs="Times New Roman"/>
          <w:szCs w:val="24"/>
        </w:rPr>
        <w:t>obniż</w:t>
      </w:r>
      <w:r w:rsidR="007B673E" w:rsidRPr="004D731E">
        <w:rPr>
          <w:rFonts w:cs="Times New Roman"/>
          <w:szCs w:val="24"/>
        </w:rPr>
        <w:t>enia prze</w:t>
      </w:r>
      <w:r w:rsidR="002108D2" w:rsidRPr="004D731E">
        <w:rPr>
          <w:rFonts w:cs="Times New Roman"/>
          <w:szCs w:val="24"/>
        </w:rPr>
        <w:t>z</w:t>
      </w:r>
      <w:r w:rsidR="007B673E" w:rsidRPr="004D731E">
        <w:rPr>
          <w:rFonts w:cs="Times New Roman"/>
          <w:szCs w:val="24"/>
        </w:rPr>
        <w:t xml:space="preserve"> sąd</w:t>
      </w:r>
      <w:r w:rsidRPr="004D731E">
        <w:rPr>
          <w:rFonts w:cs="Times New Roman"/>
          <w:szCs w:val="24"/>
        </w:rPr>
        <w:t xml:space="preserve"> jego świadczeni</w:t>
      </w:r>
      <w:r w:rsidR="000A4B05" w:rsidRPr="00324258">
        <w:rPr>
          <w:rFonts w:cs="Times New Roman"/>
          <w:szCs w:val="24"/>
        </w:rPr>
        <w:t>a</w:t>
      </w:r>
      <w:r w:rsidRPr="00324258">
        <w:rPr>
          <w:rFonts w:cs="Times New Roman"/>
          <w:szCs w:val="24"/>
        </w:rPr>
        <w:t xml:space="preserve"> lub podwyżs</w:t>
      </w:r>
      <w:r w:rsidR="007B673E" w:rsidRPr="00324258">
        <w:rPr>
          <w:rFonts w:cs="Times New Roman"/>
          <w:szCs w:val="24"/>
        </w:rPr>
        <w:t>zenia</w:t>
      </w:r>
      <w:r w:rsidRPr="004D731E">
        <w:rPr>
          <w:rFonts w:cs="Times New Roman"/>
          <w:szCs w:val="24"/>
        </w:rPr>
        <w:t xml:space="preserve"> świadczeni</w:t>
      </w:r>
      <w:r w:rsidR="000F0B0B" w:rsidRPr="004D731E">
        <w:rPr>
          <w:rFonts w:cs="Times New Roman"/>
          <w:szCs w:val="24"/>
        </w:rPr>
        <w:t>a</w:t>
      </w:r>
      <w:r w:rsidRPr="004D731E">
        <w:rPr>
          <w:rFonts w:cs="Times New Roman"/>
          <w:szCs w:val="24"/>
        </w:rPr>
        <w:t xml:space="preserve"> strony wyzyskującej, a gdyby to</w:t>
      </w:r>
      <w:r w:rsidR="004D731E">
        <w:rPr>
          <w:rFonts w:cs="Times New Roman"/>
          <w:szCs w:val="24"/>
        </w:rPr>
        <w:t xml:space="preserve"> </w:t>
      </w:r>
      <w:r w:rsidRPr="004D731E">
        <w:rPr>
          <w:rFonts w:cs="Times New Roman"/>
          <w:szCs w:val="24"/>
        </w:rPr>
        <w:t>było nadmiernie utrudnione – unieważni</w:t>
      </w:r>
      <w:r w:rsidR="007B673E" w:rsidRPr="004D731E">
        <w:rPr>
          <w:rFonts w:cs="Times New Roman"/>
          <w:szCs w:val="24"/>
        </w:rPr>
        <w:t xml:space="preserve">enia </w:t>
      </w:r>
      <w:r w:rsidRPr="004D731E">
        <w:rPr>
          <w:rFonts w:cs="Times New Roman"/>
          <w:szCs w:val="24"/>
        </w:rPr>
        <w:t>umow</w:t>
      </w:r>
      <w:r w:rsidR="007B673E" w:rsidRPr="004D731E">
        <w:rPr>
          <w:rFonts w:cs="Times New Roman"/>
          <w:szCs w:val="24"/>
        </w:rPr>
        <w:t>y</w:t>
      </w:r>
      <w:r w:rsidRPr="004D731E">
        <w:rPr>
          <w:rFonts w:cs="Times New Roman"/>
          <w:szCs w:val="24"/>
        </w:rPr>
        <w:t xml:space="preserve">; </w:t>
      </w:r>
    </w:p>
    <w:p w14:paraId="1118B063" w14:textId="77777777" w:rsidR="00F356BD" w:rsidRPr="00324258" w:rsidRDefault="00F356BD" w:rsidP="00FB07E3">
      <w:pPr>
        <w:numPr>
          <w:ilvl w:val="0"/>
          <w:numId w:val="1"/>
        </w:numPr>
        <w:ind w:left="425" w:hanging="425"/>
        <w:jc w:val="both"/>
        <w:rPr>
          <w:rFonts w:cs="Times New Roman"/>
          <w:szCs w:val="24"/>
        </w:rPr>
      </w:pPr>
      <w:r w:rsidRPr="00324258">
        <w:rPr>
          <w:rFonts w:cs="Times New Roman"/>
          <w:szCs w:val="24"/>
        </w:rPr>
        <w:t xml:space="preserve">termin zawity do dochodzenia ww. roszczeń – dwa lata od dnia zawarcia umowy. </w:t>
      </w:r>
    </w:p>
    <w:p w14:paraId="7B338FB1" w14:textId="55116238" w:rsidR="00F356BD" w:rsidRPr="004D731E" w:rsidRDefault="00F356BD" w:rsidP="00FB07E3">
      <w:pPr>
        <w:spacing w:before="120"/>
        <w:jc w:val="both"/>
        <w:rPr>
          <w:rFonts w:cs="Times New Roman"/>
          <w:szCs w:val="24"/>
        </w:rPr>
      </w:pPr>
      <w:r w:rsidRPr="00324258">
        <w:rPr>
          <w:rFonts w:cs="Times New Roman"/>
          <w:szCs w:val="24"/>
        </w:rPr>
        <w:t>W ostatniej dekadzie w obrocie prawnym pojawiły się praktyki ryn</w:t>
      </w:r>
      <w:r w:rsidRPr="004D731E">
        <w:rPr>
          <w:rFonts w:cs="Times New Roman"/>
          <w:szCs w:val="24"/>
        </w:rPr>
        <w:t>kowe polegające na</w:t>
      </w:r>
      <w:r w:rsidR="004D731E">
        <w:rPr>
          <w:rFonts w:cs="Times New Roman"/>
          <w:szCs w:val="24"/>
        </w:rPr>
        <w:t xml:space="preserve"> </w:t>
      </w:r>
      <w:r w:rsidRPr="004D731E">
        <w:rPr>
          <w:rFonts w:cs="Times New Roman"/>
          <w:szCs w:val="24"/>
        </w:rPr>
        <w:t xml:space="preserve">zawieraniu umów o skutkach analogicznych do wyzysku, lecz formalnie niemieszczących się w zakresie zastosowania tej instytucji. Z praktyk tych można wyróżnić cztery najpowszechniejsze sytuacje: </w:t>
      </w:r>
    </w:p>
    <w:p w14:paraId="041C6F51" w14:textId="182571BD" w:rsidR="00F356BD" w:rsidRPr="00324258" w:rsidRDefault="00F356BD" w:rsidP="00FB07E3">
      <w:pPr>
        <w:numPr>
          <w:ilvl w:val="1"/>
          <w:numId w:val="2"/>
        </w:numPr>
        <w:ind w:left="425" w:hanging="425"/>
        <w:jc w:val="both"/>
        <w:rPr>
          <w:rFonts w:cs="Times New Roman"/>
          <w:szCs w:val="24"/>
        </w:rPr>
      </w:pPr>
      <w:r w:rsidRPr="004D731E">
        <w:rPr>
          <w:rFonts w:cs="Times New Roman"/>
          <w:szCs w:val="24"/>
        </w:rPr>
        <w:t>proceder nakłaniania osób starszych, przy zastosowaniu technik marketingowych, do</w:t>
      </w:r>
      <w:r w:rsidR="004D731E">
        <w:rPr>
          <w:rFonts w:cs="Times New Roman"/>
          <w:szCs w:val="24"/>
        </w:rPr>
        <w:t xml:space="preserve"> </w:t>
      </w:r>
      <w:r w:rsidRPr="004D731E">
        <w:rPr>
          <w:rFonts w:cs="Times New Roman"/>
          <w:szCs w:val="24"/>
        </w:rPr>
        <w:t xml:space="preserve">nabywania rzeczy ruchomych codziennego użytku po zawyżonych cenach </w:t>
      </w:r>
      <w:r w:rsidR="00613656" w:rsidRPr="004D731E">
        <w:rPr>
          <w:rFonts w:cs="Times New Roman"/>
          <w:szCs w:val="24"/>
        </w:rPr>
        <w:t>–</w:t>
      </w:r>
      <w:r w:rsidRPr="004D731E">
        <w:rPr>
          <w:rFonts w:cs="Times New Roman"/>
          <w:szCs w:val="24"/>
        </w:rPr>
        <w:t xml:space="preserve"> stosowane techniki sprzedaży utrudniają rozważenie oferty, co skutkuje zawarciem umowy sprzedaży pod wpływem sugestii, bez potrzebnego namysłu; </w:t>
      </w:r>
    </w:p>
    <w:p w14:paraId="51E72D33" w14:textId="14461A5C" w:rsidR="00F356BD" w:rsidRPr="004D731E" w:rsidRDefault="00F356BD" w:rsidP="00FB07E3">
      <w:pPr>
        <w:numPr>
          <w:ilvl w:val="1"/>
          <w:numId w:val="2"/>
        </w:numPr>
        <w:ind w:left="425" w:hanging="425"/>
        <w:jc w:val="both"/>
        <w:rPr>
          <w:rFonts w:cs="Times New Roman"/>
          <w:szCs w:val="24"/>
        </w:rPr>
      </w:pPr>
      <w:r w:rsidRPr="004D731E">
        <w:rPr>
          <w:rFonts w:cs="Times New Roman"/>
          <w:szCs w:val="24"/>
        </w:rPr>
        <w:t xml:space="preserve">problem umów o tzw. pożyczki chwilowe, udzielanych przez instytucje parabankowe klientom znajdującym się w sytuacjach </w:t>
      </w:r>
      <w:r w:rsidR="00613656" w:rsidRPr="004D731E">
        <w:rPr>
          <w:rFonts w:cs="Times New Roman"/>
          <w:szCs w:val="24"/>
        </w:rPr>
        <w:t>–</w:t>
      </w:r>
      <w:r w:rsidRPr="004D731E">
        <w:rPr>
          <w:rFonts w:cs="Times New Roman"/>
          <w:szCs w:val="24"/>
        </w:rPr>
        <w:t xml:space="preserve"> przynajmniej w pewnym stopniu – przymusowych;</w:t>
      </w:r>
    </w:p>
    <w:p w14:paraId="2CBDCEE7" w14:textId="7E715796" w:rsidR="00F356BD" w:rsidRPr="004D731E" w:rsidRDefault="00F356BD" w:rsidP="00FB07E3">
      <w:pPr>
        <w:numPr>
          <w:ilvl w:val="1"/>
          <w:numId w:val="2"/>
        </w:numPr>
        <w:ind w:left="425" w:hanging="425"/>
        <w:jc w:val="both"/>
        <w:rPr>
          <w:rFonts w:cs="Times New Roman"/>
          <w:szCs w:val="24"/>
        </w:rPr>
      </w:pPr>
      <w:r w:rsidRPr="004D731E">
        <w:rPr>
          <w:rFonts w:cs="Times New Roman"/>
          <w:szCs w:val="24"/>
        </w:rPr>
        <w:t xml:space="preserve">proceder tzw. przewłaszczeń na zabezpieczenie </w:t>
      </w:r>
      <w:r w:rsidR="00613656" w:rsidRPr="004D731E">
        <w:rPr>
          <w:rFonts w:cs="Times New Roman"/>
          <w:szCs w:val="24"/>
        </w:rPr>
        <w:t>–</w:t>
      </w:r>
      <w:r w:rsidRPr="004D731E">
        <w:rPr>
          <w:rFonts w:cs="Times New Roman"/>
          <w:szCs w:val="24"/>
        </w:rPr>
        <w:t xml:space="preserve"> umów pożyczki, w których zabezpieczeniem niskiej kwotowo pożyczki jest przeniesienie własności nieruchomości o wielokrotnie wyższej wartości; </w:t>
      </w:r>
    </w:p>
    <w:p w14:paraId="08B73170" w14:textId="77777777" w:rsidR="00F356BD" w:rsidRPr="004D731E" w:rsidRDefault="00F356BD" w:rsidP="00FB07E3">
      <w:pPr>
        <w:numPr>
          <w:ilvl w:val="1"/>
          <w:numId w:val="2"/>
        </w:numPr>
        <w:ind w:left="425" w:hanging="425"/>
        <w:jc w:val="both"/>
        <w:rPr>
          <w:rFonts w:cs="Times New Roman"/>
          <w:szCs w:val="24"/>
        </w:rPr>
      </w:pPr>
      <w:r w:rsidRPr="004D731E">
        <w:rPr>
          <w:rFonts w:cs="Times New Roman"/>
          <w:szCs w:val="24"/>
        </w:rPr>
        <w:t xml:space="preserve">zjawisko zawierania umów franczyzy, które zastrzegają nieproporcjonalnie duże świadczenia od franczyzobiorców, a które również bywają zawierane w sytuacji niepełnej wiedzy franczyzobiorcy o rzeczywistej wartości świadczeń oferowanych </w:t>
      </w:r>
      <w:r w:rsidRPr="004D731E">
        <w:rPr>
          <w:rFonts w:cs="Times New Roman"/>
          <w:szCs w:val="24"/>
        </w:rPr>
        <w:lastRenderedPageBreak/>
        <w:t xml:space="preserve">w zamian przez franczyzodawcę. </w:t>
      </w:r>
    </w:p>
    <w:p w14:paraId="76F04E08" w14:textId="7B8CF668" w:rsidR="00F356BD" w:rsidRPr="00324258" w:rsidRDefault="00F356BD" w:rsidP="00FB07E3">
      <w:pPr>
        <w:spacing w:before="120"/>
        <w:jc w:val="both"/>
        <w:rPr>
          <w:rFonts w:cs="Times New Roman"/>
          <w:szCs w:val="24"/>
        </w:rPr>
      </w:pPr>
      <w:r w:rsidRPr="004D731E">
        <w:rPr>
          <w:rFonts w:cs="Times New Roman"/>
          <w:szCs w:val="24"/>
        </w:rPr>
        <w:t>W powyższych sytuacjach dochodzi do transferów ekonomicznych skutkujących niesłychanie negatywnymi następstwami dla strony wyzyskanej, z egzekucją i</w:t>
      </w:r>
      <w:r w:rsidR="004D731E">
        <w:rPr>
          <w:rFonts w:cs="Times New Roman"/>
          <w:szCs w:val="24"/>
        </w:rPr>
        <w:t xml:space="preserve"> </w:t>
      </w:r>
      <w:r w:rsidRPr="004D731E">
        <w:rPr>
          <w:rFonts w:cs="Times New Roman"/>
          <w:szCs w:val="24"/>
        </w:rPr>
        <w:t>niewypłacalnością włącznie. Osoby wyzyskane, ze względu na inne przeszkody (głównie finansowe, ale także zd</w:t>
      </w:r>
      <w:r w:rsidRPr="00324258">
        <w:rPr>
          <w:rFonts w:cs="Times New Roman"/>
          <w:szCs w:val="24"/>
        </w:rPr>
        <w:t xml:space="preserve">rowotne i edukacyjno-informacyjne), często nie są w stanie skorzystać z przysługujących im już środków ochrony prawnej. </w:t>
      </w:r>
    </w:p>
    <w:p w14:paraId="7BEE7985" w14:textId="4DADB6EF" w:rsidR="00F356BD" w:rsidRPr="00324258" w:rsidRDefault="00F356BD" w:rsidP="00FB07E3">
      <w:pPr>
        <w:spacing w:before="120"/>
        <w:jc w:val="both"/>
        <w:rPr>
          <w:rFonts w:cs="Times New Roman"/>
          <w:szCs w:val="24"/>
        </w:rPr>
      </w:pPr>
      <w:r w:rsidRPr="004D731E">
        <w:rPr>
          <w:rFonts w:cs="Times New Roman"/>
          <w:szCs w:val="24"/>
        </w:rPr>
        <w:t>Opisane zjawiska należy oceniać jednoznacznie negatywnie, nie tylko ze względów prawnych jako niedopuszczalną praktykę wykorzystywania „słabszego” przez „silniejszego”, ale również ze względów społecznych, w perspektywie reakcji państwa na naganne moralnie praktyki. Nie ulega wątpliwości, że przesłanki konstytuujące wyzysk oraz przewidziane w</w:t>
      </w:r>
      <w:r w:rsidR="004D731E">
        <w:rPr>
          <w:rFonts w:cs="Times New Roman"/>
          <w:szCs w:val="24"/>
        </w:rPr>
        <w:t xml:space="preserve"> </w:t>
      </w:r>
      <w:r w:rsidRPr="004D731E">
        <w:rPr>
          <w:rFonts w:cs="Times New Roman"/>
          <w:szCs w:val="24"/>
        </w:rPr>
        <w:t xml:space="preserve">takiej sytuacji uprawnienia pokrzywdzonego są obecnie zarysowane zdecydowanie zbyt wąsko. </w:t>
      </w:r>
    </w:p>
    <w:p w14:paraId="06B8E3D2" w14:textId="16F1F1F6" w:rsidR="00F356BD" w:rsidRPr="004D731E" w:rsidRDefault="00F356BD" w:rsidP="00FB07E3">
      <w:pPr>
        <w:spacing w:before="120"/>
        <w:jc w:val="both"/>
        <w:rPr>
          <w:rFonts w:cs="Times New Roman"/>
          <w:szCs w:val="24"/>
        </w:rPr>
      </w:pPr>
      <w:r w:rsidRPr="004D731E">
        <w:rPr>
          <w:rFonts w:cs="Times New Roman"/>
          <w:szCs w:val="24"/>
        </w:rPr>
        <w:t>Po pierwsze</w:t>
      </w:r>
      <w:r w:rsidR="00C971F9" w:rsidRPr="004D731E">
        <w:rPr>
          <w:rFonts w:cs="Times New Roman"/>
          <w:szCs w:val="24"/>
        </w:rPr>
        <w:t>,</w:t>
      </w:r>
      <w:r w:rsidRPr="004D731E">
        <w:rPr>
          <w:rFonts w:cs="Times New Roman"/>
          <w:szCs w:val="24"/>
        </w:rPr>
        <w:t xml:space="preserve"> słabość strony wyzyskanej często nie polega na jej niedołęstwie ani na</w:t>
      </w:r>
      <w:r w:rsidR="004D731E">
        <w:rPr>
          <w:rFonts w:cs="Times New Roman"/>
          <w:szCs w:val="24"/>
        </w:rPr>
        <w:t xml:space="preserve"> </w:t>
      </w:r>
      <w:r w:rsidRPr="004D731E">
        <w:rPr>
          <w:rFonts w:cs="Times New Roman"/>
          <w:szCs w:val="24"/>
        </w:rPr>
        <w:t>niedoświadczeniu, lecz na</w:t>
      </w:r>
      <w:r w:rsidR="002108D2" w:rsidRPr="004D731E">
        <w:rPr>
          <w:rFonts w:cs="Times New Roman"/>
          <w:szCs w:val="24"/>
        </w:rPr>
        <w:t xml:space="preserve"> </w:t>
      </w:r>
      <w:r w:rsidRPr="004D731E">
        <w:rPr>
          <w:rFonts w:cs="Times New Roman"/>
          <w:szCs w:val="24"/>
        </w:rPr>
        <w:t xml:space="preserve">braku wiedzy co do faktycznych skutków zawieranej umowy bądź wiedzy specjalistycznej pozwalającej na </w:t>
      </w:r>
      <w:r w:rsidRPr="00324258">
        <w:rPr>
          <w:rFonts w:cs="Times New Roman"/>
          <w:szCs w:val="24"/>
        </w:rPr>
        <w:t>ich ustalenie. Umiejętne przedstawienie niekorzystnej oferty może wywołać u</w:t>
      </w:r>
      <w:r w:rsidRPr="004D731E">
        <w:rPr>
          <w:rFonts w:cs="Times New Roman"/>
          <w:szCs w:val="24"/>
        </w:rPr>
        <w:t xml:space="preserve"> adresata przeświadczenie o jej atrakcyjności wraz z</w:t>
      </w:r>
      <w:r w:rsidR="004D731E">
        <w:rPr>
          <w:rFonts w:cs="Times New Roman"/>
          <w:szCs w:val="24"/>
        </w:rPr>
        <w:t xml:space="preserve"> </w:t>
      </w:r>
      <w:r w:rsidRPr="004D731E">
        <w:rPr>
          <w:rFonts w:cs="Times New Roman"/>
          <w:szCs w:val="24"/>
        </w:rPr>
        <w:t>jednoczesnym przeświadczeniem o braku konieczności jej weryfikacji przed zawarciem umowy. Umiejętn</w:t>
      </w:r>
      <w:r w:rsidR="00B740B7" w:rsidRPr="004D731E">
        <w:rPr>
          <w:rFonts w:cs="Times New Roman"/>
          <w:szCs w:val="24"/>
        </w:rPr>
        <w:t>e</w:t>
      </w:r>
      <w:r w:rsidRPr="004D731E">
        <w:rPr>
          <w:rFonts w:cs="Times New Roman"/>
          <w:szCs w:val="24"/>
        </w:rPr>
        <w:t xml:space="preserve"> postawienie przez stronę wyzyskującą kontrahenta pod presją czasu, np.</w:t>
      </w:r>
      <w:r w:rsidR="004D731E">
        <w:rPr>
          <w:rFonts w:cs="Times New Roman"/>
          <w:szCs w:val="24"/>
        </w:rPr>
        <w:t xml:space="preserve"> </w:t>
      </w:r>
      <w:r w:rsidRPr="004D731E">
        <w:rPr>
          <w:rFonts w:cs="Times New Roman"/>
          <w:szCs w:val="24"/>
        </w:rPr>
        <w:t xml:space="preserve">ograniczając możliwość zawarcia umowy jedynie do chwili przedstawienia oferty, </w:t>
      </w:r>
      <w:r w:rsidR="00B740B7" w:rsidRPr="00324258">
        <w:rPr>
          <w:rFonts w:cs="Times New Roman"/>
          <w:szCs w:val="24"/>
        </w:rPr>
        <w:t>sprawia, że</w:t>
      </w:r>
      <w:r w:rsidRPr="00324258">
        <w:rPr>
          <w:rFonts w:cs="Times New Roman"/>
          <w:szCs w:val="24"/>
        </w:rPr>
        <w:t xml:space="preserve"> strona wyzyskana nie ma nawet możliwości uzyskania odpowiedniej wiedzy przez porównanie ofert</w:t>
      </w:r>
      <w:r w:rsidRPr="004D731E">
        <w:rPr>
          <w:rFonts w:cs="Times New Roman"/>
          <w:szCs w:val="24"/>
        </w:rPr>
        <w:t xml:space="preserve">y z innymi dostępnymi na rynku. Wykorzystanie tej nieświadomości stanowi ewidentne nadużycie, ale nie mieści się w ramach niedołęstwa ani niedoświadczenia. W efekcie strona wyzyskana </w:t>
      </w:r>
      <w:r w:rsidR="00C23DD0" w:rsidRPr="004D731E">
        <w:rPr>
          <w:rFonts w:cs="Times New Roman"/>
          <w:szCs w:val="24"/>
        </w:rPr>
        <w:t xml:space="preserve">jest </w:t>
      </w:r>
      <w:r w:rsidRPr="004D731E">
        <w:rPr>
          <w:rFonts w:cs="Times New Roman"/>
          <w:szCs w:val="24"/>
        </w:rPr>
        <w:t>pozbawiona środków prawnych pozwalających na doprowadzenie sw</w:t>
      </w:r>
      <w:r w:rsidR="00C23DD0">
        <w:rPr>
          <w:rFonts w:cs="Times New Roman"/>
          <w:szCs w:val="24"/>
        </w:rPr>
        <w:t>oj</w:t>
      </w:r>
      <w:r w:rsidRPr="004D731E">
        <w:rPr>
          <w:rFonts w:cs="Times New Roman"/>
          <w:szCs w:val="24"/>
        </w:rPr>
        <w:t xml:space="preserve">ej sytuacji prawnej do stanu zgodności z zasadami słuszności. </w:t>
      </w:r>
    </w:p>
    <w:p w14:paraId="7E08B68B" w14:textId="5ADC2842" w:rsidR="00F356BD" w:rsidRPr="00324258" w:rsidRDefault="00F356BD" w:rsidP="00FB07E3">
      <w:pPr>
        <w:spacing w:before="120"/>
        <w:jc w:val="both"/>
        <w:rPr>
          <w:rFonts w:cs="Times New Roman"/>
          <w:szCs w:val="24"/>
        </w:rPr>
      </w:pPr>
      <w:r w:rsidRPr="004D731E">
        <w:rPr>
          <w:rFonts w:cs="Times New Roman"/>
          <w:szCs w:val="24"/>
        </w:rPr>
        <w:t>Po drugie</w:t>
      </w:r>
      <w:r w:rsidR="00C971F9" w:rsidRPr="004D731E">
        <w:rPr>
          <w:rFonts w:cs="Times New Roman"/>
          <w:szCs w:val="24"/>
        </w:rPr>
        <w:t>,</w:t>
      </w:r>
      <w:r w:rsidRPr="004D731E">
        <w:rPr>
          <w:rFonts w:cs="Times New Roman"/>
          <w:szCs w:val="24"/>
        </w:rPr>
        <w:t xml:space="preserve"> uprawnienia strony wyzyskanej są ograniczone </w:t>
      </w:r>
      <w:r w:rsidRPr="004D731E">
        <w:rPr>
          <w:rFonts w:cs="Times New Roman"/>
          <w:i/>
          <w:iCs/>
          <w:szCs w:val="24"/>
        </w:rPr>
        <w:t>a limine</w:t>
      </w:r>
      <w:r w:rsidRPr="004D731E">
        <w:rPr>
          <w:rFonts w:cs="Times New Roman"/>
          <w:szCs w:val="24"/>
        </w:rPr>
        <w:t xml:space="preserve"> do zmiany wysokości wzajemnych świadczeń, zaś unieważnienie umowy jest dopuszczalne dopiero, gdy zmiana świadczeń byłaby nadmiernie utrudniona. Skoro jednak wykonanie umowy odbywa się kosztem strony wyzyskanej, zasadnym byłoby pozostawić osobie pokrzywdzonej wyzyskiem wybór roszczenia między całkowitym zniesieni</w:t>
      </w:r>
      <w:r w:rsidR="00C971F9" w:rsidRPr="004D731E">
        <w:rPr>
          <w:rFonts w:cs="Times New Roman"/>
          <w:szCs w:val="24"/>
        </w:rPr>
        <w:t>e</w:t>
      </w:r>
      <w:r w:rsidRPr="004D731E">
        <w:rPr>
          <w:rFonts w:cs="Times New Roman"/>
          <w:szCs w:val="24"/>
        </w:rPr>
        <w:t>m wadliwego stosunku prawnego a</w:t>
      </w:r>
      <w:r w:rsidR="004D731E">
        <w:rPr>
          <w:rFonts w:cs="Times New Roman"/>
          <w:szCs w:val="24"/>
        </w:rPr>
        <w:t xml:space="preserve"> </w:t>
      </w:r>
      <w:r w:rsidRPr="004D731E">
        <w:rPr>
          <w:rFonts w:cs="Times New Roman"/>
          <w:szCs w:val="24"/>
        </w:rPr>
        <w:t xml:space="preserve">pozostaniem w nim pod warunkiem wyrównania </w:t>
      </w:r>
      <w:r w:rsidRPr="00324258">
        <w:rPr>
          <w:rFonts w:cs="Times New Roman"/>
          <w:szCs w:val="24"/>
        </w:rPr>
        <w:t xml:space="preserve">świadczeń wzajemnych. </w:t>
      </w:r>
    </w:p>
    <w:p w14:paraId="2F4FE8BC" w14:textId="23F04834" w:rsidR="00F356BD" w:rsidRPr="004D731E" w:rsidRDefault="00F356BD" w:rsidP="00FB07E3">
      <w:pPr>
        <w:spacing w:before="120"/>
        <w:jc w:val="both"/>
        <w:rPr>
          <w:rFonts w:cs="Times New Roman"/>
          <w:szCs w:val="24"/>
        </w:rPr>
      </w:pPr>
      <w:r w:rsidRPr="004D731E">
        <w:rPr>
          <w:rFonts w:cs="Times New Roman"/>
          <w:szCs w:val="24"/>
        </w:rPr>
        <w:lastRenderedPageBreak/>
        <w:t>Po trzecie</w:t>
      </w:r>
      <w:r w:rsidR="00C971F9" w:rsidRPr="004D731E">
        <w:rPr>
          <w:rFonts w:cs="Times New Roman"/>
          <w:szCs w:val="24"/>
        </w:rPr>
        <w:t>,</w:t>
      </w:r>
      <w:r w:rsidRPr="004D731E">
        <w:rPr>
          <w:rFonts w:cs="Times New Roman"/>
          <w:szCs w:val="24"/>
        </w:rPr>
        <w:t xml:space="preserve"> termin dwóch lat, przewidziany w § 2, jest terminem prekluzyjnym, skutkującym wygaśnięciem roszczenia. W konsekwencji strona wyzyskana, po jego </w:t>
      </w:r>
      <w:r w:rsidR="00B87162" w:rsidRPr="004D731E">
        <w:rPr>
          <w:rFonts w:cs="Times New Roman"/>
          <w:szCs w:val="24"/>
        </w:rPr>
        <w:t>upływie, nie</w:t>
      </w:r>
      <w:r w:rsidRPr="004D731E">
        <w:rPr>
          <w:rFonts w:cs="Times New Roman"/>
          <w:szCs w:val="24"/>
        </w:rPr>
        <w:t xml:space="preserve"> ma żadnych możliwości zaspokojenia swoich słusznych żądań, nawet w toku postępowania polubownego. Ograniczenie uprawnienia do powoływania się na wyzysk krótkim dwuletnim terminem zawitym w istocie sprawia, że regulacja art. 388 </w:t>
      </w:r>
      <w:r w:rsidR="0084021F" w:rsidRPr="004D731E">
        <w:rPr>
          <w:rFonts w:cs="Times New Roman"/>
          <w:szCs w:val="24"/>
        </w:rPr>
        <w:t xml:space="preserve">Kodeksu </w:t>
      </w:r>
      <w:r w:rsidR="000753B8" w:rsidRPr="004D731E">
        <w:rPr>
          <w:rFonts w:cs="Times New Roman"/>
          <w:szCs w:val="24"/>
        </w:rPr>
        <w:t>cywilnego</w:t>
      </w:r>
      <w:r w:rsidRPr="004D731E">
        <w:rPr>
          <w:rFonts w:cs="Times New Roman"/>
          <w:szCs w:val="24"/>
        </w:rPr>
        <w:t xml:space="preserve"> w obecnym kształcie chroni pokrzywdzonych w sposób iluzoryczny. </w:t>
      </w:r>
      <w:r w:rsidR="00EF5C38" w:rsidRPr="004D731E">
        <w:rPr>
          <w:rFonts w:cs="Times New Roman"/>
          <w:szCs w:val="24"/>
        </w:rPr>
        <w:t>T</w:t>
      </w:r>
      <w:r w:rsidR="00E1530D" w:rsidRPr="004D731E">
        <w:rPr>
          <w:rFonts w:cs="Times New Roman"/>
          <w:szCs w:val="24"/>
        </w:rPr>
        <w:t xml:space="preserve">ermin </w:t>
      </w:r>
      <w:r w:rsidR="00B42CBD" w:rsidRPr="004D731E">
        <w:rPr>
          <w:rFonts w:cs="Times New Roman"/>
          <w:szCs w:val="24"/>
        </w:rPr>
        <w:t xml:space="preserve">zawity </w:t>
      </w:r>
      <w:r w:rsidR="00EF5C38" w:rsidRPr="004D731E">
        <w:rPr>
          <w:rFonts w:cs="Times New Roman"/>
          <w:szCs w:val="24"/>
        </w:rPr>
        <w:t xml:space="preserve">obecnie </w:t>
      </w:r>
      <w:r w:rsidR="00E1530D" w:rsidRPr="004D731E">
        <w:rPr>
          <w:rFonts w:cs="Times New Roman"/>
          <w:szCs w:val="24"/>
        </w:rPr>
        <w:t xml:space="preserve">przewidziany na wystąpienie z żądaniem </w:t>
      </w:r>
      <w:r w:rsidR="00EF5C38" w:rsidRPr="004D731E">
        <w:rPr>
          <w:rFonts w:cs="Times New Roman"/>
          <w:szCs w:val="24"/>
        </w:rPr>
        <w:t xml:space="preserve">przewidzianym </w:t>
      </w:r>
      <w:r w:rsidR="00E1530D" w:rsidRPr="004D731E">
        <w:rPr>
          <w:rFonts w:cs="Times New Roman"/>
          <w:szCs w:val="24"/>
        </w:rPr>
        <w:t xml:space="preserve">w art. 388 § 1 </w:t>
      </w:r>
      <w:r w:rsidR="0084021F" w:rsidRPr="004D731E">
        <w:rPr>
          <w:rFonts w:cs="Times New Roman"/>
          <w:szCs w:val="24"/>
        </w:rPr>
        <w:t xml:space="preserve">Kodeksu </w:t>
      </w:r>
      <w:r w:rsidR="000753B8" w:rsidRPr="004D731E">
        <w:rPr>
          <w:rFonts w:cs="Times New Roman"/>
          <w:szCs w:val="24"/>
        </w:rPr>
        <w:t>cywilnego</w:t>
      </w:r>
      <w:r w:rsidR="000753B8" w:rsidRPr="004D731E" w:rsidDel="000753B8">
        <w:rPr>
          <w:rFonts w:cs="Times New Roman"/>
          <w:szCs w:val="24"/>
        </w:rPr>
        <w:t xml:space="preserve"> </w:t>
      </w:r>
      <w:r w:rsidR="00E1530D" w:rsidRPr="004D731E">
        <w:rPr>
          <w:rFonts w:cs="Times New Roman"/>
          <w:szCs w:val="24"/>
        </w:rPr>
        <w:t xml:space="preserve">może w wielu przypadkach okazać się zbyt krótki, pozbawiając w ten sposób wyzyskanego ochrony prawnej. </w:t>
      </w:r>
      <w:r w:rsidRPr="004D731E">
        <w:rPr>
          <w:rFonts w:cs="Times New Roman"/>
          <w:szCs w:val="24"/>
        </w:rPr>
        <w:t>Wątpliwe jest bowiem, aby osoba, która w momencie zawarcia umowy była niedołężna, niedoświadczona, znajdowała się w przymusowym położeniu lub nie posiadała dostatecznego rozeznania, była w stanie w ciągu dwóch lat nie tylko zorientować się, że padła ofiarą wyzysku, ale też podjąć racjonalne kroki w</w:t>
      </w:r>
      <w:r w:rsidR="004D731E">
        <w:rPr>
          <w:rFonts w:cs="Times New Roman"/>
          <w:szCs w:val="24"/>
        </w:rPr>
        <w:t xml:space="preserve"> </w:t>
      </w:r>
      <w:r w:rsidRPr="004D731E">
        <w:rPr>
          <w:rFonts w:cs="Times New Roman"/>
          <w:szCs w:val="24"/>
        </w:rPr>
        <w:t xml:space="preserve">celu dochodzenia swoich praw. </w:t>
      </w:r>
    </w:p>
    <w:p w14:paraId="369A8ED6" w14:textId="4B01472A" w:rsidR="007B63BD" w:rsidRPr="004D731E" w:rsidRDefault="007B63BD" w:rsidP="00FB07E3">
      <w:pPr>
        <w:spacing w:before="120"/>
        <w:jc w:val="both"/>
        <w:rPr>
          <w:rFonts w:cs="Times New Roman"/>
          <w:szCs w:val="24"/>
        </w:rPr>
      </w:pPr>
      <w:r w:rsidRPr="00324258">
        <w:rPr>
          <w:rFonts w:cs="Times New Roman"/>
          <w:szCs w:val="24"/>
        </w:rPr>
        <w:t>Utrzymanie dotychczasowego, krótkiego terminu zawitego ze względów aksjologicznych jest niepożądane, tym bardziej, że termin ten biegnie nie od dnia wymagalności roszczeń, a od dnia zawarcia umowy. Negatywna ocena sytuacji wyzysku pod kątem moralnym zdecydowanie przemawia za</w:t>
      </w:r>
      <w:r w:rsidR="004D731E">
        <w:rPr>
          <w:rFonts w:cs="Times New Roman"/>
          <w:szCs w:val="24"/>
        </w:rPr>
        <w:t xml:space="preserve"> </w:t>
      </w:r>
      <w:r w:rsidRPr="004D731E">
        <w:rPr>
          <w:rFonts w:cs="Times New Roman"/>
          <w:szCs w:val="24"/>
        </w:rPr>
        <w:t>poszerzeniem możliwości jej zmiany również w</w:t>
      </w:r>
      <w:r w:rsidR="004D731E">
        <w:rPr>
          <w:rFonts w:cs="Times New Roman"/>
          <w:szCs w:val="24"/>
        </w:rPr>
        <w:t xml:space="preserve"> </w:t>
      </w:r>
      <w:r w:rsidRPr="004D731E">
        <w:rPr>
          <w:rFonts w:cs="Times New Roman"/>
          <w:szCs w:val="24"/>
        </w:rPr>
        <w:t xml:space="preserve">aspekcie czasowym. </w:t>
      </w:r>
    </w:p>
    <w:p w14:paraId="49C5FEB3" w14:textId="17421D02" w:rsidR="00F356BD" w:rsidRPr="004D731E" w:rsidRDefault="00F356BD" w:rsidP="00FB07E3">
      <w:pPr>
        <w:spacing w:before="120"/>
        <w:jc w:val="both"/>
        <w:rPr>
          <w:rFonts w:cs="Times New Roman"/>
          <w:szCs w:val="24"/>
        </w:rPr>
      </w:pPr>
      <w:r w:rsidRPr="00324258">
        <w:rPr>
          <w:rFonts w:cs="Times New Roman"/>
          <w:szCs w:val="24"/>
        </w:rPr>
        <w:t>Opisane spostrzeżenia prowadzą do wniosku, że modyfikacja instytucji wyzysku w</w:t>
      </w:r>
      <w:r w:rsidR="004D731E">
        <w:rPr>
          <w:rFonts w:cs="Times New Roman"/>
          <w:szCs w:val="24"/>
        </w:rPr>
        <w:t xml:space="preserve"> </w:t>
      </w:r>
      <w:r w:rsidRPr="004D731E">
        <w:rPr>
          <w:rFonts w:cs="Times New Roman"/>
          <w:szCs w:val="24"/>
        </w:rPr>
        <w:t>kierunku poszerzenia możliwości jej stosowania pod względem zakresu sytuacji objętych dyspozycją normy, zakresu uprawnień wyzyskanego, okresu moż</w:t>
      </w:r>
      <w:r w:rsidR="00756F91">
        <w:rPr>
          <w:rFonts w:cs="Times New Roman"/>
          <w:szCs w:val="24"/>
        </w:rPr>
        <w:t>liw</w:t>
      </w:r>
      <w:r w:rsidRPr="004D731E">
        <w:rPr>
          <w:rFonts w:cs="Times New Roman"/>
          <w:szCs w:val="24"/>
        </w:rPr>
        <w:t>ości ich wykonywania i</w:t>
      </w:r>
      <w:r w:rsidR="004D731E">
        <w:rPr>
          <w:rFonts w:cs="Times New Roman"/>
          <w:szCs w:val="24"/>
        </w:rPr>
        <w:t xml:space="preserve"> </w:t>
      </w:r>
      <w:r w:rsidRPr="004D731E">
        <w:rPr>
          <w:rFonts w:cs="Times New Roman"/>
          <w:szCs w:val="24"/>
        </w:rPr>
        <w:t xml:space="preserve">skutku upływu tego okresu jest jak najbardziej </w:t>
      </w:r>
      <w:r w:rsidR="00A7359C" w:rsidRPr="004D731E">
        <w:rPr>
          <w:rFonts w:cs="Times New Roman"/>
          <w:szCs w:val="24"/>
        </w:rPr>
        <w:t>wskazana</w:t>
      </w:r>
      <w:r w:rsidRPr="004D731E">
        <w:rPr>
          <w:rFonts w:cs="Times New Roman"/>
          <w:szCs w:val="24"/>
        </w:rPr>
        <w:t xml:space="preserve">. </w:t>
      </w:r>
    </w:p>
    <w:p w14:paraId="538B330E" w14:textId="67DD6359" w:rsidR="00D4271C" w:rsidRPr="00324258" w:rsidRDefault="00F356BD" w:rsidP="00FB07E3">
      <w:pPr>
        <w:spacing w:before="120"/>
        <w:jc w:val="both"/>
        <w:rPr>
          <w:rFonts w:eastAsiaTheme="minorHAnsi" w:cs="Times New Roman"/>
          <w:szCs w:val="24"/>
          <w:lang w:eastAsia="en-US"/>
        </w:rPr>
      </w:pPr>
      <w:r w:rsidRPr="00324258">
        <w:rPr>
          <w:rFonts w:cs="Times New Roman"/>
          <w:szCs w:val="24"/>
        </w:rPr>
        <w:t xml:space="preserve">Projektowana zmiana art. 388 Kodeksu cywilnego przewiduje dodanie braku dostatecznego rozeznania do katalogu przesłanek, których zaistnienie pozwala ocenić sytuację jako stanowiącą wyzysk w rozumieniu prawa. Brak dostatecznego rozeznania odzwierciedla brak wiedzy niezbędnej do odpowiedzialnego rozważenia celowości i skutków zawarcia proponowanej umowy. </w:t>
      </w:r>
      <w:r w:rsidRPr="004D731E">
        <w:rPr>
          <w:rFonts w:eastAsiaTheme="minorHAnsi" w:cs="Times New Roman"/>
          <w:szCs w:val="24"/>
          <w:lang w:eastAsia="en-US"/>
        </w:rPr>
        <w:t xml:space="preserve">Wprowadzenie tak określonej przesłanki nie wiąże się natomiast </w:t>
      </w:r>
      <w:r w:rsidR="00F14C23" w:rsidRPr="004D731E">
        <w:rPr>
          <w:rFonts w:eastAsiaTheme="minorHAnsi" w:cs="Times New Roman"/>
          <w:szCs w:val="24"/>
          <w:lang w:eastAsia="en-US"/>
        </w:rPr>
        <w:t>z</w:t>
      </w:r>
      <w:r w:rsidR="0076107E" w:rsidRPr="004D731E">
        <w:rPr>
          <w:rFonts w:eastAsiaTheme="minorHAnsi" w:cs="Times New Roman"/>
          <w:szCs w:val="24"/>
          <w:lang w:eastAsia="en-US"/>
        </w:rPr>
        <w:t xml:space="preserve"> całkowitym </w:t>
      </w:r>
      <w:r w:rsidRPr="004D731E">
        <w:rPr>
          <w:rFonts w:eastAsiaTheme="minorHAnsi" w:cs="Times New Roman"/>
          <w:szCs w:val="24"/>
          <w:lang w:eastAsia="en-US"/>
        </w:rPr>
        <w:t>zwolnieniem z konieczności dokonania</w:t>
      </w:r>
      <w:r w:rsidR="00905345" w:rsidRPr="004D731E">
        <w:rPr>
          <w:rFonts w:eastAsiaTheme="minorHAnsi" w:cs="Times New Roman"/>
          <w:szCs w:val="24"/>
          <w:lang w:eastAsia="en-US"/>
        </w:rPr>
        <w:t>,</w:t>
      </w:r>
      <w:r w:rsidRPr="004D731E">
        <w:rPr>
          <w:rFonts w:eastAsiaTheme="minorHAnsi" w:cs="Times New Roman"/>
          <w:szCs w:val="24"/>
          <w:lang w:eastAsia="en-US"/>
        </w:rPr>
        <w:t xml:space="preserve"> choćby wstępnej</w:t>
      </w:r>
      <w:r w:rsidR="00905345" w:rsidRPr="004D731E">
        <w:rPr>
          <w:rFonts w:eastAsiaTheme="minorHAnsi" w:cs="Times New Roman"/>
          <w:szCs w:val="24"/>
          <w:lang w:eastAsia="en-US"/>
        </w:rPr>
        <w:t>,</w:t>
      </w:r>
      <w:r w:rsidRPr="004D731E">
        <w:rPr>
          <w:rFonts w:eastAsiaTheme="minorHAnsi" w:cs="Times New Roman"/>
          <w:szCs w:val="24"/>
          <w:lang w:eastAsia="en-US"/>
        </w:rPr>
        <w:t xml:space="preserve"> orientacji</w:t>
      </w:r>
      <w:r w:rsidR="0076107E" w:rsidRPr="004D731E">
        <w:rPr>
          <w:rFonts w:eastAsiaTheme="minorHAnsi" w:cs="Times New Roman"/>
          <w:szCs w:val="24"/>
          <w:lang w:eastAsia="en-US"/>
        </w:rPr>
        <w:t xml:space="preserve"> </w:t>
      </w:r>
      <w:r w:rsidRPr="004D731E">
        <w:rPr>
          <w:rFonts w:eastAsiaTheme="minorHAnsi" w:cs="Times New Roman"/>
          <w:szCs w:val="24"/>
          <w:lang w:eastAsia="en-US"/>
        </w:rPr>
        <w:t>co</w:t>
      </w:r>
      <w:r w:rsidR="004D731E">
        <w:rPr>
          <w:rFonts w:eastAsiaTheme="minorHAnsi" w:cs="Times New Roman"/>
          <w:szCs w:val="24"/>
          <w:lang w:eastAsia="en-US"/>
        </w:rPr>
        <w:t xml:space="preserve"> </w:t>
      </w:r>
      <w:r w:rsidRPr="004D731E">
        <w:rPr>
          <w:rFonts w:eastAsiaTheme="minorHAnsi" w:cs="Times New Roman"/>
          <w:szCs w:val="24"/>
          <w:lang w:eastAsia="en-US"/>
        </w:rPr>
        <w:t>do</w:t>
      </w:r>
      <w:r w:rsidR="004D731E">
        <w:rPr>
          <w:rFonts w:eastAsiaTheme="minorHAnsi" w:cs="Times New Roman"/>
          <w:szCs w:val="24"/>
          <w:lang w:eastAsia="en-US"/>
        </w:rPr>
        <w:t xml:space="preserve"> </w:t>
      </w:r>
      <w:r w:rsidRPr="004D731E">
        <w:rPr>
          <w:rFonts w:eastAsiaTheme="minorHAnsi" w:cs="Times New Roman"/>
          <w:szCs w:val="24"/>
          <w:lang w:eastAsia="en-US"/>
        </w:rPr>
        <w:t>przedmiotu umowy.</w:t>
      </w:r>
      <w:r w:rsidRPr="004D731E">
        <w:rPr>
          <w:rFonts w:cs="Times New Roman"/>
          <w:szCs w:val="24"/>
        </w:rPr>
        <w:t xml:space="preserve"> Przesłanka ta nie zawiera elementu oceny, zwłaszcza nie odnosi się do winy (jak np. lekkomyślność lub niedbalstwo). Jako taka powinna być łatwa do stwierdzenia w razie sporu</w:t>
      </w:r>
      <w:r w:rsidRPr="00324258">
        <w:rPr>
          <w:rFonts w:eastAsiaTheme="minorHAnsi" w:cs="Times New Roman"/>
          <w:szCs w:val="24"/>
          <w:lang w:eastAsia="en-US"/>
        </w:rPr>
        <w:t xml:space="preserve">. </w:t>
      </w:r>
    </w:p>
    <w:p w14:paraId="4BC8F9E9" w14:textId="5E5F8455" w:rsidR="00F356BD" w:rsidRPr="004D731E" w:rsidRDefault="00D4271C" w:rsidP="00FB07E3">
      <w:pPr>
        <w:autoSpaceDE w:val="0"/>
        <w:autoSpaceDN w:val="0"/>
        <w:adjustRightInd w:val="0"/>
        <w:spacing w:before="120"/>
        <w:jc w:val="both"/>
        <w:rPr>
          <w:rFonts w:eastAsiaTheme="minorHAnsi" w:cs="Times New Roman"/>
          <w:szCs w:val="24"/>
          <w:lang w:eastAsia="en-US"/>
        </w:rPr>
      </w:pPr>
      <w:r w:rsidRPr="004D731E">
        <w:rPr>
          <w:rFonts w:cs="Times New Roman"/>
          <w:szCs w:val="24"/>
        </w:rPr>
        <w:t xml:space="preserve">Nie budzi wątpliwości, że to kontrahent ma za zadanie przedstawić drugiej stronie </w:t>
      </w:r>
      <w:r w:rsidRPr="004D731E">
        <w:rPr>
          <w:rFonts w:cs="Times New Roman"/>
          <w:szCs w:val="24"/>
        </w:rPr>
        <w:lastRenderedPageBreak/>
        <w:t>wszelkie informacje, dotyczące przedmiotu umowy, praw i</w:t>
      </w:r>
      <w:r w:rsidR="00AB090F" w:rsidRPr="004D731E">
        <w:rPr>
          <w:rFonts w:cs="Times New Roman"/>
          <w:szCs w:val="24"/>
        </w:rPr>
        <w:t xml:space="preserve"> </w:t>
      </w:r>
      <w:r w:rsidRPr="004D731E">
        <w:rPr>
          <w:rFonts w:cs="Times New Roman"/>
          <w:szCs w:val="24"/>
        </w:rPr>
        <w:t xml:space="preserve">obowiązków wynikających z jej zawarcia, w sposób umożliwiający świadome powzięcie decyzji. </w:t>
      </w:r>
      <w:r w:rsidR="00F356BD" w:rsidRPr="004D731E">
        <w:rPr>
          <w:rFonts w:eastAsiaTheme="minorHAnsi" w:cs="Times New Roman"/>
          <w:szCs w:val="24"/>
          <w:lang w:eastAsia="en-US"/>
        </w:rPr>
        <w:t>Do wyzysku w oparci</w:t>
      </w:r>
      <w:r w:rsidR="00005E12" w:rsidRPr="004D731E">
        <w:rPr>
          <w:rFonts w:eastAsiaTheme="minorHAnsi" w:cs="Times New Roman"/>
          <w:szCs w:val="24"/>
          <w:lang w:eastAsia="en-US"/>
        </w:rPr>
        <w:t>u</w:t>
      </w:r>
      <w:r w:rsidR="004D731E">
        <w:rPr>
          <w:rFonts w:eastAsiaTheme="minorHAnsi" w:cs="Times New Roman"/>
          <w:szCs w:val="24"/>
          <w:lang w:eastAsia="en-US"/>
        </w:rPr>
        <w:t xml:space="preserve"> </w:t>
      </w:r>
      <w:r w:rsidR="00005E12" w:rsidRPr="004D731E">
        <w:rPr>
          <w:rFonts w:eastAsiaTheme="minorHAnsi" w:cs="Times New Roman"/>
          <w:szCs w:val="24"/>
          <w:lang w:eastAsia="en-US"/>
        </w:rPr>
        <w:t xml:space="preserve">o </w:t>
      </w:r>
      <w:r w:rsidR="00F356BD" w:rsidRPr="004D731E">
        <w:rPr>
          <w:rFonts w:eastAsiaTheme="minorHAnsi" w:cs="Times New Roman"/>
          <w:szCs w:val="24"/>
          <w:lang w:eastAsia="en-US"/>
        </w:rPr>
        <w:t>tę</w:t>
      </w:r>
      <w:r w:rsidR="00005E12" w:rsidRPr="004D731E">
        <w:rPr>
          <w:rFonts w:eastAsiaTheme="minorHAnsi" w:cs="Times New Roman"/>
          <w:szCs w:val="24"/>
          <w:lang w:eastAsia="en-US"/>
        </w:rPr>
        <w:t xml:space="preserve"> </w:t>
      </w:r>
      <w:r w:rsidR="00F356BD" w:rsidRPr="004D731E">
        <w:rPr>
          <w:rFonts w:eastAsiaTheme="minorHAnsi" w:cs="Times New Roman"/>
          <w:szCs w:val="24"/>
          <w:lang w:eastAsia="en-US"/>
        </w:rPr>
        <w:t>przesłankę może zatem dojść w sytuacji, gdy wyzyskujący jest świadomy, że</w:t>
      </w:r>
      <w:r w:rsidR="004D731E">
        <w:rPr>
          <w:rFonts w:eastAsiaTheme="minorHAnsi" w:cs="Times New Roman"/>
          <w:szCs w:val="24"/>
          <w:lang w:eastAsia="en-US"/>
        </w:rPr>
        <w:t xml:space="preserve"> </w:t>
      </w:r>
      <w:r w:rsidR="00F356BD" w:rsidRPr="004D731E">
        <w:rPr>
          <w:rFonts w:eastAsiaTheme="minorHAnsi" w:cs="Times New Roman"/>
          <w:szCs w:val="24"/>
          <w:lang w:eastAsia="en-US"/>
        </w:rPr>
        <w:t>druga ze stron nie posiada wiedzy niezbędnej do oceny swojej sytuacji po zawarciu danej umowy i</w:t>
      </w:r>
      <w:r w:rsidR="004D731E">
        <w:rPr>
          <w:rFonts w:eastAsiaTheme="minorHAnsi" w:cs="Times New Roman"/>
          <w:szCs w:val="24"/>
          <w:lang w:eastAsia="en-US"/>
        </w:rPr>
        <w:t xml:space="preserve"> </w:t>
      </w:r>
      <w:r w:rsidR="00F356BD" w:rsidRPr="004D731E">
        <w:rPr>
          <w:rFonts w:eastAsiaTheme="minorHAnsi" w:cs="Times New Roman"/>
          <w:szCs w:val="24"/>
          <w:lang w:eastAsia="en-US"/>
        </w:rPr>
        <w:t>wykorzystuje to dla osiągnięcia nieuzasadnionych korzyści dla siebie lub dla osoby trzeciej. Tym samym nie każdy brak rozeznania będzie uzasadniał stwierdzenie, że doszło do wyzysku.</w:t>
      </w:r>
      <w:r w:rsidR="00120027" w:rsidRPr="00324258">
        <w:rPr>
          <w:rFonts w:eastAsiaTheme="minorHAnsi" w:cs="Times New Roman"/>
          <w:szCs w:val="24"/>
          <w:lang w:eastAsia="en-US"/>
        </w:rPr>
        <w:t xml:space="preserve"> </w:t>
      </w:r>
      <w:r w:rsidR="007D45C6" w:rsidRPr="00324258">
        <w:rPr>
          <w:rFonts w:cs="Times New Roman"/>
          <w:szCs w:val="24"/>
        </w:rPr>
        <w:t>P</w:t>
      </w:r>
      <w:r w:rsidR="00120027" w:rsidRPr="00324258">
        <w:rPr>
          <w:rFonts w:cs="Times New Roman"/>
          <w:szCs w:val="24"/>
        </w:rPr>
        <w:t>owołanie się na tę okoliczność nie skutkuje jej automatycznym uwzględnieniem.</w:t>
      </w:r>
      <w:r w:rsidR="007D45C6" w:rsidRPr="004D731E">
        <w:rPr>
          <w:rFonts w:cs="Times New Roman"/>
          <w:szCs w:val="24"/>
        </w:rPr>
        <w:t xml:space="preserve"> </w:t>
      </w:r>
      <w:r w:rsidR="00F356BD" w:rsidRPr="004D731E">
        <w:rPr>
          <w:rFonts w:eastAsiaTheme="minorHAnsi" w:cs="Times New Roman"/>
          <w:szCs w:val="24"/>
          <w:lang w:eastAsia="en-US"/>
        </w:rPr>
        <w:t>Postępowanie dowodowe będzie się skupiało na wykazaniu przez pokrzywdzonego</w:t>
      </w:r>
      <w:r w:rsidR="007521F0" w:rsidRPr="004D731E">
        <w:rPr>
          <w:rFonts w:eastAsiaTheme="minorHAnsi" w:cs="Times New Roman"/>
          <w:szCs w:val="24"/>
          <w:lang w:eastAsia="en-US"/>
        </w:rPr>
        <w:t xml:space="preserve"> </w:t>
      </w:r>
      <w:r w:rsidR="00F356BD" w:rsidRPr="004D731E">
        <w:rPr>
          <w:rFonts w:eastAsiaTheme="minorHAnsi" w:cs="Times New Roman"/>
          <w:szCs w:val="24"/>
          <w:lang w:eastAsia="en-US"/>
        </w:rPr>
        <w:t>niewspółmierności</w:t>
      </w:r>
      <w:r w:rsidR="0042628B" w:rsidRPr="004D731E">
        <w:rPr>
          <w:rFonts w:eastAsiaTheme="minorHAnsi" w:cs="Times New Roman"/>
          <w:szCs w:val="24"/>
          <w:lang w:eastAsia="en-US"/>
        </w:rPr>
        <w:t xml:space="preserve"> świadczenia</w:t>
      </w:r>
      <w:r w:rsidR="00F356BD" w:rsidRPr="004D731E">
        <w:rPr>
          <w:rFonts w:eastAsiaTheme="minorHAnsi" w:cs="Times New Roman"/>
          <w:szCs w:val="24"/>
          <w:lang w:eastAsia="en-US"/>
        </w:rPr>
        <w:t>, że</w:t>
      </w:r>
      <w:r w:rsidR="000464FB" w:rsidRPr="004D731E">
        <w:rPr>
          <w:rFonts w:eastAsiaTheme="minorHAnsi" w:cs="Times New Roman"/>
          <w:szCs w:val="24"/>
          <w:lang w:eastAsia="en-US"/>
        </w:rPr>
        <w:t xml:space="preserve"> </w:t>
      </w:r>
      <w:r w:rsidR="00F356BD" w:rsidRPr="004D731E">
        <w:rPr>
          <w:rFonts w:eastAsiaTheme="minorHAnsi" w:cs="Times New Roman"/>
          <w:szCs w:val="24"/>
          <w:lang w:eastAsia="en-US"/>
        </w:rPr>
        <w:t>nie posiadał dostatecznej wiedzy, aby rozeznać się w swojej sytuacji i skutk</w:t>
      </w:r>
      <w:r w:rsidR="0042628B" w:rsidRPr="004D731E">
        <w:rPr>
          <w:rFonts w:eastAsiaTheme="minorHAnsi" w:cs="Times New Roman"/>
          <w:szCs w:val="24"/>
          <w:lang w:eastAsia="en-US"/>
        </w:rPr>
        <w:t>ach</w:t>
      </w:r>
      <w:r w:rsidR="00F356BD" w:rsidRPr="004D731E">
        <w:rPr>
          <w:rFonts w:eastAsiaTheme="minorHAnsi" w:cs="Times New Roman"/>
          <w:szCs w:val="24"/>
          <w:lang w:eastAsia="en-US"/>
        </w:rPr>
        <w:t xml:space="preserve"> zawarcia umowy, przy jednoczesnym </w:t>
      </w:r>
      <w:r w:rsidR="00322A73" w:rsidRPr="004D731E">
        <w:rPr>
          <w:rFonts w:eastAsiaTheme="minorHAnsi" w:cs="Times New Roman"/>
          <w:szCs w:val="24"/>
          <w:lang w:eastAsia="en-US"/>
        </w:rPr>
        <w:t>przedstawieniu dowodów</w:t>
      </w:r>
      <w:r w:rsidR="004D731E">
        <w:rPr>
          <w:rFonts w:eastAsiaTheme="minorHAnsi" w:cs="Times New Roman"/>
          <w:szCs w:val="24"/>
          <w:lang w:eastAsia="en-US"/>
        </w:rPr>
        <w:t xml:space="preserve"> </w:t>
      </w:r>
      <w:r w:rsidR="00322A73" w:rsidRPr="004D731E">
        <w:rPr>
          <w:rFonts w:eastAsiaTheme="minorHAnsi" w:cs="Times New Roman"/>
          <w:szCs w:val="24"/>
          <w:lang w:eastAsia="en-US"/>
        </w:rPr>
        <w:t>na to</w:t>
      </w:r>
      <w:r w:rsidR="00F356BD" w:rsidRPr="004D731E">
        <w:rPr>
          <w:rFonts w:eastAsiaTheme="minorHAnsi" w:cs="Times New Roman"/>
          <w:szCs w:val="24"/>
          <w:lang w:eastAsia="en-US"/>
        </w:rPr>
        <w:t xml:space="preserve">, że kontrahent miał tego świadomość oraz że niewspółmierność świadczeń ma charakter rażący. </w:t>
      </w:r>
    </w:p>
    <w:p w14:paraId="4DB45581" w14:textId="116489F9" w:rsidR="00C75AA8" w:rsidRPr="004D731E" w:rsidRDefault="00C75AA8" w:rsidP="00FB07E3">
      <w:pPr>
        <w:autoSpaceDE w:val="0"/>
        <w:autoSpaceDN w:val="0"/>
        <w:adjustRightInd w:val="0"/>
        <w:spacing w:before="120"/>
        <w:jc w:val="both"/>
        <w:rPr>
          <w:rFonts w:eastAsiaTheme="minorHAnsi" w:cs="Times New Roman"/>
          <w:szCs w:val="24"/>
          <w:lang w:eastAsia="en-US"/>
        </w:rPr>
      </w:pPr>
      <w:r w:rsidRPr="004D731E">
        <w:rPr>
          <w:rFonts w:cs="Times New Roman"/>
          <w:szCs w:val="24"/>
        </w:rPr>
        <w:t xml:space="preserve">W ocenie projektodawcy takie sformułowanie przesłanki nie </w:t>
      </w:r>
      <w:r w:rsidR="00852D18" w:rsidRPr="004D731E">
        <w:rPr>
          <w:rFonts w:cs="Times New Roman"/>
          <w:szCs w:val="24"/>
        </w:rPr>
        <w:t>spowoduje problemów z</w:t>
      </w:r>
      <w:r w:rsidR="004D731E">
        <w:rPr>
          <w:rFonts w:cs="Times New Roman"/>
          <w:szCs w:val="24"/>
        </w:rPr>
        <w:t xml:space="preserve"> </w:t>
      </w:r>
      <w:r w:rsidR="00852D18" w:rsidRPr="004D731E">
        <w:rPr>
          <w:rFonts w:cs="Times New Roman"/>
          <w:szCs w:val="24"/>
        </w:rPr>
        <w:t>wykładnią</w:t>
      </w:r>
      <w:r w:rsidRPr="004D731E">
        <w:rPr>
          <w:rFonts w:cs="Times New Roman"/>
          <w:szCs w:val="24"/>
        </w:rPr>
        <w:t xml:space="preserve"> w</w:t>
      </w:r>
      <w:r w:rsidR="004D731E">
        <w:rPr>
          <w:rFonts w:cs="Times New Roman"/>
          <w:szCs w:val="24"/>
        </w:rPr>
        <w:t xml:space="preserve"> </w:t>
      </w:r>
      <w:r w:rsidR="00852D18" w:rsidRPr="004D731E">
        <w:rPr>
          <w:rFonts w:cs="Times New Roman"/>
          <w:szCs w:val="24"/>
        </w:rPr>
        <w:t>procesie stosowania prawa</w:t>
      </w:r>
      <w:r w:rsidRPr="004D731E">
        <w:rPr>
          <w:rFonts w:cs="Times New Roman"/>
          <w:szCs w:val="24"/>
        </w:rPr>
        <w:t xml:space="preserve"> w odniesieniu do już obowiązujących regulacji.</w:t>
      </w:r>
    </w:p>
    <w:p w14:paraId="45FEBA77" w14:textId="77777777" w:rsidR="00852D18" w:rsidRPr="004D731E" w:rsidRDefault="00F356BD" w:rsidP="00FB07E3">
      <w:pPr>
        <w:spacing w:before="120"/>
        <w:jc w:val="both"/>
        <w:rPr>
          <w:rFonts w:cs="Times New Roman"/>
          <w:szCs w:val="24"/>
        </w:rPr>
      </w:pPr>
      <w:r w:rsidRPr="00324258">
        <w:rPr>
          <w:rFonts w:cs="Times New Roman"/>
          <w:szCs w:val="24"/>
        </w:rPr>
        <w:t xml:space="preserve">Pozostałe przesłanki wyzysku – przymusowe położenie, niedołęstwo lub niedoświadczenie </w:t>
      </w:r>
      <w:r w:rsidRPr="004D731E">
        <w:rPr>
          <w:rFonts w:cs="Times New Roman"/>
          <w:szCs w:val="24"/>
        </w:rPr>
        <w:t xml:space="preserve">– pozostają bez zmian. Nowo wprowadzana przesłanka braku </w:t>
      </w:r>
      <w:r w:rsidR="00B87162" w:rsidRPr="004D731E">
        <w:rPr>
          <w:rFonts w:cs="Times New Roman"/>
          <w:szCs w:val="24"/>
        </w:rPr>
        <w:t>dostatecznego rozeznania</w:t>
      </w:r>
      <w:r w:rsidRPr="004D731E">
        <w:rPr>
          <w:rFonts w:cs="Times New Roman"/>
          <w:szCs w:val="24"/>
        </w:rPr>
        <w:t xml:space="preserve"> powinna pozostawać z nimi w stosunku alternatywy łącznej, co pozwoli uniknąć sporów o zakresy </w:t>
      </w:r>
      <w:r w:rsidR="00852D18" w:rsidRPr="004D731E">
        <w:rPr>
          <w:rFonts w:cs="Times New Roman"/>
          <w:szCs w:val="24"/>
        </w:rPr>
        <w:t xml:space="preserve">pojęciowe </w:t>
      </w:r>
      <w:r w:rsidRPr="004D731E">
        <w:rPr>
          <w:rFonts w:cs="Times New Roman"/>
          <w:szCs w:val="24"/>
        </w:rPr>
        <w:t xml:space="preserve">tych przesłanek. </w:t>
      </w:r>
    </w:p>
    <w:p w14:paraId="78283429" w14:textId="02670A31" w:rsidR="00F356BD" w:rsidRPr="004D731E" w:rsidRDefault="00F356BD" w:rsidP="00FB07E3">
      <w:pPr>
        <w:spacing w:before="120"/>
        <w:jc w:val="both"/>
        <w:rPr>
          <w:rFonts w:cs="Times New Roman"/>
          <w:szCs w:val="24"/>
        </w:rPr>
      </w:pPr>
      <w:r w:rsidRPr="004D731E">
        <w:rPr>
          <w:rFonts w:cs="Times New Roman"/>
          <w:szCs w:val="24"/>
        </w:rPr>
        <w:t xml:space="preserve">Bez zmian pozostaje także przesłanka rażącej dysproporcji świadczeń stron. </w:t>
      </w:r>
    </w:p>
    <w:p w14:paraId="4247D48D" w14:textId="590DC7CF" w:rsidR="00597B3D" w:rsidRPr="004D731E" w:rsidRDefault="00F356BD" w:rsidP="00FB07E3">
      <w:pPr>
        <w:spacing w:before="120"/>
        <w:jc w:val="both"/>
        <w:rPr>
          <w:rFonts w:cs="Times New Roman"/>
          <w:szCs w:val="24"/>
        </w:rPr>
      </w:pPr>
      <w:r w:rsidRPr="004D731E">
        <w:rPr>
          <w:rFonts w:cs="Times New Roman"/>
          <w:szCs w:val="24"/>
        </w:rPr>
        <w:t>Druga z projektowanych zmian dotyczy przyznania stronie wyzyskanej wyboru roszczenia między zmniejszeniem sw</w:t>
      </w:r>
      <w:r w:rsidR="005733F7">
        <w:rPr>
          <w:rFonts w:cs="Times New Roman"/>
          <w:szCs w:val="24"/>
        </w:rPr>
        <w:t>oj</w:t>
      </w:r>
      <w:r w:rsidRPr="004D731E">
        <w:rPr>
          <w:rFonts w:cs="Times New Roman"/>
          <w:szCs w:val="24"/>
        </w:rPr>
        <w:t xml:space="preserve">ego świadczenia lub </w:t>
      </w:r>
      <w:r w:rsidR="00FB2728" w:rsidRPr="004D731E">
        <w:rPr>
          <w:rFonts w:cs="Times New Roman"/>
          <w:szCs w:val="24"/>
        </w:rPr>
        <w:t xml:space="preserve">zwiększeniem </w:t>
      </w:r>
      <w:r w:rsidRPr="004D731E">
        <w:rPr>
          <w:rFonts w:cs="Times New Roman"/>
          <w:szCs w:val="24"/>
        </w:rPr>
        <w:t xml:space="preserve">świadczenia jej należnego a </w:t>
      </w:r>
      <w:r w:rsidR="00FB2728" w:rsidRPr="004D731E">
        <w:rPr>
          <w:rFonts w:cs="Times New Roman"/>
          <w:szCs w:val="24"/>
        </w:rPr>
        <w:t xml:space="preserve">żądaniem </w:t>
      </w:r>
      <w:r w:rsidRPr="004D731E">
        <w:rPr>
          <w:rFonts w:cs="Times New Roman"/>
          <w:szCs w:val="24"/>
        </w:rPr>
        <w:t xml:space="preserve">unieważnienia umowy. Wydaje się, że skoro to jej dobro zostało naruszone wadliwym zawarciem umowy, to do niej </w:t>
      </w:r>
      <w:r w:rsidR="00FB2728" w:rsidRPr="004D731E">
        <w:rPr>
          <w:rFonts w:cs="Times New Roman"/>
          <w:szCs w:val="24"/>
        </w:rPr>
        <w:t xml:space="preserve">też </w:t>
      </w:r>
      <w:r w:rsidRPr="004D731E">
        <w:rPr>
          <w:rFonts w:cs="Times New Roman"/>
          <w:szCs w:val="24"/>
        </w:rPr>
        <w:t>powinna należeć decyzja co do dalszego</w:t>
      </w:r>
      <w:r w:rsidR="00FB2728" w:rsidRPr="004D731E">
        <w:rPr>
          <w:rFonts w:cs="Times New Roman"/>
          <w:szCs w:val="24"/>
        </w:rPr>
        <w:t xml:space="preserve"> nią</w:t>
      </w:r>
      <w:r w:rsidRPr="004D731E">
        <w:rPr>
          <w:rFonts w:cs="Times New Roman"/>
          <w:szCs w:val="24"/>
        </w:rPr>
        <w:t xml:space="preserve"> związania. </w:t>
      </w:r>
    </w:p>
    <w:p w14:paraId="095714C2" w14:textId="00B72C71" w:rsidR="00597B3D" w:rsidRPr="004D731E" w:rsidRDefault="00597B3D" w:rsidP="00FB07E3">
      <w:pPr>
        <w:spacing w:before="120"/>
        <w:jc w:val="both"/>
        <w:rPr>
          <w:rFonts w:eastAsiaTheme="minorHAnsi" w:cs="Times New Roman"/>
          <w:szCs w:val="24"/>
          <w:lang w:eastAsia="en-US"/>
        </w:rPr>
      </w:pPr>
      <w:r w:rsidRPr="004D731E">
        <w:rPr>
          <w:rFonts w:cs="Times New Roman"/>
          <w:szCs w:val="24"/>
        </w:rPr>
        <w:t xml:space="preserve">Co również istotne, </w:t>
      </w:r>
      <w:r w:rsidR="002F5658" w:rsidRPr="004D731E">
        <w:rPr>
          <w:rFonts w:cs="Times New Roman"/>
          <w:szCs w:val="24"/>
        </w:rPr>
        <w:t>z</w:t>
      </w:r>
      <w:r w:rsidRPr="004D731E">
        <w:rPr>
          <w:rFonts w:eastAsiaTheme="minorHAnsi" w:cs="Times New Roman"/>
          <w:szCs w:val="24"/>
          <w:lang w:eastAsia="en-US"/>
        </w:rPr>
        <w:t xml:space="preserve">astosowanie sankcji przewidzianych przez ustawodawcę </w:t>
      </w:r>
      <w:r w:rsidR="005733F7" w:rsidRPr="004D731E">
        <w:rPr>
          <w:rFonts w:eastAsiaTheme="minorHAnsi" w:cs="Times New Roman"/>
          <w:szCs w:val="24"/>
          <w:lang w:eastAsia="en-US"/>
        </w:rPr>
        <w:t xml:space="preserve">jest </w:t>
      </w:r>
      <w:r w:rsidRPr="004D731E">
        <w:rPr>
          <w:rFonts w:eastAsiaTheme="minorHAnsi" w:cs="Times New Roman"/>
          <w:szCs w:val="24"/>
          <w:lang w:eastAsia="en-US"/>
        </w:rPr>
        <w:t>zależne od decyzji strony wyzyskanej przykładowo również według prawa austriackiego czy szwajcarskiego</w:t>
      </w:r>
      <w:r w:rsidR="00474DDE" w:rsidRPr="004D731E">
        <w:rPr>
          <w:rStyle w:val="Odwoanieprzypisudolnego"/>
          <w:rFonts w:eastAsiaTheme="minorHAnsi" w:cs="Times New Roman"/>
          <w:szCs w:val="24"/>
          <w:lang w:eastAsia="en-US"/>
        </w:rPr>
        <w:footnoteReference w:id="6"/>
      </w:r>
      <w:r w:rsidR="00691948" w:rsidRPr="004D731E">
        <w:rPr>
          <w:rStyle w:val="Odwoanieprzypisudolnego"/>
          <w:rFonts w:cs="Times New Roman"/>
          <w:szCs w:val="24"/>
        </w:rPr>
        <w:t>)</w:t>
      </w:r>
      <w:r w:rsidR="0037442F" w:rsidRPr="004D731E">
        <w:rPr>
          <w:rFonts w:eastAsiaTheme="minorHAnsi" w:cs="Times New Roman"/>
          <w:szCs w:val="24"/>
          <w:lang w:eastAsia="en-US"/>
        </w:rPr>
        <w:t>.</w:t>
      </w:r>
    </w:p>
    <w:p w14:paraId="396604E7" w14:textId="67E8C141" w:rsidR="00F356BD" w:rsidRPr="004D731E" w:rsidRDefault="00F356BD" w:rsidP="00FB07E3">
      <w:pPr>
        <w:spacing w:before="120"/>
        <w:jc w:val="both"/>
        <w:rPr>
          <w:rFonts w:cs="Times New Roman"/>
          <w:szCs w:val="24"/>
        </w:rPr>
      </w:pPr>
      <w:r w:rsidRPr="004D731E">
        <w:rPr>
          <w:rFonts w:cs="Times New Roman"/>
          <w:szCs w:val="24"/>
        </w:rPr>
        <w:t>Kolejność dostępnych roszczeń odpowiada skutkom skorzystania z nich – roszczenie o</w:t>
      </w:r>
      <w:r w:rsidR="004D731E">
        <w:rPr>
          <w:rFonts w:cs="Times New Roman"/>
          <w:szCs w:val="24"/>
        </w:rPr>
        <w:t xml:space="preserve"> </w:t>
      </w:r>
      <w:r w:rsidRPr="004D731E">
        <w:rPr>
          <w:rFonts w:cs="Times New Roman"/>
          <w:szCs w:val="24"/>
        </w:rPr>
        <w:t>stwierdzenie nieważności umowy wymieniono na końcu</w:t>
      </w:r>
      <w:r w:rsidR="00691948" w:rsidRPr="004D731E">
        <w:rPr>
          <w:rFonts w:cs="Times New Roman"/>
          <w:szCs w:val="24"/>
        </w:rPr>
        <w:t>,</w:t>
      </w:r>
      <w:r w:rsidRPr="004D731E">
        <w:rPr>
          <w:rFonts w:cs="Times New Roman"/>
          <w:szCs w:val="24"/>
        </w:rPr>
        <w:t xml:space="preserve"> jako wywołujące najdalej idące </w:t>
      </w:r>
      <w:r w:rsidRPr="004D731E">
        <w:rPr>
          <w:rFonts w:cs="Times New Roman"/>
          <w:szCs w:val="24"/>
        </w:rPr>
        <w:lastRenderedPageBreak/>
        <w:t xml:space="preserve">skutki. </w:t>
      </w:r>
    </w:p>
    <w:p w14:paraId="19D6DD13" w14:textId="0E308F2B" w:rsidR="00F356BD" w:rsidRPr="004D731E" w:rsidRDefault="00F356BD" w:rsidP="00FB07E3">
      <w:pPr>
        <w:spacing w:before="120"/>
        <w:jc w:val="both"/>
        <w:rPr>
          <w:rFonts w:cs="Times New Roman"/>
          <w:szCs w:val="24"/>
        </w:rPr>
      </w:pPr>
      <w:r w:rsidRPr="004D731E">
        <w:rPr>
          <w:rFonts w:cs="Times New Roman"/>
          <w:szCs w:val="24"/>
        </w:rPr>
        <w:t xml:space="preserve">Należy przy tym utrzymać dotychczasowy mechanizm, który </w:t>
      </w:r>
      <w:r w:rsidR="00AB11F4" w:rsidRPr="004D731E">
        <w:rPr>
          <w:rFonts w:cs="Times New Roman"/>
          <w:szCs w:val="24"/>
        </w:rPr>
        <w:t xml:space="preserve">poddaje kontroli sądu </w:t>
      </w:r>
      <w:r w:rsidRPr="004D731E">
        <w:rPr>
          <w:rFonts w:cs="Times New Roman"/>
          <w:szCs w:val="24"/>
        </w:rPr>
        <w:t>możliwość naprawy wadliwego stanu prawnego. Przyznanie tego uprawnienia stronie wyzyskanej w drodze złożenia prawnokształtującego oświadczenia woli (na wzór np.</w:t>
      </w:r>
      <w:r w:rsidR="008B6F1C">
        <w:rPr>
          <w:rFonts w:cs="Times New Roman"/>
          <w:szCs w:val="24"/>
        </w:rPr>
        <w:t> </w:t>
      </w:r>
      <w:r w:rsidRPr="004D731E">
        <w:rPr>
          <w:rFonts w:cs="Times New Roman"/>
          <w:szCs w:val="24"/>
        </w:rPr>
        <w:t xml:space="preserve">uprawnienia do odstąpienia od umowy z art. 491 § 1 Kodeksu cywilnego) groziłoby nadużyciami i zbytnio osłabiało pewność obrotu. </w:t>
      </w:r>
    </w:p>
    <w:p w14:paraId="7B90EB93" w14:textId="73DBCEDA" w:rsidR="008E5DDF" w:rsidRPr="004D731E" w:rsidRDefault="00F356BD" w:rsidP="00FB07E3">
      <w:pPr>
        <w:spacing w:before="120"/>
        <w:jc w:val="both"/>
        <w:rPr>
          <w:rFonts w:cs="Times New Roman"/>
          <w:szCs w:val="24"/>
        </w:rPr>
      </w:pPr>
      <w:r w:rsidRPr="00324258">
        <w:rPr>
          <w:rFonts w:cs="Times New Roman"/>
          <w:szCs w:val="24"/>
        </w:rPr>
        <w:t xml:space="preserve">Trzecia zmiana dotyczy </w:t>
      </w:r>
      <w:r w:rsidR="00F211C1" w:rsidRPr="00324258">
        <w:rPr>
          <w:rFonts w:cs="Times New Roman"/>
          <w:szCs w:val="24"/>
        </w:rPr>
        <w:t>wydłużenia</w:t>
      </w:r>
      <w:r w:rsidR="002D0F22" w:rsidRPr="00324258">
        <w:rPr>
          <w:rFonts w:cs="Times New Roman"/>
          <w:szCs w:val="24"/>
        </w:rPr>
        <w:t xml:space="preserve"> </w:t>
      </w:r>
      <w:r w:rsidRPr="004D731E">
        <w:rPr>
          <w:rFonts w:cs="Times New Roman"/>
          <w:szCs w:val="24"/>
        </w:rPr>
        <w:t xml:space="preserve">terminu </w:t>
      </w:r>
      <w:r w:rsidR="00F211C1" w:rsidRPr="004D731E">
        <w:rPr>
          <w:rFonts w:cs="Times New Roman"/>
          <w:szCs w:val="24"/>
        </w:rPr>
        <w:t xml:space="preserve">zawitego </w:t>
      </w:r>
      <w:r w:rsidRPr="004D731E">
        <w:rPr>
          <w:rFonts w:cs="Times New Roman"/>
          <w:szCs w:val="24"/>
        </w:rPr>
        <w:t xml:space="preserve">do skorzystania z powyższych </w:t>
      </w:r>
      <w:r w:rsidR="00F211C1" w:rsidRPr="004D731E">
        <w:rPr>
          <w:rFonts w:cs="Times New Roman"/>
          <w:szCs w:val="24"/>
        </w:rPr>
        <w:t>uprawnień prawnokształtujących</w:t>
      </w:r>
      <w:r w:rsidRPr="004D731E">
        <w:rPr>
          <w:rFonts w:cs="Times New Roman"/>
          <w:szCs w:val="24"/>
        </w:rPr>
        <w:t xml:space="preserve">. </w:t>
      </w:r>
      <w:r w:rsidR="00F211C1" w:rsidRPr="004D731E">
        <w:rPr>
          <w:rFonts w:cs="Times New Roman"/>
          <w:szCs w:val="24"/>
        </w:rPr>
        <w:t xml:space="preserve">Jak </w:t>
      </w:r>
      <w:r w:rsidR="0076107E" w:rsidRPr="004D731E">
        <w:rPr>
          <w:rFonts w:cs="Times New Roman"/>
          <w:szCs w:val="24"/>
        </w:rPr>
        <w:t xml:space="preserve">już </w:t>
      </w:r>
      <w:r w:rsidR="00F211C1" w:rsidRPr="004D731E">
        <w:rPr>
          <w:rFonts w:cs="Times New Roman"/>
          <w:szCs w:val="24"/>
        </w:rPr>
        <w:t>wcześniej</w:t>
      </w:r>
      <w:r w:rsidR="0076107E" w:rsidRPr="004D731E">
        <w:rPr>
          <w:rFonts w:cs="Times New Roman"/>
          <w:szCs w:val="24"/>
        </w:rPr>
        <w:t xml:space="preserve"> wskazano,</w:t>
      </w:r>
      <w:r w:rsidR="00F211C1" w:rsidRPr="004D731E">
        <w:rPr>
          <w:rFonts w:cs="Times New Roman"/>
          <w:szCs w:val="24"/>
        </w:rPr>
        <w:t xml:space="preserve"> aktualnie przewidziany dwuletni termin na wystąpienie z żądaniem o </w:t>
      </w:r>
      <w:r w:rsidR="008E5DDF" w:rsidRPr="004D731E">
        <w:rPr>
          <w:rFonts w:cs="Times New Roman"/>
          <w:szCs w:val="24"/>
        </w:rPr>
        <w:t>ukształtowani</w:t>
      </w:r>
      <w:r w:rsidR="00F211C1" w:rsidRPr="004D731E">
        <w:rPr>
          <w:rFonts w:cs="Times New Roman"/>
          <w:szCs w:val="24"/>
        </w:rPr>
        <w:t>e</w:t>
      </w:r>
      <w:r w:rsidR="008E5DDF" w:rsidRPr="004D731E">
        <w:rPr>
          <w:rFonts w:cs="Times New Roman"/>
          <w:szCs w:val="24"/>
        </w:rPr>
        <w:t xml:space="preserve"> przez sąd treści stosunku prawnego lub unieważnieni</w:t>
      </w:r>
      <w:r w:rsidR="00F211C1" w:rsidRPr="004D731E">
        <w:rPr>
          <w:rFonts w:cs="Times New Roman"/>
          <w:szCs w:val="24"/>
        </w:rPr>
        <w:t xml:space="preserve">e </w:t>
      </w:r>
      <w:r w:rsidR="008E5DDF" w:rsidRPr="004D731E">
        <w:rPr>
          <w:rFonts w:cs="Times New Roman"/>
          <w:szCs w:val="24"/>
        </w:rPr>
        <w:t xml:space="preserve">umowy </w:t>
      </w:r>
      <w:r w:rsidR="00F211C1" w:rsidRPr="004D731E">
        <w:rPr>
          <w:rFonts w:cs="Times New Roman"/>
          <w:szCs w:val="24"/>
        </w:rPr>
        <w:t xml:space="preserve">może często okazać się zbyt krótki, aby wyzyskany miał realną możliwość jego zgłoszenia. Z tego względu proponuje się </w:t>
      </w:r>
      <w:r w:rsidR="007C67D1" w:rsidRPr="004D731E">
        <w:rPr>
          <w:rFonts w:cs="Times New Roman"/>
          <w:szCs w:val="24"/>
        </w:rPr>
        <w:t>jego wydłużenie w taki sposób, aby termin ten odpowiadał terminom przewidzianym dla przedawnienia roszczeń wynikających z</w:t>
      </w:r>
      <w:r w:rsidR="004D731E">
        <w:rPr>
          <w:rFonts w:cs="Times New Roman"/>
          <w:szCs w:val="24"/>
        </w:rPr>
        <w:t xml:space="preserve"> </w:t>
      </w:r>
      <w:r w:rsidR="007C67D1" w:rsidRPr="004D731E">
        <w:rPr>
          <w:rFonts w:cs="Times New Roman"/>
          <w:szCs w:val="24"/>
        </w:rPr>
        <w:t xml:space="preserve">art. 118 </w:t>
      </w:r>
      <w:r w:rsidR="0084021F" w:rsidRPr="004D731E">
        <w:rPr>
          <w:rFonts w:cs="Times New Roman"/>
          <w:szCs w:val="24"/>
        </w:rPr>
        <w:t xml:space="preserve">Kodeksu </w:t>
      </w:r>
      <w:r w:rsidR="000753B8" w:rsidRPr="004D731E">
        <w:rPr>
          <w:rFonts w:cs="Times New Roman"/>
          <w:szCs w:val="24"/>
        </w:rPr>
        <w:t>cywilnego.</w:t>
      </w:r>
      <w:r w:rsidR="007C67D1" w:rsidRPr="004D731E">
        <w:rPr>
          <w:rFonts w:cs="Times New Roman"/>
          <w:szCs w:val="24"/>
        </w:rPr>
        <w:t xml:space="preserve"> Oznacza to, że w przypadku żądań wynikających z umowy zawartej między przedsiębiorcami przedmiotowe</w:t>
      </w:r>
      <w:r w:rsidR="007C67D1" w:rsidRPr="00324258">
        <w:rPr>
          <w:rFonts w:cs="Times New Roman"/>
          <w:szCs w:val="24"/>
        </w:rPr>
        <w:t xml:space="preserve"> żądania będą wygasały po upływie trzech lat, zaś dla żądań wynikających z umowy zawartej z konsumentem – po upływie sześciu lat. </w:t>
      </w:r>
      <w:r w:rsidR="00766419" w:rsidRPr="00324258">
        <w:rPr>
          <w:rFonts w:cs="Times New Roman"/>
          <w:szCs w:val="24"/>
        </w:rPr>
        <w:t xml:space="preserve">Konieczność określenia przedmiotowych terminów wynika z </w:t>
      </w:r>
      <w:r w:rsidR="00260D12" w:rsidRPr="004D731E">
        <w:rPr>
          <w:rFonts w:cs="Times New Roman"/>
          <w:szCs w:val="24"/>
        </w:rPr>
        <w:t xml:space="preserve">prawnokształtującego </w:t>
      </w:r>
      <w:r w:rsidR="00766419" w:rsidRPr="004D731E">
        <w:rPr>
          <w:rFonts w:cs="Times New Roman"/>
          <w:szCs w:val="24"/>
        </w:rPr>
        <w:t xml:space="preserve">charakteru żądań przewidzianych w art. 388 </w:t>
      </w:r>
      <w:r w:rsidR="008B6F1C">
        <w:rPr>
          <w:rFonts w:cs="Times New Roman"/>
          <w:szCs w:val="24"/>
        </w:rPr>
        <w:t>§ </w:t>
      </w:r>
      <w:r w:rsidR="00260D12" w:rsidRPr="004D731E">
        <w:rPr>
          <w:rFonts w:cs="Times New Roman"/>
          <w:szCs w:val="24"/>
        </w:rPr>
        <w:t xml:space="preserve">1 </w:t>
      </w:r>
      <w:r w:rsidR="0084021F" w:rsidRPr="004D731E">
        <w:rPr>
          <w:rFonts w:cs="Times New Roman"/>
          <w:szCs w:val="24"/>
        </w:rPr>
        <w:t xml:space="preserve">Kodeksu </w:t>
      </w:r>
      <w:r w:rsidR="000753B8" w:rsidRPr="004D731E">
        <w:rPr>
          <w:rFonts w:cs="Times New Roman"/>
          <w:szCs w:val="24"/>
        </w:rPr>
        <w:t>cywilnego</w:t>
      </w:r>
      <w:r w:rsidR="00260D12" w:rsidRPr="004D731E">
        <w:rPr>
          <w:rFonts w:cs="Times New Roman"/>
          <w:szCs w:val="24"/>
        </w:rPr>
        <w:t>, które nie ulegają przedawnieniu, jak w przypadku roszczeń majątkowych.</w:t>
      </w:r>
    </w:p>
    <w:p w14:paraId="48E4D4DD" w14:textId="6362A69D" w:rsidR="00B350EA" w:rsidRPr="004D731E" w:rsidRDefault="001041CE" w:rsidP="00FB07E3">
      <w:pPr>
        <w:spacing w:before="120"/>
        <w:jc w:val="both"/>
        <w:rPr>
          <w:rFonts w:cs="Times New Roman"/>
          <w:szCs w:val="24"/>
        </w:rPr>
      </w:pPr>
      <w:r w:rsidRPr="004D731E">
        <w:rPr>
          <w:rFonts w:cs="Times New Roman"/>
          <w:szCs w:val="24"/>
        </w:rPr>
        <w:t xml:space="preserve">W celu </w:t>
      </w:r>
      <w:r w:rsidR="00F356BD" w:rsidRPr="004D731E">
        <w:rPr>
          <w:rFonts w:cs="Times New Roman"/>
          <w:szCs w:val="24"/>
        </w:rPr>
        <w:t>wzmocnieni</w:t>
      </w:r>
      <w:r w:rsidRPr="004D731E">
        <w:rPr>
          <w:rFonts w:cs="Times New Roman"/>
          <w:szCs w:val="24"/>
        </w:rPr>
        <w:t>a</w:t>
      </w:r>
      <w:r w:rsidR="00F356BD" w:rsidRPr="004D731E">
        <w:rPr>
          <w:rFonts w:cs="Times New Roman"/>
          <w:szCs w:val="24"/>
        </w:rPr>
        <w:t xml:space="preserve"> pozycji prawnej wyzyskanego </w:t>
      </w:r>
      <w:r w:rsidRPr="004D731E">
        <w:rPr>
          <w:rFonts w:cs="Times New Roman"/>
          <w:szCs w:val="24"/>
        </w:rPr>
        <w:t xml:space="preserve">proponuje się </w:t>
      </w:r>
      <w:r w:rsidR="00AB11F4">
        <w:rPr>
          <w:rFonts w:cs="Times New Roman"/>
          <w:szCs w:val="24"/>
        </w:rPr>
        <w:t>po</w:t>
      </w:r>
      <w:r w:rsidRPr="004D731E">
        <w:rPr>
          <w:rFonts w:cs="Times New Roman"/>
          <w:szCs w:val="24"/>
        </w:rPr>
        <w:t xml:space="preserve">nadto </w:t>
      </w:r>
      <w:r w:rsidR="00F356BD" w:rsidRPr="004D731E">
        <w:rPr>
          <w:rFonts w:cs="Times New Roman"/>
          <w:szCs w:val="24"/>
        </w:rPr>
        <w:t xml:space="preserve">wprowadzenie domniemania w § </w:t>
      </w:r>
      <w:r w:rsidRPr="004D731E">
        <w:rPr>
          <w:rFonts w:cs="Times New Roman"/>
          <w:szCs w:val="24"/>
        </w:rPr>
        <w:t>1</w:t>
      </w:r>
      <w:r w:rsidRPr="004D731E">
        <w:rPr>
          <w:rFonts w:cs="Times New Roman"/>
          <w:szCs w:val="24"/>
          <w:vertAlign w:val="superscript"/>
        </w:rPr>
        <w:t>1</w:t>
      </w:r>
      <w:r w:rsidR="00F356BD" w:rsidRPr="004D731E">
        <w:rPr>
          <w:rFonts w:cs="Times New Roman"/>
          <w:szCs w:val="24"/>
        </w:rPr>
        <w:t xml:space="preserve"> dodawanym do art. 388 Kodeksu cywilnego. Zgodnie z projektowanym przepisem, jeżeli wartość świadczenia jednej ze stron przewyższa co najmniej dwukrotnie wartość świadczenia wzajemnego, domniemywa się, że niewspółmierność świadczeń ma</w:t>
      </w:r>
      <w:r w:rsidR="004D731E">
        <w:rPr>
          <w:rFonts w:cs="Times New Roman"/>
          <w:szCs w:val="24"/>
        </w:rPr>
        <w:t xml:space="preserve"> </w:t>
      </w:r>
      <w:r w:rsidR="00F356BD" w:rsidRPr="004D731E">
        <w:rPr>
          <w:rFonts w:cs="Times New Roman"/>
          <w:szCs w:val="24"/>
        </w:rPr>
        <w:t xml:space="preserve">charakter rażący. </w:t>
      </w:r>
    </w:p>
    <w:p w14:paraId="27B704E9" w14:textId="16E82C0F" w:rsidR="00332491" w:rsidRPr="004D731E" w:rsidRDefault="00332491" w:rsidP="00FB07E3">
      <w:pPr>
        <w:spacing w:before="120"/>
        <w:jc w:val="both"/>
        <w:rPr>
          <w:rFonts w:cs="Times New Roman"/>
          <w:szCs w:val="24"/>
        </w:rPr>
      </w:pPr>
      <w:r w:rsidRPr="00324258">
        <w:rPr>
          <w:rFonts w:cs="Times New Roman"/>
          <w:szCs w:val="24"/>
        </w:rPr>
        <w:t xml:space="preserve">Zgodnie z zasadami logiki i doświadczenia życiowego, jeśli otrzymywany ekwiwalent jest dwukrotnie niższy niż należne świadczenie, jest to sytuacja świadcząca o rażącej dysproporcji świadczeń. </w:t>
      </w:r>
      <w:r w:rsidRPr="00FB07E3">
        <w:rPr>
          <w:rFonts w:cs="Times New Roman"/>
          <w:szCs w:val="24"/>
        </w:rPr>
        <w:t xml:space="preserve">Co więcej, już choćby w orzecznictwie niemieckim przyjmuje </w:t>
      </w:r>
      <w:r w:rsidR="00B90904" w:rsidRPr="00FB07E3">
        <w:rPr>
          <w:rFonts w:cs="Times New Roman"/>
          <w:szCs w:val="24"/>
        </w:rPr>
        <w:t xml:space="preserve">się </w:t>
      </w:r>
      <w:r w:rsidRPr="00FB07E3">
        <w:rPr>
          <w:rFonts w:cs="Times New Roman"/>
          <w:szCs w:val="24"/>
        </w:rPr>
        <w:t>zazwyczaj, że rażąca dysproporcja świadczeń zachodzi wówczas, gdy „opłata” za dane świadczenie jest dwukrotnie wyższa niż obiektywna wartość dobra</w:t>
      </w:r>
      <w:r w:rsidRPr="004D731E">
        <w:rPr>
          <w:rStyle w:val="Odwoanieprzypisudolnego"/>
          <w:rFonts w:cs="Times New Roman"/>
          <w:szCs w:val="24"/>
        </w:rPr>
        <w:footnoteReference w:id="7"/>
      </w:r>
      <w:r w:rsidR="000753B8" w:rsidRPr="004D731E">
        <w:rPr>
          <w:rStyle w:val="Odwoanieprzypisudolnego"/>
          <w:rFonts w:cs="Times New Roman"/>
          <w:szCs w:val="24"/>
        </w:rPr>
        <w:t>)</w:t>
      </w:r>
      <w:r w:rsidRPr="004D731E">
        <w:rPr>
          <w:rFonts w:cs="Times New Roman"/>
          <w:szCs w:val="24"/>
        </w:rPr>
        <w:t>.</w:t>
      </w:r>
    </w:p>
    <w:p w14:paraId="6CF73145" w14:textId="3310742E" w:rsidR="00260D12" w:rsidRPr="004D731E" w:rsidRDefault="00F356BD" w:rsidP="00AB11F4">
      <w:pPr>
        <w:spacing w:before="200"/>
        <w:jc w:val="both"/>
        <w:rPr>
          <w:rFonts w:eastAsiaTheme="minorHAnsi" w:cs="Times New Roman"/>
          <w:szCs w:val="24"/>
          <w:shd w:val="clear" w:color="auto" w:fill="FFFFFF"/>
          <w:lang w:eastAsia="en-US"/>
        </w:rPr>
      </w:pPr>
      <w:r w:rsidRPr="004D731E">
        <w:rPr>
          <w:rFonts w:cs="Times New Roman"/>
          <w:szCs w:val="24"/>
        </w:rPr>
        <w:lastRenderedPageBreak/>
        <w:t xml:space="preserve">We wskazanych tym przepisem stanach faktycznych to na pozwanym będzie </w:t>
      </w:r>
      <w:r w:rsidR="000464FB" w:rsidRPr="004D731E">
        <w:rPr>
          <w:rFonts w:cs="Times New Roman"/>
          <w:szCs w:val="24"/>
        </w:rPr>
        <w:t>spoczywał obowiązek dowodzenia</w:t>
      </w:r>
      <w:r w:rsidRPr="004D731E">
        <w:rPr>
          <w:rFonts w:cs="Times New Roman"/>
          <w:szCs w:val="24"/>
        </w:rPr>
        <w:t>, że dysproporcja świadczeń nie ma charakteru rażącego. Oznacza to, że nastąpi tu</w:t>
      </w:r>
      <w:r w:rsidR="004D731E">
        <w:rPr>
          <w:rFonts w:cs="Times New Roman"/>
          <w:szCs w:val="24"/>
        </w:rPr>
        <w:t xml:space="preserve"> </w:t>
      </w:r>
      <w:r w:rsidRPr="004D731E">
        <w:rPr>
          <w:rFonts w:cs="Times New Roman"/>
          <w:szCs w:val="24"/>
        </w:rPr>
        <w:t xml:space="preserve">odwrócenie ciężaru dowodu. Przerzucenie ciężaru dowodu na wyzyskującego będzie miało miejsce jedynie w sytuacji objętej domniemaniem prawnym określonym w § </w:t>
      </w:r>
      <w:r w:rsidR="0042628B" w:rsidRPr="004D731E">
        <w:rPr>
          <w:rFonts w:cs="Times New Roman"/>
          <w:szCs w:val="24"/>
        </w:rPr>
        <w:t>1</w:t>
      </w:r>
      <w:r w:rsidR="0042628B" w:rsidRPr="004D731E">
        <w:rPr>
          <w:rFonts w:cs="Times New Roman"/>
          <w:szCs w:val="24"/>
          <w:vertAlign w:val="superscript"/>
        </w:rPr>
        <w:t>1</w:t>
      </w:r>
      <w:r w:rsidRPr="004D731E">
        <w:rPr>
          <w:rFonts w:cs="Times New Roman"/>
          <w:szCs w:val="24"/>
        </w:rPr>
        <w:t xml:space="preserve">. </w:t>
      </w:r>
      <w:r w:rsidRPr="004D731E">
        <w:rPr>
          <w:rFonts w:eastAsiaTheme="minorHAnsi" w:cs="Times New Roman"/>
          <w:szCs w:val="24"/>
          <w:shd w:val="clear" w:color="auto" w:fill="FFFFFF"/>
          <w:lang w:eastAsia="en-US"/>
        </w:rPr>
        <w:t>Tym samym wyzyskany, aby udowodnić swoje roszczenie związane z wyzyskiem</w:t>
      </w:r>
      <w:r w:rsidR="00AB11F4">
        <w:rPr>
          <w:rFonts w:eastAsiaTheme="minorHAnsi" w:cs="Times New Roman"/>
          <w:szCs w:val="24"/>
          <w:shd w:val="clear" w:color="auto" w:fill="FFFFFF"/>
          <w:lang w:eastAsia="en-US"/>
        </w:rPr>
        <w:t>,</w:t>
      </w:r>
      <w:r w:rsidRPr="004D731E">
        <w:rPr>
          <w:rFonts w:eastAsiaTheme="minorHAnsi" w:cs="Times New Roman"/>
          <w:szCs w:val="24"/>
          <w:shd w:val="clear" w:color="auto" w:fill="FFFFFF"/>
          <w:lang w:eastAsia="en-US"/>
        </w:rPr>
        <w:t xml:space="preserve"> będzie musiał wykazać, że oprócz domniemanej niewspółmierności roszczenia znalazł się w przymusowym położeniu, jest niedołężny, niedoświadczony lub nie miał dostatecznego rozeznania przy zawieraniu umowy i ta okoliczność została wykorzystana przez wyzyskującego. </w:t>
      </w:r>
    </w:p>
    <w:p w14:paraId="54190444" w14:textId="1945E8C6" w:rsidR="0042628B" w:rsidRPr="004D731E" w:rsidRDefault="00F356BD" w:rsidP="00FB07E3">
      <w:pPr>
        <w:spacing w:before="120"/>
        <w:jc w:val="both"/>
        <w:rPr>
          <w:rFonts w:eastAsiaTheme="minorHAnsi" w:cs="Times New Roman"/>
          <w:szCs w:val="24"/>
          <w:shd w:val="clear" w:color="auto" w:fill="FFFFFF"/>
          <w:lang w:eastAsia="en-US"/>
        </w:rPr>
      </w:pPr>
      <w:r w:rsidRPr="004D731E">
        <w:rPr>
          <w:rFonts w:cs="Times New Roman"/>
          <w:szCs w:val="24"/>
        </w:rPr>
        <w:t>Przyjęcie proponowanej zmiany usprawni postępowani</w:t>
      </w:r>
      <w:r w:rsidR="000464FB" w:rsidRPr="004D731E">
        <w:rPr>
          <w:rFonts w:cs="Times New Roman"/>
          <w:szCs w:val="24"/>
        </w:rPr>
        <w:t>a</w:t>
      </w:r>
      <w:r w:rsidRPr="004D731E">
        <w:rPr>
          <w:rFonts w:cs="Times New Roman"/>
          <w:szCs w:val="24"/>
        </w:rPr>
        <w:t xml:space="preserve"> o znacznym ciężarze społe</w:t>
      </w:r>
      <w:r w:rsidRPr="00324258">
        <w:rPr>
          <w:rFonts w:cs="Times New Roman"/>
          <w:szCs w:val="24"/>
        </w:rPr>
        <w:t xml:space="preserve">cznym. Przerzucenie ciężaru dowodowego we wskazanym zakresie na podmiot profesjonalny, odpowiedzialny za technikę </w:t>
      </w:r>
      <w:r w:rsidRPr="004D731E">
        <w:rPr>
          <w:rFonts w:cs="Times New Roman"/>
          <w:szCs w:val="24"/>
        </w:rPr>
        <w:t xml:space="preserve">sprzedaży czy przygotowanie wzorca umownego, znajduje uzasadnienie w sprawiedliwym wyważeniu interesów stron umowy obarczonej zarzutem wyzysku. </w:t>
      </w:r>
      <w:r w:rsidRPr="004D731E">
        <w:rPr>
          <w:rFonts w:eastAsiaTheme="minorHAnsi" w:cs="Times New Roman"/>
          <w:szCs w:val="24"/>
          <w:shd w:val="clear" w:color="auto" w:fill="FFFFFF"/>
          <w:lang w:eastAsia="en-US"/>
        </w:rPr>
        <w:t>Wprowadzenie domniemania pozytywnie wpłynie na praktykę obrotu – od</w:t>
      </w:r>
      <w:r w:rsidR="004D731E">
        <w:rPr>
          <w:rFonts w:eastAsiaTheme="minorHAnsi" w:cs="Times New Roman"/>
          <w:szCs w:val="24"/>
          <w:shd w:val="clear" w:color="auto" w:fill="FFFFFF"/>
          <w:lang w:eastAsia="en-US"/>
        </w:rPr>
        <w:t xml:space="preserve"> </w:t>
      </w:r>
      <w:r w:rsidRPr="004D731E">
        <w:rPr>
          <w:rFonts w:eastAsiaTheme="minorHAnsi" w:cs="Times New Roman"/>
          <w:szCs w:val="24"/>
          <w:shd w:val="clear" w:color="auto" w:fill="FFFFFF"/>
          <w:lang w:eastAsia="en-US"/>
        </w:rPr>
        <w:t xml:space="preserve">silniejszej strony umowy </w:t>
      </w:r>
      <w:r w:rsidR="00B45A32" w:rsidRPr="004D731E">
        <w:rPr>
          <w:rFonts w:eastAsiaTheme="minorHAnsi" w:cs="Times New Roman"/>
          <w:szCs w:val="24"/>
          <w:shd w:val="clear" w:color="auto" w:fill="FFFFFF"/>
          <w:lang w:eastAsia="en-US"/>
        </w:rPr>
        <w:t xml:space="preserve">będzie </w:t>
      </w:r>
      <w:r w:rsidRPr="004D731E">
        <w:rPr>
          <w:rFonts w:eastAsiaTheme="minorHAnsi" w:cs="Times New Roman"/>
          <w:szCs w:val="24"/>
          <w:shd w:val="clear" w:color="auto" w:fill="FFFFFF"/>
          <w:lang w:eastAsia="en-US"/>
        </w:rPr>
        <w:t xml:space="preserve">można bowiem oczekiwać, </w:t>
      </w:r>
      <w:r w:rsidR="00B45A32" w:rsidRPr="004D731E">
        <w:rPr>
          <w:rFonts w:eastAsiaTheme="minorHAnsi" w:cs="Times New Roman"/>
          <w:szCs w:val="24"/>
          <w:shd w:val="clear" w:color="auto" w:fill="FFFFFF"/>
          <w:lang w:eastAsia="en-US"/>
        </w:rPr>
        <w:t>a</w:t>
      </w:r>
      <w:r w:rsidRPr="004D731E">
        <w:rPr>
          <w:rFonts w:eastAsiaTheme="minorHAnsi" w:cs="Times New Roman"/>
          <w:szCs w:val="24"/>
          <w:shd w:val="clear" w:color="auto" w:fill="FFFFFF"/>
          <w:lang w:eastAsia="en-US"/>
        </w:rPr>
        <w:t>by przed zawarciem nadzwyczaj korzystnego</w:t>
      </w:r>
      <w:r w:rsidR="0042628B" w:rsidRPr="00324258">
        <w:rPr>
          <w:rFonts w:eastAsiaTheme="minorHAnsi" w:cs="Times New Roman"/>
          <w:szCs w:val="24"/>
          <w:shd w:val="clear" w:color="auto" w:fill="FFFFFF"/>
          <w:lang w:eastAsia="en-US"/>
        </w:rPr>
        <w:t xml:space="preserve"> dla niej</w:t>
      </w:r>
      <w:r w:rsidRPr="00324258">
        <w:rPr>
          <w:rFonts w:eastAsiaTheme="minorHAnsi" w:cs="Times New Roman"/>
          <w:szCs w:val="24"/>
          <w:shd w:val="clear" w:color="auto" w:fill="FFFFFF"/>
          <w:lang w:eastAsia="en-US"/>
        </w:rPr>
        <w:t xml:space="preserve"> kontraktu</w:t>
      </w:r>
      <w:r w:rsidRPr="004D731E">
        <w:rPr>
          <w:rFonts w:eastAsiaTheme="minorHAnsi" w:cs="Times New Roman"/>
          <w:szCs w:val="24"/>
          <w:shd w:val="clear" w:color="auto" w:fill="FFFFFF"/>
          <w:lang w:eastAsia="en-US"/>
        </w:rPr>
        <w:t xml:space="preserve"> najpierw dochowała należytej staranności i</w:t>
      </w:r>
      <w:r w:rsidR="004D731E">
        <w:rPr>
          <w:rFonts w:eastAsiaTheme="minorHAnsi" w:cs="Times New Roman"/>
          <w:szCs w:val="24"/>
          <w:shd w:val="clear" w:color="auto" w:fill="FFFFFF"/>
          <w:lang w:eastAsia="en-US"/>
        </w:rPr>
        <w:t xml:space="preserve"> </w:t>
      </w:r>
      <w:r w:rsidRPr="004D731E">
        <w:rPr>
          <w:rFonts w:eastAsiaTheme="minorHAnsi" w:cs="Times New Roman"/>
          <w:szCs w:val="24"/>
          <w:shd w:val="clear" w:color="auto" w:fill="FFFFFF"/>
          <w:lang w:eastAsia="en-US"/>
        </w:rPr>
        <w:t>upewniła się, czy kontrahent nie znajduje się w szczególnie trudnej sytuacji</w:t>
      </w:r>
      <w:r w:rsidR="00BD744C" w:rsidRPr="004D731E">
        <w:rPr>
          <w:rFonts w:eastAsiaTheme="minorHAnsi" w:cs="Times New Roman"/>
          <w:szCs w:val="24"/>
          <w:shd w:val="clear" w:color="auto" w:fill="FFFFFF"/>
          <w:lang w:eastAsia="en-US"/>
        </w:rPr>
        <w:t xml:space="preserve"> oraz czy działa z</w:t>
      </w:r>
      <w:r w:rsidR="004D731E">
        <w:rPr>
          <w:rFonts w:eastAsiaTheme="minorHAnsi" w:cs="Times New Roman"/>
          <w:szCs w:val="24"/>
          <w:shd w:val="clear" w:color="auto" w:fill="FFFFFF"/>
          <w:lang w:eastAsia="en-US"/>
        </w:rPr>
        <w:t xml:space="preserve"> </w:t>
      </w:r>
      <w:r w:rsidR="00BD744C" w:rsidRPr="004D731E">
        <w:rPr>
          <w:rFonts w:eastAsiaTheme="minorHAnsi" w:cs="Times New Roman"/>
          <w:szCs w:val="24"/>
          <w:shd w:val="clear" w:color="auto" w:fill="FFFFFF"/>
          <w:lang w:eastAsia="en-US"/>
        </w:rPr>
        <w:t>dostatecznym rozeznaniem</w:t>
      </w:r>
      <w:r w:rsidRPr="004D731E">
        <w:rPr>
          <w:rFonts w:eastAsiaTheme="minorHAnsi" w:cs="Times New Roman"/>
          <w:szCs w:val="24"/>
          <w:shd w:val="clear" w:color="auto" w:fill="FFFFFF"/>
          <w:lang w:eastAsia="en-US"/>
        </w:rPr>
        <w:t xml:space="preserve">. </w:t>
      </w:r>
    </w:p>
    <w:p w14:paraId="0D76CFA1" w14:textId="14D3C254" w:rsidR="00F356BD" w:rsidRPr="004D731E" w:rsidRDefault="00F356BD" w:rsidP="00FB07E3">
      <w:pPr>
        <w:spacing w:before="120"/>
        <w:jc w:val="both"/>
        <w:rPr>
          <w:rFonts w:cs="Times New Roman"/>
          <w:szCs w:val="24"/>
        </w:rPr>
      </w:pPr>
      <w:r w:rsidRPr="00324258">
        <w:rPr>
          <w:rFonts w:cs="Times New Roman"/>
          <w:szCs w:val="24"/>
        </w:rPr>
        <w:t xml:space="preserve">Jednocześnie proponuje się, aby przepisy znowelizowanego art. 388 Kodeksu cywilnego </w:t>
      </w:r>
      <w:r w:rsidRPr="004D731E">
        <w:rPr>
          <w:rFonts w:cs="Times New Roman"/>
          <w:szCs w:val="24"/>
        </w:rPr>
        <w:t>stosować do umów zawartych po dniu wejścia w życie ustawy nowelizującej, co</w:t>
      </w:r>
      <w:r w:rsidR="004D731E">
        <w:rPr>
          <w:rFonts w:cs="Times New Roman"/>
          <w:szCs w:val="24"/>
        </w:rPr>
        <w:t xml:space="preserve"> </w:t>
      </w:r>
      <w:r w:rsidR="00336595" w:rsidRPr="004D731E">
        <w:rPr>
          <w:rFonts w:cs="Times New Roman"/>
          <w:szCs w:val="24"/>
        </w:rPr>
        <w:t xml:space="preserve">pozwoli </w:t>
      </w:r>
      <w:r w:rsidRPr="004D731E">
        <w:rPr>
          <w:rFonts w:cs="Times New Roman"/>
          <w:szCs w:val="24"/>
        </w:rPr>
        <w:t>wszystkim stronom stosunków prawnych na odpowiednie przygotowanie, w</w:t>
      </w:r>
      <w:r w:rsidR="004D731E">
        <w:rPr>
          <w:rFonts w:cs="Times New Roman"/>
          <w:szCs w:val="24"/>
        </w:rPr>
        <w:t xml:space="preserve"> </w:t>
      </w:r>
      <w:r w:rsidRPr="004D731E">
        <w:rPr>
          <w:rFonts w:cs="Times New Roman"/>
          <w:szCs w:val="24"/>
        </w:rPr>
        <w:t xml:space="preserve">szczególności w zakresie badania poziomu rozeznania co do celowości i skutków zawarcia danej umowy oraz rażącej dysproporcji świadczeń. Powyższa regulacja zgodna jest z </w:t>
      </w:r>
      <w:r w:rsidR="00B87162" w:rsidRPr="00324258">
        <w:rPr>
          <w:rFonts w:cs="Times New Roman"/>
          <w:szCs w:val="24"/>
        </w:rPr>
        <w:t>zasadą trwałości</w:t>
      </w:r>
      <w:r w:rsidRPr="00324258">
        <w:rPr>
          <w:rFonts w:cs="Times New Roman"/>
          <w:szCs w:val="24"/>
        </w:rPr>
        <w:t xml:space="preserve"> stosunków prawnych i pewności</w:t>
      </w:r>
      <w:r w:rsidRPr="004D731E">
        <w:rPr>
          <w:rFonts w:cs="Times New Roman"/>
          <w:szCs w:val="24"/>
        </w:rPr>
        <w:t xml:space="preserve"> obrotu. </w:t>
      </w:r>
    </w:p>
    <w:p w14:paraId="5D7FD1BB" w14:textId="29FFA22A" w:rsidR="005A3915" w:rsidRPr="004D731E" w:rsidRDefault="005A3915" w:rsidP="00FB07E3">
      <w:pPr>
        <w:spacing w:before="120"/>
        <w:jc w:val="both"/>
        <w:rPr>
          <w:rFonts w:cs="Times New Roman"/>
          <w:b/>
          <w:bCs/>
          <w:szCs w:val="24"/>
        </w:rPr>
      </w:pPr>
      <w:r w:rsidRPr="004D731E">
        <w:rPr>
          <w:rFonts w:cs="Times New Roman"/>
          <w:b/>
          <w:bCs/>
          <w:szCs w:val="24"/>
        </w:rPr>
        <w:t>Projektowana zmiana art. 688</w:t>
      </w:r>
      <w:r w:rsidR="00324258" w:rsidRPr="00FB07E3">
        <w:rPr>
          <w:rFonts w:cs="Times New Roman"/>
          <w:b/>
          <w:bCs/>
          <w:szCs w:val="24"/>
          <w:vertAlign w:val="superscript"/>
        </w:rPr>
        <w:t>1</w:t>
      </w:r>
      <w:r w:rsidRPr="004D731E">
        <w:rPr>
          <w:rFonts w:cs="Times New Roman"/>
          <w:b/>
          <w:bCs/>
          <w:szCs w:val="24"/>
        </w:rPr>
        <w:t xml:space="preserve"> § 1 Kodeksu cywilnego</w:t>
      </w:r>
    </w:p>
    <w:p w14:paraId="43F2E97E" w14:textId="77777777" w:rsidR="005A3915" w:rsidRPr="004D731E" w:rsidRDefault="005A3915" w:rsidP="00FB07E3">
      <w:pPr>
        <w:pStyle w:val="NIEARTTEKSTtekstnieartykuowanynppodstprawnarozplubpreambua"/>
        <w:ind w:firstLine="0"/>
        <w:rPr>
          <w:rFonts w:ascii="Times New Roman" w:hAnsi="Times New Roman" w:cs="Times New Roman"/>
          <w:szCs w:val="24"/>
        </w:rPr>
      </w:pPr>
      <w:r w:rsidRPr="004D731E">
        <w:rPr>
          <w:rFonts w:ascii="Times New Roman" w:hAnsi="Times New Roman" w:cs="Times New Roman"/>
          <w:szCs w:val="24"/>
        </w:rPr>
        <w:t>Art. 688</w:t>
      </w:r>
      <w:r w:rsidRPr="004D731E">
        <w:rPr>
          <w:rStyle w:val="IGindeksgrny"/>
          <w:rFonts w:ascii="Times New Roman" w:hAnsi="Times New Roman" w:cs="Times New Roman"/>
          <w:szCs w:val="24"/>
        </w:rPr>
        <w:t>1</w:t>
      </w:r>
      <w:r w:rsidRPr="004D731E">
        <w:rPr>
          <w:rFonts w:ascii="Times New Roman" w:hAnsi="Times New Roman" w:cs="Times New Roman"/>
          <w:szCs w:val="24"/>
        </w:rPr>
        <w:t xml:space="preserve"> § 1 Kodeksu cywilnego stanowi, iż za zapłatę czynszu i innych należnych opłat odpowiadają solidarnie z najemcą stale zamieszkujące z nim osoby pełnoletnie. </w:t>
      </w:r>
    </w:p>
    <w:p w14:paraId="58F461A9" w14:textId="557DD12F" w:rsidR="005A3915" w:rsidRPr="004D731E" w:rsidRDefault="005A3915" w:rsidP="00FB07E3">
      <w:pPr>
        <w:pStyle w:val="NIEARTTEKSTtekstnieartykuowanynppodstprawnarozplubpreambua"/>
        <w:ind w:firstLine="0"/>
        <w:rPr>
          <w:rFonts w:ascii="Times New Roman" w:hAnsi="Times New Roman" w:cs="Times New Roman"/>
          <w:szCs w:val="24"/>
        </w:rPr>
      </w:pPr>
      <w:r w:rsidRPr="004D731E">
        <w:rPr>
          <w:rFonts w:ascii="Times New Roman" w:hAnsi="Times New Roman" w:cs="Times New Roman"/>
          <w:szCs w:val="24"/>
        </w:rPr>
        <w:t xml:space="preserve">Takie sformułowanie powoduje, że </w:t>
      </w:r>
      <w:r w:rsidR="00AB11F4">
        <w:rPr>
          <w:rFonts w:ascii="Times New Roman" w:hAnsi="Times New Roman" w:cs="Times New Roman"/>
          <w:szCs w:val="24"/>
        </w:rPr>
        <w:t>obecnie</w:t>
      </w:r>
      <w:r w:rsidRPr="004D731E">
        <w:rPr>
          <w:rFonts w:ascii="Times New Roman" w:hAnsi="Times New Roman" w:cs="Times New Roman"/>
          <w:szCs w:val="24"/>
        </w:rPr>
        <w:t xml:space="preserve"> po osiągnięciu pełnoletności dzieci najemców odpowiadają solidarnie z rodzicami za zobowiązania czynszowe oraz zapłatę innych należnych opłat z tytułu najmu, nawet w sytuacji, gdy faktycznie nie osiągnęły one zdolności samodzielnego utrzymania się i pozostają na utrzymaniu rodziców czy też innych wstępnych. W świetle trudnej kondycji polskich rodzin, borykających się często </w:t>
      </w:r>
      <w:r w:rsidRPr="004D731E">
        <w:rPr>
          <w:rFonts w:ascii="Times New Roman" w:hAnsi="Times New Roman" w:cs="Times New Roman"/>
          <w:szCs w:val="24"/>
        </w:rPr>
        <w:lastRenderedPageBreak/>
        <w:t xml:space="preserve">z problemami finansowymi i mieszkaniowymi, jak również w świetle </w:t>
      </w:r>
      <w:r w:rsidR="00BD744C" w:rsidRPr="004D731E">
        <w:rPr>
          <w:rFonts w:ascii="Times New Roman" w:hAnsi="Times New Roman" w:cs="Times New Roman"/>
          <w:szCs w:val="24"/>
        </w:rPr>
        <w:t xml:space="preserve">utrudnionego </w:t>
      </w:r>
      <w:r w:rsidRPr="004D731E">
        <w:rPr>
          <w:rFonts w:ascii="Times New Roman" w:hAnsi="Times New Roman" w:cs="Times New Roman"/>
          <w:szCs w:val="24"/>
        </w:rPr>
        <w:t xml:space="preserve">startu w dorosłe życie dzieci wychowywanych w takich rodzinach, jest to sytuacja społecznie niepożądana. </w:t>
      </w:r>
      <w:r w:rsidR="00BD744C" w:rsidRPr="004D731E">
        <w:rPr>
          <w:rFonts w:ascii="Times New Roman" w:hAnsi="Times New Roman" w:cs="Times New Roman"/>
          <w:szCs w:val="24"/>
        </w:rPr>
        <w:t xml:space="preserve">Należy mieć również na uwadze, że nie są </w:t>
      </w:r>
      <w:r w:rsidR="0042628B" w:rsidRPr="004D731E">
        <w:rPr>
          <w:rFonts w:ascii="Times New Roman" w:hAnsi="Times New Roman" w:cs="Times New Roman"/>
          <w:szCs w:val="24"/>
        </w:rPr>
        <w:t xml:space="preserve">one </w:t>
      </w:r>
      <w:r w:rsidR="00BD744C" w:rsidRPr="004D731E">
        <w:rPr>
          <w:rFonts w:ascii="Times New Roman" w:hAnsi="Times New Roman" w:cs="Times New Roman"/>
          <w:szCs w:val="24"/>
        </w:rPr>
        <w:t>stron</w:t>
      </w:r>
      <w:r w:rsidR="0042628B" w:rsidRPr="004D731E">
        <w:rPr>
          <w:rFonts w:ascii="Times New Roman" w:hAnsi="Times New Roman" w:cs="Times New Roman"/>
          <w:szCs w:val="24"/>
        </w:rPr>
        <w:t>ami</w:t>
      </w:r>
      <w:r w:rsidR="00BD744C" w:rsidRPr="004D731E">
        <w:rPr>
          <w:rFonts w:ascii="Times New Roman" w:hAnsi="Times New Roman" w:cs="Times New Roman"/>
          <w:szCs w:val="24"/>
        </w:rPr>
        <w:t xml:space="preserve"> stosunku najmu, który zawarł ich </w:t>
      </w:r>
      <w:r w:rsidR="00CA249C" w:rsidRPr="004D731E">
        <w:rPr>
          <w:rFonts w:ascii="Times New Roman" w:hAnsi="Times New Roman" w:cs="Times New Roman"/>
          <w:szCs w:val="24"/>
        </w:rPr>
        <w:t>wstępny</w:t>
      </w:r>
      <w:r w:rsidR="00BD744C" w:rsidRPr="004D731E">
        <w:rPr>
          <w:rFonts w:ascii="Times New Roman" w:hAnsi="Times New Roman" w:cs="Times New Roman"/>
          <w:szCs w:val="24"/>
        </w:rPr>
        <w:t xml:space="preserve"> – nie mają wpływu na treść umowy, w tym wysokość czynszu etc. Gdyby nie przepis szczególny – art. 688</w:t>
      </w:r>
      <w:r w:rsidR="00BD744C" w:rsidRPr="004D731E">
        <w:rPr>
          <w:rFonts w:ascii="Times New Roman" w:hAnsi="Times New Roman" w:cs="Times New Roman"/>
          <w:szCs w:val="24"/>
          <w:vertAlign w:val="superscript"/>
        </w:rPr>
        <w:t>1</w:t>
      </w:r>
      <w:r w:rsidR="00BD744C" w:rsidRPr="004D731E">
        <w:rPr>
          <w:rFonts w:ascii="Times New Roman" w:hAnsi="Times New Roman" w:cs="Times New Roman"/>
          <w:szCs w:val="24"/>
        </w:rPr>
        <w:t xml:space="preserve"> § 1 </w:t>
      </w:r>
      <w:r w:rsidR="0084021F" w:rsidRPr="00FB07E3">
        <w:rPr>
          <w:rFonts w:ascii="Times New Roman" w:hAnsi="Times New Roman" w:cs="Times New Roman"/>
          <w:szCs w:val="24"/>
        </w:rPr>
        <w:t xml:space="preserve">Kodeksu </w:t>
      </w:r>
      <w:r w:rsidR="000753B8" w:rsidRPr="00FB07E3">
        <w:rPr>
          <w:rFonts w:ascii="Times New Roman" w:hAnsi="Times New Roman" w:cs="Times New Roman"/>
          <w:szCs w:val="24"/>
        </w:rPr>
        <w:t>cywilnego</w:t>
      </w:r>
      <w:r w:rsidR="00BD744C" w:rsidRPr="004D731E">
        <w:rPr>
          <w:rFonts w:ascii="Times New Roman" w:hAnsi="Times New Roman" w:cs="Times New Roman"/>
          <w:szCs w:val="24"/>
        </w:rPr>
        <w:t>, osoby te w ogóle nie odpowiadałyby za zobowiązania obciążające najemców</w:t>
      </w:r>
      <w:r w:rsidR="00AD7C0B" w:rsidRPr="004D731E">
        <w:rPr>
          <w:rFonts w:ascii="Times New Roman" w:hAnsi="Times New Roman" w:cs="Times New Roman"/>
          <w:szCs w:val="24"/>
        </w:rPr>
        <w:t>. Stąd konieczność poszukiwania kompromisowego rozwiązania w tym zakresie.</w:t>
      </w:r>
    </w:p>
    <w:p w14:paraId="325376E6" w14:textId="576BEEC6" w:rsidR="005A3915" w:rsidRPr="004D731E" w:rsidRDefault="005A3915" w:rsidP="00FB07E3">
      <w:pPr>
        <w:pStyle w:val="NIEARTTEKSTtekstnieartykuowanynppodstprawnarozplubpreambua"/>
        <w:ind w:firstLine="0"/>
        <w:rPr>
          <w:rFonts w:ascii="Times New Roman" w:hAnsi="Times New Roman" w:cs="Times New Roman"/>
          <w:szCs w:val="24"/>
        </w:rPr>
      </w:pPr>
      <w:r w:rsidRPr="004D731E">
        <w:rPr>
          <w:rFonts w:ascii="Times New Roman" w:hAnsi="Times New Roman" w:cs="Times New Roman"/>
          <w:szCs w:val="24"/>
        </w:rPr>
        <w:t xml:space="preserve">W odmienny sposób </w:t>
      </w:r>
      <w:r w:rsidR="003129D5" w:rsidRPr="004D731E">
        <w:rPr>
          <w:rFonts w:ascii="Times New Roman" w:hAnsi="Times New Roman" w:cs="Times New Roman"/>
          <w:szCs w:val="24"/>
        </w:rPr>
        <w:t xml:space="preserve">jest </w:t>
      </w:r>
      <w:r w:rsidRPr="004D731E">
        <w:rPr>
          <w:rFonts w:ascii="Times New Roman" w:hAnsi="Times New Roman" w:cs="Times New Roman"/>
          <w:szCs w:val="24"/>
        </w:rPr>
        <w:t>uregulowana sytuacja prawna dorosłych dzieci, których rodzicowi czy też innemu wstępnemu przysługuje</w:t>
      </w:r>
      <w:r w:rsidR="00D729A9" w:rsidRPr="004D731E">
        <w:rPr>
          <w:rFonts w:ascii="Times New Roman" w:hAnsi="Times New Roman" w:cs="Times New Roman"/>
          <w:szCs w:val="24"/>
        </w:rPr>
        <w:t xml:space="preserve"> np.</w:t>
      </w:r>
      <w:r w:rsidRPr="004D731E">
        <w:rPr>
          <w:rFonts w:ascii="Times New Roman" w:hAnsi="Times New Roman" w:cs="Times New Roman"/>
          <w:szCs w:val="24"/>
        </w:rPr>
        <w:t xml:space="preserve"> spółdzielcze prawo do lokalu. Na mocy art. 4 ust. 6 ustawy z dnia 15 grudnia 2000 r. o spó</w:t>
      </w:r>
      <w:r w:rsidR="008B6F1C">
        <w:rPr>
          <w:rFonts w:ascii="Times New Roman" w:hAnsi="Times New Roman" w:cs="Times New Roman"/>
          <w:szCs w:val="24"/>
        </w:rPr>
        <w:t>łdzielniach mieszkaniowych (Dz. </w:t>
      </w:r>
      <w:r w:rsidRPr="004D731E">
        <w:rPr>
          <w:rFonts w:ascii="Times New Roman" w:hAnsi="Times New Roman" w:cs="Times New Roman"/>
          <w:szCs w:val="24"/>
        </w:rPr>
        <w:t xml:space="preserve">U. z </w:t>
      </w:r>
      <w:r w:rsidR="007A4947" w:rsidRPr="004D731E">
        <w:rPr>
          <w:rFonts w:ascii="Times New Roman" w:hAnsi="Times New Roman" w:cs="Times New Roman"/>
          <w:szCs w:val="24"/>
        </w:rPr>
        <w:t>2020</w:t>
      </w:r>
      <w:r w:rsidR="00734512">
        <w:rPr>
          <w:rFonts w:ascii="Times New Roman" w:hAnsi="Times New Roman" w:cs="Times New Roman"/>
          <w:szCs w:val="24"/>
        </w:rPr>
        <w:t xml:space="preserve"> </w:t>
      </w:r>
      <w:r w:rsidRPr="004D731E">
        <w:rPr>
          <w:rFonts w:ascii="Times New Roman" w:hAnsi="Times New Roman" w:cs="Times New Roman"/>
          <w:szCs w:val="24"/>
        </w:rPr>
        <w:t xml:space="preserve">r. poz. </w:t>
      </w:r>
      <w:r w:rsidR="00A94278" w:rsidRPr="004D731E">
        <w:rPr>
          <w:rFonts w:ascii="Times New Roman" w:hAnsi="Times New Roman" w:cs="Times New Roman"/>
          <w:szCs w:val="24"/>
        </w:rPr>
        <w:t>1465</w:t>
      </w:r>
      <w:r w:rsidRPr="004D731E">
        <w:rPr>
          <w:rFonts w:ascii="Times New Roman" w:hAnsi="Times New Roman" w:cs="Times New Roman"/>
          <w:szCs w:val="24"/>
        </w:rPr>
        <w:t xml:space="preserve">, z późn. zm.) z solidarnej odpowiedzialności </w:t>
      </w:r>
      <w:r w:rsidR="00734512" w:rsidRPr="004D731E">
        <w:rPr>
          <w:rFonts w:ascii="Times New Roman" w:hAnsi="Times New Roman" w:cs="Times New Roman"/>
          <w:szCs w:val="24"/>
        </w:rPr>
        <w:t xml:space="preserve">są </w:t>
      </w:r>
      <w:r w:rsidRPr="004D731E">
        <w:rPr>
          <w:rFonts w:ascii="Times New Roman" w:hAnsi="Times New Roman" w:cs="Times New Roman"/>
          <w:szCs w:val="24"/>
        </w:rPr>
        <w:t xml:space="preserve">zwolnieni pełnoletni zstępni pozostający na utrzymaniu osoby, której to prawo przysługuje. </w:t>
      </w:r>
    </w:p>
    <w:p w14:paraId="4ADB90C9" w14:textId="2F2A5697" w:rsidR="00260D12" w:rsidRPr="004D731E" w:rsidRDefault="005A3915" w:rsidP="00FB07E3">
      <w:pPr>
        <w:pStyle w:val="NIEARTTEKSTtekstnieartykuowanynppodstprawnarozplubpreambua"/>
        <w:ind w:firstLine="0"/>
        <w:rPr>
          <w:rFonts w:ascii="Times New Roman" w:hAnsi="Times New Roman" w:cs="Times New Roman"/>
          <w:szCs w:val="24"/>
        </w:rPr>
      </w:pPr>
      <w:r w:rsidRPr="004D731E">
        <w:rPr>
          <w:rFonts w:ascii="Times New Roman" w:hAnsi="Times New Roman" w:cs="Times New Roman"/>
          <w:szCs w:val="24"/>
        </w:rPr>
        <w:t>W celu ujednolicenia sytuacji prawnej wszystkich pełnoletnich osób mieszkających i</w:t>
      </w:r>
      <w:r w:rsidR="004D731E">
        <w:rPr>
          <w:rFonts w:ascii="Times New Roman" w:hAnsi="Times New Roman" w:cs="Times New Roman"/>
          <w:szCs w:val="24"/>
        </w:rPr>
        <w:t xml:space="preserve"> </w:t>
      </w:r>
      <w:r w:rsidRPr="004D731E">
        <w:rPr>
          <w:rFonts w:ascii="Times New Roman" w:hAnsi="Times New Roman" w:cs="Times New Roman"/>
          <w:szCs w:val="24"/>
        </w:rPr>
        <w:t xml:space="preserve">pozostających jeszcze na utrzymaniu swoich wstępnych </w:t>
      </w:r>
      <w:r w:rsidR="003129D5" w:rsidRPr="004D731E">
        <w:rPr>
          <w:rFonts w:ascii="Times New Roman" w:hAnsi="Times New Roman" w:cs="Times New Roman"/>
          <w:szCs w:val="24"/>
        </w:rPr>
        <w:t xml:space="preserve">jest </w:t>
      </w:r>
      <w:r w:rsidRPr="004D731E">
        <w:rPr>
          <w:rFonts w:ascii="Times New Roman" w:hAnsi="Times New Roman" w:cs="Times New Roman"/>
          <w:szCs w:val="24"/>
        </w:rPr>
        <w:t>zasadne wprowadzenie uregulowania, zgodnie z którym także w przypadku</w:t>
      </w:r>
      <w:r w:rsidRPr="00324258">
        <w:rPr>
          <w:rFonts w:ascii="Times New Roman" w:hAnsi="Times New Roman" w:cs="Times New Roman"/>
          <w:szCs w:val="24"/>
        </w:rPr>
        <w:t xml:space="preserve"> najmu lokalu mieszkalnego pełnoletnie osoby wspólnie zamieszkujące z najemcą nie będą ponosić faktycznej odpowiedzialności za</w:t>
      </w:r>
      <w:r w:rsidR="004D731E">
        <w:rPr>
          <w:rFonts w:ascii="Times New Roman" w:hAnsi="Times New Roman" w:cs="Times New Roman"/>
          <w:szCs w:val="24"/>
        </w:rPr>
        <w:t xml:space="preserve"> </w:t>
      </w:r>
      <w:r w:rsidRPr="004D731E">
        <w:rPr>
          <w:rFonts w:ascii="Times New Roman" w:hAnsi="Times New Roman" w:cs="Times New Roman"/>
          <w:szCs w:val="24"/>
        </w:rPr>
        <w:t>czynsz i inne opłaty związane z korzystaniem z lokalu, jeżeli z przyczyn obiektywnych nie są w stanie utrzymać się samodzielnie.</w:t>
      </w:r>
      <w:r w:rsidR="00AD7C0B" w:rsidRPr="00324258">
        <w:rPr>
          <w:rFonts w:ascii="Times New Roman" w:hAnsi="Times New Roman" w:cs="Times New Roman"/>
          <w:szCs w:val="24"/>
        </w:rPr>
        <w:t xml:space="preserve"> Nie będzie to zatem dotyczyć sytuacji, gdy dana osoba pozostaje faktycznie na utrzymaniu swojego </w:t>
      </w:r>
      <w:r w:rsidR="00B87162" w:rsidRPr="004D731E">
        <w:rPr>
          <w:rFonts w:ascii="Times New Roman" w:hAnsi="Times New Roman" w:cs="Times New Roman"/>
          <w:szCs w:val="24"/>
        </w:rPr>
        <w:t>wstępnego,</w:t>
      </w:r>
      <w:r w:rsidR="00AD7C0B" w:rsidRPr="004D731E">
        <w:rPr>
          <w:rFonts w:ascii="Times New Roman" w:hAnsi="Times New Roman" w:cs="Times New Roman"/>
          <w:szCs w:val="24"/>
        </w:rPr>
        <w:t xml:space="preserve"> ale tylko z tego powodu, że nie przejawia żadnej aktywności w kierunku samodzielnego utrzymywania</w:t>
      </w:r>
      <w:r w:rsidR="00AB3D6C" w:rsidRPr="004D731E">
        <w:rPr>
          <w:rFonts w:ascii="Times New Roman" w:hAnsi="Times New Roman" w:cs="Times New Roman"/>
          <w:szCs w:val="24"/>
        </w:rPr>
        <w:t xml:space="preserve"> się</w:t>
      </w:r>
      <w:r w:rsidR="00AD7C0B" w:rsidRPr="004D731E">
        <w:rPr>
          <w:rFonts w:ascii="Times New Roman" w:hAnsi="Times New Roman" w:cs="Times New Roman"/>
          <w:szCs w:val="24"/>
        </w:rPr>
        <w:t xml:space="preserve">. W przeważającej mierze </w:t>
      </w:r>
      <w:r w:rsidR="00894D50" w:rsidRPr="004D731E">
        <w:rPr>
          <w:rFonts w:ascii="Times New Roman" w:hAnsi="Times New Roman" w:cs="Times New Roman"/>
          <w:szCs w:val="24"/>
        </w:rPr>
        <w:t xml:space="preserve">będzie to </w:t>
      </w:r>
      <w:r w:rsidR="00AD7C0B" w:rsidRPr="004D731E">
        <w:rPr>
          <w:rFonts w:ascii="Times New Roman" w:hAnsi="Times New Roman" w:cs="Times New Roman"/>
          <w:szCs w:val="24"/>
        </w:rPr>
        <w:t>dotyczyć osób, które pobierają naukę w systemie dziennym lub są osobami niepełnosprawnymi.</w:t>
      </w:r>
    </w:p>
    <w:p w14:paraId="0D3BDC01" w14:textId="14B6E92E" w:rsidR="004661F7" w:rsidRPr="004D731E" w:rsidRDefault="003A3B8B" w:rsidP="00FB07E3">
      <w:pPr>
        <w:pStyle w:val="NIEARTTEKSTtekstnieartykuowanynppodstprawnarozplubpreambua"/>
        <w:ind w:firstLine="0"/>
        <w:rPr>
          <w:rFonts w:ascii="Times New Roman" w:hAnsi="Times New Roman" w:cs="Times New Roman"/>
          <w:szCs w:val="24"/>
        </w:rPr>
      </w:pPr>
      <w:r w:rsidRPr="00FB07E3">
        <w:rPr>
          <w:rFonts w:ascii="Times New Roman" w:hAnsi="Times New Roman" w:cs="Times New Roman"/>
          <w:szCs w:val="24"/>
        </w:rPr>
        <w:t xml:space="preserve">Jednocześnie, w ocenie projektodawcy, interwencja legislacyjna w </w:t>
      </w:r>
      <w:r w:rsidR="00B87162" w:rsidRPr="00FB07E3">
        <w:rPr>
          <w:rFonts w:ascii="Times New Roman" w:hAnsi="Times New Roman" w:cs="Times New Roman"/>
          <w:szCs w:val="24"/>
        </w:rPr>
        <w:t xml:space="preserve">zakresie </w:t>
      </w:r>
      <w:r w:rsidR="00B87162" w:rsidRPr="004D731E">
        <w:rPr>
          <w:rFonts w:ascii="Times New Roman" w:eastAsia="Times New Roman" w:hAnsi="Times New Roman" w:cs="Times New Roman"/>
          <w:szCs w:val="24"/>
        </w:rPr>
        <w:t>sygnalizowanego</w:t>
      </w:r>
      <w:r w:rsidRPr="004D731E">
        <w:rPr>
          <w:rFonts w:ascii="Times New Roman" w:eastAsia="Times New Roman" w:hAnsi="Times New Roman" w:cs="Times New Roman"/>
          <w:szCs w:val="24"/>
        </w:rPr>
        <w:t xml:space="preserve"> w</w:t>
      </w:r>
      <w:r w:rsidR="004D731E">
        <w:rPr>
          <w:rFonts w:ascii="Times New Roman" w:eastAsia="Times New Roman" w:hAnsi="Times New Roman" w:cs="Times New Roman"/>
          <w:szCs w:val="24"/>
        </w:rPr>
        <w:t xml:space="preserve"> </w:t>
      </w:r>
      <w:r w:rsidRPr="004D731E">
        <w:rPr>
          <w:rFonts w:ascii="Times New Roman" w:eastAsia="Times New Roman" w:hAnsi="Times New Roman" w:cs="Times New Roman"/>
          <w:szCs w:val="24"/>
        </w:rPr>
        <w:t>doktrynie problemu odpowiedzialności pełnoletnich zstępnych za czynsz należny za</w:t>
      </w:r>
      <w:r w:rsidR="004D731E">
        <w:rPr>
          <w:rFonts w:ascii="Times New Roman" w:eastAsia="Times New Roman" w:hAnsi="Times New Roman" w:cs="Times New Roman"/>
          <w:szCs w:val="24"/>
        </w:rPr>
        <w:t xml:space="preserve"> </w:t>
      </w:r>
      <w:r w:rsidRPr="004D731E">
        <w:rPr>
          <w:rFonts w:ascii="Times New Roman" w:eastAsia="Times New Roman" w:hAnsi="Times New Roman" w:cs="Times New Roman"/>
          <w:szCs w:val="24"/>
        </w:rPr>
        <w:t xml:space="preserve">okresy przed uzyskaniem pełnoletności nie wydaje się konieczna. </w:t>
      </w:r>
      <w:r w:rsidR="004661F7" w:rsidRPr="004D731E">
        <w:rPr>
          <w:rFonts w:ascii="Times New Roman" w:eastAsia="Times New Roman" w:hAnsi="Times New Roman" w:cs="Times New Roman"/>
          <w:szCs w:val="24"/>
        </w:rPr>
        <w:t xml:space="preserve">Za dominujące </w:t>
      </w:r>
      <w:r w:rsidR="00A06F79" w:rsidRPr="004D731E">
        <w:rPr>
          <w:rFonts w:ascii="Times New Roman" w:eastAsia="Times New Roman" w:hAnsi="Times New Roman" w:cs="Times New Roman"/>
          <w:szCs w:val="24"/>
        </w:rPr>
        <w:t xml:space="preserve">należy </w:t>
      </w:r>
      <w:r w:rsidR="004661F7" w:rsidRPr="004D731E">
        <w:rPr>
          <w:rFonts w:ascii="Times New Roman" w:eastAsia="Times New Roman" w:hAnsi="Times New Roman" w:cs="Times New Roman"/>
          <w:szCs w:val="24"/>
        </w:rPr>
        <w:t xml:space="preserve">bowiem </w:t>
      </w:r>
      <w:r w:rsidR="00A06F79" w:rsidRPr="004D731E">
        <w:rPr>
          <w:rFonts w:ascii="Times New Roman" w:eastAsia="Times New Roman" w:hAnsi="Times New Roman" w:cs="Times New Roman"/>
          <w:szCs w:val="24"/>
        </w:rPr>
        <w:t xml:space="preserve">uznać </w:t>
      </w:r>
      <w:r w:rsidR="004661F7" w:rsidRPr="004D731E">
        <w:rPr>
          <w:rFonts w:ascii="Times New Roman" w:eastAsia="Times New Roman" w:hAnsi="Times New Roman" w:cs="Times New Roman"/>
          <w:szCs w:val="24"/>
        </w:rPr>
        <w:t xml:space="preserve">stanowisko wyrażane w literaturze, </w:t>
      </w:r>
      <w:r w:rsidR="004661F7" w:rsidRPr="004D731E">
        <w:rPr>
          <w:rFonts w:ascii="Times New Roman" w:hAnsi="Times New Roman" w:cs="Times New Roman"/>
          <w:szCs w:val="24"/>
        </w:rPr>
        <w:t>zgodnie z którym okres objęty odpowiedzialnością osób stale zamieszkujących z najemcą nie może rozciągać się na</w:t>
      </w:r>
      <w:r w:rsidR="004D731E">
        <w:rPr>
          <w:rFonts w:ascii="Times New Roman" w:hAnsi="Times New Roman" w:cs="Times New Roman"/>
          <w:szCs w:val="24"/>
        </w:rPr>
        <w:t xml:space="preserve"> </w:t>
      </w:r>
      <w:r w:rsidR="004661F7" w:rsidRPr="004D731E">
        <w:rPr>
          <w:rFonts w:ascii="Times New Roman" w:hAnsi="Times New Roman" w:cs="Times New Roman"/>
          <w:szCs w:val="24"/>
        </w:rPr>
        <w:t xml:space="preserve">zamieszkiwanie w najętym lokalu przed osiągnięciem pełnoletności – w tym okresie odpowiedzialność danej osoby za zapłatę czynszu w ogóle nie powstaje. Tożsame argumenty należy odnieść do okresu, w którym osoba ta nie była w stanie utrzymać się samodzielnie – uzyskanie możliwości samodzielnego utrzymania nie może powodować powstania zobowiązania do zapłaty zaległego czynszu. </w:t>
      </w:r>
    </w:p>
    <w:p w14:paraId="2A012982" w14:textId="481C5610" w:rsidR="005A3915" w:rsidRPr="004D731E" w:rsidRDefault="005A3915" w:rsidP="00FB07E3">
      <w:pPr>
        <w:pStyle w:val="NIEARTTEKSTtekstnieartykuowanynppodstprawnarozplubpreambua"/>
        <w:ind w:firstLine="0"/>
        <w:rPr>
          <w:rFonts w:ascii="Times New Roman" w:hAnsi="Times New Roman" w:cs="Times New Roman"/>
          <w:szCs w:val="24"/>
        </w:rPr>
      </w:pPr>
      <w:r w:rsidRPr="004D731E">
        <w:rPr>
          <w:rFonts w:ascii="Times New Roman" w:hAnsi="Times New Roman" w:cs="Times New Roman"/>
          <w:szCs w:val="24"/>
        </w:rPr>
        <w:lastRenderedPageBreak/>
        <w:t>Projektowany przepis art. 688</w:t>
      </w:r>
      <w:r w:rsidRPr="004D731E">
        <w:rPr>
          <w:rFonts w:ascii="Times New Roman" w:hAnsi="Times New Roman" w:cs="Times New Roman"/>
          <w:szCs w:val="24"/>
          <w:vertAlign w:val="superscript"/>
        </w:rPr>
        <w:t>1</w:t>
      </w:r>
      <w:r w:rsidRPr="004D731E">
        <w:rPr>
          <w:rFonts w:ascii="Times New Roman" w:hAnsi="Times New Roman" w:cs="Times New Roman"/>
          <w:szCs w:val="24"/>
        </w:rPr>
        <w:t xml:space="preserve"> § 1 Kodeksu cywilnego ma mieć zastosowanie do</w:t>
      </w:r>
      <w:r w:rsidR="004D731E">
        <w:rPr>
          <w:rFonts w:ascii="Times New Roman" w:hAnsi="Times New Roman" w:cs="Times New Roman"/>
          <w:szCs w:val="24"/>
        </w:rPr>
        <w:t xml:space="preserve"> </w:t>
      </w:r>
      <w:r w:rsidRPr="004D731E">
        <w:rPr>
          <w:rFonts w:ascii="Times New Roman" w:hAnsi="Times New Roman" w:cs="Times New Roman"/>
          <w:szCs w:val="24"/>
        </w:rPr>
        <w:t xml:space="preserve">roszczeń powstałych po wejściu w życie nowelizacji. W konsekwencji roszczenia powstałe przed wejściem </w:t>
      </w:r>
      <w:r w:rsidR="008223AE" w:rsidRPr="004D731E">
        <w:rPr>
          <w:rFonts w:ascii="Times New Roman" w:hAnsi="Times New Roman" w:cs="Times New Roman"/>
          <w:szCs w:val="24"/>
        </w:rPr>
        <w:t xml:space="preserve">w życie </w:t>
      </w:r>
      <w:r w:rsidRPr="004D731E">
        <w:rPr>
          <w:rFonts w:ascii="Times New Roman" w:hAnsi="Times New Roman" w:cs="Times New Roman"/>
          <w:szCs w:val="24"/>
        </w:rPr>
        <w:t xml:space="preserve">nowelizacji </w:t>
      </w:r>
      <w:r w:rsidR="00894D50" w:rsidRPr="004D731E">
        <w:rPr>
          <w:rFonts w:ascii="Times New Roman" w:hAnsi="Times New Roman" w:cs="Times New Roman"/>
          <w:szCs w:val="24"/>
        </w:rPr>
        <w:t xml:space="preserve">będą </w:t>
      </w:r>
      <w:r w:rsidRPr="004D731E">
        <w:rPr>
          <w:rFonts w:ascii="Times New Roman" w:hAnsi="Times New Roman" w:cs="Times New Roman"/>
          <w:szCs w:val="24"/>
        </w:rPr>
        <w:t>objęte na dotychczasowych zasadach solidarną odpowiedzialnością pełnoletnich zstępnych także wówczas, gdy pozostają na utrzymaniu rodziców. W wyjątkowych przypadkach dochodzenie od nich takich roszczeń może być jednak uznane za nadużycie prawa (art. 5 Kodeksu cywilnego).</w:t>
      </w:r>
    </w:p>
    <w:p w14:paraId="2BDA5B0B" w14:textId="021E812D" w:rsidR="005A3915" w:rsidRPr="00324258" w:rsidRDefault="005A3915" w:rsidP="00FB07E3">
      <w:pPr>
        <w:pStyle w:val="NIEARTTEKSTtekstnieartykuowanynppodstprawnarozplubpreambua"/>
        <w:ind w:firstLine="0"/>
        <w:rPr>
          <w:rFonts w:ascii="Times New Roman" w:hAnsi="Times New Roman" w:cs="Times New Roman"/>
          <w:szCs w:val="24"/>
        </w:rPr>
      </w:pPr>
      <w:r w:rsidRPr="004D731E">
        <w:rPr>
          <w:rFonts w:ascii="Times New Roman" w:hAnsi="Times New Roman" w:cs="Times New Roman"/>
          <w:szCs w:val="24"/>
        </w:rPr>
        <w:t>Wynikający z projektu 6</w:t>
      </w:r>
      <w:r w:rsidR="00EE4FA2">
        <w:rPr>
          <w:rFonts w:ascii="Times New Roman" w:hAnsi="Times New Roman" w:cs="Times New Roman"/>
          <w:szCs w:val="24"/>
        </w:rPr>
        <w:t>-</w:t>
      </w:r>
      <w:r w:rsidRPr="004D731E">
        <w:rPr>
          <w:rFonts w:ascii="Times New Roman" w:hAnsi="Times New Roman" w:cs="Times New Roman"/>
          <w:szCs w:val="24"/>
        </w:rPr>
        <w:t xml:space="preserve">miesięczny termin </w:t>
      </w:r>
      <w:r w:rsidRPr="004D731E">
        <w:rPr>
          <w:rFonts w:ascii="Times New Roman" w:hAnsi="Times New Roman" w:cs="Times New Roman"/>
          <w:i/>
          <w:iCs/>
          <w:szCs w:val="24"/>
        </w:rPr>
        <w:t>vacatio legis</w:t>
      </w:r>
      <w:r w:rsidRPr="004D731E">
        <w:rPr>
          <w:rFonts w:ascii="Times New Roman" w:hAnsi="Times New Roman" w:cs="Times New Roman"/>
          <w:szCs w:val="24"/>
        </w:rPr>
        <w:t xml:space="preserve"> umożliwi wszystkim zainteresowanym zapoznanie się z nowymi przepisami i</w:t>
      </w:r>
      <w:r w:rsidR="004D731E">
        <w:rPr>
          <w:rFonts w:ascii="Times New Roman" w:hAnsi="Times New Roman" w:cs="Times New Roman"/>
          <w:szCs w:val="24"/>
        </w:rPr>
        <w:t xml:space="preserve"> </w:t>
      </w:r>
      <w:r w:rsidRPr="004D731E">
        <w:rPr>
          <w:rFonts w:ascii="Times New Roman" w:hAnsi="Times New Roman" w:cs="Times New Roman"/>
          <w:szCs w:val="24"/>
        </w:rPr>
        <w:t xml:space="preserve">przygotowanie się do </w:t>
      </w:r>
      <w:r w:rsidRPr="00324258">
        <w:rPr>
          <w:rFonts w:ascii="Times New Roman" w:hAnsi="Times New Roman" w:cs="Times New Roman"/>
          <w:szCs w:val="24"/>
        </w:rPr>
        <w:t>wprowadzanych w życie zmian.</w:t>
      </w:r>
    </w:p>
    <w:p w14:paraId="1E280236" w14:textId="6CBA602E" w:rsidR="005A3915" w:rsidRPr="004D731E" w:rsidRDefault="005A3915" w:rsidP="00FB07E3">
      <w:pPr>
        <w:spacing w:before="120"/>
        <w:jc w:val="both"/>
        <w:rPr>
          <w:rFonts w:eastAsiaTheme="minorHAnsi" w:cs="Times New Roman"/>
          <w:szCs w:val="24"/>
          <w:lang w:eastAsia="en-US"/>
        </w:rPr>
      </w:pPr>
      <w:r w:rsidRPr="00324258">
        <w:rPr>
          <w:rFonts w:eastAsiaTheme="minorHAnsi" w:cs="Times New Roman"/>
          <w:szCs w:val="24"/>
          <w:lang w:eastAsia="en-US"/>
        </w:rPr>
        <w:t>Projekt ustawy n</w:t>
      </w:r>
      <w:r w:rsidRPr="004D731E">
        <w:rPr>
          <w:rFonts w:eastAsiaTheme="minorHAnsi" w:cs="Times New Roman"/>
          <w:szCs w:val="24"/>
          <w:lang w:eastAsia="en-US"/>
        </w:rPr>
        <w:t>ie dotyczy funkcjonowania samorządu terytorialnego oraz nie podlega notyfikacji zgodnie z przepisami dotyczącymi funkcjonowania krajowego systemu notyfikacji norm i</w:t>
      </w:r>
      <w:r w:rsidR="004D731E">
        <w:rPr>
          <w:rFonts w:eastAsiaTheme="minorHAnsi" w:cs="Times New Roman"/>
          <w:szCs w:val="24"/>
          <w:lang w:eastAsia="en-US"/>
        </w:rPr>
        <w:t xml:space="preserve"> </w:t>
      </w:r>
      <w:r w:rsidRPr="004D731E">
        <w:rPr>
          <w:rFonts w:eastAsiaTheme="minorHAnsi" w:cs="Times New Roman"/>
          <w:szCs w:val="24"/>
          <w:lang w:eastAsia="en-US"/>
        </w:rPr>
        <w:t>aktów prawnych. Projektowana ustawa nie zawiera bowiem przepisów technicznych w</w:t>
      </w:r>
      <w:r w:rsidR="004D731E">
        <w:rPr>
          <w:rFonts w:eastAsiaTheme="minorHAnsi" w:cs="Times New Roman"/>
          <w:szCs w:val="24"/>
          <w:lang w:eastAsia="en-US"/>
        </w:rPr>
        <w:t xml:space="preserve"> </w:t>
      </w:r>
      <w:r w:rsidRPr="004D731E">
        <w:rPr>
          <w:rFonts w:eastAsiaTheme="minorHAnsi" w:cs="Times New Roman"/>
          <w:szCs w:val="24"/>
          <w:lang w:eastAsia="en-US"/>
        </w:rPr>
        <w:t>rozumieniu rozporządzenia Rady Minist</w:t>
      </w:r>
      <w:r w:rsidR="008B6F1C">
        <w:rPr>
          <w:rFonts w:eastAsiaTheme="minorHAnsi" w:cs="Times New Roman"/>
          <w:szCs w:val="24"/>
          <w:lang w:eastAsia="en-US"/>
        </w:rPr>
        <w:t>rów z dnia 23 grudnia 2002 r. w </w:t>
      </w:r>
      <w:r w:rsidRPr="004D731E">
        <w:rPr>
          <w:rFonts w:eastAsiaTheme="minorHAnsi" w:cs="Times New Roman"/>
          <w:szCs w:val="24"/>
          <w:lang w:eastAsia="en-US"/>
        </w:rPr>
        <w:t>sprawie sposobu funkcjonowania krajowego systemu notyfikacji norm i aktów prawnych (Dz. U. poz. 2039, z</w:t>
      </w:r>
      <w:r w:rsidR="004D731E">
        <w:rPr>
          <w:rFonts w:eastAsiaTheme="minorHAnsi" w:cs="Times New Roman"/>
          <w:szCs w:val="24"/>
          <w:lang w:eastAsia="en-US"/>
        </w:rPr>
        <w:t xml:space="preserve"> </w:t>
      </w:r>
      <w:r w:rsidRPr="004D731E">
        <w:rPr>
          <w:rFonts w:eastAsiaTheme="minorHAnsi" w:cs="Times New Roman"/>
          <w:szCs w:val="24"/>
          <w:lang w:eastAsia="en-US"/>
        </w:rPr>
        <w:t>późn. zm.).</w:t>
      </w:r>
    </w:p>
    <w:p w14:paraId="7FE9907A" w14:textId="77777777" w:rsidR="005A3915" w:rsidRPr="00324258" w:rsidRDefault="005A3915" w:rsidP="00FB07E3">
      <w:pPr>
        <w:spacing w:before="120"/>
        <w:jc w:val="both"/>
        <w:rPr>
          <w:rFonts w:cs="Times New Roman"/>
          <w:szCs w:val="24"/>
        </w:rPr>
      </w:pPr>
      <w:r w:rsidRPr="00324258">
        <w:rPr>
          <w:rFonts w:cs="Times New Roman"/>
          <w:szCs w:val="24"/>
        </w:rPr>
        <w:t>Projekt ustawy nie wymaga przedstawienia właściwym organom i instytucjom Unii Europejskiej, w tym Europejskiemu Bankowi Centralnemu, w celu uzyskania opinii, dokonania powiadomienia, konsultacji albo uzgodnienia.</w:t>
      </w:r>
    </w:p>
    <w:p w14:paraId="3E58A7BC" w14:textId="674E5B42" w:rsidR="005A3915" w:rsidRPr="004D731E" w:rsidRDefault="005A3915" w:rsidP="00FB07E3">
      <w:pPr>
        <w:spacing w:before="120"/>
        <w:jc w:val="both"/>
        <w:rPr>
          <w:rFonts w:cs="Times New Roman"/>
          <w:szCs w:val="24"/>
        </w:rPr>
      </w:pPr>
      <w:r w:rsidRPr="004D731E">
        <w:rPr>
          <w:rFonts w:cs="Times New Roman"/>
          <w:szCs w:val="24"/>
        </w:rPr>
        <w:t xml:space="preserve">Zgodnie z ustawą z dnia 7 lipca 2005 r. o działalności lobbingowej w procesie stanowienia prawa </w:t>
      </w:r>
      <w:r w:rsidRPr="004D731E">
        <w:rPr>
          <w:rFonts w:cs="Times New Roman"/>
          <w:color w:val="000000"/>
          <w:spacing w:val="-2"/>
          <w:szCs w:val="24"/>
        </w:rPr>
        <w:t xml:space="preserve">(Dz. U. z 2017 r. poz. 248) </w:t>
      </w:r>
      <w:r w:rsidRPr="004D731E">
        <w:rPr>
          <w:rFonts w:cs="Times New Roman"/>
          <w:szCs w:val="24"/>
        </w:rPr>
        <w:t>projekt ustawy został udostępniony w Biuletynie Informacji Publicznej na stronie podmiotowej Minist</w:t>
      </w:r>
      <w:r w:rsidR="00EE4FA2">
        <w:rPr>
          <w:rFonts w:cs="Times New Roman"/>
          <w:szCs w:val="24"/>
        </w:rPr>
        <w:t>erstwa</w:t>
      </w:r>
      <w:r w:rsidRPr="004D731E">
        <w:rPr>
          <w:rFonts w:cs="Times New Roman"/>
          <w:szCs w:val="24"/>
        </w:rPr>
        <w:t xml:space="preserve"> Sprawiedliwości. </w:t>
      </w:r>
    </w:p>
    <w:p w14:paraId="6A27A43F" w14:textId="658D7C7B" w:rsidR="005A3915" w:rsidRPr="004D731E" w:rsidRDefault="005A3915" w:rsidP="00FB07E3">
      <w:pPr>
        <w:spacing w:before="120"/>
        <w:jc w:val="both"/>
        <w:rPr>
          <w:rFonts w:cs="Times New Roman"/>
          <w:szCs w:val="24"/>
        </w:rPr>
      </w:pPr>
      <w:r w:rsidRPr="004D731E">
        <w:rPr>
          <w:rFonts w:cs="Times New Roman"/>
          <w:szCs w:val="24"/>
        </w:rPr>
        <w:t>Ponadto, stosownie do postanowień § 52 uchwały nr 190 Rady Ministrów z dnia 29</w:t>
      </w:r>
      <w:r w:rsidR="008B6F1C">
        <w:rPr>
          <w:rFonts w:cs="Times New Roman"/>
          <w:szCs w:val="24"/>
        </w:rPr>
        <w:t> </w:t>
      </w:r>
      <w:r w:rsidRPr="004D731E">
        <w:rPr>
          <w:rFonts w:cs="Times New Roman"/>
          <w:szCs w:val="24"/>
        </w:rPr>
        <w:t>października 2013 r. – Regulamin pracy Rady Ministr</w:t>
      </w:r>
      <w:r w:rsidR="008B6F1C">
        <w:rPr>
          <w:rFonts w:cs="Times New Roman"/>
          <w:szCs w:val="24"/>
        </w:rPr>
        <w:t>ów (M.P. z 2016 r. poz. 1006, z </w:t>
      </w:r>
      <w:r w:rsidRPr="004D731E">
        <w:rPr>
          <w:rFonts w:cs="Times New Roman"/>
          <w:szCs w:val="24"/>
        </w:rPr>
        <w:t>późn. zm.)</w:t>
      </w:r>
      <w:r w:rsidR="00430B68">
        <w:rPr>
          <w:rFonts w:cs="Times New Roman"/>
          <w:szCs w:val="24"/>
        </w:rPr>
        <w:t>,</w:t>
      </w:r>
      <w:r w:rsidRPr="004D731E">
        <w:rPr>
          <w:rFonts w:cs="Times New Roman"/>
          <w:szCs w:val="24"/>
        </w:rPr>
        <w:t xml:space="preserve"> projekt ustawy </w:t>
      </w:r>
      <w:r w:rsidR="00894D50" w:rsidRPr="00324258">
        <w:rPr>
          <w:rFonts w:cs="Times New Roman"/>
          <w:szCs w:val="24"/>
        </w:rPr>
        <w:t xml:space="preserve">został </w:t>
      </w:r>
      <w:r w:rsidRPr="00324258">
        <w:rPr>
          <w:rFonts w:cs="Times New Roman"/>
          <w:szCs w:val="24"/>
        </w:rPr>
        <w:t xml:space="preserve">zamieszczony w Biuletynie Informacji Publicznej Rządowego </w:t>
      </w:r>
      <w:r w:rsidRPr="004D731E">
        <w:rPr>
          <w:rFonts w:cs="Times New Roman"/>
          <w:szCs w:val="24"/>
        </w:rPr>
        <w:t>Centrum Legislacji z chwilą skierowania projektu do uzgodnień i konsultacji publicznych.</w:t>
      </w:r>
    </w:p>
    <w:p w14:paraId="0DD4F3A2" w14:textId="6B643D2B" w:rsidR="005A3915" w:rsidRPr="004D731E" w:rsidRDefault="005A3915" w:rsidP="00FB07E3">
      <w:pPr>
        <w:spacing w:before="120"/>
        <w:jc w:val="both"/>
        <w:rPr>
          <w:rFonts w:cs="Times New Roman"/>
          <w:szCs w:val="24"/>
        </w:rPr>
      </w:pPr>
      <w:r w:rsidRPr="004D731E">
        <w:rPr>
          <w:rFonts w:cs="Times New Roman"/>
          <w:szCs w:val="24"/>
        </w:rPr>
        <w:t>Projekt ustawy jest zgodny z prawem Unii Europejskiej.</w:t>
      </w:r>
    </w:p>
    <w:p w14:paraId="7F8B8923" w14:textId="16244601" w:rsidR="00690C80" w:rsidRPr="004D731E" w:rsidRDefault="00690C80" w:rsidP="00FB07E3">
      <w:pPr>
        <w:spacing w:before="120"/>
        <w:jc w:val="both"/>
        <w:rPr>
          <w:rFonts w:cs="Times New Roman"/>
          <w:szCs w:val="24"/>
        </w:rPr>
      </w:pPr>
      <w:r w:rsidRPr="004D731E">
        <w:rPr>
          <w:rFonts w:cs="Times New Roman"/>
          <w:szCs w:val="24"/>
        </w:rPr>
        <w:t xml:space="preserve">Nie była dokonywana ocena OSR w trybie § 33 ust. 2 </w:t>
      </w:r>
      <w:r w:rsidR="008B6F1C">
        <w:rPr>
          <w:rFonts w:cs="Times New Roman"/>
          <w:szCs w:val="24"/>
        </w:rPr>
        <w:t>uchwały nr 190 Rady Ministrów z </w:t>
      </w:r>
      <w:r w:rsidRPr="004D731E">
        <w:rPr>
          <w:rFonts w:cs="Times New Roman"/>
          <w:szCs w:val="24"/>
        </w:rPr>
        <w:t>dnia 29 października 2013 r. – Regulamin pracy Rady Ministrów</w:t>
      </w:r>
      <w:r w:rsidR="0084021F" w:rsidRPr="004D731E">
        <w:rPr>
          <w:rFonts w:cs="Times New Roman"/>
          <w:szCs w:val="24"/>
        </w:rPr>
        <w:t>.</w:t>
      </w:r>
    </w:p>
    <w:p w14:paraId="6EE4E05A" w14:textId="27BDDD34" w:rsidR="005A3915" w:rsidRPr="00FB07E3" w:rsidRDefault="005A3915" w:rsidP="00FB07E3">
      <w:pPr>
        <w:pStyle w:val="ARTartustawynprozporzdzenia"/>
        <w:ind w:firstLine="0"/>
        <w:rPr>
          <w:rFonts w:ascii="Times New Roman" w:eastAsiaTheme="minorHAnsi" w:hAnsi="Times New Roman" w:cs="Times New Roman"/>
          <w:szCs w:val="24"/>
          <w:lang w:eastAsia="en-US"/>
        </w:rPr>
      </w:pPr>
      <w:r w:rsidRPr="004D731E">
        <w:rPr>
          <w:rFonts w:ascii="Times New Roman" w:hAnsi="Times New Roman" w:cs="Times New Roman"/>
          <w:szCs w:val="24"/>
        </w:rPr>
        <w:t>Osiągnięcie celu ustawy nie jest możliwe za pomocą innych środków.</w:t>
      </w:r>
    </w:p>
    <w:sectPr w:rsidR="005A3915" w:rsidRPr="00FB07E3" w:rsidSect="00FB07E3">
      <w:footerReference w:type="default" r:id="rId8"/>
      <w:pgSz w:w="11906" w:h="16838"/>
      <w:pgMar w:top="1588" w:right="1418" w:bottom="1418" w:left="1985"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ADE68E1" w14:textId="77777777" w:rsidR="00FB5346" w:rsidRDefault="00FB5346" w:rsidP="003C7ADF">
      <w:pPr>
        <w:spacing w:line="240" w:lineRule="auto"/>
      </w:pPr>
      <w:r>
        <w:separator/>
      </w:r>
    </w:p>
  </w:endnote>
  <w:endnote w:type="continuationSeparator" w:id="0">
    <w:p w14:paraId="534CAA5E" w14:textId="77777777" w:rsidR="00FB5346" w:rsidRDefault="00FB5346" w:rsidP="003C7AD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Times">
    <w:panose1 w:val="02020603050405020304"/>
    <w:charset w:val="EE"/>
    <w:family w:val="roman"/>
    <w:pitch w:val="variable"/>
    <w:sig w:usb0="E0002EFF" w:usb1="C000785B" w:usb2="00000009" w:usb3="00000000" w:csb0="000001FF" w:csb1="00000000"/>
  </w:font>
  <w:font w:name="Segoe UI">
    <w:panose1 w:val="020B0502040204020203"/>
    <w:charset w:val="EE"/>
    <w:family w:val="swiss"/>
    <w:pitch w:val="variable"/>
    <w:sig w:usb0="E10022FF" w:usb1="C000E47F" w:usb2="00000029" w:usb3="00000000" w:csb0="000001D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84477139"/>
      <w:docPartObj>
        <w:docPartGallery w:val="Page Numbers (Bottom of Page)"/>
        <w:docPartUnique/>
      </w:docPartObj>
    </w:sdtPr>
    <w:sdtEndPr/>
    <w:sdtContent>
      <w:p w14:paraId="31E9371E" w14:textId="24D77FA1" w:rsidR="003C7ADF" w:rsidRDefault="003C7ADF" w:rsidP="00FB07E3">
        <w:pPr>
          <w:pStyle w:val="Stopka"/>
          <w:jc w:val="center"/>
        </w:pPr>
        <w:r>
          <w:fldChar w:fldCharType="begin"/>
        </w:r>
        <w:r>
          <w:instrText>PAGE   \* MERGEFORMAT</w:instrText>
        </w:r>
        <w:r>
          <w:fldChar w:fldCharType="separate"/>
        </w:r>
        <w:r w:rsidR="008A4D2E">
          <w:rPr>
            <w:noProof/>
          </w:rPr>
          <w:t>1</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ECC1003" w14:textId="77777777" w:rsidR="00FB5346" w:rsidRDefault="00FB5346" w:rsidP="003C7ADF">
      <w:pPr>
        <w:spacing w:line="240" w:lineRule="auto"/>
      </w:pPr>
      <w:r>
        <w:separator/>
      </w:r>
    </w:p>
  </w:footnote>
  <w:footnote w:type="continuationSeparator" w:id="0">
    <w:p w14:paraId="71B12176" w14:textId="77777777" w:rsidR="00FB5346" w:rsidRDefault="00FB5346" w:rsidP="003C7ADF">
      <w:pPr>
        <w:spacing w:line="240" w:lineRule="auto"/>
      </w:pPr>
      <w:r>
        <w:continuationSeparator/>
      </w:r>
    </w:p>
  </w:footnote>
  <w:footnote w:id="1">
    <w:p w14:paraId="6F2EA9BE" w14:textId="722EB151" w:rsidR="005D2722" w:rsidRDefault="005D2722" w:rsidP="004D731E">
      <w:pPr>
        <w:pStyle w:val="Tekstprzypisudolnego"/>
        <w:ind w:left="284" w:hanging="284"/>
        <w:jc w:val="both"/>
      </w:pPr>
      <w:r>
        <w:rPr>
          <w:rStyle w:val="Odwoanieprzypisudolnego"/>
        </w:rPr>
        <w:footnoteRef/>
      </w:r>
      <w:r w:rsidR="007735FD" w:rsidRPr="007735FD">
        <w:rPr>
          <w:rStyle w:val="Odwoanieprzypisudolnego"/>
        </w:rPr>
        <w:t>)</w:t>
      </w:r>
      <w:r w:rsidR="004D731E">
        <w:tab/>
      </w:r>
      <w:r w:rsidR="004C7026">
        <w:t xml:space="preserve">Zob. </w:t>
      </w:r>
      <w:r w:rsidR="00E025A5">
        <w:t xml:space="preserve">wyrok Sądu Apelacyjnego w Gdańsku z dnia 14 czerwca 2013 </w:t>
      </w:r>
      <w:r w:rsidR="00B87162">
        <w:t>r.</w:t>
      </w:r>
      <w:r w:rsidR="00E025A5">
        <w:t xml:space="preserve"> I ACa 74/13</w:t>
      </w:r>
      <w:r w:rsidR="00BC183C">
        <w:t>; postanowienie Sądu Najwyższego z dnia 11 kwietnia 2007 r., II CSK 612/07.</w:t>
      </w:r>
    </w:p>
  </w:footnote>
  <w:footnote w:id="2">
    <w:p w14:paraId="05D9DBD2" w14:textId="3333AB0B" w:rsidR="00563C4A" w:rsidRDefault="00563C4A" w:rsidP="004D731E">
      <w:pPr>
        <w:pStyle w:val="Tekstprzypisudolnego"/>
        <w:ind w:left="284" w:hanging="284"/>
      </w:pPr>
      <w:r>
        <w:rPr>
          <w:rStyle w:val="Odwoanieprzypisudolnego"/>
        </w:rPr>
        <w:footnoteRef/>
      </w:r>
      <w:r w:rsidR="007735FD" w:rsidRPr="007735FD">
        <w:rPr>
          <w:rStyle w:val="Odwoanieprzypisudolnego"/>
        </w:rPr>
        <w:t>)</w:t>
      </w:r>
      <w:r w:rsidR="004D731E">
        <w:tab/>
      </w:r>
      <w:r w:rsidR="00BC183C">
        <w:t xml:space="preserve">Zob. wyrok Sądu </w:t>
      </w:r>
      <w:r w:rsidR="007E03CE">
        <w:t>A</w:t>
      </w:r>
      <w:r w:rsidR="00BC183C">
        <w:t xml:space="preserve">pelacyjnego w Warszawie z dnia 6 czerwca 2014 </w:t>
      </w:r>
      <w:r w:rsidR="00B87162">
        <w:t>r.</w:t>
      </w:r>
      <w:r w:rsidR="00BC183C">
        <w:t xml:space="preserve"> I ACa 12/14.</w:t>
      </w:r>
    </w:p>
  </w:footnote>
  <w:footnote w:id="3">
    <w:p w14:paraId="3537251E" w14:textId="3E311C65" w:rsidR="00563C4A" w:rsidRDefault="00563C4A" w:rsidP="004D731E">
      <w:pPr>
        <w:pStyle w:val="Tekstprzypisudolnego"/>
        <w:ind w:left="284" w:hanging="284"/>
        <w:jc w:val="both"/>
      </w:pPr>
      <w:r>
        <w:rPr>
          <w:rStyle w:val="Odwoanieprzypisudolnego"/>
        </w:rPr>
        <w:footnoteRef/>
      </w:r>
      <w:r w:rsidR="007735FD" w:rsidRPr="007735FD">
        <w:rPr>
          <w:rStyle w:val="Odwoanieprzypisudolnego"/>
        </w:rPr>
        <w:t>)</w:t>
      </w:r>
      <w:r w:rsidR="004D731E">
        <w:tab/>
      </w:r>
      <w:r w:rsidR="00C74548">
        <w:t>Z</w:t>
      </w:r>
      <w:r w:rsidR="00C366D8">
        <w:t>ob. wyroki Sądu Najwyższego z dnia 10 stycznia 2017 r., V CSK 204/16, z dnia 28 stycznia 2016 r., III CSK 50/15, z dnia 19 lutego 2016 r., V CSK 365/15 oraz z dnia 15 listopada 201</w:t>
      </w:r>
      <w:r w:rsidR="009C278E">
        <w:t>9</w:t>
      </w:r>
      <w:r w:rsidR="00C366D8">
        <w:t xml:space="preserve"> r., V CSK 348/18; wyrok Sądu Apelacyjnego w Gdańsku z dnia 27 lutego 2015 r., I A</w:t>
      </w:r>
      <w:r w:rsidR="009C278E">
        <w:t>C</w:t>
      </w:r>
      <w:r w:rsidR="00C366D8">
        <w:t>a 649/14; wyrok Sądu Apelacyjnego w Warszawie z dnia 16 stycznia 2014 r., I ACa 1194/13.</w:t>
      </w:r>
    </w:p>
  </w:footnote>
  <w:footnote w:id="4">
    <w:p w14:paraId="0C2CDD04" w14:textId="3297F865" w:rsidR="00A7500D" w:rsidRDefault="00A7500D" w:rsidP="00FB07E3">
      <w:pPr>
        <w:pStyle w:val="Tekstprzypisudolnego"/>
        <w:ind w:left="284" w:hanging="284"/>
        <w:jc w:val="both"/>
      </w:pPr>
      <w:r>
        <w:rPr>
          <w:rStyle w:val="Odwoanieprzypisudolnego"/>
        </w:rPr>
        <w:footnoteRef/>
      </w:r>
      <w:r w:rsidR="00130695" w:rsidRPr="007735FD">
        <w:rPr>
          <w:rStyle w:val="Odwoanieprzypisudolnego"/>
        </w:rPr>
        <w:t>)</w:t>
      </w:r>
      <w:r w:rsidR="004D731E">
        <w:tab/>
      </w:r>
      <w:r w:rsidR="0036227F">
        <w:rPr>
          <w:rFonts w:eastAsiaTheme="minorHAnsi" w:cs="Times New Roman"/>
          <w:szCs w:val="24"/>
          <w:lang w:eastAsia="en-US"/>
        </w:rPr>
        <w:t>P</w:t>
      </w:r>
      <w:r w:rsidRPr="007E3631">
        <w:rPr>
          <w:rFonts w:eastAsiaTheme="minorHAnsi" w:cs="Times New Roman"/>
          <w:szCs w:val="24"/>
          <w:lang w:eastAsia="en-US"/>
        </w:rPr>
        <w:t xml:space="preserve">ostulat taki zgłaszali P. Sobolewski w: Kodeks cywilny. Komentarz, red. K. Osajda, wyd. 26, Legalis 2020, </w:t>
      </w:r>
      <w:r w:rsidR="00FF1D05">
        <w:rPr>
          <w:rFonts w:eastAsiaTheme="minorHAnsi" w:cs="Times New Roman"/>
          <w:szCs w:val="24"/>
          <w:lang w:eastAsia="en-US"/>
        </w:rPr>
        <w:t>n</w:t>
      </w:r>
      <w:r w:rsidRPr="007E3631">
        <w:rPr>
          <w:rFonts w:eastAsiaTheme="minorHAnsi" w:cs="Times New Roman"/>
          <w:szCs w:val="24"/>
          <w:lang w:eastAsia="en-US"/>
        </w:rPr>
        <w:t>b. 93 do art. 123</w:t>
      </w:r>
      <w:r w:rsidR="00430B68">
        <w:rPr>
          <w:rFonts w:eastAsiaTheme="minorHAnsi" w:cs="Times New Roman"/>
          <w:szCs w:val="24"/>
          <w:lang w:eastAsia="en-US"/>
        </w:rPr>
        <w:t>,</w:t>
      </w:r>
      <w:r w:rsidRPr="007E3631">
        <w:rPr>
          <w:rFonts w:eastAsiaTheme="minorHAnsi" w:cs="Times New Roman"/>
          <w:szCs w:val="24"/>
          <w:lang w:eastAsia="en-US"/>
        </w:rPr>
        <w:t xml:space="preserve"> a także B. Kordasiewicz, w: System PrPryw, t. 2, 2008, </w:t>
      </w:r>
      <w:r w:rsidR="00FF1D05">
        <w:rPr>
          <w:rFonts w:eastAsiaTheme="minorHAnsi" w:cs="Times New Roman"/>
          <w:szCs w:val="24"/>
          <w:lang w:eastAsia="en-US"/>
        </w:rPr>
        <w:t>n</w:t>
      </w:r>
      <w:r w:rsidRPr="007E3631">
        <w:rPr>
          <w:rFonts w:eastAsiaTheme="minorHAnsi" w:cs="Times New Roman"/>
          <w:szCs w:val="24"/>
          <w:lang w:eastAsia="en-US"/>
        </w:rPr>
        <w:t>b. 161c, s. 666</w:t>
      </w:r>
      <w:r>
        <w:rPr>
          <w:rFonts w:eastAsiaTheme="minorHAnsi" w:cs="Times New Roman"/>
          <w:szCs w:val="24"/>
          <w:lang w:eastAsia="en-US"/>
        </w:rPr>
        <w:t>.</w:t>
      </w:r>
    </w:p>
  </w:footnote>
  <w:footnote w:id="5">
    <w:p w14:paraId="1FAD6887" w14:textId="54DF4FBD" w:rsidR="00EA119C" w:rsidRDefault="00EA119C" w:rsidP="004D731E">
      <w:pPr>
        <w:pStyle w:val="Tekstprzypisudolnego"/>
        <w:ind w:left="284" w:hanging="284"/>
      </w:pPr>
      <w:r>
        <w:rPr>
          <w:rStyle w:val="Odwoanieprzypisudolnego"/>
        </w:rPr>
        <w:footnoteRef/>
      </w:r>
      <w:r w:rsidR="00E9159B" w:rsidRPr="007735FD">
        <w:rPr>
          <w:rStyle w:val="Odwoanieprzypisudolnego"/>
        </w:rPr>
        <w:t>)</w:t>
      </w:r>
      <w:r w:rsidR="004D731E">
        <w:tab/>
      </w:r>
      <w:r w:rsidRPr="007E3631">
        <w:rPr>
          <w:highlight w:val="white"/>
        </w:rPr>
        <w:t>P. Księżak w: Kodeks cywilny. Komentarz, red. K. Osajda, wyd. 26, Legalis, nb. 1 do art. 277</w:t>
      </w:r>
      <w:r>
        <w:t>.</w:t>
      </w:r>
    </w:p>
  </w:footnote>
  <w:footnote w:id="6">
    <w:p w14:paraId="57D06B48" w14:textId="3A137AAB" w:rsidR="00474DDE" w:rsidRDefault="00474DDE" w:rsidP="004D731E">
      <w:pPr>
        <w:pStyle w:val="Tekstprzypisudolnego"/>
        <w:ind w:left="284" w:hanging="284"/>
        <w:jc w:val="both"/>
      </w:pPr>
      <w:r>
        <w:rPr>
          <w:rStyle w:val="Odwoanieprzypisudolnego"/>
        </w:rPr>
        <w:footnoteRef/>
      </w:r>
      <w:r w:rsidR="00691948" w:rsidRPr="007735FD">
        <w:rPr>
          <w:rStyle w:val="Odwoanieprzypisudolnego"/>
        </w:rPr>
        <w:t>)</w:t>
      </w:r>
      <w:r w:rsidR="004D731E">
        <w:tab/>
      </w:r>
      <w:r>
        <w:t xml:space="preserve">Zob. „Wyzysk i instytucje do niego zbliżone w prawie prywatnym Niemiec, Austrii oraz Szwajcarii” dr W. Borysiak, Instytut Wymiaru Sprawiedliwości, Warszawa 2019, str. </w:t>
      </w:r>
      <w:r w:rsidR="00AE199F">
        <w:t>34, 50</w:t>
      </w:r>
      <w:r>
        <w:t>.</w:t>
      </w:r>
    </w:p>
  </w:footnote>
  <w:footnote w:id="7">
    <w:p w14:paraId="334419C4" w14:textId="5839FE1C" w:rsidR="00332491" w:rsidRDefault="00332491" w:rsidP="004D731E">
      <w:pPr>
        <w:pStyle w:val="Tekstprzypisudolnego"/>
        <w:ind w:left="284" w:hanging="284"/>
        <w:jc w:val="both"/>
      </w:pPr>
      <w:r>
        <w:rPr>
          <w:rStyle w:val="Odwoanieprzypisudolnego"/>
        </w:rPr>
        <w:footnoteRef/>
      </w:r>
      <w:r w:rsidR="000753B8" w:rsidRPr="007735FD">
        <w:rPr>
          <w:rStyle w:val="Odwoanieprzypisudolnego"/>
        </w:rPr>
        <w:t>)</w:t>
      </w:r>
      <w:r w:rsidR="004D731E">
        <w:tab/>
      </w:r>
      <w:r>
        <w:t>Zob. „Wyzysk i instytucje do niego zbliżone w prawie prywatnym Niemiec, Austrii oraz Szwajcarii” dr W. Borysiak, Instytut Wymiaru Sprawiedliwości, Warszawa 2019, str. 11.</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E066516"/>
    <w:multiLevelType w:val="hybridMultilevel"/>
    <w:tmpl w:val="63C6163C"/>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15:restartNumberingAfterBreak="0">
    <w:nsid w:val="539D7ECB"/>
    <w:multiLevelType w:val="multilevel"/>
    <w:tmpl w:val="267854C8"/>
    <w:lvl w:ilvl="0">
      <w:start w:val="1"/>
      <w:numFmt w:val="lowerLetter"/>
      <w:lvlText w:val="%1)"/>
      <w:lvlJc w:val="left"/>
      <w:pPr>
        <w:ind w:left="1080" w:hanging="360"/>
      </w:pPr>
    </w:lvl>
    <w:lvl w:ilvl="1">
      <w:start w:val="1"/>
      <w:numFmt w:val="decimal"/>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 w15:restartNumberingAfterBreak="0">
    <w:nsid w:val="6C8923BD"/>
    <w:multiLevelType w:val="multilevel"/>
    <w:tmpl w:val="8DEC3364"/>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5776B"/>
    <w:rsid w:val="000010F6"/>
    <w:rsid w:val="00005E12"/>
    <w:rsid w:val="00022BA4"/>
    <w:rsid w:val="00033BEB"/>
    <w:rsid w:val="00035E2D"/>
    <w:rsid w:val="000464FB"/>
    <w:rsid w:val="00065EAC"/>
    <w:rsid w:val="00066B54"/>
    <w:rsid w:val="00072944"/>
    <w:rsid w:val="000753B8"/>
    <w:rsid w:val="00084FC1"/>
    <w:rsid w:val="00086F81"/>
    <w:rsid w:val="000959CC"/>
    <w:rsid w:val="000A4B05"/>
    <w:rsid w:val="000C3A6B"/>
    <w:rsid w:val="000C4713"/>
    <w:rsid w:val="000D6683"/>
    <w:rsid w:val="000E1A14"/>
    <w:rsid w:val="000E607D"/>
    <w:rsid w:val="000F0B0B"/>
    <w:rsid w:val="000F3042"/>
    <w:rsid w:val="000F58AA"/>
    <w:rsid w:val="001041CE"/>
    <w:rsid w:val="00120027"/>
    <w:rsid w:val="00130695"/>
    <w:rsid w:val="00141519"/>
    <w:rsid w:val="00143328"/>
    <w:rsid w:val="00147C54"/>
    <w:rsid w:val="00171354"/>
    <w:rsid w:val="00184F1A"/>
    <w:rsid w:val="00193B60"/>
    <w:rsid w:val="001C594D"/>
    <w:rsid w:val="001E17B3"/>
    <w:rsid w:val="001F273A"/>
    <w:rsid w:val="002019EC"/>
    <w:rsid w:val="002059DA"/>
    <w:rsid w:val="00205B20"/>
    <w:rsid w:val="002108D2"/>
    <w:rsid w:val="00214BA6"/>
    <w:rsid w:val="002372A4"/>
    <w:rsid w:val="00240C2C"/>
    <w:rsid w:val="002532B1"/>
    <w:rsid w:val="00255201"/>
    <w:rsid w:val="00257C99"/>
    <w:rsid w:val="00260D12"/>
    <w:rsid w:val="00262ABE"/>
    <w:rsid w:val="00263DA9"/>
    <w:rsid w:val="00275178"/>
    <w:rsid w:val="002B3EC8"/>
    <w:rsid w:val="002B4675"/>
    <w:rsid w:val="002B59B4"/>
    <w:rsid w:val="002D036B"/>
    <w:rsid w:val="002D0F22"/>
    <w:rsid w:val="002D4D96"/>
    <w:rsid w:val="002E2D40"/>
    <w:rsid w:val="002F5658"/>
    <w:rsid w:val="00304E8B"/>
    <w:rsid w:val="0030527B"/>
    <w:rsid w:val="0030657F"/>
    <w:rsid w:val="003129D5"/>
    <w:rsid w:val="00316C2D"/>
    <w:rsid w:val="0031793A"/>
    <w:rsid w:val="00322A73"/>
    <w:rsid w:val="00324258"/>
    <w:rsid w:val="00332491"/>
    <w:rsid w:val="003338D3"/>
    <w:rsid w:val="00336595"/>
    <w:rsid w:val="003472C8"/>
    <w:rsid w:val="003560A5"/>
    <w:rsid w:val="003605A0"/>
    <w:rsid w:val="0036227F"/>
    <w:rsid w:val="0037442F"/>
    <w:rsid w:val="00383F75"/>
    <w:rsid w:val="00387153"/>
    <w:rsid w:val="003A3B8B"/>
    <w:rsid w:val="003B2BA7"/>
    <w:rsid w:val="003B6256"/>
    <w:rsid w:val="003C2DFF"/>
    <w:rsid w:val="003C47ED"/>
    <w:rsid w:val="003C6061"/>
    <w:rsid w:val="003C73A3"/>
    <w:rsid w:val="003C7ADF"/>
    <w:rsid w:val="00402EAE"/>
    <w:rsid w:val="0040790A"/>
    <w:rsid w:val="00415FC5"/>
    <w:rsid w:val="0042628B"/>
    <w:rsid w:val="00426AEA"/>
    <w:rsid w:val="00430B68"/>
    <w:rsid w:val="004454E0"/>
    <w:rsid w:val="004519F1"/>
    <w:rsid w:val="00453E51"/>
    <w:rsid w:val="00454611"/>
    <w:rsid w:val="0045519F"/>
    <w:rsid w:val="004576C1"/>
    <w:rsid w:val="00463C96"/>
    <w:rsid w:val="004661F7"/>
    <w:rsid w:val="00466DCE"/>
    <w:rsid w:val="00474DDE"/>
    <w:rsid w:val="004A7695"/>
    <w:rsid w:val="004B4E70"/>
    <w:rsid w:val="004B5E04"/>
    <w:rsid w:val="004C7026"/>
    <w:rsid w:val="004D731E"/>
    <w:rsid w:val="004E5154"/>
    <w:rsid w:val="004E597F"/>
    <w:rsid w:val="004F4C65"/>
    <w:rsid w:val="0050643C"/>
    <w:rsid w:val="00512186"/>
    <w:rsid w:val="00512706"/>
    <w:rsid w:val="00527ECD"/>
    <w:rsid w:val="0054017E"/>
    <w:rsid w:val="00551ECC"/>
    <w:rsid w:val="00553686"/>
    <w:rsid w:val="00556CC1"/>
    <w:rsid w:val="00563C4A"/>
    <w:rsid w:val="005733F7"/>
    <w:rsid w:val="005773DE"/>
    <w:rsid w:val="00585312"/>
    <w:rsid w:val="00586C12"/>
    <w:rsid w:val="00596DA0"/>
    <w:rsid w:val="00597B3D"/>
    <w:rsid w:val="005A3915"/>
    <w:rsid w:val="005A3AF5"/>
    <w:rsid w:val="005C4A22"/>
    <w:rsid w:val="005C5281"/>
    <w:rsid w:val="005D2722"/>
    <w:rsid w:val="005D5DE8"/>
    <w:rsid w:val="005D645C"/>
    <w:rsid w:val="005D7CF0"/>
    <w:rsid w:val="005E40B5"/>
    <w:rsid w:val="00613656"/>
    <w:rsid w:val="00615630"/>
    <w:rsid w:val="00616CDE"/>
    <w:rsid w:val="00626919"/>
    <w:rsid w:val="00626E93"/>
    <w:rsid w:val="0063656F"/>
    <w:rsid w:val="00646755"/>
    <w:rsid w:val="006514A3"/>
    <w:rsid w:val="0065167E"/>
    <w:rsid w:val="00654836"/>
    <w:rsid w:val="0066101B"/>
    <w:rsid w:val="00667630"/>
    <w:rsid w:val="00677155"/>
    <w:rsid w:val="006825BB"/>
    <w:rsid w:val="00690C80"/>
    <w:rsid w:val="00690CE7"/>
    <w:rsid w:val="00691948"/>
    <w:rsid w:val="00692BE0"/>
    <w:rsid w:val="006A316C"/>
    <w:rsid w:val="006B0CC2"/>
    <w:rsid w:val="006B593B"/>
    <w:rsid w:val="006B5E21"/>
    <w:rsid w:val="006C1C45"/>
    <w:rsid w:val="006C4C34"/>
    <w:rsid w:val="006C5E03"/>
    <w:rsid w:val="006E3C08"/>
    <w:rsid w:val="006E7515"/>
    <w:rsid w:val="007072EE"/>
    <w:rsid w:val="00707573"/>
    <w:rsid w:val="007077EA"/>
    <w:rsid w:val="00711166"/>
    <w:rsid w:val="007111E1"/>
    <w:rsid w:val="00734512"/>
    <w:rsid w:val="00745FF2"/>
    <w:rsid w:val="007521F0"/>
    <w:rsid w:val="00756F91"/>
    <w:rsid w:val="0076107E"/>
    <w:rsid w:val="00761984"/>
    <w:rsid w:val="00762917"/>
    <w:rsid w:val="00766419"/>
    <w:rsid w:val="007735FD"/>
    <w:rsid w:val="00781A64"/>
    <w:rsid w:val="007A344B"/>
    <w:rsid w:val="007A4947"/>
    <w:rsid w:val="007B0F93"/>
    <w:rsid w:val="007B2913"/>
    <w:rsid w:val="007B63BD"/>
    <w:rsid w:val="007B673E"/>
    <w:rsid w:val="007C318E"/>
    <w:rsid w:val="007C67D1"/>
    <w:rsid w:val="007D45C6"/>
    <w:rsid w:val="007E03CE"/>
    <w:rsid w:val="007E3D7C"/>
    <w:rsid w:val="007F38DC"/>
    <w:rsid w:val="007F59AD"/>
    <w:rsid w:val="00800B89"/>
    <w:rsid w:val="0081412B"/>
    <w:rsid w:val="0082027B"/>
    <w:rsid w:val="008223AE"/>
    <w:rsid w:val="00824878"/>
    <w:rsid w:val="0084021F"/>
    <w:rsid w:val="008501CF"/>
    <w:rsid w:val="00852426"/>
    <w:rsid w:val="00852D18"/>
    <w:rsid w:val="008922A2"/>
    <w:rsid w:val="00894D50"/>
    <w:rsid w:val="008A4D2E"/>
    <w:rsid w:val="008A644D"/>
    <w:rsid w:val="008B335B"/>
    <w:rsid w:val="008B6F1C"/>
    <w:rsid w:val="008C7D3D"/>
    <w:rsid w:val="008C7D5C"/>
    <w:rsid w:val="008D28E0"/>
    <w:rsid w:val="008E221D"/>
    <w:rsid w:val="008E5DDF"/>
    <w:rsid w:val="00900E54"/>
    <w:rsid w:val="00901507"/>
    <w:rsid w:val="009015EF"/>
    <w:rsid w:val="00903596"/>
    <w:rsid w:val="00905345"/>
    <w:rsid w:val="0091133B"/>
    <w:rsid w:val="0093159D"/>
    <w:rsid w:val="00933277"/>
    <w:rsid w:val="009454DC"/>
    <w:rsid w:val="00971D72"/>
    <w:rsid w:val="009726E8"/>
    <w:rsid w:val="0099446F"/>
    <w:rsid w:val="009B1E7E"/>
    <w:rsid w:val="009C1B21"/>
    <w:rsid w:val="009C278E"/>
    <w:rsid w:val="009D0378"/>
    <w:rsid w:val="009D14B3"/>
    <w:rsid w:val="009D1882"/>
    <w:rsid w:val="009D5B49"/>
    <w:rsid w:val="009D79F8"/>
    <w:rsid w:val="00A06F79"/>
    <w:rsid w:val="00A21293"/>
    <w:rsid w:val="00A253F8"/>
    <w:rsid w:val="00A41E32"/>
    <w:rsid w:val="00A502DC"/>
    <w:rsid w:val="00A53BC9"/>
    <w:rsid w:val="00A70BFB"/>
    <w:rsid w:val="00A7359C"/>
    <w:rsid w:val="00A7500D"/>
    <w:rsid w:val="00A83F61"/>
    <w:rsid w:val="00A94278"/>
    <w:rsid w:val="00A97410"/>
    <w:rsid w:val="00AA1C68"/>
    <w:rsid w:val="00AA376F"/>
    <w:rsid w:val="00AA3FBD"/>
    <w:rsid w:val="00AB090F"/>
    <w:rsid w:val="00AB11F4"/>
    <w:rsid w:val="00AB3D6C"/>
    <w:rsid w:val="00AC3979"/>
    <w:rsid w:val="00AC463B"/>
    <w:rsid w:val="00AD7C0B"/>
    <w:rsid w:val="00AE199F"/>
    <w:rsid w:val="00AF4EFF"/>
    <w:rsid w:val="00AF556A"/>
    <w:rsid w:val="00B00C51"/>
    <w:rsid w:val="00B05A68"/>
    <w:rsid w:val="00B350EA"/>
    <w:rsid w:val="00B42CBD"/>
    <w:rsid w:val="00B44C85"/>
    <w:rsid w:val="00B45A32"/>
    <w:rsid w:val="00B505C4"/>
    <w:rsid w:val="00B6538A"/>
    <w:rsid w:val="00B740B7"/>
    <w:rsid w:val="00B76F1D"/>
    <w:rsid w:val="00B80F2B"/>
    <w:rsid w:val="00B858A6"/>
    <w:rsid w:val="00B87162"/>
    <w:rsid w:val="00B90904"/>
    <w:rsid w:val="00B96835"/>
    <w:rsid w:val="00BB2DD3"/>
    <w:rsid w:val="00BC183C"/>
    <w:rsid w:val="00BC3393"/>
    <w:rsid w:val="00BC6DD0"/>
    <w:rsid w:val="00BC79FD"/>
    <w:rsid w:val="00BD584B"/>
    <w:rsid w:val="00BD744C"/>
    <w:rsid w:val="00BD7E6B"/>
    <w:rsid w:val="00BE288D"/>
    <w:rsid w:val="00C001AB"/>
    <w:rsid w:val="00C00726"/>
    <w:rsid w:val="00C04FAF"/>
    <w:rsid w:val="00C071FC"/>
    <w:rsid w:val="00C118EF"/>
    <w:rsid w:val="00C23DD0"/>
    <w:rsid w:val="00C24B01"/>
    <w:rsid w:val="00C25BF5"/>
    <w:rsid w:val="00C268CA"/>
    <w:rsid w:val="00C32FF3"/>
    <w:rsid w:val="00C33455"/>
    <w:rsid w:val="00C366D8"/>
    <w:rsid w:val="00C47AB5"/>
    <w:rsid w:val="00C5776B"/>
    <w:rsid w:val="00C74548"/>
    <w:rsid w:val="00C75AA8"/>
    <w:rsid w:val="00C801C8"/>
    <w:rsid w:val="00C91882"/>
    <w:rsid w:val="00C971F9"/>
    <w:rsid w:val="00C97408"/>
    <w:rsid w:val="00CA249C"/>
    <w:rsid w:val="00CA2833"/>
    <w:rsid w:val="00CB06E8"/>
    <w:rsid w:val="00CC4200"/>
    <w:rsid w:val="00CD160B"/>
    <w:rsid w:val="00CD4E97"/>
    <w:rsid w:val="00CD6967"/>
    <w:rsid w:val="00CF0F49"/>
    <w:rsid w:val="00CF1F2D"/>
    <w:rsid w:val="00CF371E"/>
    <w:rsid w:val="00CF462B"/>
    <w:rsid w:val="00D02727"/>
    <w:rsid w:val="00D15DDF"/>
    <w:rsid w:val="00D217D5"/>
    <w:rsid w:val="00D32534"/>
    <w:rsid w:val="00D34C61"/>
    <w:rsid w:val="00D4271C"/>
    <w:rsid w:val="00D43104"/>
    <w:rsid w:val="00D50C80"/>
    <w:rsid w:val="00D530CC"/>
    <w:rsid w:val="00D6144E"/>
    <w:rsid w:val="00D663D5"/>
    <w:rsid w:val="00D729A9"/>
    <w:rsid w:val="00D7303A"/>
    <w:rsid w:val="00D77BD7"/>
    <w:rsid w:val="00D86539"/>
    <w:rsid w:val="00DA0950"/>
    <w:rsid w:val="00DA0F80"/>
    <w:rsid w:val="00DB4223"/>
    <w:rsid w:val="00DB66F7"/>
    <w:rsid w:val="00DC4343"/>
    <w:rsid w:val="00DF469D"/>
    <w:rsid w:val="00E025A5"/>
    <w:rsid w:val="00E0659D"/>
    <w:rsid w:val="00E133C5"/>
    <w:rsid w:val="00E1530D"/>
    <w:rsid w:val="00E24A05"/>
    <w:rsid w:val="00E44291"/>
    <w:rsid w:val="00E51801"/>
    <w:rsid w:val="00E52386"/>
    <w:rsid w:val="00E53D9A"/>
    <w:rsid w:val="00E54E09"/>
    <w:rsid w:val="00E573FB"/>
    <w:rsid w:val="00E61B0E"/>
    <w:rsid w:val="00E9159B"/>
    <w:rsid w:val="00E93A01"/>
    <w:rsid w:val="00E96E83"/>
    <w:rsid w:val="00EA119C"/>
    <w:rsid w:val="00EA2D78"/>
    <w:rsid w:val="00EA7095"/>
    <w:rsid w:val="00EB738B"/>
    <w:rsid w:val="00EE4FA2"/>
    <w:rsid w:val="00EF025B"/>
    <w:rsid w:val="00EF3CD4"/>
    <w:rsid w:val="00EF4EB0"/>
    <w:rsid w:val="00EF5C38"/>
    <w:rsid w:val="00F118B6"/>
    <w:rsid w:val="00F14C23"/>
    <w:rsid w:val="00F211C1"/>
    <w:rsid w:val="00F25B73"/>
    <w:rsid w:val="00F32275"/>
    <w:rsid w:val="00F32C8C"/>
    <w:rsid w:val="00F356BD"/>
    <w:rsid w:val="00F44BCA"/>
    <w:rsid w:val="00F463EC"/>
    <w:rsid w:val="00F4641D"/>
    <w:rsid w:val="00F476E1"/>
    <w:rsid w:val="00F47B7C"/>
    <w:rsid w:val="00F5127D"/>
    <w:rsid w:val="00F732BB"/>
    <w:rsid w:val="00F80937"/>
    <w:rsid w:val="00F84C42"/>
    <w:rsid w:val="00FB07E3"/>
    <w:rsid w:val="00FB2728"/>
    <w:rsid w:val="00FB43CB"/>
    <w:rsid w:val="00FB5346"/>
    <w:rsid w:val="00FD1018"/>
    <w:rsid w:val="00FF1CC2"/>
    <w:rsid w:val="00FF1D05"/>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80E7DF"/>
  <w15:docId w15:val="{9A17F3F4-483F-4320-AA02-777258C6FB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8D28E0"/>
    <w:pPr>
      <w:widowControl w:val="0"/>
      <w:spacing w:after="0" w:line="360" w:lineRule="auto"/>
    </w:pPr>
    <w:rPr>
      <w:rFonts w:ascii="Times New Roman" w:eastAsiaTheme="minorEastAsia" w:hAnsi="Times New Roman" w:cs="Arial"/>
      <w:sz w:val="24"/>
      <w:szCs w:val="20"/>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czeinternetowe">
    <w:name w:val="Łącze internetowe"/>
    <w:basedOn w:val="Domylnaczcionkaakapitu"/>
    <w:uiPriority w:val="99"/>
    <w:semiHidden/>
    <w:unhideWhenUsed/>
    <w:rsid w:val="008D28E0"/>
    <w:rPr>
      <w:color w:val="0000FF"/>
      <w:u w:val="single"/>
    </w:rPr>
  </w:style>
  <w:style w:type="paragraph" w:customStyle="1" w:styleId="ARTartustawynprozporzdzenia">
    <w:name w:val="ART(§) – art. ustawy (§ np. rozporządzenia)"/>
    <w:uiPriority w:val="11"/>
    <w:qFormat/>
    <w:rsid w:val="008D28E0"/>
    <w:pPr>
      <w:suppressAutoHyphens/>
      <w:spacing w:before="120" w:after="0" w:line="360" w:lineRule="auto"/>
      <w:ind w:firstLine="510"/>
      <w:jc w:val="both"/>
    </w:pPr>
    <w:rPr>
      <w:rFonts w:ascii="Times" w:eastAsiaTheme="minorEastAsia" w:hAnsi="Times" w:cs="Arial"/>
      <w:sz w:val="24"/>
      <w:szCs w:val="20"/>
      <w:lang w:eastAsia="pl-PL"/>
    </w:rPr>
  </w:style>
  <w:style w:type="paragraph" w:styleId="Tekstdymka">
    <w:name w:val="Balloon Text"/>
    <w:basedOn w:val="Normalny"/>
    <w:link w:val="TekstdymkaZnak"/>
    <w:uiPriority w:val="99"/>
    <w:semiHidden/>
    <w:unhideWhenUsed/>
    <w:rsid w:val="00BC6DD0"/>
    <w:pPr>
      <w:spacing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BC6DD0"/>
    <w:rPr>
      <w:rFonts w:ascii="Segoe UI" w:eastAsiaTheme="minorEastAsia" w:hAnsi="Segoe UI" w:cs="Segoe UI"/>
      <w:sz w:val="18"/>
      <w:szCs w:val="18"/>
      <w:lang w:eastAsia="pl-PL"/>
    </w:rPr>
  </w:style>
  <w:style w:type="character" w:customStyle="1" w:styleId="TekstkomentarzaZnak">
    <w:name w:val="Tekst komentarza Znak"/>
    <w:basedOn w:val="Domylnaczcionkaakapitu"/>
    <w:link w:val="Tekstkomentarza"/>
    <w:uiPriority w:val="99"/>
    <w:semiHidden/>
    <w:qFormat/>
    <w:rsid w:val="00BC6DD0"/>
    <w:rPr>
      <w:rFonts w:ascii="Times" w:eastAsia="Times New Roman" w:hAnsi="Times" w:cs="Times New Roman"/>
      <w:sz w:val="24"/>
      <w:szCs w:val="24"/>
      <w:lang w:eastAsia="pl-PL"/>
    </w:rPr>
  </w:style>
  <w:style w:type="paragraph" w:styleId="Tekstkomentarza">
    <w:name w:val="annotation text"/>
    <w:basedOn w:val="Normalny"/>
    <w:link w:val="TekstkomentarzaZnak"/>
    <w:uiPriority w:val="99"/>
    <w:semiHidden/>
    <w:qFormat/>
    <w:rsid w:val="00BC6DD0"/>
    <w:rPr>
      <w:rFonts w:ascii="Times" w:eastAsia="Times New Roman" w:hAnsi="Times" w:cs="Times New Roman"/>
      <w:szCs w:val="24"/>
    </w:rPr>
  </w:style>
  <w:style w:type="character" w:customStyle="1" w:styleId="TekstkomentarzaZnak1">
    <w:name w:val="Tekst komentarza Znak1"/>
    <w:basedOn w:val="Domylnaczcionkaakapitu"/>
    <w:uiPriority w:val="99"/>
    <w:semiHidden/>
    <w:rsid w:val="00BC6DD0"/>
    <w:rPr>
      <w:rFonts w:ascii="Times New Roman" w:eastAsiaTheme="minorEastAsia" w:hAnsi="Times New Roman" w:cs="Arial"/>
      <w:sz w:val="20"/>
      <w:szCs w:val="20"/>
      <w:lang w:eastAsia="pl-PL"/>
    </w:rPr>
  </w:style>
  <w:style w:type="character" w:customStyle="1" w:styleId="IGindeksgrny">
    <w:name w:val="_IG_ – indeks górny"/>
    <w:basedOn w:val="Domylnaczcionkaakapitu"/>
    <w:uiPriority w:val="2"/>
    <w:qFormat/>
    <w:rsid w:val="005A3915"/>
    <w:rPr>
      <w:b w:val="0"/>
      <w:i w:val="0"/>
      <w:vanish w:val="0"/>
      <w:spacing w:val="0"/>
      <w:vertAlign w:val="superscript"/>
    </w:rPr>
  </w:style>
  <w:style w:type="paragraph" w:customStyle="1" w:styleId="NIEARTTEKSTtekstnieartykuowanynppodstprawnarozplubpreambua">
    <w:name w:val="NIEART_TEKST – tekst nieartykułowany (np. podst. prawna rozp. lub preambuła)"/>
    <w:basedOn w:val="ARTartustawynprozporzdzenia"/>
    <w:next w:val="ARTartustawynprozporzdzenia"/>
    <w:qFormat/>
    <w:rsid w:val="005A3915"/>
    <w:rPr>
      <w:bCs/>
    </w:rPr>
  </w:style>
  <w:style w:type="paragraph" w:styleId="Nagwek">
    <w:name w:val="header"/>
    <w:basedOn w:val="Normalny"/>
    <w:link w:val="NagwekZnak"/>
    <w:uiPriority w:val="99"/>
    <w:unhideWhenUsed/>
    <w:rsid w:val="003C7ADF"/>
    <w:pPr>
      <w:tabs>
        <w:tab w:val="center" w:pos="4536"/>
        <w:tab w:val="right" w:pos="9072"/>
      </w:tabs>
      <w:spacing w:line="240" w:lineRule="auto"/>
    </w:pPr>
  </w:style>
  <w:style w:type="character" w:customStyle="1" w:styleId="NagwekZnak">
    <w:name w:val="Nagłówek Znak"/>
    <w:basedOn w:val="Domylnaczcionkaakapitu"/>
    <w:link w:val="Nagwek"/>
    <w:uiPriority w:val="99"/>
    <w:rsid w:val="003C7ADF"/>
    <w:rPr>
      <w:rFonts w:ascii="Times New Roman" w:eastAsiaTheme="minorEastAsia" w:hAnsi="Times New Roman" w:cs="Arial"/>
      <w:sz w:val="24"/>
      <w:szCs w:val="20"/>
      <w:lang w:eastAsia="pl-PL"/>
    </w:rPr>
  </w:style>
  <w:style w:type="paragraph" w:styleId="Stopka">
    <w:name w:val="footer"/>
    <w:basedOn w:val="Normalny"/>
    <w:link w:val="StopkaZnak"/>
    <w:uiPriority w:val="99"/>
    <w:unhideWhenUsed/>
    <w:rsid w:val="003C7ADF"/>
    <w:pPr>
      <w:tabs>
        <w:tab w:val="center" w:pos="4536"/>
        <w:tab w:val="right" w:pos="9072"/>
      </w:tabs>
      <w:spacing w:line="240" w:lineRule="auto"/>
    </w:pPr>
  </w:style>
  <w:style w:type="character" w:customStyle="1" w:styleId="StopkaZnak">
    <w:name w:val="Stopka Znak"/>
    <w:basedOn w:val="Domylnaczcionkaakapitu"/>
    <w:link w:val="Stopka"/>
    <w:uiPriority w:val="99"/>
    <w:rsid w:val="003C7ADF"/>
    <w:rPr>
      <w:rFonts w:ascii="Times New Roman" w:eastAsiaTheme="minorEastAsia" w:hAnsi="Times New Roman" w:cs="Arial"/>
      <w:sz w:val="24"/>
      <w:szCs w:val="20"/>
      <w:lang w:eastAsia="pl-PL"/>
    </w:rPr>
  </w:style>
  <w:style w:type="character" w:styleId="Odwoaniedokomentarza">
    <w:name w:val="annotation reference"/>
    <w:basedOn w:val="Domylnaczcionkaakapitu"/>
    <w:uiPriority w:val="99"/>
    <w:semiHidden/>
    <w:unhideWhenUsed/>
    <w:rsid w:val="00A83F61"/>
    <w:rPr>
      <w:sz w:val="16"/>
      <w:szCs w:val="16"/>
    </w:rPr>
  </w:style>
  <w:style w:type="paragraph" w:styleId="Tematkomentarza">
    <w:name w:val="annotation subject"/>
    <w:basedOn w:val="Tekstkomentarza"/>
    <w:next w:val="Tekstkomentarza"/>
    <w:link w:val="TematkomentarzaZnak"/>
    <w:uiPriority w:val="99"/>
    <w:semiHidden/>
    <w:unhideWhenUsed/>
    <w:rsid w:val="00A83F61"/>
    <w:pPr>
      <w:spacing w:line="240" w:lineRule="auto"/>
    </w:pPr>
    <w:rPr>
      <w:rFonts w:ascii="Times New Roman" w:eastAsiaTheme="minorEastAsia" w:hAnsi="Times New Roman" w:cs="Arial"/>
      <w:b/>
      <w:bCs/>
      <w:sz w:val="20"/>
      <w:szCs w:val="20"/>
    </w:rPr>
  </w:style>
  <w:style w:type="character" w:customStyle="1" w:styleId="TematkomentarzaZnak">
    <w:name w:val="Temat komentarza Znak"/>
    <w:basedOn w:val="TekstkomentarzaZnak"/>
    <w:link w:val="Tematkomentarza"/>
    <w:uiPriority w:val="99"/>
    <w:semiHidden/>
    <w:rsid w:val="00A83F61"/>
    <w:rPr>
      <w:rFonts w:ascii="Times New Roman" w:eastAsiaTheme="minorEastAsia" w:hAnsi="Times New Roman" w:cs="Arial"/>
      <w:b/>
      <w:bCs/>
      <w:sz w:val="20"/>
      <w:szCs w:val="20"/>
      <w:lang w:eastAsia="pl-PL"/>
    </w:rPr>
  </w:style>
  <w:style w:type="paragraph" w:styleId="Tekstprzypisudolnego">
    <w:name w:val="footnote text"/>
    <w:basedOn w:val="Normalny"/>
    <w:link w:val="TekstprzypisudolnegoZnak"/>
    <w:uiPriority w:val="99"/>
    <w:semiHidden/>
    <w:unhideWhenUsed/>
    <w:rsid w:val="00F32C8C"/>
    <w:pPr>
      <w:spacing w:line="240" w:lineRule="auto"/>
    </w:pPr>
    <w:rPr>
      <w:sz w:val="20"/>
    </w:rPr>
  </w:style>
  <w:style w:type="character" w:customStyle="1" w:styleId="TekstprzypisudolnegoZnak">
    <w:name w:val="Tekst przypisu dolnego Znak"/>
    <w:basedOn w:val="Domylnaczcionkaakapitu"/>
    <w:link w:val="Tekstprzypisudolnego"/>
    <w:uiPriority w:val="99"/>
    <w:semiHidden/>
    <w:rsid w:val="00F32C8C"/>
    <w:rPr>
      <w:rFonts w:ascii="Times New Roman" w:eastAsiaTheme="minorEastAsia" w:hAnsi="Times New Roman" w:cs="Arial"/>
      <w:sz w:val="20"/>
      <w:szCs w:val="20"/>
      <w:lang w:eastAsia="pl-PL"/>
    </w:rPr>
  </w:style>
  <w:style w:type="character" w:styleId="Odwoanieprzypisudolnego">
    <w:name w:val="footnote reference"/>
    <w:basedOn w:val="Domylnaczcionkaakapitu"/>
    <w:uiPriority w:val="99"/>
    <w:semiHidden/>
    <w:unhideWhenUsed/>
    <w:rsid w:val="00F32C8C"/>
    <w:rPr>
      <w:vertAlign w:val="superscript"/>
    </w:rPr>
  </w:style>
  <w:style w:type="character" w:styleId="Hipercze">
    <w:name w:val="Hyperlink"/>
    <w:basedOn w:val="Domylnaczcionkaakapitu"/>
    <w:uiPriority w:val="99"/>
    <w:semiHidden/>
    <w:unhideWhenUsed/>
    <w:rsid w:val="004576C1"/>
    <w:rPr>
      <w:color w:val="0000FF"/>
      <w:u w:val="single"/>
    </w:rPr>
  </w:style>
  <w:style w:type="paragraph" w:styleId="Akapitzlist">
    <w:name w:val="List Paragraph"/>
    <w:basedOn w:val="Normalny"/>
    <w:uiPriority w:val="34"/>
    <w:qFormat/>
    <w:rsid w:val="004661F7"/>
    <w:pPr>
      <w:widowControl/>
      <w:spacing w:after="160" w:line="259" w:lineRule="auto"/>
      <w:ind w:left="720"/>
      <w:contextualSpacing/>
    </w:pPr>
    <w:rPr>
      <w:rFonts w:asciiTheme="minorHAnsi" w:eastAsiaTheme="minorHAnsi" w:hAnsiTheme="minorHAnsi" w:cstheme="minorBidi"/>
      <w:sz w:val="22"/>
      <w:szCs w:val="22"/>
      <w:lang w:eastAsia="en-US"/>
    </w:rPr>
  </w:style>
  <w:style w:type="paragraph" w:styleId="Tekstprzypisukocowego">
    <w:name w:val="endnote text"/>
    <w:basedOn w:val="Normalny"/>
    <w:link w:val="TekstprzypisukocowegoZnak"/>
    <w:uiPriority w:val="99"/>
    <w:semiHidden/>
    <w:unhideWhenUsed/>
    <w:rsid w:val="00086F81"/>
    <w:pPr>
      <w:spacing w:line="240" w:lineRule="auto"/>
    </w:pPr>
    <w:rPr>
      <w:sz w:val="20"/>
    </w:rPr>
  </w:style>
  <w:style w:type="character" w:customStyle="1" w:styleId="TekstprzypisukocowegoZnak">
    <w:name w:val="Tekst przypisu końcowego Znak"/>
    <w:basedOn w:val="Domylnaczcionkaakapitu"/>
    <w:link w:val="Tekstprzypisukocowego"/>
    <w:uiPriority w:val="99"/>
    <w:semiHidden/>
    <w:rsid w:val="00086F81"/>
    <w:rPr>
      <w:rFonts w:ascii="Times New Roman" w:eastAsiaTheme="minorEastAsia" w:hAnsi="Times New Roman" w:cs="Arial"/>
      <w:sz w:val="20"/>
      <w:szCs w:val="20"/>
      <w:lang w:eastAsia="pl-PL"/>
    </w:rPr>
  </w:style>
  <w:style w:type="character" w:styleId="Odwoanieprzypisukocowego">
    <w:name w:val="endnote reference"/>
    <w:basedOn w:val="Domylnaczcionkaakapitu"/>
    <w:uiPriority w:val="99"/>
    <w:semiHidden/>
    <w:unhideWhenUsed/>
    <w:rsid w:val="00086F81"/>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527387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BA7885E-F321-4B0A-B24B-52A67C9A31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14</Pages>
  <Words>4626</Words>
  <Characters>27759</Characters>
  <Application>Microsoft Office Word</Application>
  <DocSecurity>0</DocSecurity>
  <Lines>231</Lines>
  <Paragraphs>64</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32321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Kaczorek Sylwia  (DLPC)</dc:creator>
  <cp:lastModifiedBy>Wójcik Aleksandra</cp:lastModifiedBy>
  <cp:revision>3</cp:revision>
  <dcterms:created xsi:type="dcterms:W3CDTF">2021-06-25T14:10:00Z</dcterms:created>
  <dcterms:modified xsi:type="dcterms:W3CDTF">2021-06-25T14:13:00Z</dcterms:modified>
</cp:coreProperties>
</file>