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F79" w:rsidRPr="005A3D4A" w:rsidRDefault="005A3D4A">
      <w:pPr>
        <w:widowControl w:val="0"/>
        <w:spacing w:line="360" w:lineRule="auto"/>
        <w:jc w:val="center"/>
        <w:rPr>
          <w:rFonts w:ascii="Tahoma" w:eastAsia="Times New Roman" w:hAnsi="Tahoma" w:cs="Tahoma"/>
          <w:b/>
          <w:sz w:val="24"/>
          <w:szCs w:val="24"/>
          <w:lang w:val="pl-PL"/>
        </w:rPr>
      </w:pPr>
      <w:r w:rsidRPr="005A3D4A">
        <w:rPr>
          <w:rFonts w:ascii="Tahoma" w:eastAsia="Times New Roman" w:hAnsi="Tahoma" w:cs="Tahoma"/>
          <w:b/>
          <w:sz w:val="24"/>
          <w:szCs w:val="24"/>
          <w:lang w:val="pl-PL"/>
        </w:rPr>
        <w:t>Uzasadnienie</w:t>
      </w:r>
    </w:p>
    <w:p w:rsidR="00370F79" w:rsidRPr="005A3D4A" w:rsidRDefault="00370F79">
      <w:pPr>
        <w:widowControl w:val="0"/>
        <w:spacing w:line="360" w:lineRule="auto"/>
        <w:jc w:val="center"/>
        <w:rPr>
          <w:rFonts w:ascii="Tahoma" w:eastAsia="Times New Roman" w:hAnsi="Tahoma" w:cs="Tahoma"/>
          <w:b/>
          <w:sz w:val="24"/>
          <w:szCs w:val="24"/>
          <w:lang w:val="pl-PL"/>
        </w:rPr>
      </w:pPr>
    </w:p>
    <w:p w:rsidR="00370F79" w:rsidRPr="005A3D4A" w:rsidRDefault="005A3D4A">
      <w:pPr>
        <w:widowControl w:val="0"/>
        <w:numPr>
          <w:ilvl w:val="0"/>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b/>
          <w:sz w:val="24"/>
          <w:szCs w:val="24"/>
          <w:lang w:val="pl-PL"/>
        </w:rPr>
        <w:t>Cel i potrzeba uchwalenia ustawy</w:t>
      </w:r>
    </w:p>
    <w:p w:rsidR="00370F79" w:rsidRPr="005A3D4A" w:rsidRDefault="00370F79">
      <w:pPr>
        <w:widowControl w:val="0"/>
        <w:spacing w:line="360" w:lineRule="auto"/>
        <w:ind w:right="-15"/>
        <w:jc w:val="both"/>
        <w:rPr>
          <w:rFonts w:ascii="Tahoma" w:eastAsia="Times New Roman" w:hAnsi="Tahoma" w:cs="Tahoma"/>
          <w:b/>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Istota regulacji.</w:t>
      </w:r>
      <w:r w:rsidRPr="005A3D4A">
        <w:rPr>
          <w:rFonts w:ascii="Tahoma" w:eastAsia="Times New Roman" w:hAnsi="Tahoma" w:cs="Tahoma"/>
          <w:sz w:val="24"/>
          <w:szCs w:val="24"/>
          <w:lang w:val="pl-PL"/>
        </w:rPr>
        <w:t xml:space="preserve"> Projekt ustawy zakłada (1) wprowadzenie podatku od niektórych usług cyfrowych, (2) określenie szczególnych obowiązków przedsiębiorstw sektora cyfrowego, (3) utworzenie Funduszu Technologii Cyfrowych, będącego państwowym funduszem celowym finansującym zadania operatora Ogólnopolskiej Sieci Edukacyjnej i działalność naukową prowadzoną przez publiczne instytuty badawcze oraz (4) włączenie do OSE bibliotek jednostek samorządu terytorialnego.</w:t>
      </w:r>
    </w:p>
    <w:p w:rsidR="00370F79" w:rsidRPr="005A3D4A" w:rsidRDefault="00370F79">
      <w:pPr>
        <w:widowControl w:val="0"/>
        <w:spacing w:line="360" w:lineRule="auto"/>
        <w:ind w:left="1440" w:right="-15"/>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 xml:space="preserve">Przedsiębiorstwa sektora cyfrowego. </w:t>
      </w:r>
      <w:r w:rsidRPr="005A3D4A">
        <w:rPr>
          <w:rFonts w:ascii="Tahoma" w:eastAsia="Times New Roman" w:hAnsi="Tahoma" w:cs="Tahoma"/>
          <w:sz w:val="24"/>
          <w:szCs w:val="24"/>
          <w:lang w:val="pl-PL"/>
        </w:rPr>
        <w:t>Rozwój technologiczny przyczynił się do wzrostu gospodarczego znaczenia przedsiębiorstw sektora cyfrowego. Prowadzą one działania na odległość, przy ograniczonej obecności fizycznej w danym państwie lub bez tej obecności. W przedsiębiorstwach tych kluczową rolę odgrywają zasoby niematerialne oraz wkład użytkowników końcowych w proces wytwarzania wartości – przekształcają one aktywność użytkowników w rodzaj darmowej pracy. Znaczenie przedsiębiorstw sektora cyfrowego rośnie, ponieważ rozwijają się o wiele szybciej niż inne sektory gospodarki.</w:t>
      </w: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br/>
        <w:t>Obowiązujące przepisy dotyczące opodatkowania osób prawnych (w przypadku Polski kluczowe znaczenie ma tu podatek dochodowy od osób prawnych) w małym stopniu przystają do praktyki funkcjonowania tych przedsiębiorstw. Opierają się one na założeniu, że tworzenie wartości wiąże się z fizyczną obecnością przedsiębiorstwa w danym państwie oraz że zachodzi tradycyjna relacja między wytwórcą wartości (producentem, sprzedawcą, usługodawcą itd.) a klientem, który nie wytwarza wartości. Ponadto charakter działalności przedsiębiorstw sektora cyfrowego, opierający się w znacznej mierze na zasobach niematerialnych, ułatwia im stosowanie agresywnego planowania podatkowego. Unikanie opodatkowania przez te firmy wpływa negatywnie na dochody sektora finansów publicznych i potencjał rozwo</w:t>
      </w:r>
      <w:bookmarkStart w:id="0" w:name="_GoBack"/>
      <w:bookmarkEnd w:id="0"/>
      <w:r w:rsidRPr="005A3D4A">
        <w:rPr>
          <w:rFonts w:ascii="Tahoma" w:eastAsia="Times New Roman" w:hAnsi="Tahoma" w:cs="Tahoma"/>
          <w:sz w:val="24"/>
          <w:szCs w:val="24"/>
          <w:lang w:val="pl-PL"/>
        </w:rPr>
        <w:t>jowy państw takich jak Polska.</w:t>
      </w:r>
    </w:p>
    <w:p w:rsidR="00370F79" w:rsidRPr="005A3D4A" w:rsidRDefault="00370F79">
      <w:pPr>
        <w:widowControl w:val="0"/>
        <w:spacing w:line="360" w:lineRule="auto"/>
        <w:ind w:left="1440" w:right="-15"/>
        <w:jc w:val="both"/>
        <w:rPr>
          <w:rFonts w:ascii="Tahoma" w:eastAsia="Times New Roman" w:hAnsi="Tahoma" w:cs="Tahoma"/>
          <w:sz w:val="24"/>
          <w:szCs w:val="24"/>
          <w:lang w:val="pl-PL"/>
        </w:rPr>
      </w:pPr>
    </w:p>
    <w:p w:rsid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 xml:space="preserve">Agresywne planowanie podatkowe. </w:t>
      </w:r>
      <w:r w:rsidRPr="005A3D4A">
        <w:rPr>
          <w:rFonts w:ascii="Tahoma" w:eastAsia="Times New Roman" w:hAnsi="Tahoma" w:cs="Tahoma"/>
          <w:sz w:val="24"/>
          <w:szCs w:val="24"/>
          <w:lang w:val="pl-PL"/>
        </w:rPr>
        <w:t xml:space="preserve">Problem unikania opodatkowania stał się w ostatnich latach przedmiotem zainteresowania instytucji międzynarodowych. Kraje OECD i G20 przyjęły plan działań w związku z projektem BEPS. Przeciwdziałanie </w:t>
      </w:r>
      <w:r w:rsidRPr="005A3D4A">
        <w:rPr>
          <w:rFonts w:ascii="Tahoma" w:eastAsia="Times New Roman" w:hAnsi="Tahoma" w:cs="Tahoma"/>
          <w:i/>
          <w:sz w:val="24"/>
          <w:szCs w:val="24"/>
          <w:lang w:val="pl-PL"/>
        </w:rPr>
        <w:t>Base Erosion and Profit Shifting</w:t>
      </w:r>
      <w:r w:rsidRPr="005A3D4A">
        <w:rPr>
          <w:rFonts w:ascii="Tahoma" w:eastAsia="Times New Roman" w:hAnsi="Tahoma" w:cs="Tahoma"/>
          <w:sz w:val="24"/>
          <w:szCs w:val="24"/>
          <w:lang w:val="pl-PL"/>
        </w:rPr>
        <w:t xml:space="preserve"> obejmuje wprowadzenie spójności w krajowych regułach podatkowych, wzmocnienie standardów międzynarodowych oraz poprawę przejrzystości prawa. Propozycja nałożenia na największe przedsiębiorstwa sektora cyfrowego podatku przychodowego stanowi jeden z możliwych wariantów dostosowania polskich przepisów podatkowych do nowej rzeczywistości.</w:t>
      </w:r>
    </w:p>
    <w:p w:rsidR="00370F79" w:rsidRPr="005A3D4A" w:rsidRDefault="005A3D4A" w:rsidP="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br/>
        <w:t xml:space="preserve">Przedsiębiorstwa sektora cyfrowego wykorzystują w znacznej mierze zasoby niematerialne. Autorzy raportu </w:t>
      </w:r>
      <w:r w:rsidRPr="005A3D4A">
        <w:rPr>
          <w:rFonts w:ascii="Tahoma" w:eastAsia="Times New Roman" w:hAnsi="Tahoma" w:cs="Tahoma"/>
          <w:i/>
          <w:sz w:val="24"/>
          <w:szCs w:val="24"/>
          <w:lang w:val="pl-PL"/>
        </w:rPr>
        <w:t>Podatek cyfrowy od gigantów. Ekspertyza w zakresie wprowadzenia w Polsce podatku cyfrowego (DST)</w:t>
      </w:r>
      <w:r w:rsidRPr="005A3D4A">
        <w:rPr>
          <w:rFonts w:ascii="Tahoma" w:eastAsia="Times New Roman" w:hAnsi="Tahoma" w:cs="Tahoma"/>
          <w:sz w:val="24"/>
          <w:szCs w:val="24"/>
          <w:lang w:val="pl-PL"/>
        </w:rPr>
        <w:t xml:space="preserve"> wskazują, że ich „wycena i charakterystyka (np. geograficzna lokalizacja) jest wysoce sporna. W ten sposób cyfrowe platformy mogą przesuwać swoje aktywa, wykorzystywać ceny transferowe do manipulacji kosztami i raportować zyski w relatywnie niżej opodatkowanych jurysdykcjach, mimo operowania np. w państwie dobrobytu o wyższych stawkach podatkowych”</w:t>
      </w:r>
      <w:r w:rsidRPr="005A3D4A">
        <w:rPr>
          <w:rFonts w:ascii="Tahoma" w:eastAsia="Times New Roman" w:hAnsi="Tahoma" w:cs="Tahoma"/>
          <w:sz w:val="24"/>
          <w:szCs w:val="24"/>
          <w:vertAlign w:val="superscript"/>
          <w:lang w:val="pl-PL"/>
        </w:rPr>
        <w:footnoteReference w:id="1"/>
      </w:r>
      <w:r w:rsidRPr="005A3D4A">
        <w:rPr>
          <w:rFonts w:ascii="Tahoma" w:eastAsia="Times New Roman" w:hAnsi="Tahoma" w:cs="Tahoma"/>
          <w:sz w:val="24"/>
          <w:szCs w:val="24"/>
          <w:lang w:val="pl-PL"/>
        </w:rPr>
        <w:t xml:space="preserve">. </w:t>
      </w:r>
      <w:r w:rsidRPr="005A3D4A">
        <w:rPr>
          <w:rFonts w:ascii="Tahoma" w:eastAsia="Times New Roman" w:hAnsi="Tahoma" w:cs="Tahoma"/>
          <w:sz w:val="24"/>
          <w:szCs w:val="24"/>
          <w:lang w:val="pl-PL"/>
        </w:rPr>
        <w:br/>
      </w:r>
      <w:r w:rsidRPr="005A3D4A">
        <w:rPr>
          <w:rFonts w:ascii="Tahoma" w:eastAsia="Times New Roman" w:hAnsi="Tahoma" w:cs="Tahoma"/>
          <w:sz w:val="24"/>
          <w:szCs w:val="24"/>
          <w:lang w:val="pl-PL"/>
        </w:rPr>
        <w:br/>
        <w:t xml:space="preserve">W oczekiwaniu na wynik prac OECD Komisja Europejska wstrzymała wdrożenie własnej propozycji podatku cyfrowego z marca 2018 r. Prace OECD są jednak dotychczas niezakończone i nieznany jest realistyczny termin ich zakończenia. Komisja Europejska (w projekcie Dyrektywy Rady w sprawie wspólnego systemu podatku od usług cyfrowych pobieranego od przychodów wynikających ze świadczenia niektórych usług cyfrowych z dnia 21 marca 2018 roku) zaproponowała alternatywne rozwiązanie tymczasowe, dające możliwość nałożenia stosunkowo prostego podatku do momentu ustalenia jednolitych </w:t>
      </w:r>
      <w:r w:rsidRPr="005A3D4A">
        <w:rPr>
          <w:rFonts w:ascii="Tahoma" w:eastAsia="Times New Roman" w:hAnsi="Tahoma" w:cs="Tahoma"/>
          <w:sz w:val="24"/>
          <w:szCs w:val="24"/>
          <w:lang w:val="pl-PL"/>
        </w:rPr>
        <w:lastRenderedPageBreak/>
        <w:t>rozwiązań na szczeblu światowym</w:t>
      </w:r>
      <w:r w:rsidRPr="005A3D4A">
        <w:rPr>
          <w:rFonts w:ascii="Tahoma" w:eastAsia="Times New Roman" w:hAnsi="Tahoma" w:cs="Tahoma"/>
          <w:sz w:val="24"/>
          <w:szCs w:val="24"/>
          <w:vertAlign w:val="superscript"/>
          <w:lang w:val="pl-PL"/>
        </w:rPr>
        <w:footnoteReference w:id="2"/>
      </w:r>
      <w:r w:rsidRPr="005A3D4A">
        <w:rPr>
          <w:rFonts w:ascii="Tahoma" w:eastAsia="Times New Roman" w:hAnsi="Tahoma" w:cs="Tahoma"/>
          <w:sz w:val="24"/>
          <w:szCs w:val="24"/>
          <w:lang w:val="pl-PL"/>
        </w:rPr>
        <w:t>. Model ten oparty jest o specyficzny podatek pobierany od skonsolidowanych przychodów podmiotów świadczących określone usługi (</w:t>
      </w:r>
      <w:r w:rsidRPr="005A3D4A">
        <w:rPr>
          <w:rFonts w:ascii="Tahoma" w:eastAsia="Times New Roman" w:hAnsi="Tahoma" w:cs="Tahoma"/>
          <w:i/>
          <w:sz w:val="24"/>
          <w:szCs w:val="24"/>
          <w:lang w:val="pl-PL"/>
        </w:rPr>
        <w:t>Digital Service Tax</w:t>
      </w:r>
      <w:r w:rsidRPr="005A3D4A">
        <w:rPr>
          <w:rFonts w:ascii="Tahoma" w:eastAsia="Times New Roman" w:hAnsi="Tahoma" w:cs="Tahoma"/>
          <w:sz w:val="24"/>
          <w:szCs w:val="24"/>
          <w:lang w:val="pl-PL"/>
        </w:rPr>
        <w:t xml:space="preserve"> – DST). Alternatywną opcją, wskazywaną wcześniej przez Komisję Europejską, była zmiana kształtu CIT poprzez modyfikację definicji stałego (zagranicznego) zakładu i stworzenie wspólnej skonsolidowanej podstawy opodatkowania osób prawnych</w:t>
      </w:r>
      <w:r w:rsidRPr="005A3D4A">
        <w:rPr>
          <w:rFonts w:ascii="Tahoma" w:eastAsia="Times New Roman" w:hAnsi="Tahoma" w:cs="Tahoma"/>
          <w:sz w:val="24"/>
          <w:szCs w:val="24"/>
          <w:vertAlign w:val="superscript"/>
          <w:lang w:val="pl-PL"/>
        </w:rPr>
        <w:footnoteReference w:id="3"/>
      </w:r>
      <w:r w:rsidRPr="005A3D4A">
        <w:rPr>
          <w:rFonts w:ascii="Tahoma" w:eastAsia="Times New Roman" w:hAnsi="Tahoma" w:cs="Tahoma"/>
          <w:sz w:val="24"/>
          <w:szCs w:val="24"/>
          <w:lang w:val="pl-PL"/>
        </w:rPr>
        <w:t>. Tak skomplikowana regulacja wymagałaby jednak znacznych nakładów, modyfikacji fundamentalnych dla polskiego systemu podatkowego zasad, harmonizacji zmian prawnych co najmniej na poziomie unijnym oraz stosunkowo długich okresów przejściowych przewidzianych prawem – wprowadzenie jej byłoby więc znacząco utrudnione.</w:t>
      </w:r>
      <w:r w:rsidRPr="005A3D4A">
        <w:rPr>
          <w:rFonts w:ascii="Tahoma" w:eastAsia="Times New Roman" w:hAnsi="Tahoma" w:cs="Tahoma"/>
          <w:sz w:val="24"/>
          <w:szCs w:val="24"/>
          <w:lang w:val="pl-PL"/>
        </w:rPr>
        <w:br/>
      </w:r>
      <w:r w:rsidRPr="005A3D4A">
        <w:rPr>
          <w:rFonts w:ascii="Tahoma" w:eastAsia="Times New Roman" w:hAnsi="Tahoma" w:cs="Tahoma"/>
          <w:sz w:val="24"/>
          <w:szCs w:val="24"/>
          <w:lang w:val="pl-PL"/>
        </w:rPr>
        <w:br/>
        <w:t>Wobec niekompletności prac OECD i wstrzymania prac na poziomie unijnym, kolejne kraje UE przyjmują (np. Francja, Austria) lub rozpoczynają prace (np. Czechy, Hiszpania) nad własnymi regulacjami w zakresie podatku cyfrowego, kształtowanymi w oparciu o dotychczasowe prace KE. Zawarta w niniejszym projekcie ustawy propozycja również opiera się na przedstawionym przez KE modelu DST.</w:t>
      </w:r>
    </w:p>
    <w:p w:rsidR="00370F79" w:rsidRPr="005A3D4A" w:rsidRDefault="00370F79">
      <w:pPr>
        <w:widowControl w:val="0"/>
        <w:spacing w:line="360" w:lineRule="auto"/>
        <w:ind w:left="1440" w:right="-15"/>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 xml:space="preserve">Monopolistyczny/oligopolistyczny charakter rynku cyfrowego. </w:t>
      </w:r>
      <w:r w:rsidRPr="005A3D4A">
        <w:rPr>
          <w:rFonts w:ascii="Tahoma" w:eastAsia="Times New Roman" w:hAnsi="Tahoma" w:cs="Tahoma"/>
          <w:sz w:val="24"/>
          <w:szCs w:val="24"/>
          <w:lang w:val="pl-PL"/>
        </w:rPr>
        <w:t xml:space="preserve">Koncentracja firm operujących na rynku cyfrowym jest daleko posunięta. Łączny udział Alphabet (m.in. Google, YouTube i Android OS) i Facebook (m.in. Facebook, Instagram i WhatsApp) w amerykańskim rynku reklamy cyfrowej wyniesie w 2020 roku 60,7%, a kolejne 8,6% </w:t>
      </w:r>
      <w:r w:rsidRPr="005A3D4A">
        <w:rPr>
          <w:rFonts w:ascii="Tahoma" w:eastAsia="Times New Roman" w:hAnsi="Tahoma" w:cs="Tahoma"/>
          <w:sz w:val="24"/>
          <w:szCs w:val="24"/>
          <w:lang w:val="pl-PL"/>
        </w:rPr>
        <w:lastRenderedPageBreak/>
        <w:t>rynku kontroluje – dynamicznie zwiększając swój udział – Amazon</w:t>
      </w:r>
      <w:r w:rsidRPr="005A3D4A">
        <w:rPr>
          <w:rFonts w:ascii="Tahoma" w:eastAsia="Times New Roman" w:hAnsi="Tahoma" w:cs="Tahoma"/>
          <w:sz w:val="24"/>
          <w:szCs w:val="24"/>
          <w:vertAlign w:val="superscript"/>
          <w:lang w:val="pl-PL"/>
        </w:rPr>
        <w:footnoteReference w:id="4"/>
      </w:r>
      <w:r w:rsidRPr="005A3D4A">
        <w:rPr>
          <w:rFonts w:ascii="Tahoma" w:eastAsia="Times New Roman" w:hAnsi="Tahoma" w:cs="Tahoma"/>
          <w:sz w:val="24"/>
          <w:szCs w:val="24"/>
          <w:lang w:val="pl-PL"/>
        </w:rPr>
        <w:t>. Według innych szacunków, pomijając rynek chiński, Alphabet i Facebook kontrolują 84% wydatków na światowym rynku reklamy</w:t>
      </w:r>
      <w:r w:rsidRPr="005A3D4A">
        <w:rPr>
          <w:rFonts w:ascii="Tahoma" w:eastAsia="Times New Roman" w:hAnsi="Tahoma" w:cs="Tahoma"/>
          <w:sz w:val="24"/>
          <w:szCs w:val="24"/>
          <w:vertAlign w:val="superscript"/>
          <w:lang w:val="pl-PL"/>
        </w:rPr>
        <w:footnoteReference w:id="5"/>
      </w:r>
      <w:r w:rsidRPr="005A3D4A">
        <w:rPr>
          <w:rFonts w:ascii="Tahoma" w:eastAsia="Times New Roman" w:hAnsi="Tahoma" w:cs="Tahoma"/>
          <w:sz w:val="24"/>
          <w:szCs w:val="24"/>
          <w:lang w:val="pl-PL"/>
        </w:rPr>
        <w:t>. Szacuje się, że w ciągu zaledwie dekady 30% całej światowej produkcji może być podporządkowane GAFA (Google, Amazon, Facebook, Apple) i garstce innych przedsiębiorstw operujących według ich modelu biznesowego</w:t>
      </w:r>
      <w:r w:rsidRPr="005A3D4A">
        <w:rPr>
          <w:rFonts w:ascii="Tahoma" w:eastAsia="Times New Roman" w:hAnsi="Tahoma" w:cs="Tahoma"/>
          <w:sz w:val="24"/>
          <w:szCs w:val="24"/>
          <w:vertAlign w:val="superscript"/>
          <w:lang w:val="pl-PL"/>
        </w:rPr>
        <w:footnoteReference w:id="6"/>
      </w:r>
      <w:r w:rsidRPr="005A3D4A">
        <w:rPr>
          <w:rFonts w:ascii="Tahoma" w:eastAsia="Times New Roman" w:hAnsi="Tahoma" w:cs="Tahoma"/>
          <w:sz w:val="24"/>
          <w:szCs w:val="24"/>
          <w:lang w:val="pl-PL"/>
        </w:rPr>
        <w:t>.</w:t>
      </w:r>
      <w:r w:rsidRPr="005A3D4A">
        <w:rPr>
          <w:rFonts w:ascii="Tahoma" w:eastAsia="Times New Roman" w:hAnsi="Tahoma" w:cs="Tahoma"/>
          <w:sz w:val="24"/>
          <w:szCs w:val="24"/>
          <w:lang w:val="pl-PL"/>
        </w:rPr>
        <w:br/>
      </w:r>
      <w:r w:rsidRPr="005A3D4A">
        <w:rPr>
          <w:rFonts w:ascii="Tahoma" w:eastAsia="Times New Roman" w:hAnsi="Tahoma" w:cs="Tahoma"/>
          <w:sz w:val="24"/>
          <w:szCs w:val="24"/>
          <w:lang w:val="pl-PL"/>
        </w:rPr>
        <w:br/>
        <w:t xml:space="preserve">Przedsiębiorstwa sektora cyfrowego wykupują zarówno ugruntowanych, ale słabszych rywali na rynku cyfrowym, jak i potencjalnie zagrażające ich pozycji nowe przedsiębiorstwa, często jedynie w celu zduszenia konkurencji (tzw. </w:t>
      </w:r>
      <w:r w:rsidRPr="005A3D4A">
        <w:rPr>
          <w:rFonts w:ascii="Tahoma" w:eastAsia="Times New Roman" w:hAnsi="Tahoma" w:cs="Tahoma"/>
          <w:i/>
          <w:sz w:val="24"/>
          <w:szCs w:val="24"/>
          <w:lang w:val="pl-PL"/>
        </w:rPr>
        <w:t>killer acquisitions</w:t>
      </w:r>
      <w:r w:rsidRPr="005A3D4A">
        <w:rPr>
          <w:rFonts w:ascii="Tahoma" w:eastAsia="Times New Roman" w:hAnsi="Tahoma" w:cs="Tahoma"/>
          <w:sz w:val="24"/>
          <w:szCs w:val="24"/>
          <w:lang w:val="pl-PL"/>
        </w:rPr>
        <w:t>)</w:t>
      </w:r>
      <w:r w:rsidRPr="005A3D4A">
        <w:rPr>
          <w:rFonts w:ascii="Tahoma" w:eastAsia="Times New Roman" w:hAnsi="Tahoma" w:cs="Tahoma"/>
          <w:sz w:val="24"/>
          <w:szCs w:val="24"/>
          <w:vertAlign w:val="superscript"/>
          <w:lang w:val="pl-PL"/>
        </w:rPr>
        <w:footnoteReference w:id="7"/>
      </w:r>
      <w:r w:rsidRPr="005A3D4A">
        <w:rPr>
          <w:rFonts w:ascii="Tahoma" w:eastAsia="Times New Roman" w:hAnsi="Tahoma" w:cs="Tahoma"/>
          <w:sz w:val="24"/>
          <w:szCs w:val="24"/>
          <w:lang w:val="pl-PL"/>
        </w:rPr>
        <w:t>. Obecny poziom koncentracji kapitału na rynku cyfrowym zniechęca inwestorów do angażowania się w nowe przedsięwzięcia, które miałyby konkurować z podmiotami dominującymi na rynku</w:t>
      </w:r>
      <w:r w:rsidRPr="005A3D4A">
        <w:rPr>
          <w:rFonts w:ascii="Tahoma" w:eastAsia="Times New Roman" w:hAnsi="Tahoma" w:cs="Tahoma"/>
          <w:sz w:val="24"/>
          <w:szCs w:val="24"/>
          <w:vertAlign w:val="superscript"/>
          <w:lang w:val="pl-PL"/>
        </w:rPr>
        <w:footnoteReference w:id="8"/>
      </w:r>
      <w:r w:rsidRPr="005A3D4A">
        <w:rPr>
          <w:rFonts w:ascii="Tahoma" w:eastAsia="Times New Roman" w:hAnsi="Tahoma" w:cs="Tahoma"/>
          <w:sz w:val="24"/>
          <w:szCs w:val="24"/>
          <w:lang w:val="pl-PL"/>
        </w:rPr>
        <w:t xml:space="preserve">. W efekcie, poza największymi podmiotami, spadają prywatne nakłady na badania i rozwój. Gdy mniejsze przedsiębiorstwa sektora cyfrowego przestają wywierać presję na innowacyjność, cyfrowe giganty same również zmniejszają nakłady na B+R, przekierowując zaoszczędzone w ten sposób środki na intensyfikację fuzji i przejęć (M&amp;A). Towarzyszą temu inne negatywne zjawiska, jak zmniejszenie udziału </w:t>
      </w:r>
      <w:r w:rsidRPr="005A3D4A">
        <w:rPr>
          <w:rFonts w:ascii="Tahoma" w:eastAsia="Times New Roman" w:hAnsi="Tahoma" w:cs="Tahoma"/>
          <w:sz w:val="24"/>
          <w:szCs w:val="24"/>
          <w:lang w:val="pl-PL"/>
        </w:rPr>
        <w:lastRenderedPageBreak/>
        <w:t>wynagrodzeń w kosztach. Początkowe innowacje i wysoka produktywność, które leżały u źródeł dynamicznego rozwoju rynku cyfrowego, długoterminowo prowadzą więc paradoksalnie do ograniczenia innowacji i zahamowania wzrostu produktywności</w:t>
      </w:r>
      <w:r w:rsidRPr="005A3D4A">
        <w:rPr>
          <w:rFonts w:ascii="Tahoma" w:eastAsia="Times New Roman" w:hAnsi="Tahoma" w:cs="Tahoma"/>
          <w:sz w:val="24"/>
          <w:szCs w:val="24"/>
          <w:vertAlign w:val="superscript"/>
          <w:lang w:val="pl-PL"/>
        </w:rPr>
        <w:footnoteReference w:id="9"/>
      </w:r>
      <w:r w:rsidRPr="005A3D4A">
        <w:rPr>
          <w:rFonts w:ascii="Tahoma" w:eastAsia="Times New Roman" w:hAnsi="Tahoma" w:cs="Tahoma"/>
          <w:sz w:val="24"/>
          <w:szCs w:val="24"/>
          <w:lang w:val="pl-PL"/>
        </w:rPr>
        <w:t>.</w:t>
      </w:r>
      <w:r w:rsidRPr="005A3D4A">
        <w:rPr>
          <w:rFonts w:ascii="Tahoma" w:eastAsia="Times New Roman" w:hAnsi="Tahoma" w:cs="Tahoma"/>
          <w:sz w:val="24"/>
          <w:szCs w:val="24"/>
          <w:lang w:val="pl-PL"/>
        </w:rPr>
        <w:br/>
      </w:r>
      <w:r w:rsidRPr="005A3D4A">
        <w:rPr>
          <w:rFonts w:ascii="Tahoma" w:eastAsia="Times New Roman" w:hAnsi="Tahoma" w:cs="Tahoma"/>
          <w:sz w:val="24"/>
          <w:szCs w:val="24"/>
          <w:lang w:val="pl-PL"/>
        </w:rPr>
        <w:br/>
        <w:t>Największe przedsiębiorstwa sektora cyfrowego wzbogacają swoje portfolio o linie biznesowe związane z rynkiem cyfrowym jedynie pośrednio albo niezwiązane z nim wcale (np. Alphabet jest właścicielem nie tylko Google i YouTube, ale też Android OS, Google Home, Google Fiber, Loon, Calico czy Waymo; Amazon jest z kolei właścicielem m.in. Kindle, Amazon Echo, Prime Video, Twitch, IMDb, Whole Foods Market czy AWS). Także przedsiębiorstwa sektora cyfrowego spoza „wielkiej czwórki”, niekorzystające z ich modelu biznesowego, wywierają znaczący wpływ na niezwiązane bezpośrednio z rynkiem cyfrowym tradycyjne rynki dóbr i usług, jak na przykład przedsiębiorstwa oferujące aplikacje do zamawiania usług transportu samochodowego na usługi taksówkarskie (czy szerzej rynek pracy</w:t>
      </w:r>
      <w:r w:rsidRPr="005A3D4A">
        <w:rPr>
          <w:rFonts w:ascii="Tahoma" w:eastAsia="Times New Roman" w:hAnsi="Tahoma" w:cs="Tahoma"/>
          <w:sz w:val="24"/>
          <w:szCs w:val="24"/>
          <w:vertAlign w:val="superscript"/>
          <w:lang w:val="pl-PL"/>
        </w:rPr>
        <w:footnoteReference w:id="10"/>
      </w:r>
      <w:r w:rsidRPr="005A3D4A">
        <w:rPr>
          <w:rFonts w:ascii="Tahoma" w:eastAsia="Times New Roman" w:hAnsi="Tahoma" w:cs="Tahoma"/>
          <w:sz w:val="24"/>
          <w:szCs w:val="24"/>
          <w:lang w:val="pl-PL"/>
        </w:rPr>
        <w:t>) czy platformy pośredniczące w zawieraniu umów najmu krótkoterminowego na między innymi rynek mieszkaniowy</w:t>
      </w:r>
      <w:r w:rsidRPr="005A3D4A">
        <w:rPr>
          <w:rFonts w:ascii="Tahoma" w:eastAsia="Times New Roman" w:hAnsi="Tahoma" w:cs="Tahoma"/>
          <w:sz w:val="24"/>
          <w:szCs w:val="24"/>
          <w:vertAlign w:val="superscript"/>
          <w:lang w:val="pl-PL"/>
        </w:rPr>
        <w:footnoteReference w:id="11"/>
      </w:r>
      <w:r w:rsidRPr="005A3D4A">
        <w:rPr>
          <w:rFonts w:ascii="Tahoma" w:eastAsia="Times New Roman" w:hAnsi="Tahoma" w:cs="Tahoma"/>
          <w:sz w:val="24"/>
          <w:szCs w:val="24"/>
          <w:lang w:val="pl-PL"/>
        </w:rPr>
        <w:t xml:space="preserve"> – jednocześnie chętnie zaprzeczając, jakoby w ogóle na tych rynkach działały, i przedstawiając się jako firmy, które świadczą wyłącznie usługi informatyczne</w:t>
      </w:r>
      <w:r w:rsidRPr="005A3D4A">
        <w:rPr>
          <w:rFonts w:ascii="Tahoma" w:eastAsia="Times New Roman" w:hAnsi="Tahoma" w:cs="Tahoma"/>
          <w:sz w:val="24"/>
          <w:szCs w:val="24"/>
          <w:vertAlign w:val="superscript"/>
          <w:lang w:val="pl-PL"/>
        </w:rPr>
        <w:footnoteReference w:id="12"/>
      </w:r>
      <w:r w:rsidRPr="005A3D4A">
        <w:rPr>
          <w:rFonts w:ascii="Tahoma" w:eastAsia="Times New Roman" w:hAnsi="Tahoma" w:cs="Tahoma"/>
          <w:sz w:val="24"/>
          <w:szCs w:val="24"/>
          <w:lang w:val="pl-PL"/>
        </w:rPr>
        <w:t>.</w:t>
      </w: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lastRenderedPageBreak/>
        <w:br/>
        <w:t>Tendencja do powstawania na rynku cyfrowym monopoli napędzana jest przez minimalne koszty przyłączenia do sieci kolejnego użytkownika (zjawisko to zachodzi nawet wyraźniej niż w przypadku tradycyjnych monopoli naturalnych, takich jak wodociągi). Efekt sieciowy i brak interoperacyjności interfejsów należących do różnych podmiotów unieważniają pozornie niski kosztu zmiany dostawcy usługi cyfrowej („co z tego, że rezygnacja z serwisu społecznościowego na rzecz podobnego, potencjalnie lepszego, jest prosta, skoro to tego pierwszego używają wszyscy moi znajomi?”). Korzystając z dominującej pozycji, duże przedsiębiorstwa sektora cyfrowego są w stanie osiągnąć marżę operacyjną na poziomie 25-70%, czyli od bardzo wysokiej do niespotykanej w innych sektorach gospodarki</w:t>
      </w:r>
      <w:r w:rsidRPr="005A3D4A">
        <w:rPr>
          <w:rFonts w:ascii="Tahoma" w:eastAsia="Times New Roman" w:hAnsi="Tahoma" w:cs="Tahoma"/>
          <w:sz w:val="24"/>
          <w:szCs w:val="24"/>
          <w:vertAlign w:val="superscript"/>
          <w:lang w:val="pl-PL"/>
        </w:rPr>
        <w:footnoteReference w:id="13"/>
      </w:r>
      <w:r w:rsidRPr="005A3D4A">
        <w:rPr>
          <w:rFonts w:ascii="Tahoma" w:eastAsia="Times New Roman" w:hAnsi="Tahoma" w:cs="Tahoma"/>
          <w:sz w:val="24"/>
          <w:szCs w:val="24"/>
          <w:lang w:val="pl-PL"/>
        </w:rPr>
        <w:t>. Pozwala im to z oczywistych przyczyn na dalszą koncentrację.</w:t>
      </w:r>
      <w:r w:rsidRPr="005A3D4A">
        <w:rPr>
          <w:rFonts w:ascii="Tahoma" w:eastAsia="Times New Roman" w:hAnsi="Tahoma" w:cs="Tahoma"/>
          <w:sz w:val="24"/>
          <w:szCs w:val="24"/>
          <w:lang w:val="pl-PL"/>
        </w:rPr>
        <w:br/>
      </w:r>
      <w:r w:rsidRPr="005A3D4A">
        <w:rPr>
          <w:rFonts w:ascii="Tahoma" w:eastAsia="Times New Roman" w:hAnsi="Tahoma" w:cs="Tahoma"/>
          <w:sz w:val="24"/>
          <w:szCs w:val="24"/>
          <w:lang w:val="pl-PL"/>
        </w:rPr>
        <w:br/>
        <w:t>Giganci cyfrowi po eliminacji konkurencji mogą pozwolić sobie na obniżenie jakości świadczonych usług. Sztandarowym przykładem jest wykorzystywanie algorytmów manipulujących uwagą użytkowników oraz słaba ochrona ich danych</w:t>
      </w:r>
      <w:r w:rsidRPr="005A3D4A">
        <w:rPr>
          <w:rFonts w:ascii="Tahoma" w:eastAsia="Times New Roman" w:hAnsi="Tahoma" w:cs="Tahoma"/>
          <w:sz w:val="24"/>
          <w:szCs w:val="24"/>
          <w:vertAlign w:val="superscript"/>
          <w:lang w:val="pl-PL"/>
        </w:rPr>
        <w:footnoteReference w:id="14"/>
      </w:r>
      <w:r w:rsidRPr="005A3D4A">
        <w:rPr>
          <w:rFonts w:ascii="Tahoma" w:eastAsia="Times New Roman" w:hAnsi="Tahoma" w:cs="Tahoma"/>
          <w:sz w:val="24"/>
          <w:szCs w:val="24"/>
          <w:lang w:val="pl-PL"/>
        </w:rPr>
        <w:t>. Te praktyki biznesowe przynoszą negatywne efekty społeczne, jak popularyzacja teorii spiskowych i szerzenie nienawiści</w:t>
      </w:r>
      <w:r w:rsidRPr="005A3D4A">
        <w:rPr>
          <w:rFonts w:ascii="Tahoma" w:eastAsia="Times New Roman" w:hAnsi="Tahoma" w:cs="Tahoma"/>
          <w:sz w:val="24"/>
          <w:szCs w:val="24"/>
          <w:vertAlign w:val="superscript"/>
          <w:lang w:val="pl-PL"/>
        </w:rPr>
        <w:footnoteReference w:id="15"/>
      </w:r>
      <w:r w:rsidRPr="005A3D4A">
        <w:rPr>
          <w:rFonts w:ascii="Tahoma" w:eastAsia="Times New Roman" w:hAnsi="Tahoma" w:cs="Tahoma"/>
          <w:sz w:val="24"/>
          <w:szCs w:val="24"/>
          <w:lang w:val="pl-PL"/>
        </w:rPr>
        <w:t>.</w:t>
      </w: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br/>
        <w:t xml:space="preserve">Podsumowując: monopolizacja gospodarki cyfrowej zmniejsza nakłady prywatnych </w:t>
      </w:r>
      <w:r w:rsidRPr="005A3D4A">
        <w:rPr>
          <w:rFonts w:ascii="Tahoma" w:eastAsia="Times New Roman" w:hAnsi="Tahoma" w:cs="Tahoma"/>
          <w:sz w:val="24"/>
          <w:szCs w:val="24"/>
          <w:lang w:val="pl-PL"/>
        </w:rPr>
        <w:lastRenderedPageBreak/>
        <w:t xml:space="preserve">przedsiębiorstw na B+R; ogranicza wzrostu produktywności; prowadzi do ustalania nieracjonalnie wysokich marż, znacznie przewyższających wynikający z umowy społecznej tzw. godziwy zysk; osłabia pozycję małych przedsiębiorstw; prowadzi do szkodliwych efektów zewnętrznych (takich jak prekaryzacja pracy, ograniczenie dostępności mieszkań, gentryfikacja, dezinformacja); umożliwia obniżenie jakości świadczonych usług. </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Problem monopolizacji rynku cyfrowego i ich wpływu na otaczającą nas rzeczywistość budzi w ostatnich latach zainteresowanie społeczeństwa obywatelskiego</w:t>
      </w:r>
      <w:r w:rsidRPr="005A3D4A">
        <w:rPr>
          <w:rFonts w:ascii="Tahoma" w:eastAsia="Times New Roman" w:hAnsi="Tahoma" w:cs="Tahoma"/>
          <w:sz w:val="24"/>
          <w:szCs w:val="24"/>
          <w:vertAlign w:val="superscript"/>
          <w:lang w:val="pl-PL"/>
        </w:rPr>
        <w:footnoteReference w:id="16"/>
      </w:r>
      <w:r w:rsidRPr="005A3D4A">
        <w:rPr>
          <w:rFonts w:ascii="Tahoma" w:eastAsia="Times New Roman" w:hAnsi="Tahoma" w:cs="Tahoma"/>
          <w:sz w:val="24"/>
          <w:szCs w:val="24"/>
          <w:lang w:val="pl-PL"/>
        </w:rPr>
        <w:t>. Powstrzymanie tego negatywnego trendu jest celem, który stawia sobie coraz więcej organizacji międzynarodowych i rządów. Wśród proponowanych rozwiązań można wymienić między innymi wzmocnienie kontroli antymonopolowej, w tym rozbicie już istniejących monopoli na rynku cyfrowym</w:t>
      </w:r>
      <w:r w:rsidRPr="005A3D4A">
        <w:rPr>
          <w:rFonts w:ascii="Tahoma" w:eastAsia="Times New Roman" w:hAnsi="Tahoma" w:cs="Tahoma"/>
          <w:sz w:val="24"/>
          <w:szCs w:val="24"/>
          <w:vertAlign w:val="superscript"/>
          <w:lang w:val="pl-PL"/>
        </w:rPr>
        <w:footnoteReference w:id="17"/>
      </w:r>
      <w:r w:rsidRPr="005A3D4A">
        <w:rPr>
          <w:rFonts w:ascii="Tahoma" w:eastAsia="Times New Roman" w:hAnsi="Tahoma" w:cs="Tahoma"/>
          <w:sz w:val="24"/>
          <w:szCs w:val="24"/>
          <w:lang w:val="pl-PL"/>
        </w:rPr>
        <w:t>; dalszą regulację sektora, w tym wprowadzenie wymogów dotyczących interoperacyjności, ochrony danych użytkowników czy bardziej szczegółowej sprawozdawczości przedsiębiorstw; dostosowanie systemów podatkowych do gospodarki cyfrowej; wspieranie alternatyw wobec cyfrowych gigantów, w tym MŚP, przedsiębiorstw publicznych czy platformowych spółdzielni</w:t>
      </w:r>
      <w:r w:rsidRPr="005A3D4A">
        <w:rPr>
          <w:rFonts w:ascii="Tahoma" w:eastAsia="Times New Roman" w:hAnsi="Tahoma" w:cs="Tahoma"/>
          <w:sz w:val="24"/>
          <w:szCs w:val="24"/>
          <w:vertAlign w:val="superscript"/>
          <w:lang w:val="pl-PL"/>
        </w:rPr>
        <w:footnoteReference w:id="18"/>
      </w:r>
      <w:r w:rsidRPr="005A3D4A">
        <w:rPr>
          <w:rFonts w:ascii="Tahoma" w:eastAsia="Times New Roman" w:hAnsi="Tahoma" w:cs="Tahoma"/>
          <w:sz w:val="24"/>
          <w:szCs w:val="24"/>
          <w:lang w:val="pl-PL"/>
        </w:rPr>
        <w:t>. Nałożenie nowego podatku od niektórych usług cyfrowych – będącego w istocie podatkiem od renty monopolistycznej – może stanowić jeden ze sposobów regulacji sektora. Jego przyjęcie to jednak dopiero początek drogi. Należy zgodzić się z autorami raportu</w:t>
      </w:r>
      <w:r w:rsidRPr="005A3D4A">
        <w:rPr>
          <w:rFonts w:ascii="Tahoma" w:eastAsia="Times New Roman" w:hAnsi="Tahoma" w:cs="Tahoma"/>
          <w:i/>
          <w:sz w:val="24"/>
          <w:szCs w:val="24"/>
          <w:lang w:val="pl-PL"/>
        </w:rPr>
        <w:t xml:space="preserve"> Podatek cyfrowy </w:t>
      </w:r>
      <w:r w:rsidRPr="005A3D4A">
        <w:rPr>
          <w:rFonts w:ascii="Tahoma" w:eastAsia="Times New Roman" w:hAnsi="Tahoma" w:cs="Tahoma"/>
          <w:i/>
          <w:sz w:val="24"/>
          <w:szCs w:val="24"/>
          <w:lang w:val="pl-PL"/>
        </w:rPr>
        <w:lastRenderedPageBreak/>
        <w:t>od gigantów</w:t>
      </w:r>
      <w:r w:rsidRPr="005A3D4A">
        <w:rPr>
          <w:rFonts w:ascii="Tahoma" w:eastAsia="Times New Roman" w:hAnsi="Tahoma" w:cs="Tahoma"/>
          <w:sz w:val="24"/>
          <w:szCs w:val="24"/>
          <w:lang w:val="pl-PL"/>
        </w:rPr>
        <w:t>, że „ten instrument nie może być traktowany jako wystarczające rozwiązanie, ale może znacząco przyczynić się do zmniejszenia problemów związanych z aktywnością cyfrowych gigantów i zwiększyć możliwości finansowania niezbędnych dla społeczeństwa i gospodarki informacyjnej programów rozwojowych”</w:t>
      </w:r>
      <w:r w:rsidRPr="005A3D4A">
        <w:rPr>
          <w:rFonts w:ascii="Tahoma" w:eastAsia="Times New Roman" w:hAnsi="Tahoma" w:cs="Tahoma"/>
          <w:sz w:val="24"/>
          <w:szCs w:val="24"/>
          <w:vertAlign w:val="superscript"/>
          <w:lang w:val="pl-PL"/>
        </w:rPr>
        <w:footnoteReference w:id="19"/>
      </w:r>
      <w:r w:rsidRPr="005A3D4A">
        <w:rPr>
          <w:rFonts w:ascii="Tahoma" w:eastAsia="Times New Roman" w:hAnsi="Tahoma" w:cs="Tahoma"/>
          <w:sz w:val="24"/>
          <w:szCs w:val="24"/>
          <w:lang w:val="pl-PL"/>
        </w:rPr>
        <w:t>.</w:t>
      </w:r>
    </w:p>
    <w:p w:rsidR="00370F79" w:rsidRPr="005A3D4A" w:rsidRDefault="00370F79">
      <w:pPr>
        <w:widowControl w:val="0"/>
        <w:spacing w:line="360" w:lineRule="auto"/>
        <w:ind w:right="-15"/>
        <w:jc w:val="both"/>
        <w:rPr>
          <w:rFonts w:ascii="Tahoma" w:eastAsia="Times New Roman" w:hAnsi="Tahoma" w:cs="Tahoma"/>
          <w:i/>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Społeczne wytwarzanie wartości.</w:t>
      </w:r>
      <w:r w:rsidRPr="005A3D4A">
        <w:rPr>
          <w:rFonts w:ascii="Tahoma" w:eastAsia="Times New Roman" w:hAnsi="Tahoma" w:cs="Tahoma"/>
          <w:sz w:val="24"/>
          <w:szCs w:val="24"/>
          <w:lang w:val="pl-PL"/>
        </w:rPr>
        <w:t xml:space="preserve"> Chociaż korzystanie ze znacznej części wielostronnych interfejsów cyfrowych nie wymaga wnoszenia przez użytkownika końcowego opłat w tradycyjnym znaczeniu, usługi świadczone przez przedsiębiorstwa sektora cyfrowego nigdy nie są w rzeczywistości darmowe. Najczęściej odbiorca usługi płaci za nią swoimi danymi</w:t>
      </w:r>
      <w:r w:rsidRPr="005A3D4A">
        <w:rPr>
          <w:rFonts w:ascii="Tahoma" w:eastAsia="Times New Roman" w:hAnsi="Tahoma" w:cs="Tahoma"/>
          <w:sz w:val="24"/>
          <w:szCs w:val="24"/>
          <w:vertAlign w:val="superscript"/>
          <w:lang w:val="pl-PL"/>
        </w:rPr>
        <w:footnoteReference w:id="20"/>
      </w:r>
      <w:r w:rsidRPr="005A3D4A">
        <w:rPr>
          <w:rFonts w:ascii="Tahoma" w:eastAsia="Times New Roman" w:hAnsi="Tahoma" w:cs="Tahoma"/>
          <w:sz w:val="24"/>
          <w:szCs w:val="24"/>
          <w:lang w:val="pl-PL"/>
        </w:rPr>
        <w:t xml:space="preserve">, które są następnie analizowane, wykorzystywane przez algorytmy wybierające reklamy profilowane lub dążące do podtrzymania uwagi, a także sprzedawane innym podmiotom. To sami użytkownicy sami tworzą treści cyfrowe (portale społecznościowe) lub są dostarczycielami towarów (platformy </w:t>
      </w:r>
      <w:r w:rsidRPr="005A3D4A">
        <w:rPr>
          <w:rFonts w:ascii="Tahoma" w:eastAsia="Times New Roman" w:hAnsi="Tahoma" w:cs="Tahoma"/>
          <w:i/>
          <w:sz w:val="24"/>
          <w:szCs w:val="24"/>
          <w:lang w:val="pl-PL"/>
        </w:rPr>
        <w:t>ecommerce</w:t>
      </w:r>
      <w:r w:rsidRPr="005A3D4A">
        <w:rPr>
          <w:rFonts w:ascii="Tahoma" w:eastAsia="Times New Roman" w:hAnsi="Tahoma" w:cs="Tahoma"/>
          <w:sz w:val="24"/>
          <w:szCs w:val="24"/>
          <w:lang w:val="pl-PL"/>
        </w:rPr>
        <w:t>) i usługodawcami (platformy pośredniczące). W tym sensie wykonują na rzecz przedsiębiorstw sektora cyfrowego pracę, której wartość przekracza wartość oferowanych usług cyfrowych. Podatek od niektórych usług cyfrowych jest sposobem na odzyskanie dla społeczeństwa części wartości tej nieopłaconej pracy</w:t>
      </w:r>
      <w:r w:rsidRPr="005A3D4A">
        <w:rPr>
          <w:rFonts w:ascii="Tahoma" w:eastAsia="Times New Roman" w:hAnsi="Tahoma" w:cs="Tahoma"/>
          <w:sz w:val="24"/>
          <w:szCs w:val="24"/>
          <w:vertAlign w:val="superscript"/>
          <w:lang w:val="pl-PL"/>
        </w:rPr>
        <w:footnoteReference w:id="21"/>
      </w:r>
      <w:r w:rsidRPr="005A3D4A">
        <w:rPr>
          <w:rFonts w:ascii="Tahoma" w:eastAsia="Times New Roman" w:hAnsi="Tahoma" w:cs="Tahoma"/>
          <w:sz w:val="24"/>
          <w:szCs w:val="24"/>
          <w:lang w:val="pl-PL"/>
        </w:rPr>
        <w:t>.</w:t>
      </w:r>
      <w:r w:rsidRPr="005A3D4A">
        <w:rPr>
          <w:rFonts w:ascii="Tahoma" w:eastAsia="Times New Roman" w:hAnsi="Tahoma" w:cs="Tahoma"/>
          <w:sz w:val="24"/>
          <w:szCs w:val="24"/>
          <w:lang w:val="pl-PL"/>
        </w:rPr>
        <w:br/>
      </w:r>
      <w:r w:rsidRPr="005A3D4A">
        <w:rPr>
          <w:rFonts w:ascii="Tahoma" w:eastAsia="Times New Roman" w:hAnsi="Tahoma" w:cs="Tahoma"/>
          <w:sz w:val="24"/>
          <w:szCs w:val="24"/>
          <w:lang w:val="pl-PL"/>
        </w:rPr>
        <w:br/>
        <w:t>Warto podkreślić, że przedsiębiorstwa sektora cyfrowego korzystają z zasobów powstałych dzięki publicznemu finansowaniu. Najważniejsze technologie umożliwiające funkcjonowanie cyfrowych gigantów – na czele z internetem – zostały opracowane dzięki publicznym środkom i przez publiczne instytucje</w:t>
      </w:r>
      <w:r w:rsidRPr="005A3D4A">
        <w:rPr>
          <w:rFonts w:ascii="Tahoma" w:eastAsia="Times New Roman" w:hAnsi="Tahoma" w:cs="Tahoma"/>
          <w:sz w:val="24"/>
          <w:szCs w:val="24"/>
          <w:vertAlign w:val="superscript"/>
          <w:lang w:val="pl-PL"/>
        </w:rPr>
        <w:footnoteReference w:id="22"/>
      </w:r>
      <w:r w:rsidRPr="005A3D4A">
        <w:rPr>
          <w:rFonts w:ascii="Tahoma" w:eastAsia="Times New Roman" w:hAnsi="Tahoma" w:cs="Tahoma"/>
          <w:sz w:val="24"/>
          <w:szCs w:val="24"/>
          <w:lang w:val="pl-PL"/>
        </w:rPr>
        <w:t xml:space="preserve">. Zasadne wydaje się więc, że część ich zysków powinna wrócić do społeczeństwa i zostać przeznaczona na inwestycje użyteczne </w:t>
      </w:r>
      <w:r w:rsidRPr="005A3D4A">
        <w:rPr>
          <w:rFonts w:ascii="Tahoma" w:eastAsia="Times New Roman" w:hAnsi="Tahoma" w:cs="Tahoma"/>
          <w:sz w:val="24"/>
          <w:szCs w:val="24"/>
          <w:lang w:val="pl-PL"/>
        </w:rPr>
        <w:lastRenderedPageBreak/>
        <w:t>społecznie, takie jak cyfryzacja edukacji, upowszechnienie dostępu do szybkiego internetu czy finansowanie publicznych B+R, ze szczególnym uwzględnieniem badań podstawowych, niechętnie finansowanych przez inwestorów prywatnych.</w:t>
      </w:r>
      <w:r w:rsidRPr="005A3D4A">
        <w:rPr>
          <w:rFonts w:ascii="Tahoma" w:eastAsia="Times New Roman" w:hAnsi="Tahoma" w:cs="Tahoma"/>
          <w:sz w:val="24"/>
          <w:szCs w:val="24"/>
          <w:lang w:val="pl-PL"/>
        </w:rPr>
        <w:br/>
      </w:r>
    </w:p>
    <w:p w:rsid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Podatek od niektórych usług cyfrowych a suwerenność cyfrowa Polski i europejska solidarność.</w:t>
      </w:r>
      <w:r w:rsidRPr="005A3D4A">
        <w:rPr>
          <w:rFonts w:ascii="Tahoma" w:eastAsia="Times New Roman" w:hAnsi="Tahoma" w:cs="Tahoma"/>
          <w:sz w:val="24"/>
          <w:szCs w:val="24"/>
          <w:lang w:val="pl-PL"/>
        </w:rPr>
        <w:t xml:space="preserve"> Giganci cyfrowi pochodzą praktycznie wyłącznie z dwóch państw: Stanów Zjednoczonych (m.in. Alphabet, Facebook, Amazon) i Chin (m.in. Tencent, Alibaba Group). Na rynku europejskim, w tym polskim, często korzystają ze wsparcia władz tych państw. Wyrazistym przykładem jest sprzeciw administracji amerykańskiej wobec wprowadzenia jakiejkolwiek formy podatku cyfrowego, wyrażający się m.in. w zapowiedziach „akcji odwetowych”</w:t>
      </w:r>
      <w:r w:rsidRPr="005A3D4A">
        <w:rPr>
          <w:rFonts w:ascii="Tahoma" w:eastAsia="Times New Roman" w:hAnsi="Tahoma" w:cs="Tahoma"/>
          <w:sz w:val="24"/>
          <w:szCs w:val="24"/>
          <w:vertAlign w:val="superscript"/>
          <w:lang w:val="pl-PL"/>
        </w:rPr>
        <w:footnoteReference w:id="23"/>
      </w:r>
      <w:r w:rsidRPr="005A3D4A">
        <w:rPr>
          <w:rFonts w:ascii="Tahoma" w:eastAsia="Times New Roman" w:hAnsi="Tahoma" w:cs="Tahoma"/>
          <w:sz w:val="24"/>
          <w:szCs w:val="24"/>
          <w:lang w:val="pl-PL"/>
        </w:rPr>
        <w:t>. Stany Zjednoczone próbują obecnie opóźnić zawarcie porozumienia w tej sprawie na poziomie Organizacji Współpracy Gospodarczej i Rozwoju</w:t>
      </w:r>
      <w:r w:rsidRPr="005A3D4A">
        <w:rPr>
          <w:rFonts w:ascii="Tahoma" w:eastAsia="Times New Roman" w:hAnsi="Tahoma" w:cs="Tahoma"/>
          <w:sz w:val="24"/>
          <w:szCs w:val="24"/>
          <w:vertAlign w:val="superscript"/>
          <w:lang w:val="pl-PL"/>
        </w:rPr>
        <w:footnoteReference w:id="24"/>
      </w:r>
      <w:r w:rsidRPr="005A3D4A">
        <w:rPr>
          <w:rFonts w:ascii="Tahoma" w:eastAsia="Times New Roman" w:hAnsi="Tahoma" w:cs="Tahoma"/>
          <w:sz w:val="24"/>
          <w:szCs w:val="24"/>
          <w:lang w:val="pl-PL"/>
        </w:rPr>
        <w:t>. Realistyczny termin zakończenia prac na poziomie OECD, a w razie fiaska negocjacji – na poziomie Komisji Europejskiej, nie jest znany. W tej sytuacji przyjmowanie regulacji przez poszczególne państwa UE staje się także narzędziem wywierania presji, mobilizującym OECD i KE do intensyfikacji prac nad rozwiązaniem międzynarodowym. Rozpoczęcie prac nad polskim podatkiem cyfrowym będzie świadczyć o gospodarczej i cyfrowej suwerenności naszego państwa, a zarazem będzie wyrazem solidarności z krajami europejskimi, kt</w:t>
      </w:r>
      <w:r>
        <w:rPr>
          <w:rFonts w:ascii="Tahoma" w:eastAsia="Times New Roman" w:hAnsi="Tahoma" w:cs="Tahoma"/>
          <w:sz w:val="24"/>
          <w:szCs w:val="24"/>
          <w:lang w:val="pl-PL"/>
        </w:rPr>
        <w:t>óre już rozpoczęły takie prace.</w:t>
      </w:r>
    </w:p>
    <w:p w:rsidR="00370F79" w:rsidRDefault="005A3D4A" w:rsidP="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br/>
        <w:t xml:space="preserve">W przypadku osiągnięcia międzynarodowego porozumienia na poziomie OECD „polski podatek cyfrowy” powinien zostać albo odpowiednio dostosowany, albo całkowicie </w:t>
      </w:r>
      <w:r w:rsidRPr="005A3D4A">
        <w:rPr>
          <w:rFonts w:ascii="Tahoma" w:eastAsia="Times New Roman" w:hAnsi="Tahoma" w:cs="Tahoma"/>
          <w:sz w:val="24"/>
          <w:szCs w:val="24"/>
          <w:lang w:val="pl-PL"/>
        </w:rPr>
        <w:lastRenderedPageBreak/>
        <w:t>zastąpiony rozwiązaniem ponadnarodowym. To, czy projektowany podatek stałby się trwałym czy jedynie tymczasowym elementem polskiego systemu, pozostaje kwestią zależną o</w:t>
      </w:r>
      <w:r>
        <w:rPr>
          <w:rFonts w:ascii="Tahoma" w:eastAsia="Times New Roman" w:hAnsi="Tahoma" w:cs="Tahoma"/>
          <w:sz w:val="24"/>
          <w:szCs w:val="24"/>
          <w:lang w:val="pl-PL"/>
        </w:rPr>
        <w:t>d uwarunkowań międzynarodowych.</w:t>
      </w:r>
    </w:p>
    <w:p w:rsidR="005A3D4A" w:rsidRPr="005A3D4A" w:rsidRDefault="005A3D4A" w:rsidP="005A3D4A">
      <w:pPr>
        <w:widowControl w:val="0"/>
        <w:spacing w:line="360" w:lineRule="auto"/>
        <w:ind w:right="-15"/>
        <w:jc w:val="both"/>
        <w:rPr>
          <w:rFonts w:ascii="Tahoma" w:eastAsia="Times New Roman" w:hAnsi="Tahoma" w:cs="Tahoma"/>
          <w:sz w:val="24"/>
          <w:szCs w:val="24"/>
          <w:lang w:val="pl-PL"/>
        </w:rPr>
      </w:pPr>
    </w:p>
    <w:p w:rsidR="00370F79" w:rsidRPr="005A3D4A" w:rsidRDefault="005A3D4A" w:rsidP="005A3D4A">
      <w:pPr>
        <w:widowControl w:val="0"/>
        <w:numPr>
          <w:ilvl w:val="0"/>
          <w:numId w:val="24"/>
        </w:numPr>
        <w:spacing w:line="360" w:lineRule="auto"/>
        <w:ind w:right="-15"/>
        <w:rPr>
          <w:rFonts w:ascii="Tahoma" w:eastAsia="Times New Roman" w:hAnsi="Tahoma" w:cs="Tahoma"/>
          <w:sz w:val="24"/>
          <w:szCs w:val="24"/>
          <w:lang w:val="pl-PL"/>
        </w:rPr>
      </w:pPr>
      <w:r w:rsidRPr="005A3D4A">
        <w:rPr>
          <w:rFonts w:ascii="Tahoma" w:eastAsia="Times New Roman" w:hAnsi="Tahoma" w:cs="Tahoma"/>
          <w:b/>
          <w:sz w:val="24"/>
          <w:szCs w:val="24"/>
          <w:lang w:val="pl-PL"/>
        </w:rPr>
        <w:t>Podatek cyfrowy w niektórych państwach UE</w:t>
      </w:r>
      <w:r w:rsidRPr="005A3D4A">
        <w:rPr>
          <w:rFonts w:ascii="Tahoma" w:eastAsia="Times New Roman" w:hAnsi="Tahoma" w:cs="Tahoma"/>
          <w:b/>
          <w:sz w:val="24"/>
          <w:szCs w:val="24"/>
          <w:vertAlign w:val="superscript"/>
          <w:lang w:val="pl-PL"/>
        </w:rPr>
        <w:footnoteReference w:id="25"/>
      </w:r>
      <w:r w:rsidRPr="005A3D4A">
        <w:rPr>
          <w:rFonts w:ascii="Tahoma" w:eastAsia="Times New Roman" w:hAnsi="Tahoma" w:cs="Tahoma"/>
          <w:b/>
          <w:sz w:val="24"/>
          <w:szCs w:val="24"/>
          <w:lang w:val="pl-PL"/>
        </w:rPr>
        <w:br/>
      </w: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Czechy.</w:t>
      </w:r>
      <w:r w:rsidRPr="005A3D4A">
        <w:rPr>
          <w:rFonts w:ascii="Tahoma" w:eastAsia="Times New Roman" w:hAnsi="Tahoma" w:cs="Tahoma"/>
          <w:sz w:val="24"/>
          <w:szCs w:val="24"/>
          <w:lang w:val="pl-PL"/>
        </w:rPr>
        <w:t xml:space="preserve"> W Czechach prace nad podatkiem cyfrowym trwają w Izbie Poselskiej</w:t>
      </w:r>
      <w:r w:rsidRPr="005A3D4A">
        <w:rPr>
          <w:rFonts w:ascii="Tahoma" w:eastAsia="Times New Roman" w:hAnsi="Tahoma" w:cs="Tahoma"/>
          <w:sz w:val="24"/>
          <w:szCs w:val="24"/>
          <w:vertAlign w:val="superscript"/>
          <w:lang w:val="pl-PL"/>
        </w:rPr>
        <w:footnoteReference w:id="26"/>
      </w:r>
      <w:r w:rsidRPr="005A3D4A">
        <w:rPr>
          <w:rFonts w:ascii="Tahoma" w:eastAsia="Times New Roman" w:hAnsi="Tahoma" w:cs="Tahoma"/>
          <w:sz w:val="24"/>
          <w:szCs w:val="24"/>
          <w:lang w:val="pl-PL"/>
        </w:rPr>
        <w:t>. Czeski rząd zdecydował się uregulować kwestię podatku w formule DST proponowanej przez Komisję Europejską. Przedmiotem opodatkowania ma być świadczenie następujących usług cyfrowych: (1) prowadzenie kampanii reklamowych z wykorzystaniem reklam profilowanych, (2) umożliwienie wykorzystywania wielostronnego interfejsu cyfrowego, (3) obrót danymi użytkowników. Podmiotem zobowiązanym do uiszczenia podatku ma być podmiot należący do grupy kapitałowej świadczący opodatkowaną usługę cyfrową, jeżeli spełnił łącznie dwa warunki: (1) jego skonsolidowany przychód w skali światowej przekracza 750 mln euro rocznie, (2) jego przychód za świadczenie usług na terytorium Republiki Czeskiej przekracza 100 mln koron rocznie. Podstawą opodatkowania są przychody uzyskane ze świadczenia usług w Czechach. Początkowo planowano, by stawka podatku wynosiła 7%, jednak po protestach administracji amerykańskiej koalicja rządowa postanowiła obniżyć ją do 5%</w:t>
      </w:r>
      <w:r w:rsidRPr="005A3D4A">
        <w:rPr>
          <w:rFonts w:ascii="Tahoma" w:eastAsia="Times New Roman" w:hAnsi="Tahoma" w:cs="Tahoma"/>
          <w:sz w:val="24"/>
          <w:szCs w:val="24"/>
          <w:vertAlign w:val="superscript"/>
          <w:lang w:val="pl-PL"/>
        </w:rPr>
        <w:footnoteReference w:id="27"/>
      </w:r>
      <w:r w:rsidRPr="005A3D4A">
        <w:rPr>
          <w:rFonts w:ascii="Tahoma" w:eastAsia="Times New Roman" w:hAnsi="Tahoma" w:cs="Tahoma"/>
          <w:sz w:val="24"/>
          <w:szCs w:val="24"/>
          <w:lang w:val="pl-PL"/>
        </w:rPr>
        <w:t>. Ponadto czeski projekt przewiduje wprowadzenie podatku częściowego w trzech wariantach (w zależności od rodzaju świadczonej usługi), w związku z czym obejmie on także nieco mniejsze platformy cyfrowe. Dobrze ocenianym elementem propozycji czeskiej jest stosunkowo prosty sposób określania podstawy opodatkowania.</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lastRenderedPageBreak/>
        <w:t>Francja</w:t>
      </w:r>
      <w:r w:rsidRPr="005A3D4A">
        <w:rPr>
          <w:rFonts w:ascii="Tahoma" w:eastAsia="Times New Roman" w:hAnsi="Tahoma" w:cs="Tahoma"/>
          <w:sz w:val="24"/>
          <w:szCs w:val="24"/>
          <w:lang w:val="pl-PL"/>
        </w:rPr>
        <w:t>. Francja przyjęła ustawę o podatek cyfrowym w lipcu 2019 roku</w:t>
      </w:r>
      <w:r w:rsidRPr="005A3D4A">
        <w:rPr>
          <w:rFonts w:ascii="Tahoma" w:eastAsia="Times New Roman" w:hAnsi="Tahoma" w:cs="Tahoma"/>
          <w:sz w:val="24"/>
          <w:szCs w:val="24"/>
          <w:vertAlign w:val="superscript"/>
          <w:lang w:val="pl-PL"/>
        </w:rPr>
        <w:footnoteReference w:id="28"/>
      </w:r>
      <w:r w:rsidRPr="005A3D4A">
        <w:rPr>
          <w:rFonts w:ascii="Tahoma" w:eastAsia="Times New Roman" w:hAnsi="Tahoma" w:cs="Tahoma"/>
          <w:sz w:val="24"/>
          <w:szCs w:val="24"/>
          <w:lang w:val="pl-PL"/>
        </w:rPr>
        <w:t>. Podatek jest oparty na modelu DST i zwykle nazywany „podatkiem [od] GAFA”. Stawka wynosi 3%, zaś podatnikami są spółki o rocznym przychodzie z tytułu świadczenia opodatkowanych usług wynoszącym powyżej 750 mln euro w skali światowej i 25 mln euro we Francji. Podstawa opodatkowania obliczana jest według określonych wzorów w zależności od opodatkowanej usługi. Usługami cyfrowymi podlegającymi opodatkowaniu są (1) umożliwienie wykorzystywania wielostronnego interfejsu cyfrowego, (2) usługi świadczone reklamodawcom lub ich agentom pozwalające im na wykupienie przestrzeni reklamowej w interfejsie cyfrowym w celu wyświetlenia reklam profilowanych. Interesującym aspektem francuskiego DST jest domniemanie lokalizacji podmiotu opodatkowanego we Francji – jeżeli co najmniej jeden użytkownik serwisu jest zlokalizowany we Francji, ciężar udowodnienia, że przedsiębiorstwo nie jest zlokalizowane we Francji, spoczywa na tym podmiocie.</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Austria</w:t>
      </w:r>
      <w:r w:rsidRPr="005A3D4A">
        <w:rPr>
          <w:rFonts w:ascii="Tahoma" w:eastAsia="Times New Roman" w:hAnsi="Tahoma" w:cs="Tahoma"/>
          <w:sz w:val="24"/>
          <w:szCs w:val="24"/>
          <w:lang w:val="pl-PL"/>
        </w:rPr>
        <w:t>. Austriacki podatek cyfrowy, uchwalony w 2019 roku i obowiązujący od 1 stycznia 2020 roku</w:t>
      </w:r>
      <w:r w:rsidRPr="005A3D4A">
        <w:rPr>
          <w:rFonts w:ascii="Tahoma" w:eastAsia="Times New Roman" w:hAnsi="Tahoma" w:cs="Tahoma"/>
          <w:sz w:val="24"/>
          <w:szCs w:val="24"/>
          <w:vertAlign w:val="superscript"/>
          <w:lang w:val="pl-PL"/>
        </w:rPr>
        <w:footnoteReference w:id="29"/>
      </w:r>
      <w:r w:rsidRPr="005A3D4A">
        <w:rPr>
          <w:rFonts w:ascii="Tahoma" w:eastAsia="Times New Roman" w:hAnsi="Tahoma" w:cs="Tahoma"/>
          <w:sz w:val="24"/>
          <w:szCs w:val="24"/>
          <w:lang w:val="pl-PL"/>
        </w:rPr>
        <w:t xml:space="preserve">, konstrukcyjnie zbliżony jest do modelu DST, ale wyróżnia się przedmiotem opodatkowania – jest nim świadczenie usług reklamowych online (nie tylko reklam profilowanych). Pod tym względem </w:t>
      </w:r>
      <w:r w:rsidRPr="005A3D4A">
        <w:rPr>
          <w:rFonts w:ascii="Tahoma" w:eastAsia="Times New Roman" w:hAnsi="Tahoma" w:cs="Tahoma"/>
          <w:i/>
          <w:sz w:val="24"/>
          <w:szCs w:val="24"/>
          <w:lang w:val="pl-PL"/>
        </w:rPr>
        <w:t>Digitalsteuergesetz 2020</w:t>
      </w:r>
      <w:r w:rsidRPr="005A3D4A">
        <w:rPr>
          <w:rFonts w:ascii="Tahoma" w:eastAsia="Times New Roman" w:hAnsi="Tahoma" w:cs="Tahoma"/>
          <w:sz w:val="24"/>
          <w:szCs w:val="24"/>
          <w:lang w:val="pl-PL"/>
        </w:rPr>
        <w:t xml:space="preserve"> jest uzupełnieniem </w:t>
      </w:r>
      <w:r w:rsidRPr="005A3D4A">
        <w:rPr>
          <w:rFonts w:ascii="Tahoma" w:eastAsia="Times New Roman" w:hAnsi="Tahoma" w:cs="Tahoma"/>
          <w:i/>
          <w:sz w:val="24"/>
          <w:szCs w:val="24"/>
          <w:lang w:val="pl-PL"/>
        </w:rPr>
        <w:t>Werbeabgabegesetz 2000</w:t>
      </w:r>
      <w:r w:rsidRPr="005A3D4A">
        <w:rPr>
          <w:rFonts w:ascii="Tahoma" w:eastAsia="Times New Roman" w:hAnsi="Tahoma" w:cs="Tahoma"/>
          <w:sz w:val="24"/>
          <w:szCs w:val="24"/>
          <w:lang w:val="pl-PL"/>
        </w:rPr>
        <w:t>, czyli ustawy o podatku od reklam</w:t>
      </w:r>
      <w:r w:rsidRPr="005A3D4A">
        <w:rPr>
          <w:rFonts w:ascii="Tahoma" w:eastAsia="Times New Roman" w:hAnsi="Tahoma" w:cs="Tahoma"/>
          <w:sz w:val="24"/>
          <w:szCs w:val="24"/>
          <w:vertAlign w:val="superscript"/>
          <w:lang w:val="pl-PL"/>
        </w:rPr>
        <w:footnoteReference w:id="30"/>
      </w:r>
      <w:r w:rsidRPr="005A3D4A">
        <w:rPr>
          <w:rFonts w:ascii="Tahoma" w:eastAsia="Times New Roman" w:hAnsi="Tahoma" w:cs="Tahoma"/>
          <w:sz w:val="24"/>
          <w:szCs w:val="24"/>
          <w:lang w:val="pl-PL"/>
        </w:rPr>
        <w:t xml:space="preserve">. Podatnikami są przedsiębiorcy o rocznym przychodzie z tytułu świadczenia opodatkowanej usługi wynoszącym (1) powyżej 750 mln euro w skali globalnej i (2) 25 mln euro w Austrii. </w:t>
      </w:r>
      <w:r w:rsidRPr="005A3D4A">
        <w:rPr>
          <w:rFonts w:ascii="Tahoma" w:eastAsia="Times New Roman" w:hAnsi="Tahoma" w:cs="Tahoma"/>
          <w:sz w:val="24"/>
          <w:szCs w:val="24"/>
          <w:lang w:val="pl-PL"/>
        </w:rPr>
        <w:lastRenderedPageBreak/>
        <w:t>Podstawę opodatkowania stanowią przychody, które podmiot uzyskuje z aktywności użytkowników znajdujących się na terytorium Austrii wobec treści reklamowych. Stawka podatku cyfrowego została określona – podobnie jak w przypadku wcześniejszego poda</w:t>
      </w:r>
      <w:r>
        <w:rPr>
          <w:rFonts w:ascii="Tahoma" w:eastAsia="Times New Roman" w:hAnsi="Tahoma" w:cs="Tahoma"/>
          <w:sz w:val="24"/>
          <w:szCs w:val="24"/>
          <w:lang w:val="pl-PL"/>
        </w:rPr>
        <w:t>tku od reklam – na poziomie 5%.</w:t>
      </w:r>
    </w:p>
    <w:p w:rsidR="005A3D4A" w:rsidRPr="005A3D4A" w:rsidRDefault="005A3D4A" w:rsidP="005A3D4A">
      <w:pPr>
        <w:widowControl w:val="0"/>
        <w:spacing w:line="360" w:lineRule="auto"/>
        <w:ind w:left="360" w:right="-15"/>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Hiszpania</w:t>
      </w:r>
      <w:r w:rsidRPr="005A3D4A">
        <w:rPr>
          <w:rFonts w:ascii="Tahoma" w:eastAsia="Times New Roman" w:hAnsi="Tahoma" w:cs="Tahoma"/>
          <w:sz w:val="24"/>
          <w:szCs w:val="24"/>
          <w:lang w:val="pl-PL"/>
        </w:rPr>
        <w:t>. Rządowy projekt podatku cyfrowego został skierowany do Kongresu Deputowanych w lutym 2020 roku i ostatecznie zaakceptowany przez obie izby Kortezów 6 października 2020 roku</w:t>
      </w:r>
      <w:r w:rsidRPr="005A3D4A">
        <w:rPr>
          <w:rFonts w:ascii="Tahoma" w:eastAsia="Times New Roman" w:hAnsi="Tahoma" w:cs="Tahoma"/>
          <w:sz w:val="24"/>
          <w:szCs w:val="24"/>
          <w:vertAlign w:val="superscript"/>
          <w:lang w:val="pl-PL"/>
        </w:rPr>
        <w:footnoteReference w:id="31"/>
      </w:r>
      <w:r w:rsidRPr="005A3D4A">
        <w:rPr>
          <w:rFonts w:ascii="Tahoma" w:eastAsia="Times New Roman" w:hAnsi="Tahoma" w:cs="Tahoma"/>
          <w:sz w:val="24"/>
          <w:szCs w:val="24"/>
          <w:lang w:val="pl-PL"/>
        </w:rPr>
        <w:t>. Ustawa wejdzie w życie na początku 2021 roku. Hiszpański podatek od niektórych usług cyfrowych również oparty jest na modelu DST zaproponowanym przez KE, ale znacząco go modyfikuje – podatek naliczany jest na bieżąco przy każdej transakcji, a nie na podstawie skonsolidowanego przychodu w okresie rozliczeniowym, w związku z czym jest klasycznym podatkiem obrotowym. Podatnikami są spółki, których roczne przychody przekraczają (1) 750 mln euro w skali światowej i (2) 3 mln euro w Hiszpanii. Przedmiotem opodatkowania jest świadczenie usług cyfrowych polegających na (1) prowadzenie kampanii reklamowych z wykorzystaniem reklam profilowanych (przy czym obowiązuje domniemanie, że każda reklama online jest reklamą profilowaną, a ciężar udowodnienia, że jest inaczej, spoczywa na podatniku), (2) umożliwienie wykorzystywania wielostronnego interfejsu cyfrowego, (3) obrót danymi użytkowników. Stawka podatku wynosi 3%.</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rsidP="005A3D4A">
      <w:pPr>
        <w:widowControl w:val="0"/>
        <w:numPr>
          <w:ilvl w:val="0"/>
          <w:numId w:val="24"/>
        </w:numPr>
        <w:spacing w:line="360" w:lineRule="auto"/>
        <w:ind w:right="-15"/>
        <w:rPr>
          <w:rFonts w:ascii="Tahoma" w:eastAsia="Times New Roman" w:hAnsi="Tahoma" w:cs="Tahoma"/>
          <w:sz w:val="24"/>
          <w:szCs w:val="24"/>
          <w:lang w:val="pl-PL"/>
        </w:rPr>
      </w:pPr>
      <w:r w:rsidRPr="005A3D4A">
        <w:rPr>
          <w:rFonts w:ascii="Tahoma" w:eastAsia="Times New Roman" w:hAnsi="Tahoma" w:cs="Tahoma"/>
          <w:b/>
          <w:sz w:val="24"/>
          <w:szCs w:val="24"/>
          <w:lang w:val="pl-PL"/>
        </w:rPr>
        <w:t>Projektowane rozwiązania</w:t>
      </w:r>
      <w:r w:rsidRPr="005A3D4A">
        <w:rPr>
          <w:rFonts w:ascii="Tahoma" w:eastAsia="Times New Roman" w:hAnsi="Tahoma" w:cs="Tahoma"/>
          <w:b/>
          <w:sz w:val="24"/>
          <w:szCs w:val="24"/>
          <w:lang w:val="pl-PL"/>
        </w:rPr>
        <w:br/>
      </w: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Przepisy ogólne (art. 1 i 2).</w:t>
      </w:r>
      <w:r w:rsidRPr="005A3D4A">
        <w:rPr>
          <w:rFonts w:ascii="Tahoma" w:eastAsia="Times New Roman" w:hAnsi="Tahoma" w:cs="Tahoma"/>
          <w:sz w:val="24"/>
          <w:szCs w:val="24"/>
          <w:lang w:val="pl-PL"/>
        </w:rPr>
        <w:t xml:space="preserve"> W pierwszym rozdziale projektu ustawy wskazano zakres przedmiotowy jego regulacji (tj. opodatkowanie podatkiem od niektórych usług cyfrowych; obowiązki przedsiębiorstw sektora cyfrowego; utworzenie i funkcjonowanie </w:t>
      </w:r>
      <w:r w:rsidRPr="005A3D4A">
        <w:rPr>
          <w:rFonts w:ascii="Tahoma" w:eastAsia="Times New Roman" w:hAnsi="Tahoma" w:cs="Tahoma"/>
          <w:sz w:val="24"/>
          <w:szCs w:val="24"/>
          <w:lang w:val="pl-PL"/>
        </w:rPr>
        <w:lastRenderedPageBreak/>
        <w:t>Funduszu Technologii Cyfrowych) i wprowadzono definicje użytych w nim pojęć użytych w nim pojęć. Za szczególnie istotne należy uznać definicje:</w:t>
      </w:r>
    </w:p>
    <w:p w:rsidR="00370F79" w:rsidRPr="005A3D4A" w:rsidRDefault="005A3D4A">
      <w:pPr>
        <w:widowControl w:val="0"/>
        <w:numPr>
          <w:ilvl w:val="2"/>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przedsiębiorstwa sektora cyfrowego (art. 2 pkt 9) – przez co rozumie się przedsiębiorstwo (przedsiębiorca w rozumieniu art. 4 ustawy z dnia 6 marca 2018 r. – Prawo przedsiębiorców (Dz. U. z 2019 r. poz. 1292 i 1495 oraz z 2020 r. poz 424 i 1086)), grupę kapitałową w rozumieniu art. 3 ust. 1 pkt 44 ustawy z dnia 29 września 1994 r. o rachunkowości (Dz. U. z 2019 r. poz. 351, 1495, 1571 i 1680 oraz z 2020 r. poz. 568) lub osobę zagraniczną w rozumieniu art. 2 ustawy z dnia 6 marca 2018 r. o zasadach uczestnictwa przedsiębiorców zagranicznych i innych osób zagranicznych w obrocie gospodarczym na terytorium Rzeczypospolitej Polskiej (Dz. U. z 2020 r. poz. 1252) wykonujące działalność gospodarczą polegającą w przeważającej części na świadczeniu usług cyfrowych;</w:t>
      </w:r>
    </w:p>
    <w:p w:rsidR="00370F79" w:rsidRDefault="005A3D4A">
      <w:pPr>
        <w:widowControl w:val="0"/>
        <w:numPr>
          <w:ilvl w:val="2"/>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wielostronnego interfejsu cyfrowego (art. 2 pkt 14) – szczególny rodzaju interfejsu cyfrowego, umożliwiającego użytkownikowi kontakt i interakcję z innymi użytkownikami.</w:t>
      </w:r>
    </w:p>
    <w:p w:rsidR="005A3D4A" w:rsidRPr="005A3D4A" w:rsidRDefault="005A3D4A" w:rsidP="005A3D4A">
      <w:pPr>
        <w:widowControl w:val="0"/>
        <w:spacing w:line="360" w:lineRule="auto"/>
        <w:ind w:left="1080" w:right="-15"/>
        <w:jc w:val="both"/>
        <w:rPr>
          <w:rFonts w:ascii="Tahoma" w:eastAsia="Times New Roman" w:hAnsi="Tahoma" w:cs="Tahoma"/>
          <w:sz w:val="24"/>
          <w:szCs w:val="24"/>
          <w:lang w:val="pl-PL"/>
        </w:rPr>
      </w:pPr>
    </w:p>
    <w:p w:rsidR="00370F79"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Podatek od niektórych usług cyfrowych. Przedmiot opodatkowania (art. 3 i 4).</w:t>
      </w:r>
      <w:r w:rsidRPr="005A3D4A">
        <w:rPr>
          <w:rFonts w:ascii="Tahoma" w:eastAsia="Times New Roman" w:hAnsi="Tahoma" w:cs="Tahoma"/>
          <w:sz w:val="24"/>
          <w:szCs w:val="24"/>
          <w:lang w:val="pl-PL"/>
        </w:rPr>
        <w:t xml:space="preserve"> Drugi rozdział projektu ustawy reguluje opodatkowanie podatkiem od niektórych usług cyfrowych. Jako przedmiot opodatkowania wskazane zostało świadczenie na terytorium Rzeczypospolitej Polskiej usług cyfrowych polegających na:</w:t>
      </w:r>
    </w:p>
    <w:p w:rsidR="005A3D4A" w:rsidRPr="005A3D4A" w:rsidRDefault="005A3D4A" w:rsidP="005A3D4A">
      <w:pPr>
        <w:widowControl w:val="0"/>
        <w:spacing w:line="360" w:lineRule="auto"/>
        <w:ind w:left="360" w:right="-15"/>
        <w:jc w:val="both"/>
        <w:rPr>
          <w:rFonts w:ascii="Tahoma" w:eastAsia="Times New Roman" w:hAnsi="Tahoma" w:cs="Tahoma"/>
          <w:sz w:val="24"/>
          <w:szCs w:val="24"/>
          <w:lang w:val="pl-PL"/>
        </w:rPr>
      </w:pPr>
    </w:p>
    <w:p w:rsidR="00370F79" w:rsidRPr="005A3D4A" w:rsidRDefault="005A3D4A">
      <w:pPr>
        <w:widowControl w:val="0"/>
        <w:numPr>
          <w:ilvl w:val="2"/>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prowadzeniu kampanii z wykorzystaniem reklam profilowanych;</w:t>
      </w:r>
    </w:p>
    <w:p w:rsidR="00370F79" w:rsidRPr="005A3D4A" w:rsidRDefault="005A3D4A">
      <w:pPr>
        <w:widowControl w:val="0"/>
        <w:numPr>
          <w:ilvl w:val="2"/>
          <w:numId w:val="24"/>
        </w:numPr>
        <w:spacing w:line="360" w:lineRule="auto"/>
        <w:jc w:val="both"/>
        <w:rPr>
          <w:rFonts w:ascii="Tahoma" w:eastAsia="Times New Roman" w:hAnsi="Tahoma" w:cs="Tahoma"/>
          <w:sz w:val="24"/>
          <w:szCs w:val="24"/>
          <w:lang w:val="pl-PL"/>
        </w:rPr>
      </w:pPr>
      <w:r w:rsidRPr="005A3D4A">
        <w:rPr>
          <w:rFonts w:ascii="Tahoma" w:eastAsia="Times New Roman" w:hAnsi="Tahoma" w:cs="Tahoma"/>
          <w:sz w:val="24"/>
          <w:szCs w:val="24"/>
          <w:lang w:val="pl-PL"/>
        </w:rPr>
        <w:t>umożliwianiu wykorzystywania wielostronnego interfejsu cyfrowego;</w:t>
      </w:r>
    </w:p>
    <w:p w:rsidR="00370F79" w:rsidRPr="005A3D4A" w:rsidRDefault="005A3D4A">
      <w:pPr>
        <w:widowControl w:val="0"/>
        <w:numPr>
          <w:ilvl w:val="2"/>
          <w:numId w:val="24"/>
        </w:numPr>
        <w:spacing w:line="360" w:lineRule="auto"/>
        <w:jc w:val="both"/>
        <w:rPr>
          <w:rFonts w:ascii="Tahoma" w:eastAsia="Times New Roman" w:hAnsi="Tahoma" w:cs="Tahoma"/>
          <w:sz w:val="24"/>
          <w:szCs w:val="24"/>
          <w:lang w:val="pl-PL"/>
        </w:rPr>
      </w:pPr>
      <w:r w:rsidRPr="005A3D4A">
        <w:rPr>
          <w:rFonts w:ascii="Tahoma" w:eastAsia="Times New Roman" w:hAnsi="Tahoma" w:cs="Tahoma"/>
          <w:sz w:val="24"/>
          <w:szCs w:val="24"/>
          <w:lang w:val="pl-PL"/>
        </w:rPr>
        <w:t>przekazywaniu zgromadzonych danych o użytkownikach, wygenerowanych w wyniku aktywności użytkowników na interfejsach cyfrowych.</w:t>
      </w:r>
    </w:p>
    <w:p w:rsidR="00370F79" w:rsidRPr="005A3D4A" w:rsidRDefault="00370F79">
      <w:pPr>
        <w:widowControl w:val="0"/>
        <w:spacing w:line="360" w:lineRule="auto"/>
        <w:jc w:val="both"/>
        <w:rPr>
          <w:rFonts w:ascii="Tahoma" w:eastAsia="Times New Roman" w:hAnsi="Tahoma" w:cs="Tahoma"/>
          <w:sz w:val="24"/>
          <w:szCs w:val="24"/>
          <w:lang w:val="pl-PL"/>
        </w:rPr>
      </w:pPr>
    </w:p>
    <w:p w:rsidR="00370F79" w:rsidRPr="005A3D4A" w:rsidRDefault="005A3D4A">
      <w:pPr>
        <w:widowControl w:val="0"/>
        <w:spacing w:line="360" w:lineRule="auto"/>
        <w:jc w:val="both"/>
        <w:rPr>
          <w:rFonts w:ascii="Tahoma" w:eastAsia="Times New Roman" w:hAnsi="Tahoma" w:cs="Tahoma"/>
          <w:sz w:val="24"/>
          <w:szCs w:val="24"/>
          <w:lang w:val="pl-PL"/>
        </w:rPr>
      </w:pPr>
      <w:r w:rsidRPr="005A3D4A">
        <w:rPr>
          <w:rFonts w:ascii="Tahoma" w:eastAsia="Times New Roman" w:hAnsi="Tahoma" w:cs="Tahoma"/>
          <w:sz w:val="24"/>
          <w:szCs w:val="24"/>
          <w:lang w:val="pl-PL"/>
        </w:rPr>
        <w:t xml:space="preserve">Proponuje się więc, by opodatkowane zostały usługi wskazane w propozycji DST Komisji Europejskiej – podobnie jak w przypadku czeskiego i hiszpańskiego podatku cyfrowego. Następnie w projekcie ustawy wskazane zostały usługi, które miałyby być wyłączone spod </w:t>
      </w:r>
      <w:r w:rsidRPr="005A3D4A">
        <w:rPr>
          <w:rFonts w:ascii="Tahoma" w:eastAsia="Times New Roman" w:hAnsi="Tahoma" w:cs="Tahoma"/>
          <w:sz w:val="24"/>
          <w:szCs w:val="24"/>
          <w:lang w:val="pl-PL"/>
        </w:rPr>
        <w:lastRenderedPageBreak/>
        <w:t>podatku:</w:t>
      </w:r>
      <w:r w:rsidRPr="005A3D4A">
        <w:rPr>
          <w:rFonts w:ascii="Tahoma" w:eastAsia="Times New Roman" w:hAnsi="Tahoma" w:cs="Tahoma"/>
          <w:sz w:val="24"/>
          <w:szCs w:val="24"/>
          <w:lang w:val="pl-PL"/>
        </w:rPr>
        <w:br/>
      </w:r>
    </w:p>
    <w:p w:rsidR="00370F79" w:rsidRPr="005A3D4A" w:rsidRDefault="005A3D4A">
      <w:pPr>
        <w:widowControl w:val="0"/>
        <w:numPr>
          <w:ilvl w:val="0"/>
          <w:numId w:val="23"/>
        </w:numPr>
        <w:spacing w:line="360" w:lineRule="auto"/>
        <w:jc w:val="both"/>
        <w:rPr>
          <w:rFonts w:ascii="Tahoma" w:eastAsia="Times New Roman" w:hAnsi="Tahoma" w:cs="Tahoma"/>
          <w:sz w:val="24"/>
          <w:szCs w:val="24"/>
          <w:lang w:val="pl-PL"/>
        </w:rPr>
      </w:pPr>
      <w:r w:rsidRPr="005A3D4A">
        <w:rPr>
          <w:rFonts w:ascii="Tahoma" w:eastAsia="Times New Roman" w:hAnsi="Tahoma" w:cs="Tahoma"/>
          <w:sz w:val="24"/>
          <w:szCs w:val="24"/>
          <w:lang w:val="pl-PL"/>
        </w:rPr>
        <w:t>prowadzenie kampanii z wykorzystaniem reklam innych niż reklamy profilowane – w ocenie projektodawcy reklamy o identycznej zawartości wyświetlanej wszystkim użytkownikom interfejsu cyfrowego, a więc nieopierające się na danych pozyskanych od użytkowników, nie różnią się wystarczająco od reklam zamieszczanych np. w tradycyjnej prasie, w telewizji czy na billboardach, w związku z czym nie powinny zostać objęte podatkiem od niektórych usług cyfrowych;</w:t>
      </w:r>
    </w:p>
    <w:p w:rsidR="00370F79" w:rsidRPr="005A3D4A" w:rsidRDefault="005A3D4A">
      <w:pPr>
        <w:widowControl w:val="0"/>
        <w:numPr>
          <w:ilvl w:val="0"/>
          <w:numId w:val="23"/>
        </w:numPr>
        <w:spacing w:line="360" w:lineRule="auto"/>
        <w:jc w:val="both"/>
        <w:rPr>
          <w:rFonts w:ascii="Tahoma" w:eastAsia="Times New Roman" w:hAnsi="Tahoma" w:cs="Tahoma"/>
          <w:sz w:val="24"/>
          <w:szCs w:val="24"/>
          <w:lang w:val="pl-PL"/>
        </w:rPr>
      </w:pPr>
      <w:r w:rsidRPr="005A3D4A">
        <w:rPr>
          <w:rFonts w:ascii="Tahoma" w:eastAsia="Times New Roman" w:hAnsi="Tahoma" w:cs="Tahoma"/>
          <w:sz w:val="24"/>
          <w:szCs w:val="24"/>
          <w:lang w:val="pl-PL"/>
        </w:rPr>
        <w:t>przeprowadzanie rozliczeń międzybankowych i rozrachunków międzybankowych;</w:t>
      </w:r>
    </w:p>
    <w:p w:rsidR="00370F79" w:rsidRPr="005A3D4A" w:rsidRDefault="005A3D4A">
      <w:pPr>
        <w:widowControl w:val="0"/>
        <w:numPr>
          <w:ilvl w:val="0"/>
          <w:numId w:val="23"/>
        </w:numPr>
        <w:spacing w:line="360" w:lineRule="auto"/>
        <w:jc w:val="both"/>
        <w:rPr>
          <w:rFonts w:ascii="Tahoma" w:eastAsia="Times New Roman" w:hAnsi="Tahoma" w:cs="Tahoma"/>
          <w:sz w:val="24"/>
          <w:szCs w:val="24"/>
          <w:lang w:val="pl-PL"/>
        </w:rPr>
      </w:pPr>
      <w:r w:rsidRPr="005A3D4A">
        <w:rPr>
          <w:rFonts w:ascii="Tahoma" w:eastAsia="Times New Roman" w:hAnsi="Tahoma" w:cs="Tahoma"/>
          <w:sz w:val="24"/>
          <w:szCs w:val="24"/>
          <w:lang w:val="pl-PL"/>
        </w:rPr>
        <w:t>sprzedaż towarów lub usług za pośrednictwem interfejsu cyfrowego zbywcy tych towarów lub usług – podatkiem nie będą więc objęte tradycyjne sklepy internetowe, gdzie przedsiębiorca nie pełni funkcji pośrednika między użytkownikami korzystającymi z wielostronnego interfejsu cyfrowego (np. internetowego targowiska), ale sam przy użyciu interfejsu cyfrowego (np. zwykłej strony internetowej) sprzedaje towary lub usługi;</w:t>
      </w:r>
    </w:p>
    <w:p w:rsidR="00370F79" w:rsidRPr="005A3D4A" w:rsidRDefault="005A3D4A">
      <w:pPr>
        <w:widowControl w:val="0"/>
        <w:numPr>
          <w:ilvl w:val="0"/>
          <w:numId w:val="23"/>
        </w:numPr>
        <w:spacing w:line="360" w:lineRule="auto"/>
        <w:jc w:val="both"/>
        <w:rPr>
          <w:rFonts w:ascii="Tahoma" w:eastAsia="Times New Roman" w:hAnsi="Tahoma" w:cs="Tahoma"/>
          <w:sz w:val="24"/>
          <w:szCs w:val="24"/>
          <w:lang w:val="pl-PL"/>
        </w:rPr>
      </w:pPr>
      <w:r w:rsidRPr="005A3D4A">
        <w:rPr>
          <w:rFonts w:ascii="Tahoma" w:eastAsia="Times New Roman" w:hAnsi="Tahoma" w:cs="Tahoma"/>
          <w:sz w:val="24"/>
          <w:szCs w:val="24"/>
          <w:lang w:val="pl-PL"/>
        </w:rPr>
        <w:t>świadczenie usług płatniczych w rozumieniu Dyrektywy PE i Rady (UE) 2015/2366 z dnia 25 listopada 2015 r. w sprawie usług płatniczych w ramach rynku wewnętrznego;</w:t>
      </w:r>
    </w:p>
    <w:p w:rsidR="00370F79" w:rsidRPr="005A3D4A" w:rsidRDefault="005A3D4A">
      <w:pPr>
        <w:widowControl w:val="0"/>
        <w:numPr>
          <w:ilvl w:val="0"/>
          <w:numId w:val="23"/>
        </w:numPr>
        <w:spacing w:line="360" w:lineRule="auto"/>
        <w:jc w:val="both"/>
        <w:rPr>
          <w:rFonts w:ascii="Tahoma" w:eastAsia="Times New Roman" w:hAnsi="Tahoma" w:cs="Tahoma"/>
          <w:sz w:val="24"/>
          <w:szCs w:val="24"/>
          <w:lang w:val="pl-PL"/>
        </w:rPr>
      </w:pPr>
      <w:r w:rsidRPr="005A3D4A">
        <w:rPr>
          <w:rFonts w:ascii="Tahoma" w:eastAsia="Times New Roman" w:hAnsi="Tahoma" w:cs="Tahoma"/>
          <w:sz w:val="24"/>
          <w:szCs w:val="24"/>
          <w:lang w:val="pl-PL"/>
        </w:rPr>
        <w:t xml:space="preserve">umożliwianie wykorzystywania interfejsu cyfrowego, którego jedynym celem jest oferowanie użytkownikom dostępu do treści cyfrowych – podatkiem nie będą więc objęte np. platformy streamingowe, o ile nie opierają one swojej działalności także na umożliwianiu wykorzystywania wielostronnego interfejsu cyfrowego czy prowadzeniu kampanii z wykorzystaniem reklam profilowanych. Przedsiębiorstwa takie nie czerpią bowiem zysku z pozyskiwania i przetwarzania danych użytkowników. Warto przy tym zwrócić uwagę, że od dnia 1 lipca 2020 r. na podmioty dostarczające audiowizualne usługi medialne na żądanie nałożono obowiązek wpłaty na rzecz Polskiego Instytutu Sztuki Filmowej 1,5% przychodu uzyskanego z tytułu opłat za dostęp do udostępnianych publicznie </w:t>
      </w:r>
      <w:r w:rsidRPr="005A3D4A">
        <w:rPr>
          <w:rFonts w:ascii="Tahoma" w:eastAsia="Times New Roman" w:hAnsi="Tahoma" w:cs="Tahoma"/>
          <w:sz w:val="24"/>
          <w:szCs w:val="24"/>
          <w:lang w:val="pl-PL"/>
        </w:rPr>
        <w:lastRenderedPageBreak/>
        <w:t>audiowizualnych usług medialnych na żądanie albo przychodu uzyskanego z tytułu emisji przekazów handlowych (przepisy wprowadzone ustawą z dnia 14 maja 2020 r. o zmianie niektórych ustaw w zakresie działań osłonowych w związku z rozprzestrzenianiem się wirusa SARS-CoV-2 (Dz. U. z 2020 r. poz. 875));</w:t>
      </w:r>
    </w:p>
    <w:p w:rsidR="00370F79" w:rsidRPr="005A3D4A" w:rsidRDefault="005A3D4A">
      <w:pPr>
        <w:widowControl w:val="0"/>
        <w:numPr>
          <w:ilvl w:val="0"/>
          <w:numId w:val="23"/>
        </w:numPr>
        <w:spacing w:line="360" w:lineRule="auto"/>
        <w:jc w:val="both"/>
        <w:rPr>
          <w:rFonts w:ascii="Tahoma" w:eastAsia="Times New Roman" w:hAnsi="Tahoma" w:cs="Tahoma"/>
          <w:sz w:val="24"/>
          <w:szCs w:val="24"/>
          <w:lang w:val="pl-PL"/>
        </w:rPr>
      </w:pPr>
      <w:r w:rsidRPr="005A3D4A">
        <w:rPr>
          <w:rFonts w:ascii="Tahoma" w:eastAsia="Times New Roman" w:hAnsi="Tahoma" w:cs="Tahoma"/>
          <w:sz w:val="24"/>
          <w:szCs w:val="24"/>
          <w:lang w:val="pl-PL"/>
        </w:rPr>
        <w:t>umożliwienie wykorzystywania interfejsów cyfrowych świadczących wyłącznie usługi komunikacyjne – podatkiem nie będą więc objęte w większości przypadków np. poczta elektroniczna czy aplikacje do wideokonferencji, które nie różnią się w wystarczającym stopniu od usług telefonii i nie czerpią zysku z pozyskiwania i przetwarzania danych użytkowników.</w:t>
      </w:r>
    </w:p>
    <w:p w:rsidR="00370F79" w:rsidRPr="005A3D4A" w:rsidRDefault="00370F79">
      <w:pPr>
        <w:widowControl w:val="0"/>
        <w:spacing w:line="360" w:lineRule="auto"/>
        <w:jc w:val="both"/>
        <w:rPr>
          <w:rFonts w:ascii="Tahoma" w:eastAsia="Times New Roman" w:hAnsi="Tahoma" w:cs="Tahoma"/>
          <w:sz w:val="24"/>
          <w:szCs w:val="24"/>
          <w:lang w:val="pl-PL"/>
        </w:rPr>
      </w:pPr>
    </w:p>
    <w:p w:rsidR="00370F79" w:rsidRPr="005A3D4A" w:rsidRDefault="005A3D4A">
      <w:pPr>
        <w:widowControl w:val="0"/>
        <w:spacing w:line="360" w:lineRule="auto"/>
        <w:jc w:val="both"/>
        <w:rPr>
          <w:rFonts w:ascii="Tahoma" w:eastAsia="Times New Roman" w:hAnsi="Tahoma" w:cs="Tahoma"/>
          <w:sz w:val="24"/>
          <w:szCs w:val="24"/>
          <w:lang w:val="pl-PL"/>
        </w:rPr>
      </w:pPr>
      <w:r w:rsidRPr="005A3D4A">
        <w:rPr>
          <w:rFonts w:ascii="Tahoma" w:eastAsia="Times New Roman" w:hAnsi="Tahoma" w:cs="Tahoma"/>
          <w:sz w:val="24"/>
          <w:szCs w:val="24"/>
          <w:lang w:val="pl-PL"/>
        </w:rPr>
        <w:t>Opodatkowaniu podatkiem nie będą podlegać również usługi świadczone wyłącznie pomiędzy podmiotami powiązanymi. Jakkolwiek zwolnienie to może budzić wątpliwości, zwłaszcza w kontekście trzeciej z opodatkowanych usług, tj. przekazywania zgromadzonych danych o użytkownikach, to w ocenie projektodawcy podatek od niektórych usług cyfrowych nie jest odpowiednim narzędziem do przeciwdziałania współdzieleniu danych użytkowników między interfejsami należącymi do jednego przedsiębiorstwa sektora cyfrowego. Problem ten wymaga osobnych rozwiązań, daleko wykraczających poza zakres niniejszego projektu.</w:t>
      </w:r>
    </w:p>
    <w:p w:rsidR="00370F79" w:rsidRPr="005A3D4A" w:rsidRDefault="00370F79">
      <w:pPr>
        <w:widowControl w:val="0"/>
        <w:spacing w:line="360" w:lineRule="auto"/>
        <w:jc w:val="both"/>
        <w:rPr>
          <w:rFonts w:ascii="Tahoma" w:eastAsia="Times New Roman" w:hAnsi="Tahoma" w:cs="Tahoma"/>
          <w:sz w:val="24"/>
          <w:szCs w:val="24"/>
          <w:lang w:val="pl-PL"/>
        </w:rPr>
      </w:pPr>
    </w:p>
    <w:p w:rsidR="005A3D4A" w:rsidRDefault="005A3D4A">
      <w:pPr>
        <w:widowControl w:val="0"/>
        <w:spacing w:line="360" w:lineRule="auto"/>
        <w:jc w:val="both"/>
        <w:rPr>
          <w:rFonts w:ascii="Tahoma" w:eastAsia="Times New Roman" w:hAnsi="Tahoma" w:cs="Tahoma"/>
          <w:sz w:val="24"/>
          <w:szCs w:val="24"/>
          <w:lang w:val="pl-PL"/>
        </w:rPr>
      </w:pPr>
      <w:r w:rsidRPr="005A3D4A">
        <w:rPr>
          <w:rFonts w:ascii="Tahoma" w:eastAsia="Times New Roman" w:hAnsi="Tahoma" w:cs="Tahoma"/>
          <w:sz w:val="24"/>
          <w:szCs w:val="24"/>
          <w:lang w:val="pl-PL"/>
        </w:rPr>
        <w:t>W art. 4 określono, że miejscem świadczenia opodatkowanych usług cyfrowych jest miejsce, w którym faktycznie znajduje się urządzenie użytkownika końcowego, a także wprowadzono delegację ustawową w zakresie szczegółowego technicznego sposobu określenia lokalizacji urządzeń.</w:t>
      </w:r>
    </w:p>
    <w:p w:rsidR="00370F79" w:rsidRPr="005A3D4A" w:rsidRDefault="00370F79">
      <w:pPr>
        <w:widowControl w:val="0"/>
        <w:spacing w:line="360" w:lineRule="auto"/>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Podatek od niektórych usług cyfrowych. Podmiot opodatkowania. Znacząca obecność cyfrowa (art. 5 i 6).</w:t>
      </w:r>
      <w:r w:rsidRPr="005A3D4A">
        <w:rPr>
          <w:rFonts w:ascii="Tahoma" w:eastAsia="Times New Roman" w:hAnsi="Tahoma" w:cs="Tahoma"/>
          <w:sz w:val="24"/>
          <w:szCs w:val="24"/>
          <w:lang w:val="pl-PL"/>
        </w:rPr>
        <w:t xml:space="preserve"> W art. 5 ust. 1 projektu ustawy określono podmiot opodatkowania. Podatnikami podatku są przedsiębiorstwa sektora cyfrowego (rozumiane zgodnie z definicją z art. 2 pkt 9), niezależnie od miejsca ich siedziby, o znaczącej obecności cyfrowej na terytorium Rzeczypospolitej Polskiej.</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W rozumieniu projektu ustawy przedsiębiorstwo sektora cyfrowego posiada znaczącą obecność cyfrową na terytorium Rzeczypospolitej Polskiej, jeżeli jednocześnie:</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0"/>
          <w:numId w:val="8"/>
        </w:numPr>
        <w:spacing w:line="360" w:lineRule="auto"/>
        <w:ind w:left="1080"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dokonuje transakcji z użytkownikami znajdującymi się w Polsce i jego roczny przychód z tego tytułu przekracza 4 mln euro;</w:t>
      </w:r>
    </w:p>
    <w:p w:rsidR="00370F79" w:rsidRPr="005A3D4A" w:rsidRDefault="005A3D4A">
      <w:pPr>
        <w:widowControl w:val="0"/>
        <w:numPr>
          <w:ilvl w:val="0"/>
          <w:numId w:val="8"/>
        </w:numPr>
        <w:spacing w:line="360" w:lineRule="auto"/>
        <w:ind w:left="1080"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jego roczny przychód w skali świata przekracza 750 mln euro.</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Jest to więc rozwiązanie zbliżone do sposobu, w jaki podatników określono w przypadku omówionych wcześniej podatków cyfrowych z innych państw europejskich – nie jest jednak z nimi w pełni tożsame. Przede wszystkim transakcje, o których mowa w art. 5 ust. 2 pkt 1 projektu ustawy, nie muszą dotyczyć świadczenia usług cyfrowych – tak długo jak, co wynika z definicji przedsiębiorstwa sektora cyfrowego, przeważająca ich część polega na świadczeniu usług cyfrowych. Przyjęcie takiego rozwiązania związane jest z opisaną w podsekcji 1.4. uzasadnienia tendencją przedsiębiorstw sektora cyfrowego do ekspansji na rynki inne niż cyfrowy. Ponieważ projektowany podatek od niektórych usług cyfrowych ma być co do założenia podatkiem od renty monopolistycznej, proponowane rozwiązanie wydaje się być zasadne i lepiej oddawać intencję projektodawcy. Jednocześnie należy podkreślić, że zgodnie z art. 5 ust. 3 projektu ustawy wartość znaczącej obecności cyfrowej stanowi równowartość przychodów przedsiębiorstwa sektora cyfrowego uzyskanych w danym okresie rozliczeniowym w części odpowiadającej świadczeniu na terytorium Rzeczypospolitej Polskiej opodatkowanych usług – a nie całości przychodów osiąganych w Polsce, które służą jedynie jako kryterium uznania, że przedsiębiorstwo posiada znaczącą obecność cyfrową.</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Art. 6 określa sposób przeliczenia wartości wskazanych w art. 5 w euro na złote.</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Podatek od niektórych usług cyfrowych. Wysokość podatku (art. 7-9).</w:t>
      </w:r>
      <w:r w:rsidRPr="005A3D4A">
        <w:rPr>
          <w:rFonts w:ascii="Tahoma" w:eastAsia="Times New Roman" w:hAnsi="Tahoma" w:cs="Tahoma"/>
          <w:sz w:val="24"/>
          <w:szCs w:val="24"/>
          <w:lang w:val="pl-PL"/>
        </w:rPr>
        <w:t xml:space="preserve"> W kolejnych artykułach określono podstawę opodatkowania, powstanie obowiązku podatkowego i stawkę podatku. Podstawą opodatkowania podatkiem od niektórych usług cyfrowych jest </w:t>
      </w:r>
      <w:r w:rsidRPr="005A3D4A">
        <w:rPr>
          <w:rFonts w:ascii="Tahoma" w:eastAsia="Times New Roman" w:hAnsi="Tahoma" w:cs="Tahoma"/>
          <w:sz w:val="24"/>
          <w:szCs w:val="24"/>
          <w:lang w:val="pl-PL"/>
        </w:rPr>
        <w:lastRenderedPageBreak/>
        <w:t>omówiona wyżej wartość znaczącej obecności cyfrowej na terytorium Rzeczypospolitej Polskiej podatnika, a obowiązek powstaje wraz z osiągnięciem przez niego w danym okresie rozliczeniowym znaczącej obecności cyfrowej na terytorium Rzeczypospolitej Polskiej.</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 xml:space="preserve">Stawkę podatku określono na poziomie 7%  podstawy opodatkowania, czyli jak w pierwotnej wersji propozycji czeskiej. Przedsiębiorstwa sektora cyfrowego osiągają wyjątkowo wysokie marże operacyjne (25-75%). Jak wskazują autorzy raportu </w:t>
      </w:r>
      <w:r w:rsidRPr="005A3D4A">
        <w:rPr>
          <w:rFonts w:ascii="Tahoma" w:eastAsia="Times New Roman" w:hAnsi="Tahoma" w:cs="Tahoma"/>
          <w:i/>
          <w:sz w:val="24"/>
          <w:szCs w:val="24"/>
          <w:lang w:val="pl-PL"/>
        </w:rPr>
        <w:t>Podatek cyfrowy od gigantów</w:t>
      </w:r>
      <w:r w:rsidRPr="005A3D4A">
        <w:rPr>
          <w:rFonts w:ascii="Tahoma" w:eastAsia="Times New Roman" w:hAnsi="Tahoma" w:cs="Tahoma"/>
          <w:sz w:val="24"/>
          <w:szCs w:val="24"/>
          <w:lang w:val="pl-PL"/>
        </w:rPr>
        <w:t>, gdyby „platforma deklarowała wszystkie przychody zgodnie ze stanem rzeczywistym, polski podatek CIT w wysokości 19% dla marży operacyjnej 40% (jak np. Facebooka) efektywnie obciążałby firmę w takim stopniu jak podatek cyfrowy o stawce 7,6%”</w:t>
      </w:r>
      <w:r w:rsidRPr="005A3D4A">
        <w:rPr>
          <w:rFonts w:ascii="Tahoma" w:eastAsia="Times New Roman" w:hAnsi="Tahoma" w:cs="Tahoma"/>
          <w:sz w:val="24"/>
          <w:szCs w:val="24"/>
          <w:vertAlign w:val="superscript"/>
          <w:lang w:val="pl-PL"/>
        </w:rPr>
        <w:footnoteReference w:id="32"/>
      </w:r>
      <w:r w:rsidRPr="005A3D4A">
        <w:rPr>
          <w:rFonts w:ascii="Tahoma" w:eastAsia="Times New Roman" w:hAnsi="Tahoma" w:cs="Tahoma"/>
          <w:sz w:val="24"/>
          <w:szCs w:val="24"/>
          <w:lang w:val="pl-PL"/>
        </w:rPr>
        <w:t>. Przyjęcie stawki 7% jest więc uzasadnione i nie jest nieproporcjonalne.</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Podatek od niektórych usług cyfrowych. Obowiązki podatnika w zakresie płatności podatku i właściwość organów podatkowych. Podsumowanie (art. 10-13).</w:t>
      </w:r>
      <w:r w:rsidRPr="005A3D4A">
        <w:rPr>
          <w:rFonts w:ascii="Tahoma" w:eastAsia="Times New Roman" w:hAnsi="Tahoma" w:cs="Tahoma"/>
          <w:sz w:val="24"/>
          <w:szCs w:val="24"/>
          <w:lang w:val="pl-PL"/>
        </w:rPr>
        <w:t xml:space="preserve"> Podatnicy będą obowiązani, bez wezwania organu podatkowego, do składania właściwemu dla podatnika naczelnikowi urzędu skarbowego deklaracji o wysokości podatku oraz do obliczania i wpłacania podatku na rachunek właściwego urzędu skarbowego. Obowiązki te dotyczyć będą rocznych okresów rozliczeniowych i muszą zostać spełnione w terminie do 21 marca roku kalendarzowego następującego po roku kalendarzowym, w którym powstał obowiązek podatkowy. Projekt ustawy przewiduje wprowadzenie delegacji dla ministra właściwego do spraw finansów publicznych do określenia wzoru deklaracji podatkowej. Następnie określono właściwość organów podatkowych i wprowadzono obowiązek ustanowienia przedstawiciela podatkowego w przypadku podatników nieposiadających siedziby na terytorium Rzeczypospolitej Polskiej wraz z nieobowiązkową delegacją dla ministra do określenia przypadków, w których ustanowienie przedstawiciela podatkowego nie jest konieczne.</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lastRenderedPageBreak/>
        <w:t>Art. 13 ma charakter ogólny i odsyła w sprawach nieuregulowanych w projekcie ustawy do przepisów Ordynacji podatkowej.</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Podsumowując, należy wskazać, że projektowany podatek od niektórych usług cyfrowych – podobnie jak inne podatki oparte na modelu DST zaproponowanym przez Komisję Europejską – ma stosunkowo prostą konstrukcję. Jest, podobnie jak czeski, francuski i austriacki podatek cyfrowy, podatkiem przychodowym, w odróżnieniu od hiszpańskiego podatku cyfrowego, będącego tradycyjnym podatkiem obrotowym. Podstawowym wyróżnikiem projektowanej regulacji jest wskazanie podmiotu podatku w odniesieniu do koncepcji znaczącej obecności cyfrowej na terytorium Rzeczypospolitej Polskiej, choć rozwiązanie to w oczywisty sposób koresponduje z kryteriami wskazanymi w ustawach o podatku cyfrowym w innych omówionych w uzasadnieniu krajach europejskich.</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Obowiązki przedsiębiorstw sektora cyfrowego (art. 14 i 15, art. 20, art. 22).</w:t>
      </w:r>
      <w:r w:rsidRPr="005A3D4A">
        <w:rPr>
          <w:rFonts w:ascii="Tahoma" w:eastAsia="Times New Roman" w:hAnsi="Tahoma" w:cs="Tahoma"/>
          <w:sz w:val="24"/>
          <w:szCs w:val="24"/>
          <w:lang w:val="pl-PL"/>
        </w:rPr>
        <w:t xml:space="preserve"> Projekt ustawy przewiduje nałożenie na wszystkie przedsiębiorstwa sektora cyfrowego prowadzące działalność na terytorium Rzeczypospolitej Polskiej, niezależnie od tego, czy są podatnikami podatku od niektórych usług cyfrowych, (1) prowadzenia rachunkowości zgodnie z przepisami rozporządzenia wydanego na podstawie projektowanego art. 82 pkt 6 ustawy o rachunkowości (przepis ten wprowadza się w art. 20), (2) przedkładania ministrowi właściwemu do spraw informatyzacji informacji rocznych o świadczonych na terytorium Rzeczypospolitej Polskiej usługach cyfrowych, zawierających w szczególności informacje o liczbie polskich użytkowników, realizowanych w Polsce usługach, wykorzystywanych algorytmach i polityce ochrony prywatności użytkowników. Na ministra właściwego do spraw informatyzacji nałożony zostaje obowiązek przekazywania uzyskanych informacji rocznych Prezesowi Urzędu Ochrony Danych Osobowych oraz Prezesowi Urzędu Ochrony Konkurencji i Konsumentów. W art. 22 zawarto przepis przejściowy dotyczący informacji rocznej przekazywanej w roku wejścia w życie ustawy. </w:t>
      </w:r>
      <w:r w:rsidRPr="005A3D4A">
        <w:rPr>
          <w:rFonts w:ascii="Tahoma" w:eastAsia="Times New Roman" w:hAnsi="Tahoma" w:cs="Tahoma"/>
          <w:sz w:val="24"/>
          <w:szCs w:val="24"/>
          <w:lang w:val="pl-PL"/>
        </w:rPr>
        <w:br/>
      </w: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Fundusz Technologii Cyfrowych (art. 16-19).</w:t>
      </w:r>
      <w:r w:rsidRPr="005A3D4A">
        <w:rPr>
          <w:rFonts w:ascii="Tahoma" w:eastAsia="Times New Roman" w:hAnsi="Tahoma" w:cs="Tahoma"/>
          <w:sz w:val="24"/>
          <w:szCs w:val="24"/>
          <w:lang w:val="pl-PL"/>
        </w:rPr>
        <w:t xml:space="preserve"> Projekt ustawy przewiduje utworzenie państwowego funduszu celowego, którego dysponentem będzie minister właściwy do </w:t>
      </w:r>
      <w:r w:rsidRPr="005A3D4A">
        <w:rPr>
          <w:rFonts w:ascii="Tahoma" w:eastAsia="Times New Roman" w:hAnsi="Tahoma" w:cs="Tahoma"/>
          <w:sz w:val="24"/>
          <w:szCs w:val="24"/>
          <w:lang w:val="pl-PL"/>
        </w:rPr>
        <w:lastRenderedPageBreak/>
        <w:t>spraw informacji. Określa się ogólne cele gromadzenia środków finansowych oraz powierza obsługę bankową Funduszu Bankowi Gospodarstwa Krajowego. Podstawowym źródłem, z którego pochodzić mają środki gromadzone przez FTC, są wpływy z tytuły podatku od niektórych usług cyfrowych. Art. 19 dotyczy gospodarki finansowej Funduszu, ze szczególnym uwzględnieniem obowiązku sporządzenia rocznego planu finansowego. Projektowane przepisy nie różnią się w tym zakresie od innych regulujących funkcjonowanie państwowych funduszy celowych.</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Środki gromadzone w FTC przeznaczane będą na finansowanie przedsięwzięć rozwojowych. W projekcie ustawy wskazano dwa podstawowe cele:</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0"/>
          <w:numId w:val="19"/>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finansowanie zadań operatora Ogólnopolskiej Sieci Edukacyjnej;</w:t>
      </w:r>
    </w:p>
    <w:p w:rsidR="00370F79" w:rsidRPr="005A3D4A" w:rsidRDefault="005A3D4A">
      <w:pPr>
        <w:widowControl w:val="0"/>
        <w:numPr>
          <w:ilvl w:val="0"/>
          <w:numId w:val="19"/>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finansowanie prowadzenia przez instytuty naukowe Polskiej Akademii Nauk, państwowe instytuty badawcze i instytuty działające w ramach Sieci Badawczej Łukasiewicz (łącznie  zwane dalej „instytutami”) działalności naukowej.</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Pierwszy cel zostanie omówiony szczegółowo w kolejnej podsekcji uzasadnienia, ponieważ projekt ustawy zakłada również nowelizację ustawy z dnia 27 października 2017 r. o Ogólnopolskiej Sieci Edukacyjnej (Dz. U. z 2020 r. poz. 1334).</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Działalność naukowa prowadzona przez instytuty będzie finansowana w zakresie następujących dyscyplin naukowych:</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0"/>
          <w:numId w:val="1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automatyki, elektroniki i elektrotechniki;</w:t>
      </w:r>
    </w:p>
    <w:p w:rsidR="00370F79" w:rsidRPr="005A3D4A" w:rsidRDefault="005A3D4A">
      <w:pPr>
        <w:widowControl w:val="0"/>
        <w:numPr>
          <w:ilvl w:val="0"/>
          <w:numId w:val="1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informatyki technicznej i telekomunikacji;</w:t>
      </w:r>
    </w:p>
    <w:p w:rsidR="00370F79" w:rsidRPr="005A3D4A" w:rsidRDefault="005A3D4A">
      <w:pPr>
        <w:widowControl w:val="0"/>
        <w:numPr>
          <w:ilvl w:val="0"/>
          <w:numId w:val="1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informatyki;</w:t>
      </w:r>
    </w:p>
    <w:p w:rsidR="00370F79" w:rsidRPr="005A3D4A" w:rsidRDefault="005A3D4A">
      <w:pPr>
        <w:widowControl w:val="0"/>
        <w:numPr>
          <w:ilvl w:val="0"/>
          <w:numId w:val="1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matematyki;</w:t>
      </w:r>
    </w:p>
    <w:p w:rsidR="00370F79" w:rsidRPr="005A3D4A" w:rsidRDefault="005A3D4A">
      <w:pPr>
        <w:widowControl w:val="0"/>
        <w:numPr>
          <w:ilvl w:val="0"/>
          <w:numId w:val="1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nauk o bezpieczeństwie, o ile przedmiotem działalności naukowej jest cyberbezpieczeństwo;</w:t>
      </w:r>
    </w:p>
    <w:p w:rsidR="00370F79" w:rsidRPr="005A3D4A" w:rsidRDefault="005A3D4A">
      <w:pPr>
        <w:widowControl w:val="0"/>
        <w:numPr>
          <w:ilvl w:val="0"/>
          <w:numId w:val="1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 xml:space="preserve">innych dyscyplin naukowych, w tym projektów interdyscyplinarnych, o ile </w:t>
      </w:r>
      <w:r w:rsidRPr="005A3D4A">
        <w:rPr>
          <w:rFonts w:ascii="Tahoma" w:eastAsia="Times New Roman" w:hAnsi="Tahoma" w:cs="Tahoma"/>
          <w:sz w:val="24"/>
          <w:szCs w:val="24"/>
          <w:lang w:val="pl-PL"/>
        </w:rPr>
        <w:lastRenderedPageBreak/>
        <w:t xml:space="preserve">działalność naukowa prowadzona jest z wykorzystaniem uczenia maszynowego lub Big Data – punkt został wprowadzony do projektu ustawy zgodnie z opinią Ogólnopolskiego Porozumienia Związków Zawodowych, które w ramach konsultacji założeń wnioskowało o objęcie finansowaniem także nauk społecznych, humanistycznych czy przyrodniczych. O ile wykorzystywanie uczenia maszynowego i Big Data jest oczywiste w kontekście dziedzin nauk inżynieryjno-technicznych, nauk medycznych i nauk o zdrowiu czy nauk ścisłych i przyrodniczych, to na wyjaśnienie zasługuje fakt, że zaawansowane narzędzia cyfrowe coraz częściej znajdują zastosowanie także w humanistyce i naukach społecznych, np. w językoznawstwie korpusowym czy analizie dużych zbiorów dokumentów historycznych. </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 xml:space="preserve">Szczegółowe zasady podziału środków między instytutami ustalą minister właściwy do spraw informatyzacji w porozumieniu z ministrem właściwym do spraw nauki i szkolnictwa wyższego. Decyzja o przeniesieniu szczegółowej procedury z poziomu ustawy na poziom rozporządzenia motywowana jest potrzebą zapewnienia elastyczności w doborze kryteriów podziału środków, w tym możliwości wprowadzenia więcej niż jednego rodzaju procedury. Niemniej w przepisie ustanawiającym delegację zaznaczono, że właściwi ministrowie mają kierować się potrzebą zapewnienia stabilnego finansowania badań podstawowych. Badania podstawowe są szczególnie narażone na brak finansowania, ponieważ prowadzenie ich nie ma na celu natychmiastowego wdrożenia i komercjalizacji. Inwestycje w badania podstawowe obarczone są dużym ryzykiem, a ich ewentualne zastosowanie komercyjne – o ile w ogóle do niego dojdzie – zwykle możliwe jest dopiero w odległym horyzoncie czasowym. W związku z tym podmioty rynkowe są niezdolne do inwestowania w nie na odpowiednio dużą skalę. Jednocześnie niedofinansowanie badań podstawowych hamuje postęp nauk stosowanych. W związku z tym konieczne jest, by odpowiedzialność za ich finansowanie wzięło na siebie państwo, które w przeciwieństwie do prywatnego biznesu jest w stanie planować inwestycje także w długiej perspektywie historycznej. W ocenie projektodawcy środki z FTC powinny być przeznaczane zgodnie z zasadą „nakierowania na misje” – w znaczeniu, jakie nadaje temu sformułowaniu Mariana </w:t>
      </w:r>
      <w:r w:rsidRPr="005A3D4A">
        <w:rPr>
          <w:rFonts w:ascii="Tahoma" w:eastAsia="Times New Roman" w:hAnsi="Tahoma" w:cs="Tahoma"/>
          <w:sz w:val="24"/>
          <w:szCs w:val="24"/>
          <w:lang w:val="pl-PL"/>
        </w:rPr>
        <w:lastRenderedPageBreak/>
        <w:t>Mazzucato</w:t>
      </w:r>
      <w:r w:rsidRPr="005A3D4A">
        <w:rPr>
          <w:rFonts w:ascii="Tahoma" w:eastAsia="Times New Roman" w:hAnsi="Tahoma" w:cs="Tahoma"/>
          <w:sz w:val="24"/>
          <w:szCs w:val="24"/>
          <w:vertAlign w:val="superscript"/>
          <w:lang w:val="pl-PL"/>
        </w:rPr>
        <w:footnoteReference w:id="33"/>
      </w:r>
      <w:r w:rsidRPr="005A3D4A">
        <w:rPr>
          <w:rFonts w:ascii="Tahoma" w:eastAsia="Times New Roman" w:hAnsi="Tahoma" w:cs="Tahoma"/>
          <w:sz w:val="24"/>
          <w:szCs w:val="24"/>
          <w:lang w:val="pl-PL"/>
        </w:rPr>
        <w:t>. Wyznaczenie takich misji zdecydowanie wykracza jednak poza zakres niniejszego projektu i jego uzasadnienia.</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Katalog przedsięwzięć finansowanych przez FTC ze środków pozyskanych dzięki podatkowi od niektórych usług cyfrowych w przyszłości mógłby zostać uzupełniony. Na obecnym etapie – m.in. ze względu na to, że nie jest jasne, jak długo obowiązywać miałby polski podatek cyfrowy i czy ewentualne rozwiązanie na poziomie międzynarodowym nie będzie dotyczyć raczej zmiany konstrukcji CIT, a nie wprowadzenia DST – projektodawca proponuje ograniczenie liczby celów do dwóch, wskazanych w projekcie ustawy.</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Ogólnopolska Sieć Edukacyjna (art. 18 ust. 1 pkt 1 i art. 21).</w:t>
      </w:r>
      <w:r w:rsidRPr="005A3D4A">
        <w:rPr>
          <w:rFonts w:ascii="Tahoma" w:eastAsia="Times New Roman" w:hAnsi="Tahoma" w:cs="Tahoma"/>
          <w:sz w:val="24"/>
          <w:szCs w:val="24"/>
          <w:lang w:val="pl-PL"/>
        </w:rPr>
        <w:t xml:space="preserve"> Ogólnopolska Sieć Edukacyjna (OSE) jest publiczną siecią telekomunikacyjną, przy pomocy której szkołom zapewnia się nieodpłatnie usługę dostępu do szerokopasmowego Internetu oraz usługi bezpieczeństwa sieciowego i teleinformatycznego, utworzoną na mocy ustawy z dnia 27 października 2017 r. o Ogólnopolskiej Sieci Edukacyjnej (Dz. U. z 2020 r. poz. 1334). </w:t>
      </w:r>
      <w:r w:rsidRPr="005A3D4A">
        <w:rPr>
          <w:rFonts w:ascii="Tahoma" w:eastAsia="Times New Roman" w:hAnsi="Tahoma" w:cs="Tahoma"/>
          <w:sz w:val="24"/>
          <w:szCs w:val="24"/>
          <w:lang w:val="pl-PL"/>
        </w:rPr>
        <w:lastRenderedPageBreak/>
        <w:t>Operatorem OSE jest Naukowa i Akademicka Sieć Komputerowa (NASK). Dotychczasowa działalność OSE jest oceniana bardzo pozytywnie, chociaż proces podłączania szkół przebiega z pewnymi opóźnieniami, co wynikało w dużej mierze z opóźnień w dostarczaniu łączy przez operatorów prywatnych</w:t>
      </w:r>
      <w:r w:rsidRPr="005A3D4A">
        <w:rPr>
          <w:rFonts w:ascii="Tahoma" w:eastAsia="Times New Roman" w:hAnsi="Tahoma" w:cs="Tahoma"/>
          <w:sz w:val="24"/>
          <w:szCs w:val="24"/>
          <w:vertAlign w:val="superscript"/>
          <w:lang w:val="pl-PL"/>
        </w:rPr>
        <w:footnoteReference w:id="34"/>
      </w:r>
      <w:r w:rsidRPr="005A3D4A">
        <w:rPr>
          <w:rFonts w:ascii="Tahoma" w:eastAsia="Times New Roman" w:hAnsi="Tahoma" w:cs="Tahoma"/>
          <w:sz w:val="24"/>
          <w:szCs w:val="24"/>
          <w:lang w:val="pl-PL"/>
        </w:rPr>
        <w:t>. Pomimo tych, wskazanych przez Najwyższą Izbę Kontroli problemów, OSE należy uznać za inicjatywę dobrze zaplanowaną i pożyteczną. W projekcie ustawy proponuje się, by Fundusz Technologii Cyfrowych stał się dodatkowym źródłem środków na finansowanie zadań operatora, dzięki czemu możliwe stanie się świadczenie usług na jeszcze wyższym niż dotychczas poziomie.</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Ponadto proponuje się, by do Ogólnopolskiej Sieci Edukacyjnej włączone zostały także biblioteki jednostek samorządu terytorialnego. Umożliwiłoby to dostęp do szerokopasmowego internetu osobom, które nie są uczniami ani nauczycielami. Przyniosłoby to korzyść zwłaszcza mieszkańcom obszarów, gdzie nadal brak powszechnego dostępu do szybkiego Internetu szerokopasmowego</w:t>
      </w:r>
      <w:r w:rsidRPr="005A3D4A">
        <w:rPr>
          <w:rFonts w:ascii="Tahoma" w:eastAsia="Times New Roman" w:hAnsi="Tahoma" w:cs="Tahoma"/>
          <w:sz w:val="24"/>
          <w:szCs w:val="24"/>
          <w:vertAlign w:val="superscript"/>
          <w:lang w:val="pl-PL"/>
        </w:rPr>
        <w:footnoteReference w:id="35"/>
      </w:r>
      <w:r w:rsidRPr="005A3D4A">
        <w:rPr>
          <w:rFonts w:ascii="Tahoma" w:eastAsia="Times New Roman" w:hAnsi="Tahoma" w:cs="Tahoma"/>
          <w:sz w:val="24"/>
          <w:szCs w:val="24"/>
          <w:lang w:val="pl-PL"/>
        </w:rPr>
        <w:t>. Z uwagi na proponowane włączenie do OSE bibliotek w ustawie o OSE dokonuje się szeregu drobnych zmian dostosowujących przepisy.</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Wejście ustawy w życie (art. 23).</w:t>
      </w:r>
      <w:r w:rsidRPr="005A3D4A">
        <w:rPr>
          <w:rFonts w:ascii="Tahoma" w:eastAsia="Times New Roman" w:hAnsi="Tahoma" w:cs="Tahoma"/>
          <w:sz w:val="24"/>
          <w:szCs w:val="24"/>
          <w:lang w:val="pl-PL"/>
        </w:rPr>
        <w:t xml:space="preserve"> Projekt ustawy zakłada wydłużone vacatio legis. Ustawa miałaby wejść w życie pierwszego dnia roku następującego po upływie 90 dni od dnia ogłoszenia. </w:t>
      </w:r>
    </w:p>
    <w:p w:rsidR="00370F79" w:rsidRPr="005A3D4A" w:rsidRDefault="005A3D4A" w:rsidP="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br/>
        <w:t xml:space="preserve">Projektodawca zdecydował się na wydłużenie okresu spoczywania ustawy ze standardowych 14 dni ze względu na zasadę pewności prawa oraz zaufania do państwa i stanowionego przez nie prawa, z których wynika zakaz wprowadzania zmian w zakresie podatków w trakcie okresu rozliczeniowego oraz reguła miesięcznego okresu </w:t>
      </w:r>
      <w:r w:rsidRPr="005A3D4A">
        <w:rPr>
          <w:rFonts w:ascii="Tahoma" w:eastAsia="Times New Roman" w:hAnsi="Tahoma" w:cs="Tahoma"/>
          <w:sz w:val="24"/>
          <w:szCs w:val="24"/>
          <w:lang w:val="pl-PL"/>
        </w:rPr>
        <w:lastRenderedPageBreak/>
        <w:t>dostosowawczego. Wymogi te nie mają co prawda bezwzględnie wiążącego charakteru, jednak przestrzeganie ich stanowi dobry obyczaj. Ustanowienie takiego vacatio legis wydaje się także zasadne ze względów praktycznych: przyjęcie projektu wiązałoby się z koniecznością podjęcia dodatkowych działań przez administrację skarbową, jak np. przeprowadzenie dodatkowych szkoleń dla pracowników.</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Wyjątek od terminu wejścia w życie całości ustawy dotyczy art. 21 pkt 1-6 i pkt 7 lit. b i c, które dotyczą włączenia bibliotek jednostek samorządu terytorialnego do Ogólnopolskiej Sieci Edukacyjnej. W ich przypadku okres spoczywania ustawy został określony jako 60 dni.</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0"/>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b/>
          <w:sz w:val="24"/>
          <w:szCs w:val="24"/>
          <w:lang w:val="pl-PL"/>
        </w:rPr>
        <w:t>Przewidywane skutki społeczne, gospodarcze, finansowe i prawne</w:t>
      </w:r>
    </w:p>
    <w:p w:rsidR="00370F79" w:rsidRPr="005A3D4A" w:rsidRDefault="00370F79">
      <w:pPr>
        <w:widowControl w:val="0"/>
        <w:spacing w:line="360" w:lineRule="auto"/>
        <w:ind w:right="-15"/>
        <w:jc w:val="both"/>
        <w:rPr>
          <w:rFonts w:ascii="Tahoma" w:eastAsia="Times New Roman" w:hAnsi="Tahoma" w:cs="Tahoma"/>
          <w:b/>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 xml:space="preserve">Wpływy z podatku od niektórych usług cyfrowych. </w:t>
      </w:r>
      <w:r w:rsidRPr="005A3D4A">
        <w:rPr>
          <w:rFonts w:ascii="Tahoma" w:eastAsia="Times New Roman" w:hAnsi="Tahoma" w:cs="Tahoma"/>
          <w:sz w:val="24"/>
          <w:szCs w:val="24"/>
          <w:lang w:val="pl-PL"/>
        </w:rPr>
        <w:t>Poniżej przedstawiona została prognoza wpływów z podatku od niektórych usług cyfrowych zawarta w ekspertyzie zamówionej na potrzeby prac nad projektem ustawy</w:t>
      </w:r>
      <w:r w:rsidRPr="005A3D4A">
        <w:rPr>
          <w:rFonts w:ascii="Tahoma" w:eastAsia="Times New Roman" w:hAnsi="Tahoma" w:cs="Tahoma"/>
          <w:sz w:val="24"/>
          <w:szCs w:val="24"/>
          <w:vertAlign w:val="superscript"/>
          <w:lang w:val="pl-PL"/>
        </w:rPr>
        <w:footnoteReference w:id="36"/>
      </w:r>
      <w:r w:rsidRPr="005A3D4A">
        <w:rPr>
          <w:rFonts w:ascii="Tahoma" w:eastAsia="Times New Roman" w:hAnsi="Tahoma" w:cs="Tahoma"/>
          <w:sz w:val="24"/>
          <w:szCs w:val="24"/>
          <w:lang w:val="pl-PL"/>
        </w:rPr>
        <w:t xml:space="preserve">. Na wstępie należy jednak zaznaczyć, że modelowanie finansowe zostało przeprowadzone wiosną 2020 roku na podstawie danych sprzed globalnego kryzysu gospodarczego spowodowanego pandemią COVID-19. Do czasu publikacji raportu nie pojawiły się żadne w pełni wiarygodne prognozy dotyczące wpływu pandemii na wzrost gospodarczy w 2020 roku – a także dziś prognozy dotyczące 2021 roku należy uznać za co najmniej niepewne, zważywszy, że wciąż nie wiemy chociażby tego, kiedy opracowana zostanie skuteczna szczepionka przeciwko SARS-CoV-2 i kiedy stanie się ona powszechnie dostępna. Ze względu na wprowadzane w celu przeciwdziałania COVID-19 lockdowny zauważalny jest znaczący wzrost użycia części wielostronnych interfejsów cyfrowych (jak np. portale społecznościowe i internetowe targowiska) i spadek w przypadku innych (jak np. platformy pośredniczące w zawieraniu umów najmu krótkoterminowego). Jednakże </w:t>
      </w:r>
      <w:r w:rsidRPr="005A3D4A">
        <w:rPr>
          <w:rFonts w:ascii="Tahoma" w:eastAsia="Times New Roman" w:hAnsi="Tahoma" w:cs="Tahoma"/>
          <w:sz w:val="24"/>
          <w:szCs w:val="24"/>
          <w:lang w:val="pl-PL"/>
        </w:rPr>
        <w:lastRenderedPageBreak/>
        <w:t xml:space="preserve">również w tym zakresie nadal nie dysponujemy pełnym zestawem danych. </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Symulacja oparta została na trzech podstawowych założeniach:</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0"/>
          <w:numId w:val="31"/>
        </w:numPr>
        <w:spacing w:line="360" w:lineRule="auto"/>
        <w:ind w:left="1080"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wykorzystanie modelu równowagi cząstkowej – uwzględnione zostały wyłącznie interakcje uczestników rynku cyfrowego, a zignorowano ich skutki dla pozostałych sektorów gospodarki. Innymi słowy, w symulacji uwzględniono podwyżki cen na platformach cyfrowych oraz zmiany popytu korzystających z nich podmiotów związane ze zmianą opodatkowania, pominięto natomiast np. potencjalne zwiększenie obrotów na konkurencyjnych, analogowych rynkach i ich konsekwencje fiskalne, np. ewentualny wzrost dochodów budżetowych z tytułu VAT;</w:t>
      </w:r>
    </w:p>
    <w:p w:rsidR="00370F79" w:rsidRPr="005A3D4A" w:rsidRDefault="005A3D4A">
      <w:pPr>
        <w:widowControl w:val="0"/>
        <w:numPr>
          <w:ilvl w:val="0"/>
          <w:numId w:val="31"/>
        </w:numPr>
        <w:spacing w:line="360" w:lineRule="auto"/>
        <w:ind w:left="1080"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symulacja średniookresowa – oszacowanie efektów długookresowych wymagałoby uwzględnienia m. in. decyzji inwestycyjnych czy wejść/wyjść firm na rynek cyfrowy;</w:t>
      </w:r>
    </w:p>
    <w:p w:rsidR="00370F79" w:rsidRPr="005A3D4A" w:rsidRDefault="005A3D4A">
      <w:pPr>
        <w:widowControl w:val="0"/>
        <w:numPr>
          <w:ilvl w:val="0"/>
          <w:numId w:val="31"/>
        </w:numPr>
        <w:spacing w:line="360" w:lineRule="auto"/>
        <w:ind w:left="1080"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dezagregacja modelowanego sektora przez segmentację rynku na platformy obrotu dobrami, platformy obrotu usługami i dostarczycieli reklam profilowanych.</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W symulacji zastosowano współczynniki cenowej elastyczności popytu, określające względną procentową zmianę popytu wywołaną procentową zmianą ceny (przykładowo współczynnik równy -1 oznacza, że wzrost ceny o 1% wiąże się ze spadkiem popytu o 1%). Przyjęte cenowe elastyczności zaprezentowano w tabeli nr 1.</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after="200" w:line="360" w:lineRule="auto"/>
        <w:ind w:left="720" w:right="-15"/>
        <w:jc w:val="both"/>
        <w:rPr>
          <w:rFonts w:ascii="Tahoma" w:eastAsia="Times New Roman" w:hAnsi="Tahoma" w:cs="Tahoma"/>
          <w:sz w:val="24"/>
          <w:szCs w:val="24"/>
          <w:lang w:val="pl-PL"/>
        </w:rPr>
      </w:pPr>
      <w:r w:rsidRPr="005A3D4A">
        <w:rPr>
          <w:rFonts w:ascii="Tahoma" w:eastAsia="Times New Roman" w:hAnsi="Tahoma" w:cs="Tahoma"/>
          <w:b/>
          <w:sz w:val="24"/>
          <w:szCs w:val="24"/>
          <w:lang w:val="pl-PL"/>
        </w:rPr>
        <w:t xml:space="preserve">Tabela nr 1: </w:t>
      </w:r>
      <w:r w:rsidRPr="005A3D4A">
        <w:rPr>
          <w:rFonts w:ascii="Tahoma" w:eastAsia="Times New Roman" w:hAnsi="Tahoma" w:cs="Tahoma"/>
          <w:sz w:val="24"/>
          <w:szCs w:val="24"/>
          <w:lang w:val="pl-PL"/>
        </w:rPr>
        <w:t>Współczynniki cenowej elastyczności popytu</w:t>
      </w:r>
    </w:p>
    <w:tbl>
      <w:tblPr>
        <w:tblStyle w:val="a"/>
        <w:tblW w:w="795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95"/>
        <w:gridCol w:w="2475"/>
        <w:gridCol w:w="2580"/>
      </w:tblGrid>
      <w:tr w:rsidR="00370F79" w:rsidRPr="005A3D4A">
        <w:trPr>
          <w:jc w:val="center"/>
        </w:trPr>
        <w:tc>
          <w:tcPr>
            <w:tcW w:w="289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b/>
                <w:sz w:val="24"/>
                <w:szCs w:val="24"/>
                <w:lang w:val="pl-PL"/>
              </w:rPr>
            </w:pPr>
            <w:r w:rsidRPr="005A3D4A">
              <w:rPr>
                <w:rFonts w:ascii="Tahoma" w:eastAsia="Times New Roman" w:hAnsi="Tahoma" w:cs="Tahoma"/>
                <w:b/>
                <w:sz w:val="24"/>
                <w:szCs w:val="24"/>
                <w:lang w:val="pl-PL"/>
              </w:rPr>
              <w:t>Segment</w:t>
            </w:r>
          </w:p>
        </w:tc>
        <w:tc>
          <w:tcPr>
            <w:tcW w:w="247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b/>
                <w:sz w:val="24"/>
                <w:szCs w:val="24"/>
                <w:lang w:val="pl-PL"/>
              </w:rPr>
            </w:pPr>
            <w:r w:rsidRPr="005A3D4A">
              <w:rPr>
                <w:rFonts w:ascii="Tahoma" w:eastAsia="Times New Roman" w:hAnsi="Tahoma" w:cs="Tahoma"/>
                <w:b/>
                <w:sz w:val="24"/>
                <w:szCs w:val="24"/>
                <w:lang w:val="pl-PL"/>
              </w:rPr>
              <w:t>Elastyczność cenowa popytu sprzedawców</w:t>
            </w:r>
          </w:p>
        </w:tc>
        <w:tc>
          <w:tcPr>
            <w:tcW w:w="258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b/>
                <w:sz w:val="24"/>
                <w:szCs w:val="24"/>
                <w:lang w:val="pl-PL"/>
              </w:rPr>
            </w:pPr>
            <w:r w:rsidRPr="005A3D4A">
              <w:rPr>
                <w:rFonts w:ascii="Tahoma" w:eastAsia="Times New Roman" w:hAnsi="Tahoma" w:cs="Tahoma"/>
                <w:b/>
                <w:sz w:val="24"/>
                <w:szCs w:val="24"/>
                <w:lang w:val="pl-PL"/>
              </w:rPr>
              <w:t>Elastyczność cenowa popytu konsumentów</w:t>
            </w:r>
          </w:p>
        </w:tc>
      </w:tr>
      <w:tr w:rsidR="00370F79" w:rsidRPr="005A3D4A">
        <w:trPr>
          <w:jc w:val="center"/>
        </w:trPr>
        <w:tc>
          <w:tcPr>
            <w:tcW w:w="289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sz w:val="24"/>
                <w:szCs w:val="24"/>
                <w:lang w:val="pl-PL"/>
              </w:rPr>
            </w:pPr>
            <w:r w:rsidRPr="005A3D4A">
              <w:rPr>
                <w:rFonts w:ascii="Tahoma" w:eastAsia="Times New Roman" w:hAnsi="Tahoma" w:cs="Tahoma"/>
                <w:sz w:val="24"/>
                <w:szCs w:val="24"/>
                <w:lang w:val="pl-PL"/>
              </w:rPr>
              <w:lastRenderedPageBreak/>
              <w:t>Platformy obrotu dobrami</w:t>
            </w:r>
          </w:p>
        </w:tc>
        <w:tc>
          <w:tcPr>
            <w:tcW w:w="247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w:t>
            </w:r>
          </w:p>
        </w:tc>
        <w:tc>
          <w:tcPr>
            <w:tcW w:w="258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-2,2</w:t>
            </w:r>
          </w:p>
        </w:tc>
      </w:tr>
      <w:tr w:rsidR="00370F79" w:rsidRPr="005A3D4A">
        <w:trPr>
          <w:jc w:val="center"/>
        </w:trPr>
        <w:tc>
          <w:tcPr>
            <w:tcW w:w="289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sz w:val="24"/>
                <w:szCs w:val="24"/>
                <w:lang w:val="pl-PL"/>
              </w:rPr>
            </w:pPr>
            <w:r w:rsidRPr="005A3D4A">
              <w:rPr>
                <w:rFonts w:ascii="Tahoma" w:eastAsia="Times New Roman" w:hAnsi="Tahoma" w:cs="Tahoma"/>
                <w:sz w:val="24"/>
                <w:szCs w:val="24"/>
                <w:lang w:val="pl-PL"/>
              </w:rPr>
              <w:t>Platformy obrotu usługami</w:t>
            </w:r>
          </w:p>
        </w:tc>
        <w:tc>
          <w:tcPr>
            <w:tcW w:w="247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w:t>
            </w:r>
          </w:p>
        </w:tc>
        <w:tc>
          <w:tcPr>
            <w:tcW w:w="258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-0,6</w:t>
            </w:r>
          </w:p>
        </w:tc>
      </w:tr>
      <w:tr w:rsidR="00370F79" w:rsidRPr="005A3D4A">
        <w:trPr>
          <w:jc w:val="center"/>
        </w:trPr>
        <w:tc>
          <w:tcPr>
            <w:tcW w:w="289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sz w:val="24"/>
                <w:szCs w:val="24"/>
                <w:lang w:val="pl-PL"/>
              </w:rPr>
            </w:pPr>
            <w:r w:rsidRPr="005A3D4A">
              <w:rPr>
                <w:rFonts w:ascii="Tahoma" w:eastAsia="Times New Roman" w:hAnsi="Tahoma" w:cs="Tahoma"/>
                <w:sz w:val="24"/>
                <w:szCs w:val="24"/>
                <w:lang w:val="pl-PL"/>
              </w:rPr>
              <w:t>Dostarczyciele reklam profilowanych</w:t>
            </w:r>
          </w:p>
        </w:tc>
        <w:tc>
          <w:tcPr>
            <w:tcW w:w="247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w:t>
            </w:r>
          </w:p>
        </w:tc>
        <w:tc>
          <w:tcPr>
            <w:tcW w:w="258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w:t>
            </w:r>
          </w:p>
        </w:tc>
      </w:tr>
    </w:tbl>
    <w:p w:rsidR="00370F79" w:rsidRPr="005A3D4A" w:rsidRDefault="005A3D4A">
      <w:pPr>
        <w:widowControl w:val="0"/>
        <w:spacing w:before="200" w:line="360" w:lineRule="auto"/>
        <w:ind w:left="720"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 xml:space="preserve">Źródło: K. Chojecka, S. A. Roy, J. J. Zygmuntowski (2020) </w:t>
      </w:r>
      <w:r w:rsidRPr="005A3D4A">
        <w:rPr>
          <w:rFonts w:ascii="Tahoma" w:eastAsia="Times New Roman" w:hAnsi="Tahoma" w:cs="Tahoma"/>
          <w:i/>
          <w:sz w:val="24"/>
          <w:szCs w:val="24"/>
          <w:lang w:val="pl-PL"/>
        </w:rPr>
        <w:t>Podatek cyfrowy od gigantów. Ekspertyza w zakresie wprowadzenia w Polsce podatku cyfrowego (DST)</w:t>
      </w:r>
      <w:r w:rsidRPr="005A3D4A">
        <w:rPr>
          <w:rFonts w:ascii="Tahoma" w:eastAsia="Times New Roman" w:hAnsi="Tahoma" w:cs="Tahoma"/>
          <w:sz w:val="24"/>
          <w:szCs w:val="24"/>
          <w:lang w:val="pl-PL"/>
        </w:rPr>
        <w:t>, Instrat Policy Paper 02/2020, s. 30.</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W przypadku segmentu dostarczycieli reklam profilowanych nie uwzględniono elastyczności cenowej popytu konsumentów, ponieważ nie są one bezpośrednio sprzedawane konsumentom (konsumenci nie zgłaszają popytu na reklamy).</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Wykorzystane w modelowaniu dane dotyczące przychodów podatników dotyczą roku obrotowego 2018 (ostatniego, dla którego możliwe było pozyskanie możliwie kompletnych danych) i opierają się zarówno na oficjalnej sprawozdawczości finansowej jak i opracowaniach branżowych. Zestawienie danych o przychodach prezentuje tabela nr 2.</w:t>
      </w:r>
    </w:p>
    <w:p w:rsidR="00370F79" w:rsidRPr="005A3D4A" w:rsidRDefault="005A3D4A">
      <w:pPr>
        <w:widowControl w:val="0"/>
        <w:spacing w:after="200" w:line="360" w:lineRule="auto"/>
        <w:ind w:left="720" w:right="-15"/>
        <w:jc w:val="both"/>
        <w:rPr>
          <w:rFonts w:ascii="Tahoma" w:eastAsia="Times New Roman" w:hAnsi="Tahoma" w:cs="Tahoma"/>
          <w:sz w:val="24"/>
          <w:szCs w:val="24"/>
          <w:lang w:val="pl-PL"/>
        </w:rPr>
      </w:pPr>
      <w:r w:rsidRPr="005A3D4A">
        <w:rPr>
          <w:rFonts w:ascii="Tahoma" w:eastAsia="Times New Roman" w:hAnsi="Tahoma" w:cs="Tahoma"/>
          <w:b/>
          <w:sz w:val="24"/>
          <w:szCs w:val="24"/>
          <w:lang w:val="pl-PL"/>
        </w:rPr>
        <w:t>Tabela nr 2:</w:t>
      </w:r>
      <w:r w:rsidRPr="005A3D4A">
        <w:rPr>
          <w:rFonts w:ascii="Tahoma" w:eastAsia="Times New Roman" w:hAnsi="Tahoma" w:cs="Tahoma"/>
          <w:sz w:val="24"/>
          <w:szCs w:val="24"/>
          <w:lang w:val="pl-PL"/>
        </w:rPr>
        <w:t xml:space="preserve"> Szacunek przychodów podmiotów opodatkowanych podatkiem od niektórych usług cyfrowych</w:t>
      </w:r>
    </w:p>
    <w:tbl>
      <w:tblPr>
        <w:tblStyle w:val="a0"/>
        <w:tblW w:w="798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0"/>
        <w:gridCol w:w="1680"/>
        <w:gridCol w:w="1485"/>
        <w:gridCol w:w="2835"/>
      </w:tblGrid>
      <w:tr w:rsidR="00370F79" w:rsidRPr="005A3D4A">
        <w:trPr>
          <w:jc w:val="center"/>
        </w:trPr>
        <w:tc>
          <w:tcPr>
            <w:tcW w:w="1980" w:type="dxa"/>
            <w:shd w:val="clear" w:color="auto" w:fill="auto"/>
            <w:tcMar>
              <w:top w:w="100" w:type="dxa"/>
              <w:left w:w="100" w:type="dxa"/>
              <w:bottom w:w="100" w:type="dxa"/>
              <w:right w:w="100" w:type="dxa"/>
            </w:tcMar>
          </w:tcPr>
          <w:p w:rsidR="00370F79" w:rsidRPr="005A3D4A" w:rsidRDefault="005A3D4A">
            <w:pPr>
              <w:widowControl w:val="0"/>
              <w:spacing w:line="360" w:lineRule="auto"/>
              <w:jc w:val="center"/>
              <w:rPr>
                <w:rFonts w:ascii="Tahoma" w:eastAsia="Times New Roman" w:hAnsi="Tahoma" w:cs="Tahoma"/>
                <w:b/>
                <w:sz w:val="24"/>
                <w:szCs w:val="24"/>
                <w:lang w:val="pl-PL"/>
              </w:rPr>
            </w:pPr>
            <w:r w:rsidRPr="005A3D4A">
              <w:rPr>
                <w:rFonts w:ascii="Tahoma" w:eastAsia="Times New Roman" w:hAnsi="Tahoma" w:cs="Tahoma"/>
                <w:b/>
                <w:sz w:val="24"/>
                <w:szCs w:val="24"/>
                <w:lang w:val="pl-PL"/>
              </w:rPr>
              <w:t>Segment</w:t>
            </w:r>
          </w:p>
        </w:tc>
        <w:tc>
          <w:tcPr>
            <w:tcW w:w="1680" w:type="dxa"/>
            <w:shd w:val="clear" w:color="auto" w:fill="auto"/>
            <w:tcMar>
              <w:top w:w="100" w:type="dxa"/>
              <w:left w:w="100" w:type="dxa"/>
              <w:bottom w:w="100" w:type="dxa"/>
              <w:right w:w="100" w:type="dxa"/>
            </w:tcMar>
          </w:tcPr>
          <w:p w:rsidR="00370F79" w:rsidRPr="005A3D4A" w:rsidRDefault="005A3D4A">
            <w:pPr>
              <w:widowControl w:val="0"/>
              <w:spacing w:line="360" w:lineRule="auto"/>
              <w:jc w:val="center"/>
              <w:rPr>
                <w:rFonts w:ascii="Tahoma" w:eastAsia="Times New Roman" w:hAnsi="Tahoma" w:cs="Tahoma"/>
                <w:b/>
                <w:sz w:val="24"/>
                <w:szCs w:val="24"/>
                <w:lang w:val="pl-PL"/>
              </w:rPr>
            </w:pPr>
            <w:r w:rsidRPr="005A3D4A">
              <w:rPr>
                <w:rFonts w:ascii="Tahoma" w:eastAsia="Times New Roman" w:hAnsi="Tahoma" w:cs="Tahoma"/>
                <w:b/>
                <w:sz w:val="24"/>
                <w:szCs w:val="24"/>
                <w:lang w:val="pl-PL"/>
              </w:rPr>
              <w:t xml:space="preserve">Udział Polski </w:t>
            </w:r>
            <w:r w:rsidRPr="005A3D4A">
              <w:rPr>
                <w:rFonts w:ascii="Tahoma" w:eastAsia="Times New Roman" w:hAnsi="Tahoma" w:cs="Tahoma"/>
                <w:b/>
                <w:sz w:val="24"/>
                <w:szCs w:val="24"/>
                <w:lang w:val="pl-PL"/>
              </w:rPr>
              <w:br/>
              <w:t>w globalnym rynku</w:t>
            </w:r>
          </w:p>
        </w:tc>
        <w:tc>
          <w:tcPr>
            <w:tcW w:w="148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b/>
                <w:sz w:val="24"/>
                <w:szCs w:val="24"/>
                <w:lang w:val="pl-PL"/>
              </w:rPr>
            </w:pPr>
            <w:r w:rsidRPr="005A3D4A">
              <w:rPr>
                <w:rFonts w:ascii="Tahoma" w:eastAsia="Times New Roman" w:hAnsi="Tahoma" w:cs="Tahoma"/>
                <w:b/>
                <w:sz w:val="24"/>
                <w:szCs w:val="24"/>
                <w:lang w:val="pl-PL"/>
              </w:rPr>
              <w:t>Przeciętna prowizja</w:t>
            </w:r>
          </w:p>
        </w:tc>
        <w:tc>
          <w:tcPr>
            <w:tcW w:w="283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b/>
                <w:sz w:val="24"/>
                <w:szCs w:val="24"/>
                <w:lang w:val="pl-PL"/>
              </w:rPr>
            </w:pPr>
            <w:r w:rsidRPr="005A3D4A">
              <w:rPr>
                <w:rFonts w:ascii="Tahoma" w:eastAsia="Times New Roman" w:hAnsi="Tahoma" w:cs="Tahoma"/>
                <w:b/>
                <w:sz w:val="24"/>
                <w:szCs w:val="24"/>
                <w:lang w:val="pl-PL"/>
              </w:rPr>
              <w:t>Przychody w 2018 r.</w:t>
            </w:r>
          </w:p>
        </w:tc>
      </w:tr>
      <w:tr w:rsidR="00370F79" w:rsidRPr="005A3D4A">
        <w:trPr>
          <w:jc w:val="center"/>
        </w:trPr>
        <w:tc>
          <w:tcPr>
            <w:tcW w:w="1980" w:type="dxa"/>
            <w:shd w:val="clear" w:color="auto" w:fill="auto"/>
            <w:tcMar>
              <w:top w:w="100" w:type="dxa"/>
              <w:left w:w="100" w:type="dxa"/>
              <w:bottom w:w="100" w:type="dxa"/>
              <w:right w:w="100" w:type="dxa"/>
            </w:tcMar>
          </w:tcPr>
          <w:p w:rsidR="00370F79" w:rsidRPr="005A3D4A" w:rsidRDefault="005A3D4A">
            <w:pPr>
              <w:widowControl w:val="0"/>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lastRenderedPageBreak/>
              <w:t>Platformy obrotu dobrami</w:t>
            </w:r>
          </w:p>
        </w:tc>
        <w:tc>
          <w:tcPr>
            <w:tcW w:w="1680" w:type="dxa"/>
            <w:shd w:val="clear" w:color="auto" w:fill="auto"/>
            <w:tcMar>
              <w:top w:w="100" w:type="dxa"/>
              <w:left w:w="100" w:type="dxa"/>
              <w:bottom w:w="100" w:type="dxa"/>
              <w:right w:w="100" w:type="dxa"/>
            </w:tcMar>
          </w:tcPr>
          <w:p w:rsidR="00370F79" w:rsidRPr="005A3D4A" w:rsidRDefault="005A3D4A">
            <w:pPr>
              <w:widowControl w:val="0"/>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0,91%</w:t>
            </w:r>
          </w:p>
        </w:tc>
        <w:tc>
          <w:tcPr>
            <w:tcW w:w="148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8,11%</w:t>
            </w:r>
          </w:p>
        </w:tc>
        <w:tc>
          <w:tcPr>
            <w:tcW w:w="283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3 386 248 340,75 PLN</w:t>
            </w:r>
          </w:p>
        </w:tc>
      </w:tr>
      <w:tr w:rsidR="00370F79" w:rsidRPr="005A3D4A">
        <w:trPr>
          <w:jc w:val="center"/>
        </w:trPr>
        <w:tc>
          <w:tcPr>
            <w:tcW w:w="1980" w:type="dxa"/>
            <w:shd w:val="clear" w:color="auto" w:fill="auto"/>
            <w:tcMar>
              <w:top w:w="100" w:type="dxa"/>
              <w:left w:w="100" w:type="dxa"/>
              <w:bottom w:w="100" w:type="dxa"/>
              <w:right w:w="100" w:type="dxa"/>
            </w:tcMar>
          </w:tcPr>
          <w:p w:rsidR="00370F79" w:rsidRPr="005A3D4A" w:rsidRDefault="005A3D4A">
            <w:pPr>
              <w:widowControl w:val="0"/>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Platformy obrotu usługami</w:t>
            </w:r>
          </w:p>
        </w:tc>
        <w:tc>
          <w:tcPr>
            <w:tcW w:w="1680" w:type="dxa"/>
            <w:shd w:val="clear" w:color="auto" w:fill="auto"/>
            <w:tcMar>
              <w:top w:w="100" w:type="dxa"/>
              <w:left w:w="100" w:type="dxa"/>
              <w:bottom w:w="100" w:type="dxa"/>
              <w:right w:w="100" w:type="dxa"/>
            </w:tcMar>
          </w:tcPr>
          <w:p w:rsidR="00370F79" w:rsidRPr="005A3D4A" w:rsidRDefault="005A3D4A">
            <w:pPr>
              <w:widowControl w:val="0"/>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0,6%</w:t>
            </w:r>
          </w:p>
        </w:tc>
        <w:tc>
          <w:tcPr>
            <w:tcW w:w="148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20,13%</w:t>
            </w:r>
          </w:p>
        </w:tc>
        <w:tc>
          <w:tcPr>
            <w:tcW w:w="283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3 127 314 411,92 PLN</w:t>
            </w:r>
          </w:p>
        </w:tc>
      </w:tr>
      <w:tr w:rsidR="00370F79" w:rsidRPr="005A3D4A">
        <w:trPr>
          <w:jc w:val="center"/>
        </w:trPr>
        <w:tc>
          <w:tcPr>
            <w:tcW w:w="1980" w:type="dxa"/>
            <w:shd w:val="clear" w:color="auto" w:fill="auto"/>
            <w:tcMar>
              <w:top w:w="100" w:type="dxa"/>
              <w:left w:w="100" w:type="dxa"/>
              <w:bottom w:w="100" w:type="dxa"/>
              <w:right w:w="100" w:type="dxa"/>
            </w:tcMar>
          </w:tcPr>
          <w:p w:rsidR="00370F79" w:rsidRPr="005A3D4A" w:rsidRDefault="005A3D4A">
            <w:pPr>
              <w:widowControl w:val="0"/>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Dostarczyciele reklam profilowanych</w:t>
            </w:r>
          </w:p>
        </w:tc>
        <w:tc>
          <w:tcPr>
            <w:tcW w:w="1680" w:type="dxa"/>
            <w:shd w:val="clear" w:color="auto" w:fill="auto"/>
            <w:tcMar>
              <w:top w:w="100" w:type="dxa"/>
              <w:left w:w="100" w:type="dxa"/>
              <w:bottom w:w="100" w:type="dxa"/>
              <w:right w:w="100" w:type="dxa"/>
            </w:tcMar>
          </w:tcPr>
          <w:p w:rsidR="00370F79" w:rsidRPr="005A3D4A" w:rsidRDefault="005A3D4A">
            <w:pPr>
              <w:widowControl w:val="0"/>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w:t>
            </w:r>
          </w:p>
        </w:tc>
        <w:tc>
          <w:tcPr>
            <w:tcW w:w="148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w:t>
            </w:r>
          </w:p>
        </w:tc>
        <w:tc>
          <w:tcPr>
            <w:tcW w:w="283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2 982 000 000 PLN</w:t>
            </w:r>
          </w:p>
        </w:tc>
      </w:tr>
    </w:tbl>
    <w:p w:rsidR="00370F79" w:rsidRPr="005A3D4A" w:rsidRDefault="005A3D4A">
      <w:pPr>
        <w:widowControl w:val="0"/>
        <w:spacing w:before="200" w:line="360" w:lineRule="auto"/>
        <w:ind w:left="720"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Źródło: K. Chojecka, S. A. Roy, J. J. Zygmuntowski (2020) op. cit., s. 33.</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Przyjmując powyższe dane wyjściowe, model przewiduje, że gdyby podatek obowiązywał od 2018 roku, konsekwencje jego wprowadzenia byłyby we wspomnianym roku następujące:</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0"/>
          <w:numId w:val="7"/>
        </w:numPr>
        <w:spacing w:line="360" w:lineRule="auto"/>
        <w:ind w:left="1080"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Platformy obrotu dobrami: podatek spowodowałby spadek liczby transakcji o 3,5%. Optymalna stopa przeniesienia w górę (ku sprzedawcom) wynosi w tym przypadku 0,5, zaś optymalna stopa przeniesienia w dół (ku konsumentom) wynosi 0. Całkowita kwota podatku w tym segmencie wyniosłaby w 2018 roku 172 mln zł.</w:t>
      </w:r>
    </w:p>
    <w:p w:rsidR="00370F79" w:rsidRPr="005A3D4A" w:rsidRDefault="005A3D4A">
      <w:pPr>
        <w:widowControl w:val="0"/>
        <w:numPr>
          <w:ilvl w:val="0"/>
          <w:numId w:val="7"/>
        </w:numPr>
        <w:spacing w:line="360" w:lineRule="auto"/>
        <w:ind w:left="1080"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Platformy obrotu usługami: podatek nie spowodowałby spadku liczby transakcji. Optymalna stopa przeniesienia zarówno w górę (ku sprzedawcom) jak i w dół (ku konsumentom) wynosi 0. Całkowita kwota podatku w tym segmencie wyniosłaby w 2018 roku 196 mln zł, a całość obciążenia podatkowego zostałaby poniesiona przez platformy.</w:t>
      </w:r>
    </w:p>
    <w:p w:rsidR="00370F79" w:rsidRPr="005A3D4A" w:rsidRDefault="005A3D4A">
      <w:pPr>
        <w:widowControl w:val="0"/>
        <w:numPr>
          <w:ilvl w:val="0"/>
          <w:numId w:val="7"/>
        </w:numPr>
        <w:spacing w:line="360" w:lineRule="auto"/>
        <w:ind w:left="1080"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 xml:space="preserve">Dostarczyciele reklam profilowanych: podatek spowodowałby spadek liczby transakcji o 7% Optymalna stopa przeniesienia w górę (ku reklamodawcom) wynosi 0,5. Całkowita kwota podatku w tym segmencie wyniosłaby w 2018 roku 194 mln zł, </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lastRenderedPageBreak/>
        <w:t>Całkowite, średniookresowe (po dostosowaniach popytu i podaży) wpływy z tytułu podatku od niektórych usług cyfrowych wyniosłyby więc w 2018 roku 562 mln zł. Rozkład obciążeń podatkowych prezentowałby się następująco: platformy 67,4%, sprzedawcy/reklamodawcy 32,6%, konsumenci 0%.</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Uzyskane wyniki zostały następnie wykorzystane do przeprowadzenia prognozy wpływów z podatku w kolejnych latach (do 2024 roku). Tabela nr 3 prezentuje przyjęte założenia dotyczące wzrostu gospodarczego i dynamiki usług cyfrowych. Ponownie należy zwrócić uwagę, że użyte dane pochodzą sprzed globalnego kryzysu gospodarczego wywołanego pandemią COVID-19.</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after="200" w:line="360" w:lineRule="auto"/>
        <w:ind w:left="720" w:right="-15"/>
        <w:jc w:val="both"/>
        <w:rPr>
          <w:rFonts w:ascii="Tahoma" w:eastAsia="Times New Roman" w:hAnsi="Tahoma" w:cs="Tahoma"/>
          <w:sz w:val="24"/>
          <w:szCs w:val="24"/>
          <w:lang w:val="pl-PL"/>
        </w:rPr>
      </w:pPr>
      <w:r w:rsidRPr="005A3D4A">
        <w:rPr>
          <w:rFonts w:ascii="Tahoma" w:eastAsia="Times New Roman" w:hAnsi="Tahoma" w:cs="Tahoma"/>
          <w:b/>
          <w:sz w:val="24"/>
          <w:szCs w:val="24"/>
          <w:lang w:val="pl-PL"/>
        </w:rPr>
        <w:t>Tabela nr 3:</w:t>
      </w:r>
      <w:r w:rsidRPr="005A3D4A">
        <w:rPr>
          <w:rFonts w:ascii="Tahoma" w:eastAsia="Times New Roman" w:hAnsi="Tahoma" w:cs="Tahoma"/>
          <w:sz w:val="24"/>
          <w:szCs w:val="24"/>
          <w:lang w:val="pl-PL"/>
        </w:rPr>
        <w:t xml:space="preserve"> Założenia dotyczące wzrostu gospodarczego i segmentów sektora cyfrowego</w:t>
      </w:r>
    </w:p>
    <w:tbl>
      <w:tblPr>
        <w:tblStyle w:val="a1"/>
        <w:tblW w:w="78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5"/>
        <w:gridCol w:w="1920"/>
        <w:gridCol w:w="1935"/>
        <w:gridCol w:w="1665"/>
        <w:gridCol w:w="1485"/>
      </w:tblGrid>
      <w:tr w:rsidR="00370F79" w:rsidRPr="005A3D4A">
        <w:trPr>
          <w:jc w:val="center"/>
        </w:trPr>
        <w:tc>
          <w:tcPr>
            <w:tcW w:w="79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b/>
                <w:sz w:val="24"/>
                <w:szCs w:val="24"/>
                <w:lang w:val="pl-PL"/>
              </w:rPr>
            </w:pPr>
            <w:r w:rsidRPr="005A3D4A">
              <w:rPr>
                <w:rFonts w:ascii="Tahoma" w:eastAsia="Times New Roman" w:hAnsi="Tahoma" w:cs="Tahoma"/>
                <w:b/>
                <w:sz w:val="24"/>
                <w:szCs w:val="24"/>
                <w:lang w:val="pl-PL"/>
              </w:rPr>
              <w:t>Rok</w:t>
            </w:r>
          </w:p>
        </w:tc>
        <w:tc>
          <w:tcPr>
            <w:tcW w:w="192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b/>
                <w:sz w:val="24"/>
                <w:szCs w:val="24"/>
                <w:lang w:val="pl-PL"/>
              </w:rPr>
            </w:pPr>
            <w:r w:rsidRPr="005A3D4A">
              <w:rPr>
                <w:rFonts w:ascii="Tahoma" w:eastAsia="Times New Roman" w:hAnsi="Tahoma" w:cs="Tahoma"/>
                <w:b/>
                <w:sz w:val="24"/>
                <w:szCs w:val="24"/>
                <w:lang w:val="pl-PL"/>
              </w:rPr>
              <w:t>Dynamika PKB (r/r) wg NBP</w:t>
            </w:r>
          </w:p>
        </w:tc>
        <w:tc>
          <w:tcPr>
            <w:tcW w:w="193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b/>
                <w:sz w:val="24"/>
                <w:szCs w:val="24"/>
                <w:lang w:val="pl-PL"/>
              </w:rPr>
            </w:pPr>
            <w:r w:rsidRPr="005A3D4A">
              <w:rPr>
                <w:rFonts w:ascii="Tahoma" w:eastAsia="Times New Roman" w:hAnsi="Tahoma" w:cs="Tahoma"/>
                <w:b/>
                <w:sz w:val="24"/>
                <w:szCs w:val="24"/>
                <w:lang w:val="pl-PL"/>
              </w:rPr>
              <w:t>Dynamika PKB (r/r) wg MFW</w:t>
            </w:r>
          </w:p>
        </w:tc>
        <w:tc>
          <w:tcPr>
            <w:tcW w:w="166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b/>
                <w:sz w:val="24"/>
                <w:szCs w:val="24"/>
                <w:lang w:val="pl-PL"/>
              </w:rPr>
            </w:pPr>
            <w:r w:rsidRPr="005A3D4A">
              <w:rPr>
                <w:rFonts w:ascii="Tahoma" w:eastAsia="Times New Roman" w:hAnsi="Tahoma" w:cs="Tahoma"/>
                <w:b/>
                <w:sz w:val="24"/>
                <w:szCs w:val="24"/>
                <w:lang w:val="pl-PL"/>
              </w:rPr>
              <w:t>Dynamika e-handlu (r/r)</w:t>
            </w:r>
          </w:p>
        </w:tc>
        <w:tc>
          <w:tcPr>
            <w:tcW w:w="148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b/>
                <w:sz w:val="24"/>
                <w:szCs w:val="24"/>
                <w:lang w:val="pl-PL"/>
              </w:rPr>
            </w:pPr>
            <w:r w:rsidRPr="005A3D4A">
              <w:rPr>
                <w:rFonts w:ascii="Tahoma" w:eastAsia="Times New Roman" w:hAnsi="Tahoma" w:cs="Tahoma"/>
                <w:b/>
                <w:sz w:val="24"/>
                <w:szCs w:val="24"/>
                <w:lang w:val="pl-PL"/>
              </w:rPr>
              <w:t>Dynamika reklam (r/r)</w:t>
            </w:r>
          </w:p>
        </w:tc>
      </w:tr>
      <w:tr w:rsidR="00370F79" w:rsidRPr="005A3D4A">
        <w:trPr>
          <w:jc w:val="center"/>
        </w:trPr>
        <w:tc>
          <w:tcPr>
            <w:tcW w:w="79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sz w:val="24"/>
                <w:szCs w:val="24"/>
                <w:lang w:val="pl-PL"/>
              </w:rPr>
            </w:pPr>
            <w:r w:rsidRPr="005A3D4A">
              <w:rPr>
                <w:rFonts w:ascii="Tahoma" w:eastAsia="Times New Roman" w:hAnsi="Tahoma" w:cs="Tahoma"/>
                <w:sz w:val="24"/>
                <w:szCs w:val="24"/>
                <w:lang w:val="pl-PL"/>
              </w:rPr>
              <w:t>2018</w:t>
            </w:r>
          </w:p>
        </w:tc>
        <w:tc>
          <w:tcPr>
            <w:tcW w:w="192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5,1%</w:t>
            </w:r>
          </w:p>
        </w:tc>
        <w:tc>
          <w:tcPr>
            <w:tcW w:w="193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5,1%</w:t>
            </w:r>
          </w:p>
        </w:tc>
        <w:tc>
          <w:tcPr>
            <w:tcW w:w="166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18,0%</w:t>
            </w:r>
          </w:p>
        </w:tc>
        <w:tc>
          <w:tcPr>
            <w:tcW w:w="148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14,2%</w:t>
            </w:r>
          </w:p>
        </w:tc>
      </w:tr>
      <w:tr w:rsidR="00370F79" w:rsidRPr="005A3D4A">
        <w:trPr>
          <w:jc w:val="center"/>
        </w:trPr>
        <w:tc>
          <w:tcPr>
            <w:tcW w:w="79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sz w:val="24"/>
                <w:szCs w:val="24"/>
                <w:lang w:val="pl-PL"/>
              </w:rPr>
            </w:pPr>
            <w:r w:rsidRPr="005A3D4A">
              <w:rPr>
                <w:rFonts w:ascii="Tahoma" w:eastAsia="Times New Roman" w:hAnsi="Tahoma" w:cs="Tahoma"/>
                <w:sz w:val="24"/>
                <w:szCs w:val="24"/>
                <w:lang w:val="pl-PL"/>
              </w:rPr>
              <w:t>2019</w:t>
            </w:r>
          </w:p>
        </w:tc>
        <w:tc>
          <w:tcPr>
            <w:tcW w:w="192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4,6%</w:t>
            </w:r>
          </w:p>
        </w:tc>
        <w:tc>
          <w:tcPr>
            <w:tcW w:w="193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4,0%</w:t>
            </w:r>
          </w:p>
        </w:tc>
        <w:tc>
          <w:tcPr>
            <w:tcW w:w="166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16,76%</w:t>
            </w:r>
          </w:p>
        </w:tc>
        <w:tc>
          <w:tcPr>
            <w:tcW w:w="148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13,0%</w:t>
            </w:r>
          </w:p>
        </w:tc>
      </w:tr>
      <w:tr w:rsidR="00370F79" w:rsidRPr="005A3D4A">
        <w:trPr>
          <w:jc w:val="center"/>
        </w:trPr>
        <w:tc>
          <w:tcPr>
            <w:tcW w:w="79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sz w:val="24"/>
                <w:szCs w:val="24"/>
                <w:lang w:val="pl-PL"/>
              </w:rPr>
            </w:pPr>
            <w:r w:rsidRPr="005A3D4A">
              <w:rPr>
                <w:rFonts w:ascii="Tahoma" w:eastAsia="Times New Roman" w:hAnsi="Tahoma" w:cs="Tahoma"/>
                <w:sz w:val="24"/>
                <w:szCs w:val="24"/>
                <w:lang w:val="pl-PL"/>
              </w:rPr>
              <w:t>2020</w:t>
            </w:r>
          </w:p>
        </w:tc>
        <w:tc>
          <w:tcPr>
            <w:tcW w:w="192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3,2%</w:t>
            </w:r>
          </w:p>
        </w:tc>
        <w:tc>
          <w:tcPr>
            <w:tcW w:w="193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3,1%</w:t>
            </w:r>
          </w:p>
        </w:tc>
        <w:tc>
          <w:tcPr>
            <w:tcW w:w="166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15,75%</w:t>
            </w:r>
          </w:p>
        </w:tc>
        <w:tc>
          <w:tcPr>
            <w:tcW w:w="148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12,03%</w:t>
            </w:r>
          </w:p>
        </w:tc>
      </w:tr>
      <w:tr w:rsidR="00370F79" w:rsidRPr="005A3D4A">
        <w:trPr>
          <w:jc w:val="center"/>
        </w:trPr>
        <w:tc>
          <w:tcPr>
            <w:tcW w:w="79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sz w:val="24"/>
                <w:szCs w:val="24"/>
                <w:lang w:val="pl-PL"/>
              </w:rPr>
            </w:pPr>
            <w:r w:rsidRPr="005A3D4A">
              <w:rPr>
                <w:rFonts w:ascii="Tahoma" w:eastAsia="Times New Roman" w:hAnsi="Tahoma" w:cs="Tahoma"/>
                <w:sz w:val="24"/>
                <w:szCs w:val="24"/>
                <w:lang w:val="pl-PL"/>
              </w:rPr>
              <w:t>2021</w:t>
            </w:r>
          </w:p>
        </w:tc>
        <w:tc>
          <w:tcPr>
            <w:tcW w:w="192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3,1%</w:t>
            </w:r>
          </w:p>
        </w:tc>
        <w:tc>
          <w:tcPr>
            <w:tcW w:w="193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2,7%</w:t>
            </w:r>
          </w:p>
        </w:tc>
        <w:tc>
          <w:tcPr>
            <w:tcW w:w="166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15,31%</w:t>
            </w:r>
          </w:p>
        </w:tc>
        <w:tc>
          <w:tcPr>
            <w:tcW w:w="148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11,59%</w:t>
            </w:r>
          </w:p>
        </w:tc>
      </w:tr>
      <w:tr w:rsidR="00370F79" w:rsidRPr="005A3D4A">
        <w:trPr>
          <w:jc w:val="center"/>
        </w:trPr>
        <w:tc>
          <w:tcPr>
            <w:tcW w:w="79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sz w:val="24"/>
                <w:szCs w:val="24"/>
                <w:lang w:val="pl-PL"/>
              </w:rPr>
            </w:pPr>
            <w:r w:rsidRPr="005A3D4A">
              <w:rPr>
                <w:rFonts w:ascii="Tahoma" w:eastAsia="Times New Roman" w:hAnsi="Tahoma" w:cs="Tahoma"/>
                <w:sz w:val="24"/>
                <w:szCs w:val="24"/>
                <w:lang w:val="pl-PL"/>
              </w:rPr>
              <w:t>2022</w:t>
            </w:r>
          </w:p>
        </w:tc>
        <w:tc>
          <w:tcPr>
            <w:tcW w:w="192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3,0%</w:t>
            </w:r>
          </w:p>
        </w:tc>
        <w:tc>
          <w:tcPr>
            <w:tcW w:w="193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2,5%</w:t>
            </w:r>
          </w:p>
        </w:tc>
        <w:tc>
          <w:tcPr>
            <w:tcW w:w="166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15,08%</w:t>
            </w:r>
          </w:p>
        </w:tc>
        <w:tc>
          <w:tcPr>
            <w:tcW w:w="148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11,37%</w:t>
            </w:r>
          </w:p>
        </w:tc>
      </w:tr>
      <w:tr w:rsidR="00370F79" w:rsidRPr="005A3D4A">
        <w:trPr>
          <w:jc w:val="center"/>
        </w:trPr>
        <w:tc>
          <w:tcPr>
            <w:tcW w:w="79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sz w:val="24"/>
                <w:szCs w:val="24"/>
                <w:lang w:val="pl-PL"/>
              </w:rPr>
            </w:pPr>
            <w:r w:rsidRPr="005A3D4A">
              <w:rPr>
                <w:rFonts w:ascii="Tahoma" w:eastAsia="Times New Roman" w:hAnsi="Tahoma" w:cs="Tahoma"/>
                <w:sz w:val="24"/>
                <w:szCs w:val="24"/>
                <w:lang w:val="pl-PL"/>
              </w:rPr>
              <w:t>2023</w:t>
            </w:r>
          </w:p>
        </w:tc>
        <w:tc>
          <w:tcPr>
            <w:tcW w:w="192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w:t>
            </w:r>
          </w:p>
        </w:tc>
        <w:tc>
          <w:tcPr>
            <w:tcW w:w="193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2,5%</w:t>
            </w:r>
          </w:p>
        </w:tc>
        <w:tc>
          <w:tcPr>
            <w:tcW w:w="166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15,08%</w:t>
            </w:r>
          </w:p>
        </w:tc>
        <w:tc>
          <w:tcPr>
            <w:tcW w:w="148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11,37%</w:t>
            </w:r>
          </w:p>
        </w:tc>
      </w:tr>
      <w:tr w:rsidR="00370F79" w:rsidRPr="005A3D4A">
        <w:trPr>
          <w:jc w:val="center"/>
        </w:trPr>
        <w:tc>
          <w:tcPr>
            <w:tcW w:w="79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rPr>
                <w:rFonts w:ascii="Tahoma" w:eastAsia="Times New Roman" w:hAnsi="Tahoma" w:cs="Tahoma"/>
                <w:sz w:val="24"/>
                <w:szCs w:val="24"/>
                <w:lang w:val="pl-PL"/>
              </w:rPr>
            </w:pPr>
            <w:r w:rsidRPr="005A3D4A">
              <w:rPr>
                <w:rFonts w:ascii="Tahoma" w:eastAsia="Times New Roman" w:hAnsi="Tahoma" w:cs="Tahoma"/>
                <w:sz w:val="24"/>
                <w:szCs w:val="24"/>
                <w:lang w:val="pl-PL"/>
              </w:rPr>
              <w:t>2024</w:t>
            </w:r>
          </w:p>
        </w:tc>
        <w:tc>
          <w:tcPr>
            <w:tcW w:w="192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w:t>
            </w:r>
          </w:p>
        </w:tc>
        <w:tc>
          <w:tcPr>
            <w:tcW w:w="193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2,5%</w:t>
            </w:r>
          </w:p>
        </w:tc>
        <w:tc>
          <w:tcPr>
            <w:tcW w:w="166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15,08%</w:t>
            </w:r>
          </w:p>
        </w:tc>
        <w:tc>
          <w:tcPr>
            <w:tcW w:w="148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right"/>
              <w:rPr>
                <w:rFonts w:ascii="Tahoma" w:eastAsia="Times New Roman" w:hAnsi="Tahoma" w:cs="Tahoma"/>
                <w:sz w:val="24"/>
                <w:szCs w:val="24"/>
                <w:lang w:val="pl-PL"/>
              </w:rPr>
            </w:pPr>
            <w:r w:rsidRPr="005A3D4A">
              <w:rPr>
                <w:rFonts w:ascii="Tahoma" w:eastAsia="Times New Roman" w:hAnsi="Tahoma" w:cs="Tahoma"/>
                <w:sz w:val="24"/>
                <w:szCs w:val="24"/>
                <w:lang w:val="pl-PL"/>
              </w:rPr>
              <w:t>11,37%</w:t>
            </w:r>
          </w:p>
        </w:tc>
      </w:tr>
    </w:tbl>
    <w:p w:rsidR="00370F79" w:rsidRPr="005A3D4A" w:rsidRDefault="005A3D4A">
      <w:pPr>
        <w:widowControl w:val="0"/>
        <w:spacing w:before="200" w:line="360" w:lineRule="auto"/>
        <w:ind w:left="720"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Źródło: K. Chojecka, S. A. Roy, J. J. Zygmuntowski (2020) op. cit., s. 35.</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lastRenderedPageBreak/>
        <w:t>W prognozie pominięto ewentualne skokowe zmiany struktury rynku w przyszłości (np. możliwość, że podmiot nieuwzględniony w bazie podatkowej w 2018 r. stanie się podatnikiem). Wyniki prognozy przedstawia tabela nr 4.</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after="200" w:line="360" w:lineRule="auto"/>
        <w:ind w:left="720" w:right="-15"/>
        <w:jc w:val="both"/>
        <w:rPr>
          <w:rFonts w:ascii="Tahoma" w:eastAsia="Times New Roman" w:hAnsi="Tahoma" w:cs="Tahoma"/>
          <w:sz w:val="24"/>
          <w:szCs w:val="24"/>
          <w:lang w:val="pl-PL"/>
        </w:rPr>
      </w:pPr>
      <w:r w:rsidRPr="005A3D4A">
        <w:rPr>
          <w:rFonts w:ascii="Tahoma" w:eastAsia="Times New Roman" w:hAnsi="Tahoma" w:cs="Tahoma"/>
          <w:b/>
          <w:sz w:val="24"/>
          <w:szCs w:val="24"/>
          <w:lang w:val="pl-PL"/>
        </w:rPr>
        <w:t>Tabela nr 4:</w:t>
      </w:r>
      <w:r w:rsidRPr="005A3D4A">
        <w:rPr>
          <w:rFonts w:ascii="Tahoma" w:eastAsia="Times New Roman" w:hAnsi="Tahoma" w:cs="Tahoma"/>
          <w:sz w:val="24"/>
          <w:szCs w:val="24"/>
          <w:lang w:val="pl-PL"/>
        </w:rPr>
        <w:t xml:space="preserve"> Założenia dotyczące wzrostu gospodarczego i segmentów sektora cyfrowego</w:t>
      </w:r>
    </w:p>
    <w:tbl>
      <w:tblPr>
        <w:tblStyle w:val="a2"/>
        <w:tblW w:w="787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6945"/>
      </w:tblGrid>
      <w:tr w:rsidR="00370F79" w:rsidRPr="005A3D4A">
        <w:trPr>
          <w:jc w:val="center"/>
        </w:trPr>
        <w:tc>
          <w:tcPr>
            <w:tcW w:w="93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b/>
                <w:sz w:val="24"/>
                <w:szCs w:val="24"/>
                <w:lang w:val="pl-PL"/>
              </w:rPr>
            </w:pPr>
            <w:r w:rsidRPr="005A3D4A">
              <w:rPr>
                <w:rFonts w:ascii="Tahoma" w:eastAsia="Times New Roman" w:hAnsi="Tahoma" w:cs="Tahoma"/>
                <w:b/>
                <w:sz w:val="24"/>
                <w:szCs w:val="24"/>
                <w:lang w:val="pl-PL"/>
              </w:rPr>
              <w:t>Rok</w:t>
            </w:r>
          </w:p>
        </w:tc>
        <w:tc>
          <w:tcPr>
            <w:tcW w:w="694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b/>
                <w:sz w:val="24"/>
                <w:szCs w:val="24"/>
                <w:lang w:val="pl-PL"/>
              </w:rPr>
            </w:pPr>
            <w:r w:rsidRPr="005A3D4A">
              <w:rPr>
                <w:rFonts w:ascii="Tahoma" w:eastAsia="Times New Roman" w:hAnsi="Tahoma" w:cs="Tahoma"/>
                <w:b/>
                <w:sz w:val="24"/>
                <w:szCs w:val="24"/>
                <w:lang w:val="pl-PL"/>
              </w:rPr>
              <w:t>Prognoza wpływów z podatku od niektórych usług cyfrowych</w:t>
            </w:r>
          </w:p>
        </w:tc>
      </w:tr>
      <w:tr w:rsidR="00370F79" w:rsidRPr="005A3D4A">
        <w:trPr>
          <w:jc w:val="center"/>
        </w:trPr>
        <w:tc>
          <w:tcPr>
            <w:tcW w:w="93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2022</w:t>
            </w:r>
          </w:p>
        </w:tc>
        <w:tc>
          <w:tcPr>
            <w:tcW w:w="694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965,6 mln zł</w:t>
            </w:r>
          </w:p>
        </w:tc>
      </w:tr>
      <w:tr w:rsidR="00370F79" w:rsidRPr="005A3D4A">
        <w:trPr>
          <w:jc w:val="center"/>
        </w:trPr>
        <w:tc>
          <w:tcPr>
            <w:tcW w:w="93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2023</w:t>
            </w:r>
          </w:p>
        </w:tc>
        <w:tc>
          <w:tcPr>
            <w:tcW w:w="694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1 099,9 mln zł</w:t>
            </w:r>
          </w:p>
        </w:tc>
      </w:tr>
      <w:tr w:rsidR="00370F79" w:rsidRPr="005A3D4A">
        <w:trPr>
          <w:jc w:val="center"/>
        </w:trPr>
        <w:tc>
          <w:tcPr>
            <w:tcW w:w="930"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2024</w:t>
            </w:r>
          </w:p>
        </w:tc>
        <w:tc>
          <w:tcPr>
            <w:tcW w:w="6945" w:type="dxa"/>
            <w:shd w:val="clear" w:color="auto" w:fill="auto"/>
            <w:tcMar>
              <w:top w:w="100" w:type="dxa"/>
              <w:left w:w="100" w:type="dxa"/>
              <w:bottom w:w="100" w:type="dxa"/>
              <w:right w:w="100" w:type="dxa"/>
            </w:tcMar>
          </w:tcPr>
          <w:p w:rsidR="00370F79" w:rsidRPr="005A3D4A" w:rsidRDefault="005A3D4A">
            <w:pPr>
              <w:widowControl w:val="0"/>
              <w:pBdr>
                <w:top w:val="nil"/>
                <w:left w:val="nil"/>
                <w:bottom w:val="nil"/>
                <w:right w:val="nil"/>
                <w:between w:val="nil"/>
              </w:pBdr>
              <w:spacing w:line="360" w:lineRule="auto"/>
              <w:jc w:val="center"/>
              <w:rPr>
                <w:rFonts w:ascii="Tahoma" w:eastAsia="Times New Roman" w:hAnsi="Tahoma" w:cs="Tahoma"/>
                <w:sz w:val="24"/>
                <w:szCs w:val="24"/>
                <w:lang w:val="pl-PL"/>
              </w:rPr>
            </w:pPr>
            <w:r w:rsidRPr="005A3D4A">
              <w:rPr>
                <w:rFonts w:ascii="Tahoma" w:eastAsia="Times New Roman" w:hAnsi="Tahoma" w:cs="Tahoma"/>
                <w:sz w:val="24"/>
                <w:szCs w:val="24"/>
                <w:lang w:val="pl-PL"/>
              </w:rPr>
              <w:t>1 253,2 mln zł</w:t>
            </w:r>
          </w:p>
        </w:tc>
      </w:tr>
    </w:tbl>
    <w:p w:rsidR="00370F79" w:rsidRPr="005A3D4A" w:rsidRDefault="005A3D4A">
      <w:pPr>
        <w:widowControl w:val="0"/>
        <w:spacing w:before="200" w:line="360" w:lineRule="auto"/>
        <w:ind w:left="720"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Źródło: K. Chojecka, S. A. Roy, J. J. Zygmuntowski (2020) op. cit., s. 36.</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Ze względu na to, że w szacunkach zignorowano ewentualne skokowe zmiany struktury rynku, mają ona konserwatywny charakter –  przy ich uwzględnieniu wpływy na poziomie sięgającym 2 mld zł rocznie byłyby możliwe do osiągnięcia w ciągu kilku lat od wprowadzenia podatku.</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 xml:space="preserve">Wpływ pandemii COVID-19 na rynek cyfrowy trudno jest szczegółowo ocenić. Można założyć, że w 2020 roku znaczenie gospodarcze platform obrotu dobrami i dostarczycieli reklam profilowanych wzrosło w większym stopniu, niż można się było spodziewać przed pandemią, natomiast przynajmniej część platform obrotu usługami osiągnęła niższe niż przewidywane przychody. O ile w przypadku reklam profilowanych i platform pośredniczących w świadczeniu usług efekt COVID-19 jest prawdopodobnie tylko tymczasowy, to zwiększone zainteresowanie internetowymi targowiskami może na stałe wpłynąć na preferencje konsumentów. Dynamika wzrostu rocznych wpływów z tytułu podatku od niektórych usług cyfrowych może być więc – zwłaszcza po ustaniu pandemii </w:t>
      </w:r>
      <w:r w:rsidRPr="005A3D4A">
        <w:rPr>
          <w:rFonts w:ascii="Tahoma" w:eastAsia="Times New Roman" w:hAnsi="Tahoma" w:cs="Tahoma"/>
          <w:sz w:val="24"/>
          <w:szCs w:val="24"/>
          <w:lang w:val="pl-PL"/>
        </w:rPr>
        <w:lastRenderedPageBreak/>
        <w:t>– istotnie wyższa niż by to wynikało z przedstawionej wyżej prognozy.</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Oddziaływanie podatku na monopole.</w:t>
      </w:r>
      <w:r w:rsidRPr="005A3D4A">
        <w:rPr>
          <w:rFonts w:ascii="Tahoma" w:eastAsia="Times New Roman" w:hAnsi="Tahoma" w:cs="Tahoma"/>
          <w:sz w:val="24"/>
          <w:szCs w:val="24"/>
          <w:lang w:val="pl-PL"/>
        </w:rPr>
        <w:t xml:space="preserve"> Bezpośredni efekt antymonopolowy polskiego podatku od niektórych usług cyfrowych będzie niestety – w skali światowej – ograniczony. Można jednak spodziewać się, że wprowadzenie DST w Polsce zachęci kolejne państwa do przyjmowania analogicznych rozwiązań. Krajowe regulacje w zakresie podatku cyfrowego przyczyniają się do intensyfikacji prac nad rozwiązaniem międzynarodowym. Przyjęcie DST w całej Unii Europejskiej (czy nawet w jej części) miałoby już niebagatelny wpływ na pozycję cyfrowych monopolistów.</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 xml:space="preserve">Niezależnie od tego należy uznać, że wprowadzenie podatku cyfrowego w Polsce znacząco wzmocni konkurencję na polskim rynku. Mniejsze przedsiębiorstwa sektora cyfrowego wyraźnie skorzystają na przyjęciu zaproponowanych rozwiązań. </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Zwiększenie wiedzy na temat rynku usług cyfrowych w Polsce.</w:t>
      </w:r>
      <w:r w:rsidRPr="005A3D4A">
        <w:rPr>
          <w:rFonts w:ascii="Tahoma" w:eastAsia="Times New Roman" w:hAnsi="Tahoma" w:cs="Tahoma"/>
          <w:sz w:val="24"/>
          <w:szCs w:val="24"/>
          <w:lang w:val="pl-PL"/>
        </w:rPr>
        <w:t xml:space="preserve"> Nałożenie na przedsiębiorstwa sektora cyfrowego obowiązku informacyjnego, o którym mowa w art. 15 projektu ustawy, przyczyni się do lepszego zrozumienia rynku cyfrowego. Pozyskane informacje będą wartościowym materiałem dla ekonomistów badających gospodarkę cyfrową, a władzom publicznym ułatwią skuteczniejszą regulację rynku.</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Potencjał rozwojowy Polski.</w:t>
      </w:r>
      <w:r w:rsidRPr="005A3D4A">
        <w:rPr>
          <w:rFonts w:ascii="Tahoma" w:eastAsia="Times New Roman" w:hAnsi="Tahoma" w:cs="Tahoma"/>
          <w:sz w:val="24"/>
          <w:szCs w:val="24"/>
          <w:lang w:val="pl-PL"/>
        </w:rPr>
        <w:t xml:space="preserve"> Wydatkowanie środków z Funduszu Technologii Cyfrowych na wskazane w projekcie ustawy cele w długim okresie znacząco wzmocni polską gospodarkę dzięki rozwijaniu kompetencji cyfrowych (finansowanie zadań operatora OSE), a także podniesienie ogólnych nakładów na badania i rozwój (finansowanie działalności naukowej, ze szczególnym uwzględnieniem badań podstawowych). Inwestycje te nie przyniosą natychmiastowego zysku, pozwolą jednak na wzmacnianie przewag konkurencyjnych innych niż zapewnianie dostępu do taniej siły roboczej.</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0"/>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b/>
          <w:sz w:val="24"/>
          <w:szCs w:val="24"/>
          <w:lang w:val="pl-PL"/>
        </w:rPr>
        <w:t>Źródła finansowania</w:t>
      </w:r>
    </w:p>
    <w:p w:rsidR="00370F79" w:rsidRPr="005A3D4A" w:rsidRDefault="00370F79">
      <w:pPr>
        <w:widowControl w:val="0"/>
        <w:spacing w:line="360" w:lineRule="auto"/>
        <w:ind w:right="-15"/>
        <w:jc w:val="both"/>
        <w:rPr>
          <w:rFonts w:ascii="Tahoma" w:eastAsia="Times New Roman" w:hAnsi="Tahoma" w:cs="Tahoma"/>
          <w:b/>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W przypadku uchwalenia ustawy administracja skarbowa poniesie pewne wydatki związane m.in. z koniecznością dodatkowego przeszkolenia pracowników. Jak w przypadku każdej daniny publicznej administracja skarbowa będzie także ponosić koszty związane z poborem podatku. Wydatki te są jednak pomijalne w kontekście znaczących wpływów, jakie podatek od niektórych usług cyfrowych przyniesie sektorowi finansów publicznych. Koszty te będą finansowane z budżetu państwa.</w:t>
      </w:r>
    </w:p>
    <w:p w:rsidR="00370F79" w:rsidRPr="005A3D4A" w:rsidRDefault="00370F79">
      <w:pPr>
        <w:widowControl w:val="0"/>
        <w:spacing w:line="360" w:lineRule="auto"/>
        <w:ind w:right="-15"/>
        <w:jc w:val="both"/>
        <w:rPr>
          <w:rFonts w:ascii="Tahoma" w:eastAsia="Times New Roman" w:hAnsi="Tahoma" w:cs="Tahoma"/>
          <w:b/>
          <w:sz w:val="24"/>
          <w:szCs w:val="24"/>
          <w:lang w:val="pl-PL"/>
        </w:rPr>
      </w:pPr>
    </w:p>
    <w:p w:rsidR="00370F79" w:rsidRPr="005A3D4A" w:rsidRDefault="005A3D4A">
      <w:pPr>
        <w:widowControl w:val="0"/>
        <w:numPr>
          <w:ilvl w:val="0"/>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b/>
          <w:sz w:val="24"/>
          <w:szCs w:val="24"/>
          <w:lang w:val="pl-PL"/>
        </w:rPr>
        <w:t>Wpływ na działalność mikroprzedsiębiorców oraz małych i średnich przedsiębiorstw</w:t>
      </w:r>
    </w:p>
    <w:p w:rsidR="00370F79" w:rsidRPr="005A3D4A" w:rsidRDefault="00370F79">
      <w:pPr>
        <w:widowControl w:val="0"/>
        <w:spacing w:line="360" w:lineRule="auto"/>
        <w:ind w:right="-15"/>
        <w:jc w:val="both"/>
        <w:rPr>
          <w:rFonts w:ascii="Tahoma" w:eastAsia="Times New Roman" w:hAnsi="Tahoma" w:cs="Tahoma"/>
          <w:b/>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Mikroprzedsiębiorcy oraz mali i średni przedsiębiorcy nie będą podatnikami podatku od niektórych usług cyfrowych – ich przychody kształtują się poniżej wskazanych w projekcie ustawy kryteriów posiadania znaczącej obecności cyfrowej na terytorium Rzeczypospolitej Polskiej. Ponieważ agresywne planowanie podatkowe jest domeną dużych międzynarodowych korporacji, wprowadzenie projektowanych rozwiązań przyczyni się do wyrównania warunków prowadzenia działalności gospodarczej, na czym mniejsze przedsiębiorstwa skorzystają. Ryzyko przeniesienia obciążenia podatkowego omówione zostało w podsekcji 4.1 uzasadnienia dotyczącej modelowania wpływów z podatku.</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Mikroprzedsiębiorców oraz małe i średnie przedsiębiorstwa będzie dotyczył obowiązek informacyjny, o którym mowa w art. 15 projektu ustawy. W przypadku działalności na małą skalę spełnienie obowiązku nie będzie jednak nadmiernie uciążliwe.</w:t>
      </w:r>
    </w:p>
    <w:p w:rsidR="00370F79" w:rsidRPr="005A3D4A" w:rsidRDefault="00370F79">
      <w:pPr>
        <w:widowControl w:val="0"/>
        <w:spacing w:line="360" w:lineRule="auto"/>
        <w:ind w:right="-15"/>
        <w:jc w:val="both"/>
        <w:rPr>
          <w:rFonts w:ascii="Tahoma" w:eastAsia="Times New Roman" w:hAnsi="Tahoma" w:cs="Tahoma"/>
          <w:b/>
          <w:sz w:val="24"/>
          <w:szCs w:val="24"/>
          <w:lang w:val="pl-PL"/>
        </w:rPr>
      </w:pPr>
    </w:p>
    <w:p w:rsidR="00370F79" w:rsidRPr="005A3D4A" w:rsidRDefault="005A3D4A">
      <w:pPr>
        <w:widowControl w:val="0"/>
        <w:numPr>
          <w:ilvl w:val="0"/>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b/>
          <w:sz w:val="24"/>
          <w:szCs w:val="24"/>
          <w:lang w:val="pl-PL"/>
        </w:rPr>
        <w:t>Obowiązek notyfikacji przepisów technicznych</w:t>
      </w:r>
    </w:p>
    <w:p w:rsidR="00370F79" w:rsidRPr="005A3D4A" w:rsidRDefault="00370F79">
      <w:pPr>
        <w:widowControl w:val="0"/>
        <w:spacing w:line="360" w:lineRule="auto"/>
        <w:ind w:right="-15"/>
        <w:jc w:val="both"/>
        <w:rPr>
          <w:rFonts w:ascii="Tahoma" w:eastAsia="Times New Roman" w:hAnsi="Tahoma" w:cs="Tahoma"/>
          <w:b/>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 xml:space="preserve">Projekt ustawy </w:t>
      </w:r>
      <w:r w:rsidRPr="005A3D4A">
        <w:rPr>
          <w:rFonts w:ascii="Tahoma" w:eastAsia="Times New Roman" w:hAnsi="Tahoma" w:cs="Tahoma"/>
          <w:sz w:val="24"/>
          <w:szCs w:val="24"/>
          <w:u w:val="single"/>
          <w:lang w:val="pl-PL"/>
        </w:rPr>
        <w:t>zawiera</w:t>
      </w:r>
      <w:r w:rsidRPr="005A3D4A">
        <w:rPr>
          <w:rFonts w:ascii="Tahoma" w:eastAsia="Times New Roman" w:hAnsi="Tahoma" w:cs="Tahoma"/>
          <w:sz w:val="24"/>
          <w:szCs w:val="24"/>
          <w:lang w:val="pl-PL"/>
        </w:rPr>
        <w:t xml:space="preserve"> przepisy techniczne w rozumieniu Dyrektywy (UE) 2015/1535 Parlamentu Europejskiego i Rady z dnia 9 września 2015 r. ustanawiającej procedurę </w:t>
      </w:r>
      <w:r w:rsidRPr="005A3D4A">
        <w:rPr>
          <w:rFonts w:ascii="Tahoma" w:eastAsia="Times New Roman" w:hAnsi="Tahoma" w:cs="Tahoma"/>
          <w:sz w:val="24"/>
          <w:szCs w:val="24"/>
          <w:lang w:val="pl-PL"/>
        </w:rPr>
        <w:lastRenderedPageBreak/>
        <w:t>udzielania informacji w dziedzinie przepisów technicznych oraz zasad dotyczących usług społeczeństwa informacyjnego, w związku z czym podlega obowiązkowi notyfikacji Komisji Europejskiej.</w:t>
      </w:r>
    </w:p>
    <w:p w:rsidR="00370F79" w:rsidRPr="005A3D4A" w:rsidRDefault="00370F79">
      <w:pPr>
        <w:widowControl w:val="0"/>
        <w:spacing w:line="360" w:lineRule="auto"/>
        <w:ind w:right="-15"/>
        <w:jc w:val="both"/>
        <w:rPr>
          <w:rFonts w:ascii="Tahoma" w:eastAsia="Times New Roman" w:hAnsi="Tahoma" w:cs="Tahoma"/>
          <w:b/>
          <w:sz w:val="24"/>
          <w:szCs w:val="24"/>
          <w:lang w:val="pl-PL"/>
        </w:rPr>
      </w:pPr>
    </w:p>
    <w:p w:rsidR="00370F79" w:rsidRPr="005A3D4A" w:rsidRDefault="005A3D4A" w:rsidP="005A3D4A">
      <w:pPr>
        <w:widowControl w:val="0"/>
        <w:numPr>
          <w:ilvl w:val="0"/>
          <w:numId w:val="24"/>
        </w:numPr>
        <w:spacing w:line="360" w:lineRule="auto"/>
        <w:ind w:right="-15"/>
        <w:rPr>
          <w:rFonts w:ascii="Tahoma" w:eastAsia="Times New Roman" w:hAnsi="Tahoma" w:cs="Tahoma"/>
          <w:sz w:val="24"/>
          <w:szCs w:val="24"/>
          <w:lang w:val="pl-PL"/>
        </w:rPr>
      </w:pPr>
      <w:r w:rsidRPr="005A3D4A">
        <w:rPr>
          <w:rFonts w:ascii="Tahoma" w:eastAsia="Times New Roman" w:hAnsi="Tahoma" w:cs="Tahoma"/>
          <w:b/>
          <w:sz w:val="24"/>
          <w:szCs w:val="24"/>
          <w:lang w:val="pl-PL"/>
        </w:rPr>
        <w:t>Zgodność z prawem Unii Europejskiej i z Konstytucją RP</w:t>
      </w:r>
      <w:r w:rsidRPr="005A3D4A">
        <w:rPr>
          <w:rFonts w:ascii="Tahoma" w:eastAsia="Times New Roman" w:hAnsi="Tahoma" w:cs="Tahoma"/>
          <w:b/>
          <w:sz w:val="24"/>
          <w:szCs w:val="24"/>
          <w:lang w:val="pl-PL"/>
        </w:rPr>
        <w:br/>
      </w: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Prawo Unii Europejskiej.</w:t>
      </w:r>
      <w:r w:rsidRPr="005A3D4A">
        <w:rPr>
          <w:rFonts w:ascii="Tahoma" w:eastAsia="Times New Roman" w:hAnsi="Tahoma" w:cs="Tahoma"/>
          <w:sz w:val="24"/>
          <w:szCs w:val="24"/>
          <w:lang w:val="pl-PL"/>
        </w:rPr>
        <w:t xml:space="preserve"> Rozwiązania zawarte w projekcie nie są sprzeczne z prawem Unii Europejskiej. Projekt ustawy nie zawiera przepisów mających na celu wykonania prawa UE.</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Konstytucja RP.</w:t>
      </w:r>
      <w:r w:rsidRPr="005A3D4A">
        <w:rPr>
          <w:rFonts w:ascii="Tahoma" w:eastAsia="Times New Roman" w:hAnsi="Tahoma" w:cs="Tahoma"/>
          <w:sz w:val="24"/>
          <w:szCs w:val="24"/>
          <w:lang w:val="pl-PL"/>
        </w:rPr>
        <w:t xml:space="preserve"> Projekt ustawy jest w ocenie projektodawcy w pełni zgodny z Konstytucją RP. Konstrukcja przepisów dotyczących podatku od niektórych usług cyfrowych spełnia wymogi określone w art. 217 Konstytucji. Przyjęcie projektu ustawy pozwoli na pełniejszą realizację wyrażonej w art. 2 zasady sprawiedliwości społecznej. Projektowane rozwiązania – w świetle dotychczasowego orzecznictwa Trybunału Konstytucyjnego – nie są niezgodne z art. 64 Konstytucji RP.</w:t>
      </w:r>
    </w:p>
    <w:p w:rsidR="00370F79" w:rsidRPr="005A3D4A" w:rsidRDefault="00370F79">
      <w:pPr>
        <w:widowControl w:val="0"/>
        <w:spacing w:line="360" w:lineRule="auto"/>
        <w:ind w:right="-15"/>
        <w:jc w:val="both"/>
        <w:rPr>
          <w:rFonts w:ascii="Tahoma" w:eastAsia="Times New Roman" w:hAnsi="Tahoma" w:cs="Tahoma"/>
          <w:b/>
          <w:sz w:val="24"/>
          <w:szCs w:val="24"/>
          <w:lang w:val="pl-PL"/>
        </w:rPr>
      </w:pPr>
    </w:p>
    <w:p w:rsidR="00370F79" w:rsidRPr="005A3D4A" w:rsidRDefault="005A3D4A">
      <w:pPr>
        <w:widowControl w:val="0"/>
        <w:numPr>
          <w:ilvl w:val="0"/>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b/>
          <w:sz w:val="24"/>
          <w:szCs w:val="24"/>
          <w:lang w:val="pl-PL"/>
        </w:rPr>
        <w:t>Konsultacje społeczne</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Dnia 3 marca 2020 roku założenia do projektu ustawy, wraz z jego roboczą wersją, skierowano do konsultacji społecznych z kilkudziesięcioma podmiotami (związkami zawodowymi i organizacjami pracodawców, organizacjami gospodarczymi i organizacjami pozarządowymi). W ramach konsultacji swoje uwagi do przedstawionej propozycji zgłosiły następujące podmioty:</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0"/>
          <w:numId w:val="25"/>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Amerykańska Izba Handlowa w Polsce,</w:t>
      </w:r>
    </w:p>
    <w:p w:rsidR="00370F79" w:rsidRPr="005A3D4A" w:rsidRDefault="005A3D4A">
      <w:pPr>
        <w:widowControl w:val="0"/>
        <w:numPr>
          <w:ilvl w:val="0"/>
          <w:numId w:val="25"/>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Crido Taxand R. Namysłowski i Wspólnicy sp.k. (za pośrednictwem Business Centre Club),</w:t>
      </w:r>
    </w:p>
    <w:p w:rsidR="00370F79" w:rsidRPr="005A3D4A" w:rsidRDefault="005A3D4A">
      <w:pPr>
        <w:widowControl w:val="0"/>
        <w:numPr>
          <w:ilvl w:val="0"/>
          <w:numId w:val="25"/>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Konfederacja Lewiatan,</w:t>
      </w:r>
    </w:p>
    <w:p w:rsidR="00370F79" w:rsidRPr="005A3D4A" w:rsidRDefault="005A3D4A">
      <w:pPr>
        <w:widowControl w:val="0"/>
        <w:numPr>
          <w:ilvl w:val="0"/>
          <w:numId w:val="25"/>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Krajowa Izba Gospodarcza Elektroniki i Telekomunikacji,</w:t>
      </w:r>
    </w:p>
    <w:p w:rsidR="00370F79" w:rsidRPr="005A3D4A" w:rsidRDefault="005A3D4A">
      <w:pPr>
        <w:widowControl w:val="0"/>
        <w:numPr>
          <w:ilvl w:val="0"/>
          <w:numId w:val="25"/>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lastRenderedPageBreak/>
        <w:t>Ogólnopolskie Porozumienie Związków Zawodowych,</w:t>
      </w:r>
    </w:p>
    <w:p w:rsidR="00370F79" w:rsidRPr="005A3D4A" w:rsidRDefault="005A3D4A">
      <w:pPr>
        <w:widowControl w:val="0"/>
        <w:numPr>
          <w:ilvl w:val="0"/>
          <w:numId w:val="25"/>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Polska Izba Komunikacji Elektronicznej,</w:t>
      </w:r>
    </w:p>
    <w:p w:rsidR="00370F79" w:rsidRPr="005A3D4A" w:rsidRDefault="005A3D4A">
      <w:pPr>
        <w:widowControl w:val="0"/>
        <w:numPr>
          <w:ilvl w:val="0"/>
          <w:numId w:val="25"/>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Związek Cyfrowa Polska,</w:t>
      </w:r>
    </w:p>
    <w:p w:rsidR="00370F79" w:rsidRPr="005A3D4A" w:rsidRDefault="005A3D4A">
      <w:pPr>
        <w:widowControl w:val="0"/>
        <w:numPr>
          <w:ilvl w:val="0"/>
          <w:numId w:val="25"/>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Związek Pracodawców Branży Internetowej IAB Polska.</w:t>
      </w:r>
    </w:p>
    <w:p w:rsidR="00370F79" w:rsidRPr="005A3D4A" w:rsidRDefault="00370F79">
      <w:pPr>
        <w:widowControl w:val="0"/>
        <w:spacing w:line="360" w:lineRule="auto"/>
        <w:ind w:left="1080" w:right="-15"/>
        <w:jc w:val="both"/>
        <w:rPr>
          <w:rFonts w:ascii="Tahoma" w:eastAsia="Times New Roman" w:hAnsi="Tahoma" w:cs="Tahoma"/>
          <w:sz w:val="24"/>
          <w:szCs w:val="24"/>
          <w:lang w:val="pl-PL"/>
        </w:rPr>
      </w:pPr>
    </w:p>
    <w:p w:rsidR="00370F79" w:rsidRPr="005A3D4A" w:rsidRDefault="005A3D4A">
      <w:pPr>
        <w:widowControl w:val="0"/>
        <w:spacing w:line="360" w:lineRule="auto"/>
        <w:ind w:right="-15"/>
        <w:jc w:val="both"/>
        <w:rPr>
          <w:rFonts w:ascii="Tahoma" w:eastAsia="Times New Roman" w:hAnsi="Tahoma" w:cs="Tahoma"/>
          <w:sz w:val="24"/>
          <w:szCs w:val="24"/>
          <w:lang w:val="pl-PL"/>
        </w:rPr>
      </w:pPr>
      <w:r w:rsidRPr="005A3D4A">
        <w:rPr>
          <w:rFonts w:ascii="Tahoma" w:eastAsia="Times New Roman" w:hAnsi="Tahoma" w:cs="Tahoma"/>
          <w:sz w:val="24"/>
          <w:szCs w:val="24"/>
          <w:lang w:val="pl-PL"/>
        </w:rPr>
        <w:t>Ponadto Konfederacja Lewiatan i Polska Izba Informatyki i Telekomunikacji zwróciły się z wnioskiem o przedłużenie lub odroczenie konsultacji. Zestawienie uwag zgłoszonych w ramach konsultacji stanowi załącznik nr 1 do projektu ustawy. Na potrzeby prac nad projektem ustawy projektodawca zlecił Fundacji Inicjatyw Strategicznych Instrat przygotowanie ekspertyzy w przedmiotowym zakresie.</w:t>
      </w:r>
    </w:p>
    <w:p w:rsidR="00370F79" w:rsidRPr="005A3D4A" w:rsidRDefault="005A3D4A">
      <w:pPr>
        <w:widowControl w:val="0"/>
        <w:spacing w:line="360" w:lineRule="auto"/>
        <w:ind w:right="-15"/>
        <w:jc w:val="both"/>
        <w:rPr>
          <w:rFonts w:ascii="Tahoma" w:eastAsia="Times New Roman" w:hAnsi="Tahoma" w:cs="Tahoma"/>
          <w:b/>
          <w:sz w:val="24"/>
          <w:szCs w:val="24"/>
          <w:lang w:val="pl-PL"/>
        </w:rPr>
      </w:pPr>
      <w:r w:rsidRPr="005A3D4A">
        <w:rPr>
          <w:rFonts w:ascii="Tahoma" w:eastAsia="Times New Roman" w:hAnsi="Tahoma" w:cs="Tahoma"/>
          <w:b/>
          <w:sz w:val="24"/>
          <w:szCs w:val="24"/>
          <w:lang w:val="pl-PL"/>
        </w:rPr>
        <w:tab/>
      </w:r>
    </w:p>
    <w:p w:rsidR="00370F79" w:rsidRPr="005A3D4A" w:rsidRDefault="005A3D4A">
      <w:pPr>
        <w:widowControl w:val="0"/>
        <w:numPr>
          <w:ilvl w:val="0"/>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b/>
          <w:sz w:val="24"/>
          <w:szCs w:val="24"/>
          <w:lang w:val="pl-PL"/>
        </w:rPr>
        <w:t>Założenia projektów podstawowych aktów wykonawczych</w:t>
      </w:r>
    </w:p>
    <w:p w:rsidR="00370F79" w:rsidRPr="005A3D4A" w:rsidRDefault="00370F79">
      <w:pPr>
        <w:widowControl w:val="0"/>
        <w:spacing w:line="360" w:lineRule="auto"/>
        <w:ind w:right="-15"/>
        <w:jc w:val="both"/>
        <w:rPr>
          <w:rFonts w:ascii="Tahoma" w:eastAsia="Times New Roman" w:hAnsi="Tahoma" w:cs="Tahoma"/>
          <w:b/>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Rozporządzenie ministra właściwego do spraw informatyzacji w sprawie sposobu określania lokalizacji urządzenia, przy pomocy którego użytkownik korzysta z interfejsu cyfrowego (art. 4 ust. 2).</w:t>
      </w:r>
      <w:r w:rsidRPr="005A3D4A">
        <w:rPr>
          <w:rFonts w:ascii="Tahoma" w:eastAsia="Times New Roman" w:hAnsi="Tahoma" w:cs="Tahoma"/>
          <w:sz w:val="24"/>
          <w:szCs w:val="24"/>
          <w:lang w:val="pl-PL"/>
        </w:rPr>
        <w:t xml:space="preserve"> Minister wyda rozporządzenie po zasięgnięciu opinii Prezesa Urzędu Komunikacji Elektronicznej i Prezesa Urzędu Ochrony Danych Osobowych. Rozporządzenie będzie miało w przeważającej mierze techniczny charakter, opisujący sposób pozyskiwania i przechowywania przez przedsiębiorstwo sektora cyfrowego danych dotyczących lokalizacji urządzenia (a zatem także użytkownika), w szczególności z wykorzystaniem adresu IP i adresu MAC. Należy w tym miejscu zauważyć, że przedsiębiorstwa sektora cyfrowego już dziś często pozyskują dane o lokalizacji użytkownika, w tym przy użyciu systemów nawigacji satelitarnej i adresów IP. Przy projektowaniu rozporządzenia minister właściwy do spraw informatyzacji powinien wziąć pod uwagę już obowiązujące przepisy m.in. rozporządzenia Ministra Infrastruktury z dnia 28 grudnia 2009 r. w sprawie szczegółowego wykazu danych oraz rodzajów operatorów publicznej sieci telekomunikacyjnej lub dostawców publicznie dostępnych usług telekomunikacyjnych obowiązanych do ich zatrzymywania i przechowywania (Dz. U. z 2009 r. nr 226 poz. 1828) i dyrektywy 2002/58/WE Parlamentu Europejskiego i Rady z dnia 12 lipca 2002 r. dotyczącej przetwarzania danych osobowych i ochrony prywatności </w:t>
      </w:r>
      <w:r w:rsidRPr="005A3D4A">
        <w:rPr>
          <w:rFonts w:ascii="Tahoma" w:eastAsia="Times New Roman" w:hAnsi="Tahoma" w:cs="Tahoma"/>
          <w:sz w:val="24"/>
          <w:szCs w:val="24"/>
          <w:lang w:val="pl-PL"/>
        </w:rPr>
        <w:lastRenderedPageBreak/>
        <w:t>w sektorze łączności elektronicznej. W ocenie projektodawcy należy rozważyć ustanowienie w rozporządzeniu domniemania, że użytkownik znajduje się na terytorium Rzeczypospolitej Polskiej, jeżeli wskazuje na to dowolna wskazana w ostatecznym tekście rozporządzenia i dostępna dla przedsiębiorstwa sektora cyfrowego metoda lokalizacji urządzenia, nawet jeśli użycie innej metody wskazywać by mogło na inne jego umiejscowienie (co może mieć znaczenie np. w przypadku korzystania przez użytkownika z wirtualnej sieci prywatnej). Gromadzone dane o lokalizacji powinny ograniczać się jedynie do wskazania, czy użytkownik znajduje się na terytorium Rzeczypospolitej Polskiej (z perspektywy poboru projektowanego podatku od niektórych usług cyfrowych oraz obowiązku informacyjnego nałożonego na przedsiębiorstwa sektora cyfrowego nie ma bowiem potrzeby bardziej szczegółowego ich określania), i nie pozwalać na identyfikację użytkownika. Ponadto rozporządzenie powinno uwzględniać realną zdolność przedsiębiorstwa do pozyskiwania danych.</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ind w:right="-15"/>
        <w:jc w:val="both"/>
        <w:rPr>
          <w:rFonts w:ascii="Tahoma" w:eastAsia="Times New Roman" w:hAnsi="Tahoma" w:cs="Tahoma"/>
          <w:i/>
          <w:sz w:val="24"/>
          <w:szCs w:val="24"/>
          <w:lang w:val="pl-PL"/>
        </w:rPr>
      </w:pPr>
      <w:r w:rsidRPr="005A3D4A">
        <w:rPr>
          <w:rFonts w:ascii="Tahoma" w:eastAsia="Times New Roman" w:hAnsi="Tahoma" w:cs="Tahoma"/>
          <w:i/>
          <w:sz w:val="24"/>
          <w:szCs w:val="24"/>
          <w:lang w:val="pl-PL"/>
        </w:rPr>
        <w:t>Rozporządzenie ministra właściwego do spraw finansów publicznych w sprawie wzoru deklaracji podatkowej o wysokości podatku od niektórych usług cyfrowych (art. 10 ust. 2).</w:t>
      </w:r>
      <w:r w:rsidRPr="005A3D4A">
        <w:rPr>
          <w:rFonts w:ascii="Tahoma" w:eastAsia="Times New Roman" w:hAnsi="Tahoma" w:cs="Tahoma"/>
          <w:sz w:val="24"/>
          <w:szCs w:val="24"/>
          <w:lang w:val="pl-PL"/>
        </w:rPr>
        <w:t xml:space="preserve"> Wzór deklaracji podatkowej uwzględniać powinien w szczególności miejsce i cel składania deklaracji, dane identyfikacyjne podatnika, obliczenie podatku, określenie kwoty podatku do zapłaty oraz podpis podatnika lub osoby go reprezentującej, a także stosowne pouczenia. Ponieważ upoważnienia do wydawania rozporządzeń w sprawie wzorów deklaracji podatkowych występują w ustawach podatkowych powszechnie</w:t>
      </w:r>
      <w:r w:rsidRPr="005A3D4A">
        <w:rPr>
          <w:rFonts w:ascii="Tahoma" w:eastAsia="Times New Roman" w:hAnsi="Tahoma" w:cs="Tahoma"/>
          <w:sz w:val="24"/>
          <w:szCs w:val="24"/>
          <w:vertAlign w:val="superscript"/>
          <w:lang w:val="pl-PL"/>
        </w:rPr>
        <w:footnoteReference w:id="37"/>
      </w:r>
      <w:r w:rsidRPr="005A3D4A">
        <w:rPr>
          <w:rFonts w:ascii="Tahoma" w:eastAsia="Times New Roman" w:hAnsi="Tahoma" w:cs="Tahoma"/>
          <w:sz w:val="24"/>
          <w:szCs w:val="24"/>
          <w:lang w:val="pl-PL"/>
        </w:rPr>
        <w:t>, projektodawca nie widzi potrzeby przedstawienia bardziej szczegółowych założeń projektu rozporządzenia.</w:t>
      </w:r>
    </w:p>
    <w:p w:rsidR="00370F79" w:rsidRPr="005A3D4A" w:rsidRDefault="00370F79">
      <w:pPr>
        <w:widowControl w:val="0"/>
        <w:spacing w:line="360" w:lineRule="auto"/>
        <w:ind w:right="-15"/>
        <w:jc w:val="both"/>
        <w:rPr>
          <w:rFonts w:ascii="Tahoma" w:eastAsia="Times New Roman" w:hAnsi="Tahoma" w:cs="Tahoma"/>
          <w:sz w:val="24"/>
          <w:szCs w:val="24"/>
          <w:lang w:val="pl-PL"/>
        </w:rPr>
      </w:pPr>
    </w:p>
    <w:p w:rsidR="00370F79" w:rsidRPr="005A3D4A" w:rsidRDefault="005A3D4A">
      <w:pPr>
        <w:widowControl w:val="0"/>
        <w:numPr>
          <w:ilvl w:val="1"/>
          <w:numId w:val="24"/>
        </w:numPr>
        <w:spacing w:line="360" w:lineRule="auto"/>
        <w:jc w:val="both"/>
        <w:rPr>
          <w:rFonts w:ascii="Tahoma" w:eastAsia="Times New Roman" w:hAnsi="Tahoma" w:cs="Tahoma"/>
          <w:i/>
          <w:sz w:val="24"/>
          <w:szCs w:val="24"/>
          <w:lang w:val="pl-PL"/>
        </w:rPr>
      </w:pPr>
      <w:r w:rsidRPr="005A3D4A">
        <w:rPr>
          <w:rFonts w:ascii="Tahoma" w:eastAsia="Times New Roman" w:hAnsi="Tahoma" w:cs="Tahoma"/>
          <w:i/>
          <w:sz w:val="24"/>
          <w:szCs w:val="24"/>
          <w:lang w:val="pl-PL"/>
        </w:rPr>
        <w:t>Rozporządzenie ministra właściwego do spraw informatyzacji w sprawie szczegółowych zasad podziału środków z Funduszu Technologii Cyfrowych przeznaczonych na finansowanie prowadzenia działalności naukowej (art. 18 ust. 4).</w:t>
      </w:r>
      <w:r w:rsidRPr="005A3D4A">
        <w:rPr>
          <w:rFonts w:ascii="Tahoma" w:eastAsia="Times New Roman" w:hAnsi="Tahoma" w:cs="Tahoma"/>
          <w:sz w:val="24"/>
          <w:szCs w:val="24"/>
          <w:lang w:val="pl-PL"/>
        </w:rPr>
        <w:t xml:space="preserve"> </w:t>
      </w:r>
      <w:r w:rsidRPr="005A3D4A">
        <w:rPr>
          <w:rFonts w:ascii="Tahoma" w:eastAsia="Times New Roman" w:hAnsi="Tahoma" w:cs="Tahoma"/>
          <w:sz w:val="24"/>
          <w:szCs w:val="24"/>
          <w:lang w:val="pl-PL"/>
        </w:rPr>
        <w:lastRenderedPageBreak/>
        <w:t>Minister właściwy do spraw informatyzacji wyda rozporządzenie w porozumieniu z ministrem właściwym do spraw nauki i szkolnictwa wyższego. Upoważnienie celowo zostało sformułowane w sposób dość ogólny, co ma zapewnić wspomnianym ministrom pewną elastyczność w zakresie ustanowienia zasad podziału środków między instytuty. Należy jednak zaznaczyć, że w przepisie ustawy podkreślono znaczenie zapewnienia stabilnego finansowania badań podstawowych. Rozważyć należy określenie więcej niż jednej puli środków, w przypadku których szczegółowa procedura mogłaby się różnić (np. wprowadzenie z jednej strony otwarte postępowanie konkursowe, a z drugiej – zastrzeżenie, że część środków może zostać przyznana w bardziej uznaniowy sposób, np. mając na względzie określone przez Sejm lub Radę Ministrów misje, o których mowa w podsekcji 3.7 uzasadnienia projektu).</w:t>
      </w:r>
    </w:p>
    <w:p w:rsidR="00370F79" w:rsidRPr="005A3D4A" w:rsidRDefault="00370F79">
      <w:pPr>
        <w:widowControl w:val="0"/>
        <w:spacing w:line="360" w:lineRule="auto"/>
        <w:jc w:val="both"/>
        <w:rPr>
          <w:rFonts w:ascii="Tahoma" w:eastAsia="Times New Roman" w:hAnsi="Tahoma" w:cs="Tahoma"/>
          <w:sz w:val="24"/>
          <w:szCs w:val="24"/>
          <w:lang w:val="pl-PL"/>
        </w:rPr>
      </w:pPr>
    </w:p>
    <w:p w:rsidR="00370F79" w:rsidRDefault="005A3D4A">
      <w:pPr>
        <w:widowControl w:val="0"/>
        <w:numPr>
          <w:ilvl w:val="1"/>
          <w:numId w:val="24"/>
        </w:numPr>
        <w:spacing w:line="360" w:lineRule="auto"/>
        <w:jc w:val="both"/>
        <w:rPr>
          <w:rFonts w:ascii="Tahoma" w:eastAsia="Times New Roman" w:hAnsi="Tahoma" w:cs="Tahoma"/>
          <w:sz w:val="24"/>
          <w:szCs w:val="24"/>
          <w:lang w:val="pl-PL"/>
        </w:rPr>
      </w:pPr>
      <w:r w:rsidRPr="005A3D4A">
        <w:rPr>
          <w:rFonts w:ascii="Tahoma" w:eastAsia="Times New Roman" w:hAnsi="Tahoma" w:cs="Tahoma"/>
          <w:i/>
          <w:sz w:val="24"/>
          <w:szCs w:val="24"/>
          <w:lang w:val="pl-PL"/>
        </w:rPr>
        <w:t>Rozporządzenie ministra właściwego do spraw informatyzacji w sprawie szczegółowych zasad gospodarki finansowej Funduszu Technologii Cyfrowych (art. 19 ust. 5).</w:t>
      </w:r>
      <w:r w:rsidRPr="005A3D4A">
        <w:rPr>
          <w:rFonts w:ascii="Tahoma" w:eastAsia="Times New Roman" w:hAnsi="Tahoma" w:cs="Tahoma"/>
          <w:sz w:val="24"/>
          <w:szCs w:val="24"/>
          <w:lang w:val="pl-PL"/>
        </w:rPr>
        <w:t xml:space="preserve"> Rozporządzenie zostanie wydane w porozumieniu z ministrem właściwym do spraw finansów publicznych. Określenie w drodze rozporządzenia gospodarki finansowej państwowego funduszu celowego jest stosowane powszechnie i musi być zgodne po pierwsze z ustawą tworzącą fundusz (a więc z projektowanym rozdziałem 4 ustawy o podatku od niektórych usług cyfrowych i Funduszu Technologii Cyfrowych), a po drugie z ustawą z dnia 27 sierpnia 2009 r. o finansach publicznych (Dz. U. z 2019 r. poz. 869 i 1649 oraz z 2020 r. poz. 284, 374, 568, 695 i 1175), ze szczególnym uwzględnieniem art. 29. Rozporządzenie będzie więc zawierać regulacje zbliżone do tych dotyczących już istniejących państwowych funduszy celowych, w związku z czym nie ma potrzeby przedstawienia bardziej szczegółowych założeń aktu wykonawczego.</w:t>
      </w:r>
    </w:p>
    <w:p w:rsidR="005A3D4A" w:rsidRDefault="005A3D4A" w:rsidP="005A3D4A">
      <w:pPr>
        <w:pStyle w:val="Akapitzlist"/>
        <w:rPr>
          <w:rFonts w:ascii="Tahoma" w:eastAsia="Times New Roman" w:hAnsi="Tahoma" w:cs="Tahoma"/>
          <w:sz w:val="24"/>
          <w:szCs w:val="24"/>
          <w:lang w:val="pl-PL"/>
        </w:rPr>
      </w:pPr>
    </w:p>
    <w:p w:rsidR="005A3D4A" w:rsidRDefault="005A3D4A" w:rsidP="005A3D4A">
      <w:pPr>
        <w:widowControl w:val="0"/>
        <w:spacing w:line="360" w:lineRule="auto"/>
        <w:jc w:val="both"/>
        <w:rPr>
          <w:rFonts w:ascii="Tahoma" w:eastAsia="Times New Roman" w:hAnsi="Tahoma" w:cs="Tahoma"/>
          <w:sz w:val="24"/>
          <w:szCs w:val="24"/>
          <w:lang w:val="pl-PL"/>
        </w:rPr>
      </w:pPr>
    </w:p>
    <w:p w:rsidR="005A3D4A" w:rsidRDefault="005A3D4A" w:rsidP="005A3D4A">
      <w:pPr>
        <w:widowControl w:val="0"/>
        <w:spacing w:line="360" w:lineRule="auto"/>
        <w:jc w:val="both"/>
        <w:rPr>
          <w:rFonts w:ascii="Tahoma" w:eastAsia="Times New Roman" w:hAnsi="Tahoma" w:cs="Tahoma"/>
          <w:sz w:val="24"/>
          <w:szCs w:val="24"/>
          <w:lang w:val="pl-PL"/>
        </w:rPr>
      </w:pPr>
    </w:p>
    <w:p w:rsidR="005A3D4A" w:rsidRDefault="005A3D4A" w:rsidP="005A3D4A">
      <w:pPr>
        <w:widowControl w:val="0"/>
        <w:spacing w:line="360" w:lineRule="auto"/>
        <w:jc w:val="both"/>
        <w:rPr>
          <w:rFonts w:ascii="Tahoma" w:eastAsia="Times New Roman" w:hAnsi="Tahoma" w:cs="Tahoma"/>
          <w:sz w:val="24"/>
          <w:szCs w:val="24"/>
          <w:lang w:val="pl-PL"/>
        </w:rPr>
      </w:pPr>
    </w:p>
    <w:p w:rsidR="005A3D4A" w:rsidRDefault="005A3D4A" w:rsidP="005A3D4A">
      <w:pPr>
        <w:widowControl w:val="0"/>
        <w:spacing w:line="360" w:lineRule="auto"/>
        <w:jc w:val="both"/>
        <w:rPr>
          <w:rFonts w:ascii="Tahoma" w:eastAsia="Times New Roman" w:hAnsi="Tahoma" w:cs="Tahoma"/>
          <w:sz w:val="24"/>
          <w:szCs w:val="24"/>
          <w:lang w:val="pl-PL"/>
        </w:rPr>
      </w:pPr>
    </w:p>
    <w:p w:rsidR="005A3D4A" w:rsidRDefault="005A3D4A" w:rsidP="005A3D4A">
      <w:pPr>
        <w:widowControl w:val="0"/>
        <w:spacing w:line="360" w:lineRule="auto"/>
        <w:jc w:val="both"/>
        <w:rPr>
          <w:rFonts w:ascii="Tahoma" w:eastAsia="Times New Roman" w:hAnsi="Tahoma" w:cs="Tahoma"/>
          <w:sz w:val="24"/>
          <w:szCs w:val="24"/>
          <w:lang w:val="pl-PL"/>
        </w:rPr>
      </w:pPr>
    </w:p>
    <w:p w:rsidR="002E36CD" w:rsidRDefault="002E36CD" w:rsidP="005A3D4A">
      <w:pPr>
        <w:widowControl w:val="0"/>
        <w:spacing w:line="360" w:lineRule="auto"/>
        <w:jc w:val="both"/>
        <w:rPr>
          <w:rFonts w:ascii="Tahoma" w:eastAsia="Times New Roman" w:hAnsi="Tahoma" w:cs="Tahoma"/>
          <w:sz w:val="24"/>
          <w:szCs w:val="24"/>
          <w:lang w:val="pl-PL"/>
        </w:rPr>
        <w:sectPr w:rsidR="002E36CD" w:rsidSect="00AC52BB">
          <w:footerReference w:type="default" r:id="rId7"/>
          <w:footerReference w:type="first" r:id="rId8"/>
          <w:pgSz w:w="12240" w:h="15840"/>
          <w:pgMar w:top="1440" w:right="1440" w:bottom="1440" w:left="1440" w:header="720" w:footer="720" w:gutter="0"/>
          <w:pgNumType w:start="15"/>
          <w:cols w:space="708"/>
        </w:sectPr>
      </w:pPr>
    </w:p>
    <w:p w:rsidR="002E36CD" w:rsidRPr="00721620" w:rsidRDefault="002E36CD" w:rsidP="002E36CD">
      <w:pPr>
        <w:jc w:val="right"/>
        <w:rPr>
          <w:rFonts w:ascii="Times New Roman" w:eastAsia="Times New Roman" w:hAnsi="Times New Roman" w:cs="Times New Roman"/>
          <w:i/>
          <w:sz w:val="24"/>
          <w:szCs w:val="24"/>
          <w:u w:val="single"/>
          <w:lang w:val="pl-PL"/>
        </w:rPr>
      </w:pPr>
      <w:r w:rsidRPr="00721620">
        <w:rPr>
          <w:rFonts w:ascii="Times New Roman" w:eastAsia="Times New Roman" w:hAnsi="Times New Roman" w:cs="Times New Roman"/>
          <w:i/>
          <w:sz w:val="24"/>
          <w:szCs w:val="24"/>
          <w:u w:val="single"/>
          <w:lang w:val="pl-PL"/>
        </w:rPr>
        <w:lastRenderedPageBreak/>
        <w:t>Załącznik nr 1</w:t>
      </w:r>
    </w:p>
    <w:p w:rsidR="002E36CD" w:rsidRPr="00721620" w:rsidRDefault="002E36CD" w:rsidP="002E36CD">
      <w:pPr>
        <w:jc w:val="both"/>
        <w:rPr>
          <w:rFonts w:ascii="Times New Roman" w:eastAsia="Times New Roman" w:hAnsi="Times New Roman" w:cs="Times New Roman"/>
          <w:i/>
          <w:sz w:val="24"/>
          <w:szCs w:val="24"/>
          <w:u w:val="single"/>
          <w:lang w:val="pl-PL"/>
        </w:rPr>
      </w:pPr>
    </w:p>
    <w:p w:rsidR="002E36CD" w:rsidRPr="00721620" w:rsidRDefault="002E36CD" w:rsidP="002E36CD">
      <w:pPr>
        <w:jc w:val="both"/>
        <w:rPr>
          <w:rFonts w:ascii="Times New Roman" w:eastAsia="Times New Roman" w:hAnsi="Times New Roman" w:cs="Times New Roman"/>
          <w:i/>
          <w:sz w:val="24"/>
          <w:szCs w:val="24"/>
          <w:u w:val="single"/>
          <w:lang w:val="pl-PL"/>
        </w:rPr>
      </w:pPr>
    </w:p>
    <w:p w:rsidR="002E36CD" w:rsidRPr="00721620" w:rsidRDefault="002E36CD" w:rsidP="002E36CD">
      <w:pPr>
        <w:jc w:val="center"/>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Zestawienie uwag zgłoszonych w ramach konsultacji społecznych do założeń projektu ustawy o podatku od niektórych usług cyfrowych i Funduszu Technologii Cyfrowych</w:t>
      </w:r>
    </w:p>
    <w:p w:rsidR="002E36CD" w:rsidRPr="00721620" w:rsidRDefault="002E36CD" w:rsidP="002E36CD">
      <w:pPr>
        <w:jc w:val="both"/>
        <w:rPr>
          <w:rFonts w:ascii="Times New Roman" w:eastAsia="Times New Roman" w:hAnsi="Times New Roman" w:cs="Times New Roman"/>
          <w:b/>
          <w:sz w:val="24"/>
          <w:szCs w:val="24"/>
          <w:lang w:val="pl-PL"/>
        </w:rPr>
      </w:pPr>
    </w:p>
    <w:p w:rsidR="002E36CD" w:rsidRPr="00721620" w:rsidRDefault="002E36CD" w:rsidP="002E36CD">
      <w:pPr>
        <w:jc w:val="both"/>
        <w:rPr>
          <w:rFonts w:ascii="Times New Roman" w:eastAsia="Times New Roman" w:hAnsi="Times New Roman" w:cs="Times New Roman"/>
          <w:b/>
          <w:sz w:val="24"/>
          <w:szCs w:val="24"/>
          <w:lang w:val="pl-PL"/>
        </w:rPr>
      </w:pPr>
    </w:p>
    <w:tbl>
      <w:tblPr>
        <w:tblStyle w:val="a"/>
        <w:tblW w:w="129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4140"/>
        <w:gridCol w:w="2175"/>
        <w:gridCol w:w="5985"/>
      </w:tblGrid>
      <w:tr w:rsidR="002E36CD" w:rsidRPr="00721620" w:rsidTr="00CA0E34">
        <w:trPr>
          <w:trHeight w:val="440"/>
          <w:jc w:val="center"/>
        </w:trPr>
        <w:tc>
          <w:tcPr>
            <w:tcW w:w="12960" w:type="dxa"/>
            <w:gridSpan w:val="4"/>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Uwagi ogólne</w:t>
            </w:r>
          </w:p>
        </w:tc>
      </w:tr>
      <w:tr w:rsidR="002E36CD" w:rsidRPr="00721620" w:rsidTr="00CA0E34">
        <w:trPr>
          <w:jc w:val="center"/>
        </w:trPr>
        <w:tc>
          <w:tcPr>
            <w:tcW w:w="660" w:type="dxa"/>
            <w:shd w:val="clear" w:color="auto" w:fill="D9D9D9"/>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Lp.</w:t>
            </w:r>
          </w:p>
        </w:tc>
        <w:tc>
          <w:tcPr>
            <w:tcW w:w="4140" w:type="dxa"/>
            <w:shd w:val="clear" w:color="auto" w:fill="D9D9D9"/>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Treść lub istota uwagi</w:t>
            </w:r>
          </w:p>
        </w:tc>
        <w:tc>
          <w:tcPr>
            <w:tcW w:w="2175" w:type="dxa"/>
            <w:shd w:val="clear" w:color="auto" w:fill="D9D9D9"/>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Zgłaszający uwagę</w:t>
            </w:r>
          </w:p>
        </w:tc>
        <w:tc>
          <w:tcPr>
            <w:tcW w:w="5985" w:type="dxa"/>
            <w:shd w:val="clear" w:color="auto" w:fill="D9D9D9"/>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Stanowisko projektodawcy</w:t>
            </w:r>
          </w:p>
        </w:tc>
      </w:tr>
      <w:tr w:rsidR="002E36CD" w:rsidRPr="00721620" w:rsidTr="00CA0E34">
        <w:trPr>
          <w:jc w:val="center"/>
        </w:trPr>
        <w:tc>
          <w:tcPr>
            <w:tcW w:w="6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1.</w:t>
            </w:r>
          </w:p>
        </w:tc>
        <w:tc>
          <w:tcPr>
            <w:tcW w:w="414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PIKE: „w opinii Izby wszelkie pozarządowe prace ustawodawcze nad koncepcją opodatkowania przedsiębiorstw sektora cyfrowego, nieuwzględniające w gruntownym stopniu konsultacji z ekspertami z przedmiotowej dziedziny, stanowią niewłaściwą ścieżkę legislacyjną dla procedowania takiego projektu ustawy. (...) złożoność tych prac uzasadniałaby podjęcie tego tematu w ramach rządowych prac legislacyjnych stosownego resortu”.</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tc>
        <w:tc>
          <w:tcPr>
            <w:tcW w:w="217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Polska Izba Komunikacji Elektronicznej</w:t>
            </w:r>
          </w:p>
        </w:tc>
        <w:tc>
          <w:tcPr>
            <w:tcW w:w="598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niezasadna.</w:t>
            </w:r>
            <w:r w:rsidRPr="00721620">
              <w:rPr>
                <w:rFonts w:ascii="Times New Roman" w:eastAsia="Times New Roman" w:hAnsi="Times New Roman" w:cs="Times New Roman"/>
                <w:sz w:val="24"/>
                <w:szCs w:val="24"/>
                <w:lang w:val="pl-PL"/>
              </w:rPr>
              <w:t xml:space="preserve"> </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Zgodnie z art. 118 ust. 1 Konstytucji RP inicjatywa ustawodawcza przysługuje m.in. posłom. Art. 32 ust. 2 regulaminu Sejmu precyzuje ten zapis, wskazując, że „poselskie projekty ustaw mogą być wnoszone przez komisje sejmowe lub co najmniej 15 posłów podpisujących projekt”. Art. 221 Konstytucji RP stanowi, że „Inicjatywa ustawodawcza w zakresie ustawy budżetowej, ustawy o prowizorium budżetowym, zmiany ustawy budżetowej, ustawy o zaciąganiu długu publicznego oraz ustawy o udzielaniu gwarancji finansowych przez państwo przysługuje wyłącznie Radzie Ministrów”, z kolei art. 235 ust. 1 mówi, że „Projekt ustawy o zmianie Konstytucji może przedłożyć co najmniej 1/5 ustawowej liczby posłów, Senat lub Prezydent Rzeczypospolitej”. Są to jedyne przewidziane wyjątki ograniczające poselską inicjatywę ustawodawczą.</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Projektodawca na potrzeby prac nad projektem ustawy zamówił odpowiednią ekspertyzę oraz przeprowadził konsultacje z partnerami społecznymi. Udział Rady Ministrów w pracach nad projektem będzie – jak w </w:t>
            </w:r>
            <w:r w:rsidRPr="00721620">
              <w:rPr>
                <w:rFonts w:ascii="Times New Roman" w:eastAsia="Times New Roman" w:hAnsi="Times New Roman" w:cs="Times New Roman"/>
                <w:sz w:val="24"/>
                <w:szCs w:val="24"/>
                <w:lang w:val="pl-PL"/>
              </w:rPr>
              <w:lastRenderedPageBreak/>
              <w:t>przypadku każdego projektu poselskiego – możliwy m.in. na etapie prac w komisjach sejmowych.</w:t>
            </w:r>
          </w:p>
        </w:tc>
      </w:tr>
      <w:tr w:rsidR="002E36CD" w:rsidRPr="00721620" w:rsidTr="00CA0E34">
        <w:trPr>
          <w:jc w:val="center"/>
        </w:trPr>
        <w:tc>
          <w:tcPr>
            <w:tcW w:w="6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2.</w:t>
            </w:r>
          </w:p>
        </w:tc>
        <w:tc>
          <w:tcPr>
            <w:tcW w:w="414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PIKE: „ze szczegółowymi pracami legislacyjnymi nad  zagadnieniem podatku cyfrowego Polska powinna wstrzymać się do czasu ogłoszenia w tej sprawie oficjalnych ustaleń unijnych oraz Organizacji Współpracy Gospodarczej i Rozwoju”.</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ZCP: „Zwracamy uwagę na toczące się na forum międzynarodowym prace zmierzające do uchwycenia fenomenu cyfryzacji w międzynarodowych systemach podatkowych prowadzone od kilku lat na forum OECD”.</w:t>
            </w:r>
            <w:r w:rsidRPr="00721620">
              <w:rPr>
                <w:rFonts w:ascii="Times New Roman" w:eastAsia="Times New Roman" w:hAnsi="Times New Roman" w:cs="Times New Roman"/>
                <w:sz w:val="24"/>
                <w:szCs w:val="24"/>
                <w:lang w:val="pl-PL"/>
              </w:rPr>
              <w:br/>
            </w:r>
            <w:r w:rsidRPr="00721620">
              <w:rPr>
                <w:rFonts w:ascii="Times New Roman" w:eastAsia="Times New Roman" w:hAnsi="Times New Roman" w:cs="Times New Roman"/>
                <w:sz w:val="24"/>
                <w:szCs w:val="24"/>
                <w:lang w:val="pl-PL"/>
              </w:rPr>
              <w:br/>
              <w:t>ZCP: „Warto też mieć na uwadze, że Komisja Europejska zapowiedziała podjęcie działań celem wprowadzenia podatku cyfrowego w przypadku gdyby prace OECD w tym obszarze zakończyły się w 2020 r. niepowodzeniem”.</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IAB: „IAB Polska zdecydowanie popiera działania ukierunkowane na osiągnięcie międzynarodowego konsensusu polegającego na przeprowadzeniu reformy międzynarodowego systemu podatkowego, tak aby sprostać wyzwaniom wynikającym z cyfryzacji gospodarki oraz doprowadzić do </w:t>
            </w:r>
            <w:r w:rsidRPr="00721620">
              <w:rPr>
                <w:rFonts w:ascii="Times New Roman" w:eastAsia="Times New Roman" w:hAnsi="Times New Roman" w:cs="Times New Roman"/>
                <w:sz w:val="24"/>
                <w:szCs w:val="24"/>
                <w:lang w:val="pl-PL"/>
              </w:rPr>
              <w:lastRenderedPageBreak/>
              <w:t>sprawiedliwego i efektywnego opodatkowania przedsiębiorstw gospodarki cyfrowej w państwie, w którym rzeczywiście osiągają dochody”.</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Crido: „brak zgodności z propozycjami w odniesieniu do proponowanych przez OECD rozwiązań opodatkowania działalności cyfrowej i cyfryzujące się, która kładzie nacisk na zgodność z innymi zasadami opodatkowania”.</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AmCham: „Podejście do podatku cyfrowego i wszelkie decyzje z nim związane powinny być procedowane i rozstrzygane globalnie, na międzynarodowym forum Organizacji Współpracy Gospodarczej i Rozwoju”.</w:t>
            </w:r>
          </w:p>
        </w:tc>
        <w:tc>
          <w:tcPr>
            <w:tcW w:w="217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Polska Izba Komunikacji Elektronicznej, Związek Cyfrowa Polska, Związek Pracodawców Branży Internetowej IAB Polska, Crido Taxand R. Namysłowski i Wspólnicy, Amerykańska Izba Handlowa w Polsce</w:t>
            </w:r>
          </w:p>
        </w:tc>
        <w:tc>
          <w:tcPr>
            <w:tcW w:w="598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Uwagi przyjęte.</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Projektodawca podziela przekonanie opiniodawców, że optymalnym podejściem do wyzwań, jakie dla systemów podatkowych tworzy cyfryzacja gospodarki, byłoby przyjęcie rozwiązań na poziomie OECD lub KE. Jednakże mając na uwadze, że nie wiadomo kiedy – i czy – rozwiązania takie rzeczywiście zostaną opracowane i wdrożone, projektodawca dostrzega pilną potrzebę opracowania rozwiązań tymczasowych.</w:t>
            </w:r>
          </w:p>
        </w:tc>
      </w:tr>
      <w:tr w:rsidR="002E36CD" w:rsidRPr="00721620" w:rsidTr="00CA0E34">
        <w:trPr>
          <w:jc w:val="center"/>
        </w:trPr>
        <w:tc>
          <w:tcPr>
            <w:tcW w:w="6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3.</w:t>
            </w:r>
          </w:p>
        </w:tc>
        <w:tc>
          <w:tcPr>
            <w:tcW w:w="414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PIKE: „Indywidualnie podejmowane przez poszczególne państwa działania prowadzą do szerzenia się niepotrzebnej różnorodności regulacyjnej, przede wszystkim w zakresie stawek podatkowych oraz zakresu przedmiotowego regulacji, która skutkować może większymi trudnościami w osiągnięciu konsensusu na szczeblu międzynarodowym, a także unijnym. W opinii PIKE, wstrzymanie prac krajowych nad podatkiem cyfrowym jest zatem decyzją racjonalną, która umożliwi Polsce przyjęcie w </w:t>
            </w:r>
            <w:r w:rsidRPr="00721620">
              <w:rPr>
                <w:rFonts w:ascii="Times New Roman" w:eastAsia="Times New Roman" w:hAnsi="Times New Roman" w:cs="Times New Roman"/>
                <w:sz w:val="24"/>
                <w:szCs w:val="24"/>
                <w:lang w:val="pl-PL"/>
              </w:rPr>
              <w:lastRenderedPageBreak/>
              <w:t>bliskiej przyszłości przepisów zgodnych z wszelkimi założeniami ponadnarodowymi, niewymagających wtórnej zmiany i ujednolicania z regulacjami wyższego szczebla”.</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ZCP: „Firmy zrzeszone w Związku są sceptycznie nastawione do pomysłu jednostronnego wdrożenia takiego podatku w Polsce. Uważamy, że tylko regulacje na poziomie globalnym będą rozwiązaniem skutecznym, bezpiecznym i proporcjonalnym dla gospodarek poszczególnych państw”.</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IAB: „Uważamy, że tylko regulacje na poziomie globalnym będą rozwiązaniem skutecznym, bezpiecznym i proporcjonalnym dla gospodarek poszczególnych państw. Dlatego jesteśmy przeciwni wprowadzaniu rozwiązań na poziomie krajowym”.</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KIGEiT: „Uważamy, że tylko wprowadzenie podatku cyfrowego na poziomie globalnym będzie rozwiązaniem skutecznym, bezpiecznym dla gospodarek poszczególnych państw i proporcjonalnym. Do tego czasu jesteśmy przeciwni wprowadzaniu regulacji na poziomie krajowym”.</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AmCham: „Nasze zaniepokojenie </w:t>
            </w:r>
            <w:r w:rsidRPr="00721620">
              <w:rPr>
                <w:rFonts w:ascii="Times New Roman" w:eastAsia="Times New Roman" w:hAnsi="Times New Roman" w:cs="Times New Roman"/>
                <w:sz w:val="24"/>
                <w:szCs w:val="24"/>
                <w:lang w:val="pl-PL"/>
              </w:rPr>
              <w:lastRenderedPageBreak/>
              <w:t>wzbudzają propozycje, aby kraje członkowskie Unii Europejskiej wprowadzały indywidualne rozwiązania pozwalające opodatkować działalność cyfrową, które są przedstawione w Projekcie dla Polski”.</w:t>
            </w:r>
          </w:p>
        </w:tc>
        <w:tc>
          <w:tcPr>
            <w:tcW w:w="217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Polska Izba Komunikacji Elektronicznej, Związek Cyfrowa Polska, Związek Pracodawców Branży Internetowej IAB Polska, Krajowa Izba Gospodarcza Elektroniki i Telekomunikacji, Amerykańska Izba Handlowa w Polsce</w:t>
            </w:r>
          </w:p>
        </w:tc>
        <w:tc>
          <w:tcPr>
            <w:tcW w:w="598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Uwagi przyjęte.</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Projektodawca w pełni podziela opinię przedstawioną przez Ogólnopolskie Porozumienie Związków Zawodowych (nr 4). Nie wiadomo kiedy – i czy – rozwiązania na poziomie OECD lub KE rzeczywiście zostaną opracowane i wdrożone, w związku z czym projektodawca dostrzega pilną potrzebę opracowania rozwiązań tymczasowych. Warto dodać, że podjęcie prac nad rozwiązaniami krajowymi – w Polsce czy w innych państwach – stanowi również formę nacisku na OECD i KE i ma mobilizować je do intensyfikacji prac nad kompleksowymi rozwiązaniami międzynarodowymi.</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p>
        </w:tc>
      </w:tr>
      <w:tr w:rsidR="002E36CD" w:rsidRPr="00721620" w:rsidTr="00CA0E34">
        <w:trPr>
          <w:jc w:val="center"/>
        </w:trPr>
        <w:tc>
          <w:tcPr>
            <w:tcW w:w="6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4.</w:t>
            </w:r>
          </w:p>
        </w:tc>
        <w:tc>
          <w:tcPr>
            <w:tcW w:w="414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„Nie mając pewności, czy sukcesem zakończą się podjęte na forum OECD i Unii Europejskiej prace nad właściwym opodatkowaniem cyfrowych modeli biznesowych, Prezydium OPZZ popiera wprowadzenie podatku cyfrowego w Polsce w oparciu o przedstawiony przez Komisję Europejską model opodatkowania. Polska powinna pójść śladem innych krajów, które wprowadziły lub chcą ustanowić tego rodzaju podatek, jako rozwiązanie tymczasowe, do czasu przyjęcia jednolitych rozwiązań na szczeblu unijnym lub światowym”.</w:t>
            </w:r>
          </w:p>
        </w:tc>
        <w:tc>
          <w:tcPr>
            <w:tcW w:w="217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Ogólnopolskie Porozumienie Związków Zawodowych</w:t>
            </w:r>
          </w:p>
        </w:tc>
        <w:tc>
          <w:tcPr>
            <w:tcW w:w="598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przyjęta.</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Projektodawca w pełni podziela opinię przedstawioną przez Ogólnopolskie Porozumienie Związków Zawodowych.</w:t>
            </w:r>
          </w:p>
        </w:tc>
      </w:tr>
      <w:tr w:rsidR="002E36CD" w:rsidRPr="00721620" w:rsidTr="00CA0E34">
        <w:trPr>
          <w:jc w:val="center"/>
        </w:trPr>
        <w:tc>
          <w:tcPr>
            <w:tcW w:w="6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5.</w:t>
            </w:r>
          </w:p>
        </w:tc>
        <w:tc>
          <w:tcPr>
            <w:tcW w:w="414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„Odnosząc się w szczegółach do proponowanych przez Państwa zapisów pragnę zwrócić uwagę, iż przedmiotowy projekt jest bardziej zarysem pewnej koncepcji niż dopracowanym aktem prawnym”.</w:t>
            </w:r>
          </w:p>
        </w:tc>
        <w:tc>
          <w:tcPr>
            <w:tcW w:w="217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Związek Cyfrowa Polska</w:t>
            </w:r>
          </w:p>
        </w:tc>
        <w:tc>
          <w:tcPr>
            <w:tcW w:w="598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niezasadna.</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Przedstawione do konsultacji założenia wraz z roboczą wersją projektu w istocie były bardziej zarysem pewnej koncepcji niż dopracowanym aktem prawnym – na co zwrócono uwagę, kierując je do konsultacji.</w:t>
            </w:r>
          </w:p>
        </w:tc>
      </w:tr>
      <w:tr w:rsidR="002E36CD" w:rsidRPr="00721620" w:rsidTr="00CA0E34">
        <w:trPr>
          <w:jc w:val="center"/>
        </w:trPr>
        <w:tc>
          <w:tcPr>
            <w:tcW w:w="6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6.</w:t>
            </w:r>
          </w:p>
        </w:tc>
        <w:tc>
          <w:tcPr>
            <w:tcW w:w="414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„Spowoduje to niejasność dla firm, których usługi mają zasięg w wielu krajach”.</w:t>
            </w:r>
          </w:p>
        </w:tc>
        <w:tc>
          <w:tcPr>
            <w:tcW w:w="217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Amerykańska Izba Handlowa w Polsce</w:t>
            </w:r>
          </w:p>
        </w:tc>
        <w:tc>
          <w:tcPr>
            <w:tcW w:w="598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przyjęta.</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W ocenie projektodawcy zaprezentowana koncepcja podatku od niektórych usług cyfrowych jest </w:t>
            </w:r>
            <w:r w:rsidRPr="00721620">
              <w:rPr>
                <w:rFonts w:ascii="Times New Roman" w:eastAsia="Times New Roman" w:hAnsi="Times New Roman" w:cs="Times New Roman"/>
                <w:sz w:val="24"/>
                <w:szCs w:val="24"/>
                <w:lang w:val="pl-PL"/>
              </w:rPr>
              <w:lastRenderedPageBreak/>
              <w:t>nieskomplikowana i nie będzie tworzyć niejasności dla firm, których usługi mają zasięg w wielu krajach.</w:t>
            </w:r>
          </w:p>
        </w:tc>
      </w:tr>
      <w:tr w:rsidR="002E36CD" w:rsidRPr="00721620" w:rsidTr="00CA0E34">
        <w:trPr>
          <w:jc w:val="center"/>
        </w:trPr>
        <w:tc>
          <w:tcPr>
            <w:tcW w:w="6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7.</w:t>
            </w:r>
          </w:p>
        </w:tc>
        <w:tc>
          <w:tcPr>
            <w:tcW w:w="414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„zwiększenie kosztów ich funkcjonowania”</w:t>
            </w:r>
          </w:p>
        </w:tc>
        <w:tc>
          <w:tcPr>
            <w:tcW w:w="217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Amerykańska Izba Handlowa w Polsce</w:t>
            </w:r>
          </w:p>
        </w:tc>
        <w:tc>
          <w:tcPr>
            <w:tcW w:w="598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przyjęta.</w:t>
            </w:r>
          </w:p>
        </w:tc>
      </w:tr>
      <w:tr w:rsidR="002E36CD" w:rsidRPr="00721620" w:rsidTr="00CA0E34">
        <w:trPr>
          <w:jc w:val="center"/>
        </w:trPr>
        <w:tc>
          <w:tcPr>
            <w:tcW w:w="6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8.</w:t>
            </w:r>
          </w:p>
        </w:tc>
        <w:tc>
          <w:tcPr>
            <w:tcW w:w="414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IAB: „w założeniach do Projektu ustawy brak jest informacji co do tego, czy zaproponowany podatek ma być rozwiązaniem tymczasowym, który będzie obowiązywał do czasu zakończenia prac prowadzonych przez OECD (mających na celu opracowanie konsensusu na poziomie międzynarodowym i wprowadzenie systemowych zmian w międzynarodowym prawie podatkowym), czy też jest to rozwiązanie, które miałoby funkcjonować „równolegle” z planowanymi zmianami w międzynarodowym systemie podatków dochodowych. W ocenie IAB Polska, konieczne jest jednoznaczne wyjaśnienie przez Inicjatorów Projektu, jakie rozwiązanie proponują”.</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Crido: „Projekt Ustawy, w przeciwieństwie do EU DST nie zakłada tymczasowości proponowanych przepisów”.</w:t>
            </w:r>
          </w:p>
        </w:tc>
        <w:tc>
          <w:tcPr>
            <w:tcW w:w="217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Związek Pracodawców Branży Internetowej IAB Polska, Crido Taxand R. Namysłowski i Wspólnicy</w:t>
            </w:r>
          </w:p>
        </w:tc>
        <w:tc>
          <w:tcPr>
            <w:tcW w:w="598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Uwagi wyjaśnione.</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Opiniodawcy słusznie zauważyli, że w założeniach do projektu ustawy nie określono, czy projektowane rozwiązania mają mieć charakter tymczasowy (do czasu wypracowania zmian na poziomie międzynarodowym). W ocenie projektodawcy projektowane rozwiązania – w przypadku osiągnięcia konsensusu na poziomie OECD lub KE – powinny zostać odpowiednio dostosowane bądź uchylone.</w:t>
            </w:r>
          </w:p>
        </w:tc>
      </w:tr>
      <w:tr w:rsidR="002E36CD" w:rsidRPr="00721620" w:rsidTr="00CA0E34">
        <w:trPr>
          <w:jc w:val="center"/>
        </w:trPr>
        <w:tc>
          <w:tcPr>
            <w:tcW w:w="6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9.</w:t>
            </w:r>
          </w:p>
        </w:tc>
        <w:tc>
          <w:tcPr>
            <w:tcW w:w="414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IAB: „W przypadku wprowadzenia </w:t>
            </w:r>
            <w:r w:rsidRPr="00721620">
              <w:rPr>
                <w:rFonts w:ascii="Times New Roman" w:eastAsia="Times New Roman" w:hAnsi="Times New Roman" w:cs="Times New Roman"/>
                <w:sz w:val="24"/>
                <w:szCs w:val="24"/>
                <w:lang w:val="pl-PL"/>
              </w:rPr>
              <w:lastRenderedPageBreak/>
              <w:t>proponowanego w Projekcie podatku od niektórych usług istnieją możliwości przerzucania obciążenia na rzecz ostatecznych konsumentów (obywateli polskich oraz małe i średnie przedsiębiorstwa z Polski)”.</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Crido: „Zagrożenia jakie niesie ze sobą wprowadzenie podatku to (...) [m.in.] przerzucenie podatku na użytkowników w cenach towarów i usług”.</w:t>
            </w:r>
          </w:p>
        </w:tc>
        <w:tc>
          <w:tcPr>
            <w:tcW w:w="217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 xml:space="preserve">Związek </w:t>
            </w:r>
            <w:r w:rsidRPr="00721620">
              <w:rPr>
                <w:rFonts w:ascii="Times New Roman" w:eastAsia="Times New Roman" w:hAnsi="Times New Roman" w:cs="Times New Roman"/>
                <w:sz w:val="24"/>
                <w:szCs w:val="24"/>
                <w:lang w:val="pl-PL"/>
              </w:rPr>
              <w:lastRenderedPageBreak/>
              <w:t>Pracodawców Branży Internetowej IAB Polska, Crido Taxand R. Namysłowski i Wspólnicy</w:t>
            </w:r>
          </w:p>
        </w:tc>
        <w:tc>
          <w:tcPr>
            <w:tcW w:w="598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lastRenderedPageBreak/>
              <w:t>Uwagi wyjaśnione.</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 xml:space="preserve">Jak wskazano w raporcie </w:t>
            </w:r>
            <w:r w:rsidRPr="00721620">
              <w:rPr>
                <w:rFonts w:ascii="Times New Roman" w:eastAsia="Times New Roman" w:hAnsi="Times New Roman" w:cs="Times New Roman"/>
                <w:i/>
                <w:sz w:val="24"/>
                <w:szCs w:val="24"/>
                <w:lang w:val="pl-PL"/>
              </w:rPr>
              <w:t>Podatek od cyfrowych gigantów. Ekspertyza w zakresie wprowadzenia w Polsce podatku cyfrowego (DST)</w:t>
            </w:r>
            <w:r w:rsidRPr="00721620">
              <w:rPr>
                <w:rFonts w:ascii="Times New Roman" w:eastAsia="Times New Roman" w:hAnsi="Times New Roman" w:cs="Times New Roman"/>
                <w:sz w:val="24"/>
                <w:szCs w:val="24"/>
                <w:lang w:val="pl-PL"/>
              </w:rPr>
              <w:t>:</w:t>
            </w:r>
            <w:r w:rsidRPr="00721620">
              <w:rPr>
                <w:rFonts w:ascii="Times New Roman" w:eastAsia="Times New Roman" w:hAnsi="Times New Roman" w:cs="Times New Roman"/>
                <w:i/>
                <w:sz w:val="24"/>
                <w:szCs w:val="24"/>
                <w:lang w:val="pl-PL"/>
              </w:rPr>
              <w:t xml:space="preserve"> </w:t>
            </w:r>
            <w:r w:rsidRPr="00721620">
              <w:rPr>
                <w:rFonts w:ascii="Times New Roman" w:eastAsia="Times New Roman" w:hAnsi="Times New Roman" w:cs="Times New Roman"/>
                <w:sz w:val="24"/>
                <w:szCs w:val="24"/>
                <w:lang w:val="pl-PL"/>
              </w:rPr>
              <w:t>„ponad dwie trzecie (ok. 67 proc.) ciężaru nałożonego podatku ponoszą platformy cyfrowe, zaś transmisja szoku fiskalnego ku konsumentom jest znikoma” (s. 37).</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i/>
                <w:sz w:val="24"/>
                <w:szCs w:val="24"/>
                <w:lang w:val="pl-PL"/>
              </w:rPr>
            </w:pPr>
          </w:p>
        </w:tc>
      </w:tr>
      <w:tr w:rsidR="002E36CD" w:rsidRPr="00721620" w:rsidTr="00CA0E34">
        <w:trPr>
          <w:jc w:val="center"/>
        </w:trPr>
        <w:tc>
          <w:tcPr>
            <w:tcW w:w="6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10.</w:t>
            </w:r>
          </w:p>
        </w:tc>
        <w:tc>
          <w:tcPr>
            <w:tcW w:w="414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„W ocenie IAB Polska, uzasadnione jest również zapewnienie neutralności nowego podatku od niektórych usług dla podatników rozliczających się z dochodów z działalności cyfrowej na terytorium danego państwa. Podatek powinien więc być odliczany od podatku dochodowego, jeżeli podatnik rozlicza się w danym państwie”.</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tc>
        <w:tc>
          <w:tcPr>
            <w:tcW w:w="217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Związek Pracodawców Branży Internetowej IAB Polska</w:t>
            </w:r>
          </w:p>
        </w:tc>
        <w:tc>
          <w:tcPr>
            <w:tcW w:w="598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nieuwzględniona.</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Przedstawiona przez opiniodawcę propozycja jest ciekawa i zasługuje na rozważenie np. na etapie prac sejmowych, nie została ona jednak uwzględniona w ostatecznej wersji projektu ustawy.</w:t>
            </w:r>
          </w:p>
        </w:tc>
      </w:tr>
    </w:tbl>
    <w:p w:rsidR="002E36CD" w:rsidRPr="00721620" w:rsidRDefault="002E36CD" w:rsidP="002E36CD">
      <w:pPr>
        <w:jc w:val="both"/>
        <w:rPr>
          <w:rFonts w:ascii="Times New Roman" w:eastAsia="Times New Roman" w:hAnsi="Times New Roman" w:cs="Times New Roman"/>
          <w:b/>
          <w:sz w:val="24"/>
          <w:szCs w:val="24"/>
          <w:lang w:val="pl-PL"/>
        </w:rPr>
      </w:pPr>
    </w:p>
    <w:tbl>
      <w:tblPr>
        <w:tblStyle w:val="a0"/>
        <w:tblW w:w="129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5"/>
        <w:gridCol w:w="1380"/>
        <w:gridCol w:w="4455"/>
        <w:gridCol w:w="1740"/>
        <w:gridCol w:w="1380"/>
        <w:gridCol w:w="3360"/>
      </w:tblGrid>
      <w:tr w:rsidR="002E36CD" w:rsidRPr="00721620" w:rsidTr="00CA0E34">
        <w:trPr>
          <w:trHeight w:val="440"/>
          <w:jc w:val="center"/>
        </w:trPr>
        <w:tc>
          <w:tcPr>
            <w:tcW w:w="12960" w:type="dxa"/>
            <w:gridSpan w:val="6"/>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Uwagi szczegółowe</w:t>
            </w:r>
          </w:p>
        </w:tc>
      </w:tr>
      <w:tr w:rsidR="002E36CD" w:rsidRPr="00721620" w:rsidTr="00CA0E34">
        <w:trPr>
          <w:jc w:val="center"/>
        </w:trPr>
        <w:tc>
          <w:tcPr>
            <w:tcW w:w="645" w:type="dxa"/>
            <w:shd w:val="clear" w:color="auto" w:fill="D9D9D9"/>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Lp.</w:t>
            </w:r>
          </w:p>
        </w:tc>
        <w:tc>
          <w:tcPr>
            <w:tcW w:w="1380" w:type="dxa"/>
            <w:shd w:val="clear" w:color="auto" w:fill="D9D9D9"/>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Jednostka redakcyjna roboczej wersji projektu</w:t>
            </w:r>
          </w:p>
        </w:tc>
        <w:tc>
          <w:tcPr>
            <w:tcW w:w="4455" w:type="dxa"/>
            <w:shd w:val="clear" w:color="auto" w:fill="D9D9D9"/>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Treść uwagi</w:t>
            </w:r>
          </w:p>
        </w:tc>
        <w:tc>
          <w:tcPr>
            <w:tcW w:w="1740" w:type="dxa"/>
            <w:shd w:val="clear" w:color="auto" w:fill="D9D9D9"/>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Zgłaszający uwagę</w:t>
            </w:r>
          </w:p>
        </w:tc>
        <w:tc>
          <w:tcPr>
            <w:tcW w:w="1380" w:type="dxa"/>
            <w:shd w:val="clear" w:color="auto" w:fill="D9D9D9"/>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Jednostka redakcyjna projektu ustawy</w:t>
            </w:r>
          </w:p>
        </w:tc>
        <w:tc>
          <w:tcPr>
            <w:tcW w:w="3360" w:type="dxa"/>
            <w:shd w:val="clear" w:color="auto" w:fill="D9D9D9"/>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Stanowisko projektodawcy</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11.</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3</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„Pojęcie czas lokalny zostało użyte tylko raz </w:t>
            </w:r>
            <w:r w:rsidRPr="00721620">
              <w:rPr>
                <w:rFonts w:ascii="Times New Roman" w:eastAsia="Times New Roman" w:hAnsi="Times New Roman" w:cs="Times New Roman"/>
                <w:sz w:val="24"/>
                <w:szCs w:val="24"/>
                <w:lang w:val="pl-PL"/>
              </w:rPr>
              <w:lastRenderedPageBreak/>
              <w:t>w Ustawie – przy wyjaśnieniu pojęcia „okres rozliczeniowy” (Art. 2 pkt. 6)). Czy zatem jest konieczne tworzenie definicji czasu lokalnego, czy wystarczy uzupełnienie (rozszerzenie) definicji okresu rozliczeniowego?”</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 xml:space="preserve">Crido Taxand </w:t>
            </w:r>
            <w:r w:rsidRPr="00721620">
              <w:rPr>
                <w:rFonts w:ascii="Times New Roman" w:eastAsia="Times New Roman" w:hAnsi="Times New Roman" w:cs="Times New Roman"/>
                <w:sz w:val="24"/>
                <w:szCs w:val="24"/>
                <w:lang w:val="pl-PL"/>
              </w:rPr>
              <w:lastRenderedPageBreak/>
              <w:t>R. Namysłowski i Wspólnicy</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Art. 2 pkt 7</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uwzględniona.</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12.</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5</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„Użyte w definicji kampanii pojęcie reklamodawca powinno mieć odwołanie  do definicji przedsiębiorstwa, którzy w rozumieniu tej Ustawy będą reklamodawcami. Należałoby też wskazać, że reklamodawcą nie będzie pośrednik kupujący kampanię reklamową, np. dom mediowy”.</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Crido Taxand R. Namysłowski i Wspólnicy</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6</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niezasadna.</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Uwaga zdaje się nie odnosić do systemowego umocowania definicji kampanii z wykorzystaniem reklam profilowanych w tekście projektu ustawy. W opinii projektodawcy w szczególności nie ma podstaw ku temu, by formułować definicję reklamodawcy (por. § 146 Zasad techniki prawodawczej).</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13.</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6</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„Propozycja zmiany definicji: „okresie rozliczeniowym – rozumie się przez to rok kalendarzowy liczony zgodnie z czasem lokalnym, to jest czasem urzędowym w rozumieniu ustawy z dnia 10 grudnia 2003 r. o czasie urzędowym na obszarze Rzeczypospolitej Polskiej (Dz. U. z 2004 r. Nr 16, poz. 144), podawany z dokładnością do 1 sekundy””.</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Crido Taxand R. Namysłowski i Wspólnicy</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7</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uwzględniona.</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Definicja okresu rozliczeniowego została zmieniona w sposób zbliżony do zaproponowanego przez opiniodawcę.</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14.</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7</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„Definicję tę należy doprecyzować, gdyż w polskim porządku prawnym nie występuje pojęcie porozumienia prawnego, które </w:t>
            </w:r>
            <w:r w:rsidRPr="00721620">
              <w:rPr>
                <w:rFonts w:ascii="Times New Roman" w:eastAsia="Times New Roman" w:hAnsi="Times New Roman" w:cs="Times New Roman"/>
                <w:sz w:val="24"/>
                <w:szCs w:val="24"/>
                <w:lang w:val="pl-PL"/>
              </w:rPr>
              <w:lastRenderedPageBreak/>
              <w:t>prowadzi działalność gospodarczą. W tym zakresie można odnieść się do spółki cywilnej lub spółki prawa handlowego bez osobowości prawnej lub też wprowadzić bardziej rozbudowane definicje używanych pojęć”.</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Związek Cyfrowa Polska</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8</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uwzględniona.</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15.</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7</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„Definicja przedsiębiorstwa stworzona na potrzeby Ustawy jest mało precyzyjna. Jak należy rozumieć określenie „porozumienie prawne”? Należałoby odwołać się do definicji przedsiębiorstwa stosowanej w innych przepisach, w tym np. do Kodeksu cywilnego czy do doktryny prawa podatkowego, np. poprzez stwierdzenie że przedsiębiorstwo to zarówno osoba prawna jak i jednostka organizacyjna niemająca osobowości prawnej – pojęcie to obejmuje szeroko również np. spółki osobowe transparentne podatkowo”.</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Crido Taxand R. Namysłowski i Wspólnicy</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8</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uwzględniona.</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16.</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8 i pkt 11</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„przez przedsiębiorstwa sektora cyfrowego rozumie się przedsiębiorstwo lub skonsolidowaną grupę do celów rachunkowości finansowej, a skonsolidowana grupa to wszystkie przedsiębiorstwa, które są uwzględniane w skonsolidowanych sprawozdaniach finansowych. Taka definicja może oznaczać, że podatnikiem ma być każdy członek grupy sporządzającej skonsolidowane sprawozdanie finansowe, nawet jeśli usługi cyfrowe podlegające opodatkowaniu w </w:t>
            </w:r>
            <w:r w:rsidRPr="00721620">
              <w:rPr>
                <w:rFonts w:ascii="Times New Roman" w:eastAsia="Times New Roman" w:hAnsi="Times New Roman" w:cs="Times New Roman"/>
                <w:sz w:val="24"/>
                <w:szCs w:val="24"/>
                <w:lang w:val="pl-PL"/>
              </w:rPr>
              <w:lastRenderedPageBreak/>
              <w:t>Polsce świadczy tylko jeden podmiot z grupy, lub też cała skonsolidowana grupa. Przyjęcie podejścia, że podatnikiem jest grupa podmiotów wymaga uregulowania szczegółów związanych z rozliczaniem i raportowaniem związanym z podatkiem cyfrowym (jak np. w przypadku podatkowej grupy kapitałowej)”.</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Związek Cyfrowa Polska</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9</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uwzględniona.</w:t>
            </w:r>
          </w:p>
          <w:p w:rsidR="002E36CD" w:rsidRPr="00721620" w:rsidRDefault="002E36CD" w:rsidP="00CA0E34">
            <w:pPr>
              <w:widowControl w:val="0"/>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sz w:val="24"/>
                <w:szCs w:val="24"/>
                <w:lang w:val="pl-PL"/>
              </w:rPr>
              <w:t>Zrezygnowano z proponowanej wstępnie definicji skonsolidowanej grupy do celów rachunkowości cyfrowej.</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17.</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10</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„Propozycja zmiany definicji: „reklamie profilowanej – rozumie się przez to reklamę skierowaną do określonego użytkownika interfejsu cyfrowego w oparciu o dane zebrane o tym użytkowniku lub dane o urządzeniu, z którego korzysta””.</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Crido Taxand R. Namysłowski i Wspólnicy</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11</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uwzględniona.</w:t>
            </w:r>
          </w:p>
          <w:p w:rsidR="002E36CD" w:rsidRPr="00721620" w:rsidRDefault="002E36CD" w:rsidP="00CA0E34">
            <w:pPr>
              <w:widowControl w:val="0"/>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sz w:val="24"/>
                <w:szCs w:val="24"/>
                <w:lang w:val="pl-PL"/>
              </w:rPr>
              <w:t>Definicja reklamy profilowanej została zmieniona w sposób zbliżony do zaproponowanego przez opiniodawcę.</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18.</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i/>
                <w:sz w:val="24"/>
                <w:szCs w:val="24"/>
                <w:lang w:val="pl-PL"/>
              </w:rPr>
              <w:t>(1)</w:t>
            </w:r>
            <w:r w:rsidRPr="00721620">
              <w:rPr>
                <w:rFonts w:ascii="Times New Roman" w:eastAsia="Times New Roman" w:hAnsi="Times New Roman" w:cs="Times New Roman"/>
                <w:sz w:val="24"/>
                <w:szCs w:val="24"/>
                <w:lang w:val="pl-PL"/>
              </w:rPr>
              <w:t xml:space="preserve"> Art. 2 pkt 10</w:t>
            </w:r>
          </w:p>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i/>
                <w:sz w:val="24"/>
                <w:szCs w:val="24"/>
                <w:lang w:val="pl-PL"/>
              </w:rPr>
              <w:t>(2)</w:t>
            </w:r>
            <w:r w:rsidRPr="00721620">
              <w:rPr>
                <w:rFonts w:ascii="Times New Roman" w:eastAsia="Times New Roman" w:hAnsi="Times New Roman" w:cs="Times New Roman"/>
                <w:sz w:val="24"/>
                <w:szCs w:val="24"/>
                <w:lang w:val="pl-PL"/>
              </w:rPr>
              <w:t xml:space="preserve"> Art. 2 pkt 15</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„doprecyzowanie przedmiotu opodatkowania, w szczególności definicji </w:t>
            </w:r>
            <w:r w:rsidRPr="00721620">
              <w:rPr>
                <w:rFonts w:ascii="Times New Roman" w:eastAsia="Times New Roman" w:hAnsi="Times New Roman" w:cs="Times New Roman"/>
                <w:i/>
                <w:sz w:val="24"/>
                <w:szCs w:val="24"/>
                <w:lang w:val="pl-PL"/>
              </w:rPr>
              <w:t xml:space="preserve">(1) </w:t>
            </w:r>
            <w:r w:rsidRPr="00721620">
              <w:rPr>
                <w:rFonts w:ascii="Times New Roman" w:eastAsia="Times New Roman" w:hAnsi="Times New Roman" w:cs="Times New Roman"/>
                <w:sz w:val="24"/>
                <w:szCs w:val="24"/>
                <w:lang w:val="pl-PL"/>
              </w:rPr>
              <w:t xml:space="preserve">„reklamy profilowanej” oraz </w:t>
            </w:r>
            <w:r w:rsidRPr="00721620">
              <w:rPr>
                <w:rFonts w:ascii="Times New Roman" w:eastAsia="Times New Roman" w:hAnsi="Times New Roman" w:cs="Times New Roman"/>
                <w:i/>
                <w:sz w:val="24"/>
                <w:szCs w:val="24"/>
                <w:lang w:val="pl-PL"/>
              </w:rPr>
              <w:t xml:space="preserve">(2) </w:t>
            </w:r>
            <w:r w:rsidRPr="00721620">
              <w:rPr>
                <w:rFonts w:ascii="Times New Roman" w:eastAsia="Times New Roman" w:hAnsi="Times New Roman" w:cs="Times New Roman"/>
                <w:sz w:val="24"/>
                <w:szCs w:val="24"/>
                <w:lang w:val="pl-PL"/>
              </w:rPr>
              <w:t>„wykorzystywania wielostronnego interfejsu cyfrowego”. Na podstawie aktualnego ich brzmienia nie da się bowiem wykluczyć objęcia regulacją polskich przedsiębiorców świadczących obok podstawowych usług telekomunikacyjnych takich jak telewizja, telefonia, czy dostęp do Internetu, szeregu innych ubocznych usług, np. hostingu, VOD itp.”.</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Polska Izba Komunikacji Elektronicznej</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(1) Art. 2 pkt 11</w:t>
            </w:r>
          </w:p>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(2) Art. 2 pkt 15</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i/>
                <w:sz w:val="24"/>
                <w:szCs w:val="24"/>
                <w:lang w:val="pl-PL"/>
              </w:rPr>
              <w:t xml:space="preserve">(1) </w:t>
            </w:r>
            <w:r w:rsidRPr="00721620">
              <w:rPr>
                <w:rFonts w:ascii="Times New Roman" w:eastAsia="Times New Roman" w:hAnsi="Times New Roman" w:cs="Times New Roman"/>
                <w:b/>
                <w:sz w:val="24"/>
                <w:szCs w:val="24"/>
                <w:lang w:val="pl-PL"/>
              </w:rPr>
              <w:t>Uwaga uwzględniona.</w:t>
            </w:r>
            <w:r w:rsidRPr="00721620">
              <w:rPr>
                <w:rFonts w:ascii="Times New Roman" w:eastAsia="Times New Roman" w:hAnsi="Times New Roman" w:cs="Times New Roman"/>
                <w:b/>
                <w:sz w:val="24"/>
                <w:szCs w:val="24"/>
                <w:lang w:val="pl-PL"/>
              </w:rPr>
              <w:br/>
            </w:r>
            <w:r w:rsidRPr="00721620">
              <w:rPr>
                <w:rFonts w:ascii="Times New Roman" w:eastAsia="Times New Roman" w:hAnsi="Times New Roman" w:cs="Times New Roman"/>
                <w:sz w:val="24"/>
                <w:szCs w:val="24"/>
                <w:lang w:val="pl-PL"/>
              </w:rPr>
              <w:t>Por. uwagę nr 17.</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i/>
                <w:sz w:val="24"/>
                <w:szCs w:val="24"/>
                <w:lang w:val="pl-PL"/>
              </w:rPr>
              <w:t xml:space="preserve">(2) </w:t>
            </w:r>
            <w:r w:rsidRPr="00721620">
              <w:rPr>
                <w:rFonts w:ascii="Times New Roman" w:eastAsia="Times New Roman" w:hAnsi="Times New Roman" w:cs="Times New Roman"/>
                <w:b/>
                <w:sz w:val="24"/>
                <w:szCs w:val="24"/>
                <w:lang w:val="pl-PL"/>
              </w:rPr>
              <w:t>Uwaga nieuwzględniona.</w:t>
            </w:r>
            <w:r w:rsidRPr="00721620">
              <w:rPr>
                <w:rFonts w:ascii="Times New Roman" w:eastAsia="Times New Roman" w:hAnsi="Times New Roman" w:cs="Times New Roman"/>
                <w:b/>
                <w:sz w:val="24"/>
                <w:szCs w:val="24"/>
                <w:lang w:val="pl-PL"/>
              </w:rPr>
              <w:br/>
            </w:r>
            <w:r w:rsidRPr="00721620">
              <w:rPr>
                <w:rFonts w:ascii="Times New Roman" w:eastAsia="Times New Roman" w:hAnsi="Times New Roman" w:cs="Times New Roman"/>
                <w:sz w:val="24"/>
                <w:szCs w:val="24"/>
                <w:lang w:val="pl-PL"/>
              </w:rPr>
              <w:t>W ocenie projektodawcy definicja wielostronnego interfejsu cyfrowego nie wymaga dalszego doprecyzowania.</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19.</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11</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„Definicja „skonsolidowana grupa do celów rachunkowości finansowej” nie jest powszechnie używana w doktrynie prawa podatkowego. Pojęcie to można zastąpić </w:t>
            </w:r>
            <w:r w:rsidRPr="00721620">
              <w:rPr>
                <w:rFonts w:ascii="Times New Roman" w:eastAsia="Times New Roman" w:hAnsi="Times New Roman" w:cs="Times New Roman"/>
                <w:sz w:val="24"/>
                <w:szCs w:val="24"/>
                <w:lang w:val="pl-PL"/>
              </w:rPr>
              <w:lastRenderedPageBreak/>
              <w:t>pojęciem grupa kapitałowa lub grupa podmiotów powiązanych. Istotne jest czy jako grupę podmiotów powiązanych uznaje się taką grupę, której wyniki konsolidowane są w sprawozdaniu finansowym, tj. jednostkę dominującą oraz jej jednostki zależne (np. zgodnie z MSR 27), czy pojęcie to ma być rozumiane inaczej, np. odwołując się do definicji podmiotów powiązanych z przepisów o podatku dochodowym?”.</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Crido Taxand R. Namysłowski i Wspólnicy</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nd.</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uwzględniona.</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Zrezygnowano z proponowanej wstępnie definicji skonsolidowanej grupy do celów </w:t>
            </w:r>
            <w:r w:rsidRPr="00721620">
              <w:rPr>
                <w:rFonts w:ascii="Times New Roman" w:eastAsia="Times New Roman" w:hAnsi="Times New Roman" w:cs="Times New Roman"/>
                <w:sz w:val="24"/>
                <w:szCs w:val="24"/>
                <w:lang w:val="pl-PL"/>
              </w:rPr>
              <w:lastRenderedPageBreak/>
              <w:t>rachunkowości cyfrowej.</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20.</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13</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„W porównaniu do DST w innych krajach, projekt Ustawy zakłada (...) [że] użytkownikiem korzystającym z interfejsów cyfrowych jest wyłącznie osoba fizyczna (podczas gdy w innych krajach również osoby prawne)”.</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„Dlaczego użytkownik zdefiniowany jest tylko jako osoba fizyczna? Jest szereg interfejsów i kampanii reklamowych skierowanych do przedsiębiorstw, w relacjach B2B. Zawężenie definicji do osoby fizycznej może być uznane za dyskryminujące. Ponadto DST w innych krajach definiują użytkownika szerzej”.</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Crido Taxand R. Namysłowski i Wspólnicy</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13</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uwzględniona.</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21.</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13-15</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„Definicje przedstawione w projekcie są bardzo nieprecyzyjne i szczegółowa ich analiza prowadzi do wniosku, że trudno ustalić zakres planowanego opodatkowania. Wielostronny interfejs cyfrowy, którego umożliwienie wykorzystania jest jednym z </w:t>
            </w:r>
            <w:r w:rsidRPr="00721620">
              <w:rPr>
                <w:rFonts w:ascii="Times New Roman" w:eastAsia="Times New Roman" w:hAnsi="Times New Roman" w:cs="Times New Roman"/>
                <w:sz w:val="24"/>
                <w:szCs w:val="24"/>
                <w:lang w:val="pl-PL"/>
              </w:rPr>
              <w:lastRenderedPageBreak/>
              <w:t>rodzajów usług cyfrowych mających podlegać opodatkowaniu w Polsce, jest to interfejs cyfrowy umożliwiający kontakt i interakcję z innymi użytkownikami. Natomiast użytkownikiem jest osoba fizyczna korzystająca z interfejsu cyfrowego będąca odbiorcą opodatkowanej usługi (jakiej usługi? cyfrowej czy każdej innej również?) na terytorium Polski. Wydaje się więc, że użytkownikiem może być tylko ta osoba, która finalnie korzysta z usługi oferowanej za pomocą interfejsu cyfrowego (np. wynajmuje pokój czy korzysta z przewozu), ale już nie osoba, która oferuje wynajem czy możliwość przewiezienia. Tym bardziej, że definicja kampanii z wykorzystaniem reklam profilowanych odnosi się odrębnie do reklamodawcy (czyli zlecającego usługę) jak i użytkownika, który dostarcza dane wygenerowane na podstawie jego interakcji. Zatem potwierdza to, że użytkownik, to niejako „ostateczny konsument””.</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Związek Cyfrowa Polska</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13-15</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uwzględniona częściowo.</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22.</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14</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„Co się dalej tyczy kwestii ustalenia zakresu przedmiotowego Projektu ustawy, PIKE ocenia go jako zbyt szeroki oraz miejscami niewystarczająco precyzyjnie określony. Dookreślenia wymagałaby przede wszystkim definicja „wielostronnego interfejsu cyfrowego””.</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Polska Izba Komunikacji Elektronicznej</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 pkt 14</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nieuwzględniona.</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W ocenie projektodawcy definicja wielostronnego interfejsu cyfrowego nie wymaga dalszego doprecyzowania.</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23.</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Art. 2 pkt </w:t>
            </w:r>
            <w:r w:rsidRPr="00721620">
              <w:rPr>
                <w:rFonts w:ascii="Times New Roman" w:eastAsia="Times New Roman" w:hAnsi="Times New Roman" w:cs="Times New Roman"/>
                <w:sz w:val="24"/>
                <w:szCs w:val="24"/>
                <w:lang w:val="pl-PL"/>
              </w:rPr>
              <w:lastRenderedPageBreak/>
              <w:t>15</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 xml:space="preserve">„Niejasnym jest co należy rozumieć pod </w:t>
            </w:r>
            <w:r w:rsidRPr="00721620">
              <w:rPr>
                <w:rFonts w:ascii="Times New Roman" w:eastAsia="Times New Roman" w:hAnsi="Times New Roman" w:cs="Times New Roman"/>
                <w:sz w:val="24"/>
                <w:szCs w:val="24"/>
                <w:lang w:val="pl-PL"/>
              </w:rPr>
              <w:lastRenderedPageBreak/>
              <w:t>pojęciem „finalizowanie transakcji”. Czy chodzi o zawarcie o transakcji? Czy mowa o transakcjach zawieranych pomiędzy użytkownikami a przedsiębiorstwami, które potencjalnie będą podatnikiem w rozumieniu Ustawy, czy również transakcje w relacji użytkownik-użytkownik?”.</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 xml:space="preserve">Crido Taxand </w:t>
            </w:r>
            <w:r w:rsidRPr="00721620">
              <w:rPr>
                <w:rFonts w:ascii="Times New Roman" w:eastAsia="Times New Roman" w:hAnsi="Times New Roman" w:cs="Times New Roman"/>
                <w:sz w:val="24"/>
                <w:szCs w:val="24"/>
                <w:lang w:val="pl-PL"/>
              </w:rPr>
              <w:lastRenderedPageBreak/>
              <w:t>R. Namysłowski i Wspólnicy</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 xml:space="preserve">Art. 2 pkt </w:t>
            </w:r>
            <w:r w:rsidRPr="00721620">
              <w:rPr>
                <w:rFonts w:ascii="Times New Roman" w:eastAsia="Times New Roman" w:hAnsi="Times New Roman" w:cs="Times New Roman"/>
                <w:sz w:val="24"/>
                <w:szCs w:val="24"/>
                <w:lang w:val="pl-PL"/>
              </w:rPr>
              <w:lastRenderedPageBreak/>
              <w:t>15</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lastRenderedPageBreak/>
              <w:t>Uwaga niezasadna.</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Uwagę należy uznać za niezrozumiałą w kontekście pełnego brzmienia projektowanego przepisu (zarówno w wersji roboczej projektu przekazanej do konsultacji jak i zawartej w przedłożonym projekcie), w którym mowa jest o „finalizowaniu transakcji dokonywanych pomiędzy użytkownikami wielostronnego interfejsu cyfrowego polegających na wymianie usług lub dóbr”.</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24.</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„przedstawiony w art. 2 Projektu słowniczek ustawowy w wielu przypadkach posługuje się pojęciami niewystarczająco precyzyjnymi. Przykładowo, nieprecyzyjnie określone są między innymi definicje kampanii z wykorzystaniem reklam profilowanych (możliwość zaliczenia do tego grona usług świadczonych przez platformy pośredniczące) oraz użytkowników (zbyt wąskie określenie jako osób będących odbiorcami opodatkowanej usługi – w wielu przypadkach bowiem osoby, którym wyświetlane są reklamy, nie są odbiorcami żadnej usługi)”.</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Związek Pracodawców Branży Internetowej IAB Polska</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2</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uwzględniona.</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25.</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3</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„czy np. podatek ma dotyczyć firm streamingowych i dostarczających treści </w:t>
            </w:r>
            <w:r w:rsidRPr="00721620">
              <w:rPr>
                <w:rFonts w:ascii="Times New Roman" w:eastAsia="Times New Roman" w:hAnsi="Times New Roman" w:cs="Times New Roman"/>
                <w:sz w:val="24"/>
                <w:szCs w:val="24"/>
                <w:lang w:val="pl-PL"/>
              </w:rPr>
              <w:lastRenderedPageBreak/>
              <w:t>VoD, czy nie, a jeśli nie - to z jakich powodów”</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Związek Cyfrowa Polska</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3</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wyjaśniona.</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Projektowany podatek nie </w:t>
            </w:r>
            <w:r w:rsidRPr="00721620">
              <w:rPr>
                <w:rFonts w:ascii="Times New Roman" w:eastAsia="Times New Roman" w:hAnsi="Times New Roman" w:cs="Times New Roman"/>
                <w:sz w:val="24"/>
                <w:szCs w:val="24"/>
                <w:lang w:val="pl-PL"/>
              </w:rPr>
              <w:lastRenderedPageBreak/>
              <w:t xml:space="preserve">dotyczy większości usług typu VoD, co zostało wskazane wprost w treści projektu (art. 3 ust. 2 pkt 5 projektu ustawy / art. 3 ust. 2 pkt 4 jego wersji roboczej). Podatek od niektórych usług cyfrowych dotyczyć będzie jedynie tych platform streamingowych, które swoją działalność opierają na umożliwianiu wykorzystywania wielostronnego interfejsu cyfrowego lub prowadzeniu kampanii z wykorzystaniem reklam profilowanych. Należy przy tym zwrócić uwagę, że od dnia 1 lipca 2020 r. na podmioty dostarczające audiowizualne usługi medialne na żądanie nałożono obowiązek wpłaty na rzecz Polskiego Instytutu Sztuki Filmowej 1,5% przychodu uzyskanego z tytułu opłat za dostęp do udostępnianych publicznie audiowizualnych usług medialnych na żądanie albo przychodu uzyskanego z tytułu emisji przekazów handlowych (przepisy wprowadzone ustawą z dnia 14 maja 2020 r. o zmianie niektórych ustaw w zakresie działań osłonowych w związku z </w:t>
            </w:r>
            <w:r w:rsidRPr="00721620">
              <w:rPr>
                <w:rFonts w:ascii="Times New Roman" w:eastAsia="Times New Roman" w:hAnsi="Times New Roman" w:cs="Times New Roman"/>
                <w:sz w:val="24"/>
                <w:szCs w:val="24"/>
                <w:lang w:val="pl-PL"/>
              </w:rPr>
              <w:lastRenderedPageBreak/>
              <w:t xml:space="preserve">rozprzestrzenianiem się wirusa SARS-CoV-2 (Dz. U. z 2020 r. poz. 875)). </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26.</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3 ust. 1</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„W porównaniu do DST w innych krajach, projekt Ustawy zakłada (...) nieuwzględnienie (w przeciwieństwie do innych krajów) jako przedmiot opodatkowania transferu danych cyfrowych użytkowników (danych gromadzonych nt. użytkowników wygenerowanych poprzez ich aktywność w interfejsach cyfrowych)”.</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„DST innych krajów europejskich wskazują również na trzeci element / usługę będącą przedmiotem opodatkowania: przesyłanie / transmisję danych od użytkowników i wygenerowanych w wyniku zastosowania interfejsu cyfrowego. Czy w przepisach polskich trzecia grupa usług została celowo wyłączona z przedmiotu opodatkowania?”.</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Crido Taxand R. Namysłowski i Wspólnicy</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3 ust. 1 pkt 3</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uwzględniona.</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Katalog usług cyfrowych podlegających opodatkowaniu został poszerzony o przekazywanie zgromadzonych danych o użytkownikach, wygenerowanych w wyniku aktywności użytkowników na interfejsach cyfrowych.</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27.</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3 ust. 2</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„Należałoby rozszerzyć / doprecyzować katalog usług (działań), które nie stanowią przedmiotu opodatkowania m.in. o:</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1) Bezpośrednią dostawę towarów i usług, w związku z cyfrową usługą maklerską</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2) Dostarczanie towarów lub usług zamówionych za pośrednictwem strony internetowej dostawcy towarów lub usługodawcy, gdy dostawca lub usługodawca nie pełni funkcji pośrednika </w:t>
            </w:r>
            <w:r w:rsidRPr="00721620">
              <w:rPr>
                <w:rFonts w:ascii="Times New Roman" w:eastAsia="Times New Roman" w:hAnsi="Times New Roman" w:cs="Times New Roman"/>
                <w:sz w:val="24"/>
                <w:szCs w:val="24"/>
                <w:lang w:val="pl-PL"/>
              </w:rPr>
              <w:lastRenderedPageBreak/>
              <w:t>(ale ma własną stronę internetową, która spełnia definicję interfejsu cyfrowego)</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3) Udostępnianie interfejsu cyfrowego wykorzystywanego do świadczenia określonych rodzajów regulowanych usług finansowych przez instytucje finansowe;</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4) Prowadzenie, organizacja i zarządzanie platformami cyfrowymi do wymiany energii elektrycznej, gazu, certyfikatów energetycznych, a także przesyłanie związanych z tym danym”.</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Crido Taxand R. Namysłowski i Wspólnicy</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3 ust. 2 pkt 3</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uwzględniona częściowo.</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Uwaga uwzględniona w zakresie pkt 2.</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28.</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4 ust. 1</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„Przewidziano, że miejscem świadczenia usług jest miejsce, w którym znajduje się urządzenie, za pomocą którego użytkownik korzysta z oprogramowania i jeśli takie miejsce znajduje się w Polsce, to skonsolidowane przychody podatnika (znów brakuje wyjaśnienia, co znaczą dokładnie skonsolidowane przychody) z tytułu usług (jakich usług? czy wszystkich innych? - nie zostało to zdefiniowane) podlegają opodatkowaniu w Polsce. Powstaje wątpliwość, jak przypisać odpowiednią część przychodów do urządzenia położonego w Polsce, skoro użytkownicy mogą zmieniać miejsca zamieszkania / pobytu w dowolnej częstotliwości wraz z urządzeniem, a kwoty przypadające na użytkowników „polskich” mogą być zagregowane”.</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Związek Cyfrowa Polska</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4 ust. 1</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przyjęta.</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29.</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Art. 4 ust. 1 </w:t>
            </w:r>
            <w:r w:rsidRPr="00721620">
              <w:rPr>
                <w:rFonts w:ascii="Times New Roman" w:eastAsia="Times New Roman" w:hAnsi="Times New Roman" w:cs="Times New Roman"/>
                <w:sz w:val="24"/>
                <w:szCs w:val="24"/>
                <w:lang w:val="pl-PL"/>
              </w:rPr>
              <w:lastRenderedPageBreak/>
              <w:t>pkt 1</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 xml:space="preserve">„Należy doprecyzować, czy w art. 4 ust. 1 </w:t>
            </w:r>
            <w:r w:rsidRPr="00721620">
              <w:rPr>
                <w:rFonts w:ascii="Times New Roman" w:eastAsia="Times New Roman" w:hAnsi="Times New Roman" w:cs="Times New Roman"/>
                <w:sz w:val="24"/>
                <w:szCs w:val="24"/>
                <w:lang w:val="pl-PL"/>
              </w:rPr>
              <w:lastRenderedPageBreak/>
              <w:t>Pkt 1) Ustawy mowa jest o interfejsie cyfrowym użytkownika? Obecnie wskazany jest tylko interfejs użytkownika – sformułowanie nieprecyzyjne”.</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 xml:space="preserve">Crido Taxand </w:t>
            </w:r>
            <w:r w:rsidRPr="00721620">
              <w:rPr>
                <w:rFonts w:ascii="Times New Roman" w:eastAsia="Times New Roman" w:hAnsi="Times New Roman" w:cs="Times New Roman"/>
                <w:sz w:val="24"/>
                <w:szCs w:val="24"/>
                <w:lang w:val="pl-PL"/>
              </w:rPr>
              <w:lastRenderedPageBreak/>
              <w:t>R. Namysłowski i Wspólnicy</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 xml:space="preserve">Art. 4 ust. 1 </w:t>
            </w:r>
            <w:r w:rsidRPr="00721620">
              <w:rPr>
                <w:rFonts w:ascii="Times New Roman" w:eastAsia="Times New Roman" w:hAnsi="Times New Roman" w:cs="Times New Roman"/>
                <w:sz w:val="24"/>
                <w:szCs w:val="24"/>
                <w:lang w:val="pl-PL"/>
              </w:rPr>
              <w:lastRenderedPageBreak/>
              <w:t>pkt 1</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lastRenderedPageBreak/>
              <w:t>Uwaga uwzględniona.</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30.</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4</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„Proponowana w art. 4 koncepcja miejsca opodatkowania oparta o faktyczną obecność użytkowników korzystających z usług cyfrowych wiąże się z trudnościami praktycznymi – konieczność lokalizacji użytkowników nie tylko może być utrudniona mobilnością, ale przede wszystkim wiąże się z nowym obciążeniem administracyjnym i koniecznością poniesienia dodatkowych kosztów administracyjnych”.</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Związek Pracodawców Branży Internetowej IAB Polska</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4</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przyjęta.</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31.</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5</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„PIKE apeluje o bardziej precyzyjne określenie zakresu podmiotowego projektowanej regulacji, w szczególności w sposób chroniący polskich przedsiębiorców, w tym telekomunikacyjnych, przed ich ewentualnym objęciem nowymi przepisami podatkowymi. Zgodnie z aktualnym brzmieniem Projektu ustawy, podatkiem od niektórych usług cyfrowych obciążone zostaną przedsiębiorstwa z sektora cyfrowego świadczące usługi polegające na prowadzeniu kampanii z wykorzystaniem reklam profilowanych oraz usługi umożliwiające wykorzystywanie wielostronnego interfejsu cyfrowego. Tak określony zakres podmiotowy w żaden </w:t>
            </w:r>
            <w:r w:rsidRPr="00721620">
              <w:rPr>
                <w:rFonts w:ascii="Times New Roman" w:eastAsia="Times New Roman" w:hAnsi="Times New Roman" w:cs="Times New Roman"/>
                <w:sz w:val="24"/>
                <w:szCs w:val="24"/>
                <w:lang w:val="pl-PL"/>
              </w:rPr>
              <w:lastRenderedPageBreak/>
              <w:t>sposób nie wyklucza zastosowania nowego opodatkowania wobec polskich przedsiębiorców telekomunikacyjnych”.</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„dookreślenie zakresu podmiotowego, w sposób gwarantujący polskim przedsiębiorcom niestosowanie wobec nich nowych regulacji podatkowych. W tym aspekcie dookreślenia wymaga przede wszystkim zwolnienie zawarte w art. 5 ust. 2 pkt 1 Projektu ustawy. Należy w nim doprecyzować, że zwolnienie z podatku dotyczy podmiotów, które przychód na poziomie niższym niż 750 mln euro osiągnęły zarówno w skali światowej jak i w całości w Polsce. Ponadto, postuluje się o dodatkowe zwolnienie z podatku także wszystkich tych przedsiębiorców, którzy rozliczają swój przychód z działalności w Polsce”.</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Polska Izba Komunikacji Elektronicznej</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5</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niezasadna.</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Wykluczenie objęcia podatkiem polskich przedsiębiorców byłoby w ocenie projektodawcy m.in. niezgodne z przepisami Traktatu o Funkcjonowaniu Unii Europejskiej. Należy przy tym zwrócić jednak uwagę, że ze wstępnej analizy projektodawcy wynika, że ze względu na zaproponowany w projekcie ustawy zakres podmiotowy regulacji dot. podatku od niektórych usług cyfrowych, rodzimi przedsiębiorcy nie będą – przynajmniej w najbliższych </w:t>
            </w:r>
            <w:r w:rsidRPr="00721620">
              <w:rPr>
                <w:rFonts w:ascii="Times New Roman" w:eastAsia="Times New Roman" w:hAnsi="Times New Roman" w:cs="Times New Roman"/>
                <w:sz w:val="24"/>
                <w:szCs w:val="24"/>
                <w:lang w:val="pl-PL"/>
              </w:rPr>
              <w:lastRenderedPageBreak/>
              <w:t>latach – podatnikami tego podatku.</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32.</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5</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IAB: „Duże wątpliwości budzą kryteria podlegania opodatkowaniu podatkiem od niektórych usług cyfrowych. Próg 750 mln EUR przychodów powoduje, że regulacja jest w praktyce wymierzona jedynie w kilka największych podmiotów internetowych, co może zostać uznane za dyskryminujące, gdyż wymierzone w konkretne firmy, które działając na danym rynku niejednokrotnie ściśle współpracują z lokalnymi małymi podmiotami i startupami”.</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Crido: „Zagrożenia jakie niesie ze sobą wprowadzenie podatku to (...) [m.in.] dyskryminacyjny charakter podatku – nałożenie podatku na wąską grupę usług”.</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Związek Pracodawców Branży Internetowej IAB Polska, Crido Taxand R. Namysłowski i Wspólnicy</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5</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Uwagi niezasadna.</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Projektowany podatek ma  w istocie dotyczyć grupy największych przedsiębiorstw sektora cyfrowego, co wiąże się m.in. z antymonopolowym charakterem regulacji. Kryterium przychodowe jest już  stosowane w przypadku innych podatków (np. podatku od sprzedaży detalicznej) i nie sposób uznać, że jest ono </w:t>
            </w:r>
            <w:r w:rsidRPr="00721620">
              <w:rPr>
                <w:rFonts w:ascii="Times New Roman" w:eastAsia="Times New Roman" w:hAnsi="Times New Roman" w:cs="Times New Roman"/>
                <w:sz w:val="24"/>
                <w:szCs w:val="24"/>
                <w:lang w:val="pl-PL"/>
              </w:rPr>
              <w:lastRenderedPageBreak/>
              <w:t>dyskryminacyjne.</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33.</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5</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Lewiatan: „Wstępna analiza projektu wykazała, że objęte nim nie będą wyłącznie cyfrowe giganty, ale także mniejsze krajowe przedsiębiorstwa technologiczne”.</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PIIT: „Wstępna analiza projektu wykazała, że objęte nim nie będą wyłącznie cyfrowe giganty, ale także mniejsze krajowe przedsiębiorstwa technologiczne, szkodząc konkurencyjności polskiego rynku IT”.</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Konfederacja Lewiatan, Polska Izba Informatyki i Telekomunikacji</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5</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Uwagi niezasadne.</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Przyjęte w projektowanym rozwiązaniu kryterium przychodowe (wymóg jednoczesnego spełnienia warunków 1. przychodu przekraczającego 750 mln euro w skali globalnej; 2. przychodu przekraczającego 4 mln euro w Polsce) oznacza, że „mniejsze krajowe przedsiębiorstwa technologiczne” z całą pewnością nie będą podatnikami podatku od niektórych usług cyfrowych. Dodatkowo należy zauważyć, że projektowany podatek – ze względu na swój antymonopolowy charakter – nie tylko nie będzie szkodzić konkurencyjności polskiego rynku IT, ale przeciwnie: będzie ją umacniać.</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34.</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5</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„Kluczowe jest też doprecyzowanie sytuacji, w której więcej niż jeden podmiot z grupy kapitałowej realizuje usługi będące przedmiotem opodatkowania – wskazanie, kto jest podatnikiem w takiej sytuacji”.</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Crido Taxand R. Namysłowski i Wspólnicy</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5 w związku z art. 2 pkt 9</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przyjęta.</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35.</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5 ust. 1</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ZCP: „Art. 5 wprowadza definicję płatnika. Zakładamy, że jest to oczywisty błąd, gdyż ustawa nie posługuje się dalej pojęciem płatnika, tylko podatnika”.</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IAB: „Bardzo istotne wątpliwości budzi brak zdefiniowania w Projekcie, kto miałby być podatnikiem zaproponowanego podatku od niektórych usług cyfrowych. W art. 5 mowa bowiem jedynie o płatniku projektowanego podatku”.</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Crido: „Kluczowe dla realizacji obowiązków  wynikających z Ustawy jest (...) określenie kto jest podatnikiem podatku – Ustawa obecnie nie określa wprost, kto jest podatnikiem podatku. W sposób nieprecyzyjny wskazuje płatnika, by następnie odwołać się do podatnika”.</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Związek Cyfrowa Polska, Związek Pracodawców Branży Internetowej IAB Polska, Crido Taxand R. Namysłowski i Wspólnicy</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5 ust. 1</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Uwagi uwzględnione.</w:t>
            </w:r>
            <w:r w:rsidRPr="00721620">
              <w:rPr>
                <w:rFonts w:ascii="Times New Roman" w:eastAsia="Times New Roman" w:hAnsi="Times New Roman" w:cs="Times New Roman"/>
                <w:sz w:val="24"/>
                <w:szCs w:val="24"/>
                <w:lang w:val="pl-PL"/>
              </w:rPr>
              <w:t xml:space="preserve"> </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Jak zauważyli opiniodawcy – jednorazowe użycie pojęcia „płatnik” było oczywistym i wymagającym naprawy błędem.</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36.</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5 ust. 2 pkt 1</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„Ponadto, brakuje definicji skonsolidowanego przychodu brutto, który jest podstawą do zwolnienia określonej wysokości przychodów”.</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Związek Cyfrowa Polska</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5 ust. 2 pkt 2</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nieuwzględniona.</w:t>
            </w:r>
            <w:r w:rsidRPr="00721620">
              <w:rPr>
                <w:rFonts w:ascii="Times New Roman" w:eastAsia="Times New Roman" w:hAnsi="Times New Roman" w:cs="Times New Roman"/>
                <w:b/>
                <w:sz w:val="24"/>
                <w:szCs w:val="24"/>
                <w:lang w:val="pl-PL"/>
              </w:rPr>
              <w:br/>
            </w:r>
            <w:r w:rsidRPr="00721620">
              <w:rPr>
                <w:rFonts w:ascii="Times New Roman" w:eastAsia="Times New Roman" w:hAnsi="Times New Roman" w:cs="Times New Roman"/>
                <w:sz w:val="24"/>
                <w:szCs w:val="24"/>
                <w:lang w:val="pl-PL"/>
              </w:rPr>
              <w:t>W opinii projektodawcy nie jest jasne, czy – w związku z § 146 Zasad techniki prawodawczej – istnieje potrzeba sformułowania definicji skonsolidowanego przychodu brutto. Możliwość dodania takiej definicji warto jednak rozważyć na etapie prac sejmowych.</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37.</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7</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„Zawarte w art. 7 Projektu stwierdzenie „w części odpowiadającej świadczeniu usług na </w:t>
            </w:r>
            <w:r w:rsidRPr="00721620">
              <w:rPr>
                <w:rFonts w:ascii="Times New Roman" w:eastAsia="Times New Roman" w:hAnsi="Times New Roman" w:cs="Times New Roman"/>
                <w:sz w:val="24"/>
                <w:szCs w:val="24"/>
                <w:lang w:val="pl-PL"/>
              </w:rPr>
              <w:lastRenderedPageBreak/>
              <w:t>terytorium Rzeczpospolitej Polskiej” może rodzić szereg problemów z jego właściwym rozumieniem, co będzie powodowało znaczące trudności z określeniem podstawy proponowanego podatku od niektórych usług cyfrowych”.</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 xml:space="preserve">Związek Pracodawców </w:t>
            </w:r>
            <w:r w:rsidRPr="00721620">
              <w:rPr>
                <w:rFonts w:ascii="Times New Roman" w:eastAsia="Times New Roman" w:hAnsi="Times New Roman" w:cs="Times New Roman"/>
                <w:sz w:val="24"/>
                <w:szCs w:val="24"/>
                <w:lang w:val="pl-PL"/>
              </w:rPr>
              <w:lastRenderedPageBreak/>
              <w:t>Branży Internetowej IAB Polska</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Art. 5 ust. 3</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przyjęta.</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38.</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7 i 8</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„Ponadto, określone w Projekcie ustawy podstawa opodatkowania oraz stawka podatku na poziomie 7% są nieproporcjonalne”.</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Polska Izba Komunikacji Elektronicznej</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7 i 9</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przyjęta.</w:t>
            </w:r>
            <w:r w:rsidRPr="00721620">
              <w:rPr>
                <w:rFonts w:ascii="Times New Roman" w:eastAsia="Times New Roman" w:hAnsi="Times New Roman" w:cs="Times New Roman"/>
                <w:b/>
                <w:sz w:val="24"/>
                <w:szCs w:val="24"/>
                <w:lang w:val="pl-PL"/>
              </w:rPr>
              <w:br/>
            </w:r>
            <w:r w:rsidRPr="00721620">
              <w:rPr>
                <w:rFonts w:ascii="Times New Roman" w:eastAsia="Times New Roman" w:hAnsi="Times New Roman" w:cs="Times New Roman"/>
                <w:sz w:val="24"/>
                <w:szCs w:val="24"/>
                <w:lang w:val="pl-PL"/>
              </w:rPr>
              <w:t xml:space="preserve">Jak wskazano w raporcie </w:t>
            </w:r>
            <w:r w:rsidRPr="00721620">
              <w:rPr>
                <w:rFonts w:ascii="Times New Roman" w:eastAsia="Times New Roman" w:hAnsi="Times New Roman" w:cs="Times New Roman"/>
                <w:i/>
                <w:sz w:val="24"/>
                <w:szCs w:val="24"/>
                <w:lang w:val="pl-PL"/>
              </w:rPr>
              <w:t>Podatek od cyfrowych gigantów. Ekspertyza w zakresie wprowadzenia w Polsce podatku cyfrowego (DST):</w:t>
            </w:r>
            <w:r w:rsidRPr="00721620">
              <w:rPr>
                <w:rFonts w:ascii="Times New Roman" w:eastAsia="Times New Roman" w:hAnsi="Times New Roman" w:cs="Times New Roman"/>
                <w:sz w:val="24"/>
                <w:szCs w:val="24"/>
                <w:lang w:val="pl-PL"/>
              </w:rPr>
              <w:t xml:space="preserve"> „Większość dużych firm na rynku cyfrowym ma marżę operacyjną na poziomie 25-70%, czyli od bardzo wysokiej do zupełnie niespotykanej w innych sektorach gospodarki (przeciętne marże operacyjne wynoszą od kilku do kilkunastu procent). Gdyby platforma deklarowała wszystkie przychody zgodnie ze stanem rzeczywistym, polski podatek CIT w wysokości 19% dla marży operacyjnej 40% (jak np. Facebooka) efektywnie obciążałby firmę w takim stopniu jak obrotowy podatek cyfrowy o stawce 7,6%” (s. 12). W związku z tym zaproponowana stawka podatku nie jest w ocenie projektodawcy </w:t>
            </w:r>
            <w:r w:rsidRPr="00721620">
              <w:rPr>
                <w:rFonts w:ascii="Times New Roman" w:eastAsia="Times New Roman" w:hAnsi="Times New Roman" w:cs="Times New Roman"/>
                <w:sz w:val="24"/>
                <w:szCs w:val="24"/>
                <w:lang w:val="pl-PL"/>
              </w:rPr>
              <w:lastRenderedPageBreak/>
              <w:t>nieproporcjonalna.</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39.</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8</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„Opodatkowanie według stawki 7% przychodów może zatem przekładać się na różny rzeczywisty ciężar ekonomiczny w zależności od rodzaju prowadzonej działalności i jej rentowności”.</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„nie do zaakceptowania jest wysokość stawki proponowanego podatku od niektórych usług cyfrowych (7%)”</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„Tak wysoko określona stawka podatku może mieć bardzo negatywny wpływ na dalszy rozwój rynku cyfrowego w Polsce oraz ograniczenie dostępu do niego”.</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Związek Pracodawców Branży Internetowej IAB Polska</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9</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przyjęta.</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Por. stanowisko wobec uwagi nr 38.</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40.</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9</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IAB: „W Projekcie nie wskazano kluczowej kwestii jaką jest okres za jaki należałoby składać deklaracje podatkowe oraz dokonywać obliczenia i wpłaty podatku od niektórych usług cyfrowych”.</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Crido: „Kluczowe dla realizacji obowiązków  wynikających z Ustawy jest (...) określenie czasu i trybu poboru podatku – Ustawa nie precyzuje trybu i terminów poboru podatku, czy będzie on wpłacany zaliczkowo, okresowo (miesięcznie / kwartalnie) czy dopiero w momencie, gdy suma przychodów zostanie przekroczona minimalny próg 4 mln euro. Czy podatek będzie pobierany dopiero po zakończeniu </w:t>
            </w:r>
            <w:r w:rsidRPr="00721620">
              <w:rPr>
                <w:rFonts w:ascii="Times New Roman" w:eastAsia="Times New Roman" w:hAnsi="Times New Roman" w:cs="Times New Roman"/>
                <w:sz w:val="24"/>
                <w:szCs w:val="24"/>
                <w:lang w:val="pl-PL"/>
              </w:rPr>
              <w:lastRenderedPageBreak/>
              <w:t>roku, a jeśli tak to jaki będzie termin złożenia deklaracji i zapłaty podatku”.</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Związek Pracodawców Branży Internetowej IAB Polska, Crido Taxand R. Namysłowski i Wspólnicy</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10 ust. 1 w związku z art. 2 pkt 7</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Uwagi uwzględnione.</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41.</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11</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„IAB Polska krytycznie ocenia zaproponowane rozwiązanie polegające na wprowadzeniu obowiązku ustanowienia przedstawiciela podatkowego, do którego odpowiednie zastosowanie miałyby przepisy ustawy z 11 marca 2004 r. o podatku od towarów i usług (Dz. U. z 2020 r. poz. 106) dla wszystkich podmiotów nieposiadających siedziby na terytorium Polski z uwagi na trudności związane z tym rozwiązaniem obserwowane na gruncie podatku od towarów i usług (nieograniczona odpowiedzialność przedstawiciela podatkowego za zobowiązania podatnika)”.</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Związek Pracodawców Branży Internetowej IAB Polska</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12 ust. 1</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przyjęta.</w:t>
            </w:r>
          </w:p>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Projektodawca podziela zastrzeżenia IAB Polska co do trudności związanych z funkcjonowaniem przedstawicieli podatkowych.</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42.</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12</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12 przewiduje wadliwe odesłanie do Ordynacji podatkowej „w sprawach procedury podatkowej”. Pojęcie „procedury podatkowej” nie jest zdefiniowane w polskim prawie podatkowym”.</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Związek Cyfrowa Polska</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13</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uwzględniona.</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43.</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13 ust. 2 i art. 15 ust.  1</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„PIKE pragnie odnieść się także do propozycji utworzenia Funduszu Technologii Cyfrowych finansującego OSE oraz działalność naukową. W tym zakresie PIKE poddaje Państwa rozważeniu dwa dodatkowe cele, na które Izba postuluje przeznaczanie środków finansowych zgormadzonych w Funduszu. Po pierwsze, zasadne byłoby rozszerzenie przeznaczenia </w:t>
            </w:r>
            <w:r w:rsidRPr="00721620">
              <w:rPr>
                <w:rFonts w:ascii="Times New Roman" w:eastAsia="Times New Roman" w:hAnsi="Times New Roman" w:cs="Times New Roman"/>
                <w:sz w:val="24"/>
                <w:szCs w:val="24"/>
                <w:lang w:val="pl-PL"/>
              </w:rPr>
              <w:lastRenderedPageBreak/>
              <w:t>środków tego funduszu także na pokrywanie kosztów, które ponosić będą operatorzy telekomunikacyjni w wyniku udostępniania swojej infrastruktury innym podmiotom, które świadczyć będą kolejno usługi dostępu do darmowego Internetu. Drugim elementem, o który można byłoby uzupełnić tę część jest finansowanie mediów lokalnych”.</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lastRenderedPageBreak/>
              <w:t>Polska Izba Komunikacji Elektronicznej</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16 ust. 2 i art. 18 ust. 1</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b/>
                <w:sz w:val="24"/>
                <w:szCs w:val="24"/>
                <w:lang w:val="pl-PL"/>
              </w:rPr>
              <w:t>Uwaga nieuwzględniona.</w:t>
            </w:r>
          </w:p>
          <w:p w:rsidR="002E36CD" w:rsidRPr="00721620" w:rsidRDefault="002E36CD" w:rsidP="00CA0E34">
            <w:pPr>
              <w:widowControl w:val="0"/>
              <w:spacing w:line="240" w:lineRule="auto"/>
              <w:jc w:val="both"/>
              <w:rPr>
                <w:rFonts w:ascii="Times New Roman" w:eastAsia="Times New Roman" w:hAnsi="Times New Roman" w:cs="Times New Roman"/>
                <w:b/>
                <w:sz w:val="24"/>
                <w:szCs w:val="24"/>
                <w:lang w:val="pl-PL"/>
              </w:rPr>
            </w:pPr>
            <w:r w:rsidRPr="00721620">
              <w:rPr>
                <w:rFonts w:ascii="Times New Roman" w:eastAsia="Times New Roman" w:hAnsi="Times New Roman" w:cs="Times New Roman"/>
                <w:sz w:val="24"/>
                <w:szCs w:val="24"/>
                <w:lang w:val="pl-PL"/>
              </w:rPr>
              <w:t>Przedstawiona przez opiniodawcę propozycja nie została uwzględniona w ostatecznej wersji projektu ustawy, zasługuje jednak na rozważenie np. na etapie prac sejmowych.</w:t>
            </w:r>
          </w:p>
        </w:tc>
      </w:tr>
      <w:tr w:rsidR="002E36CD" w:rsidRPr="00721620" w:rsidTr="00CA0E34">
        <w:trPr>
          <w:jc w:val="center"/>
        </w:trPr>
        <w:tc>
          <w:tcPr>
            <w:tcW w:w="64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44.</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15 ust. 2</w:t>
            </w:r>
          </w:p>
        </w:tc>
        <w:tc>
          <w:tcPr>
            <w:tcW w:w="4455"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„Zgadzamy się z propozycją, aby wpływy z podatku cyfrowego zagwarantowały finansowanie ważnych celów o charakterze rozwojowym. Proponujemy jednak, aby powołany w tym celu państwowy fundusz celowy tj Fundusz Technologii Cyfrowych zapewnił finansowanie nie tylko działalności naukowej w zakresie nauk technicznych i matematycznych, ale także społecznych, humanistycznych i przyrodniczych”.</w:t>
            </w:r>
          </w:p>
        </w:tc>
        <w:tc>
          <w:tcPr>
            <w:tcW w:w="1740" w:type="dxa"/>
            <w:shd w:val="clear" w:color="auto" w:fill="auto"/>
            <w:tcMar>
              <w:top w:w="100" w:type="dxa"/>
              <w:left w:w="100" w:type="dxa"/>
              <w:bottom w:w="100" w:type="dxa"/>
              <w:right w:w="100" w:type="dxa"/>
            </w:tcMar>
          </w:tcPr>
          <w:p w:rsidR="002E36CD" w:rsidRPr="00721620" w:rsidRDefault="002E36CD" w:rsidP="00CA0E34">
            <w:pPr>
              <w:widowControl w:val="0"/>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Ogólnopolskie Porozumienie Związków Zawodowych</w:t>
            </w:r>
          </w:p>
        </w:tc>
        <w:tc>
          <w:tcPr>
            <w:tcW w:w="138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Art. 18 ust. 2</w:t>
            </w:r>
          </w:p>
        </w:tc>
        <w:tc>
          <w:tcPr>
            <w:tcW w:w="3360" w:type="dxa"/>
            <w:shd w:val="clear" w:color="auto" w:fill="auto"/>
            <w:tcMar>
              <w:top w:w="100" w:type="dxa"/>
              <w:left w:w="100" w:type="dxa"/>
              <w:bottom w:w="100" w:type="dxa"/>
              <w:right w:w="100" w:type="dxa"/>
            </w:tcMar>
          </w:tcPr>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b/>
                <w:sz w:val="24"/>
                <w:szCs w:val="24"/>
                <w:lang w:val="pl-PL"/>
              </w:rPr>
              <w:t>Uwaga uwzględniona częściowo.</w:t>
            </w:r>
          </w:p>
          <w:p w:rsidR="002E36CD" w:rsidRPr="00721620" w:rsidRDefault="002E36CD" w:rsidP="00CA0E34">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lang w:val="pl-PL"/>
              </w:rPr>
            </w:pPr>
            <w:r w:rsidRPr="00721620">
              <w:rPr>
                <w:rFonts w:ascii="Times New Roman" w:eastAsia="Times New Roman" w:hAnsi="Times New Roman" w:cs="Times New Roman"/>
                <w:sz w:val="24"/>
                <w:szCs w:val="24"/>
                <w:lang w:val="pl-PL"/>
              </w:rPr>
              <w:t xml:space="preserve">Wychodząc naprzeciw oczekiwaniom OPZZ, projektodawca proponuje, by ze środków Funduszu finansowano – oprócz wskazanych w roboczej wersji projektu automatyki, elektroniki i elektrotechniki, informatyki technicznej i telekomunikacji, informatyki i matematyki – także działalność naukową w zakresie nauk o bezpieczeństwie, o ile przedmiotem działalności naukowej jest cyberbezpieczeństwo, oraz w zakresie innych dyscyplin naukowych, o ile prowadzona jest ona z wykorzystaniem uczenia maszynowego lub analizy Big Data. Pozwoli to na uwzględnienie m.in. nauk </w:t>
            </w:r>
            <w:r w:rsidRPr="00721620">
              <w:rPr>
                <w:rFonts w:ascii="Times New Roman" w:eastAsia="Times New Roman" w:hAnsi="Times New Roman" w:cs="Times New Roman"/>
                <w:sz w:val="24"/>
                <w:szCs w:val="24"/>
                <w:lang w:val="pl-PL"/>
              </w:rPr>
              <w:lastRenderedPageBreak/>
              <w:t>społecznych, humanistycznych czy przyrodniczych, a jednocześnie przyczyni się do dalszego upowszechnienia wykorzystania technologii cyfrowych.</w:t>
            </w:r>
          </w:p>
        </w:tc>
      </w:tr>
    </w:tbl>
    <w:p w:rsidR="002E36CD" w:rsidRPr="00721620" w:rsidRDefault="002E36CD" w:rsidP="002E36CD">
      <w:pPr>
        <w:jc w:val="both"/>
        <w:rPr>
          <w:rFonts w:ascii="Times New Roman" w:eastAsia="Times New Roman" w:hAnsi="Times New Roman" w:cs="Times New Roman"/>
          <w:b/>
          <w:sz w:val="24"/>
          <w:szCs w:val="24"/>
          <w:lang w:val="pl-PL"/>
        </w:rPr>
      </w:pPr>
    </w:p>
    <w:p w:rsidR="005A3D4A" w:rsidRDefault="005A3D4A" w:rsidP="005A3D4A">
      <w:pPr>
        <w:widowControl w:val="0"/>
        <w:spacing w:line="360" w:lineRule="auto"/>
        <w:jc w:val="both"/>
        <w:rPr>
          <w:rFonts w:ascii="Tahoma" w:eastAsia="Times New Roman" w:hAnsi="Tahoma" w:cs="Tahoma"/>
          <w:sz w:val="24"/>
          <w:szCs w:val="24"/>
          <w:lang w:val="pl-PL"/>
        </w:rPr>
      </w:pPr>
    </w:p>
    <w:sectPr w:rsidR="005A3D4A" w:rsidSect="002E36CD">
      <w:headerReference w:type="default" r:id="rId9"/>
      <w:footerReference w:type="default" r:id="rId10"/>
      <w:pgSz w:w="15840" w:h="12240" w:orient="landscape"/>
      <w:pgMar w:top="1440" w:right="1440" w:bottom="1440" w:left="1440"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69CB" w:rsidRDefault="002569CB">
      <w:pPr>
        <w:spacing w:line="240" w:lineRule="auto"/>
      </w:pPr>
      <w:r>
        <w:separator/>
      </w:r>
    </w:p>
  </w:endnote>
  <w:endnote w:type="continuationSeparator" w:id="0">
    <w:p w:rsidR="002569CB" w:rsidRDefault="002569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Lato">
    <w:altName w:val="Segoe UI"/>
    <w:charset w:val="EE"/>
    <w:family w:val="swiss"/>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D4A" w:rsidRDefault="005A3D4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PAGE</w:instrText>
    </w:r>
    <w:r>
      <w:rPr>
        <w:rFonts w:ascii="Times New Roman" w:eastAsia="Times New Roman" w:hAnsi="Times New Roman" w:cs="Times New Roman"/>
        <w:sz w:val="20"/>
        <w:szCs w:val="20"/>
      </w:rPr>
      <w:fldChar w:fldCharType="separate"/>
    </w:r>
    <w:r w:rsidR="00AC52BB">
      <w:rPr>
        <w:rFonts w:ascii="Times New Roman" w:eastAsia="Times New Roman" w:hAnsi="Times New Roman" w:cs="Times New Roman"/>
        <w:noProof/>
        <w:sz w:val="20"/>
        <w:szCs w:val="20"/>
      </w:rPr>
      <w:t>36</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D4A" w:rsidRDefault="005A3D4A">
    <w:pPr>
      <w:jc w:val="right"/>
    </w:pPr>
    <w:r>
      <w:fldChar w:fldCharType="begin"/>
    </w:r>
    <w:r>
      <w:instrText>PAGE</w:instrTex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ADE" w:rsidRDefault="00AA5B00">
    <w:pPr>
      <w:jc w:val="center"/>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AC52BB">
      <w:rPr>
        <w:rFonts w:ascii="Times New Roman" w:eastAsia="Times New Roman" w:hAnsi="Times New Roman" w:cs="Times New Roman"/>
        <w:noProof/>
      </w:rPr>
      <w:t>73</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69CB" w:rsidRDefault="002569CB">
      <w:pPr>
        <w:spacing w:line="240" w:lineRule="auto"/>
      </w:pPr>
      <w:r>
        <w:separator/>
      </w:r>
    </w:p>
  </w:footnote>
  <w:footnote w:type="continuationSeparator" w:id="0">
    <w:p w:rsidR="002569CB" w:rsidRDefault="002569CB">
      <w:pPr>
        <w:spacing w:line="240" w:lineRule="auto"/>
      </w:pPr>
      <w:r>
        <w:continuationSeparator/>
      </w:r>
    </w:p>
  </w:footnote>
  <w:footnote w:id="1">
    <w:p w:rsidR="005A3D4A" w:rsidRPr="005A3D4A" w:rsidRDefault="005A3D4A">
      <w:pPr>
        <w:spacing w:line="360" w:lineRule="auto"/>
        <w:jc w:val="both"/>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K. Chojecka, S. A. Roy, J. J. Zygmuntowski (2020) </w:t>
      </w:r>
      <w:r w:rsidRPr="005A3D4A">
        <w:rPr>
          <w:rFonts w:ascii="Times New Roman" w:eastAsia="Times New Roman" w:hAnsi="Times New Roman" w:cs="Times New Roman"/>
          <w:i/>
          <w:sz w:val="20"/>
          <w:szCs w:val="20"/>
          <w:lang w:val="pl-PL"/>
        </w:rPr>
        <w:t>Podatek cyfrowy od gigantów. Ekspertyza w zakresie wprowadzenia w Polsce podatku cyfrowego (DST)</w:t>
      </w:r>
      <w:r w:rsidRPr="005A3D4A">
        <w:rPr>
          <w:rFonts w:ascii="Times New Roman" w:eastAsia="Times New Roman" w:hAnsi="Times New Roman" w:cs="Times New Roman"/>
          <w:sz w:val="20"/>
          <w:szCs w:val="20"/>
          <w:lang w:val="pl-PL"/>
        </w:rPr>
        <w:t>, Instrat Policy Paper 02/2020, s. 12, raport dostępny online: https://instrat.pl/podatek-cyfrowy/ [dostęp: 24 września 2020 roku].</w:t>
      </w:r>
    </w:p>
  </w:footnote>
  <w:footnote w:id="2">
    <w:p w:rsidR="005A3D4A" w:rsidRPr="005A3D4A" w:rsidRDefault="005A3D4A" w:rsidP="005A3D4A">
      <w:pPr>
        <w:spacing w:line="360" w:lineRule="auto"/>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Projekt Dyrektywy Rady w sprawie wspólnego systemu podatku od usług cyfrowych pobieranego od przychodów wynikających ze świadczenia niektórych usług cyfrowych:</w:t>
      </w:r>
      <w:r w:rsidRPr="005A3D4A">
        <w:rPr>
          <w:rFonts w:ascii="Times New Roman" w:eastAsia="Times New Roman" w:hAnsi="Times New Roman" w:cs="Times New Roman"/>
          <w:sz w:val="20"/>
          <w:szCs w:val="20"/>
          <w:lang w:val="pl-PL"/>
        </w:rPr>
        <w:br/>
        <w:t>https://eur-lex.europa.eu/legal-content/PL/TXT/PDF/?uri=CELEX:52018PC0148&amp;from=EN [dostęp: 24 września 2020 roku].</w:t>
      </w:r>
    </w:p>
  </w:footnote>
  <w:footnote w:id="3">
    <w:p w:rsidR="005A3D4A" w:rsidRPr="005A3D4A" w:rsidRDefault="005A3D4A" w:rsidP="005A3D4A">
      <w:pPr>
        <w:spacing w:line="360" w:lineRule="auto"/>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Projekt Dyrektywy Rady ustanawiającej przepisy dotyczące opodatkowania osób prawnych, których obecność na</w:t>
      </w:r>
    </w:p>
    <w:p w:rsidR="005A3D4A" w:rsidRPr="005A3D4A" w:rsidRDefault="005A3D4A" w:rsidP="005A3D4A">
      <w:pPr>
        <w:spacing w:line="360" w:lineRule="auto"/>
        <w:rPr>
          <w:rFonts w:ascii="Times New Roman" w:eastAsia="Times New Roman" w:hAnsi="Times New Roman" w:cs="Times New Roman"/>
          <w:sz w:val="20"/>
          <w:szCs w:val="20"/>
          <w:lang w:val="pl-PL"/>
        </w:rPr>
      </w:pPr>
      <w:r w:rsidRPr="005A3D4A">
        <w:rPr>
          <w:rFonts w:ascii="Times New Roman" w:eastAsia="Times New Roman" w:hAnsi="Times New Roman" w:cs="Times New Roman"/>
          <w:sz w:val="20"/>
          <w:szCs w:val="20"/>
          <w:lang w:val="pl-PL"/>
        </w:rPr>
        <w:t>rynku cyfrowym jest znacząca:</w:t>
      </w:r>
      <w:r w:rsidRPr="005A3D4A">
        <w:rPr>
          <w:rFonts w:ascii="Times New Roman" w:eastAsia="Times New Roman" w:hAnsi="Times New Roman" w:cs="Times New Roman"/>
          <w:sz w:val="20"/>
          <w:szCs w:val="20"/>
          <w:lang w:val="pl-PL"/>
        </w:rPr>
        <w:br/>
        <w:t>https://eur-lex.europa.eu/resource.html?uri=cellar:3d33c84c-327b-11e8-b5fe-01aa75ed71a1.0002.02/DOC_1&amp;format=PDF [dostęp: 24 września 2020 roku].</w:t>
      </w:r>
    </w:p>
  </w:footnote>
  <w:footnote w:id="4">
    <w:p w:rsidR="005A3D4A" w:rsidRDefault="005A3D4A" w:rsidP="005A3D4A">
      <w:pPr>
        <w:spacing w:line="36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N. Perrin (2019) </w:t>
      </w:r>
      <w:r>
        <w:rPr>
          <w:rFonts w:ascii="Times New Roman" w:eastAsia="Times New Roman" w:hAnsi="Times New Roman" w:cs="Times New Roman"/>
          <w:i/>
          <w:sz w:val="20"/>
          <w:szCs w:val="20"/>
        </w:rPr>
        <w:t>Facebook-Google Duopoly Won’t Crack This Year</w:t>
      </w:r>
      <w:r>
        <w:rPr>
          <w:rFonts w:ascii="Times New Roman" w:eastAsia="Times New Roman" w:hAnsi="Times New Roman" w:cs="Times New Roman"/>
          <w:sz w:val="20"/>
          <w:szCs w:val="20"/>
        </w:rPr>
        <w:t>, „eMarketer”, 4 listopada 2019 roku: https://www.emarketer.com/content/facebook-google-duopoly-won-t-crack-this-year [dostęp: 24 września 2020 roku].</w:t>
      </w:r>
    </w:p>
  </w:footnote>
  <w:footnote w:id="5">
    <w:p w:rsidR="005A3D4A" w:rsidRPr="005A3D4A" w:rsidRDefault="005A3D4A" w:rsidP="005A3D4A">
      <w:pPr>
        <w:spacing w:line="360" w:lineRule="auto"/>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Dane Statista za: K. Chojecka, S. A. Roy, J. J. Zygmuntowski, op. cit., s. 9.</w:t>
      </w:r>
    </w:p>
  </w:footnote>
  <w:footnote w:id="6">
    <w:p w:rsidR="005A3D4A" w:rsidRPr="005A3D4A" w:rsidRDefault="005A3D4A" w:rsidP="005A3D4A">
      <w:pPr>
        <w:spacing w:line="360" w:lineRule="auto"/>
        <w:rPr>
          <w:rFonts w:ascii="Times New Roman" w:eastAsia="Times New Roman" w:hAnsi="Times New Roman" w:cs="Times New Roman"/>
          <w:sz w:val="20"/>
          <w:szCs w:val="20"/>
          <w:lang w:val="pl-PL"/>
        </w:rPr>
      </w:pPr>
      <w:r>
        <w:rPr>
          <w:vertAlign w:val="superscript"/>
        </w:rPr>
        <w:footnoteRef/>
      </w:r>
      <w:r>
        <w:rPr>
          <w:rFonts w:ascii="Times New Roman" w:eastAsia="Times New Roman" w:hAnsi="Times New Roman" w:cs="Times New Roman"/>
          <w:sz w:val="20"/>
          <w:szCs w:val="20"/>
        </w:rPr>
        <w:t xml:space="preserve"> Subcommittee on Antitrust, Commercial and Administrative Law (2020) </w:t>
      </w:r>
      <w:r>
        <w:rPr>
          <w:rFonts w:ascii="Times New Roman" w:eastAsia="Times New Roman" w:hAnsi="Times New Roman" w:cs="Times New Roman"/>
          <w:i/>
          <w:sz w:val="20"/>
          <w:szCs w:val="20"/>
        </w:rPr>
        <w:t xml:space="preserve">Investigation of Competition in Digital Markets. </w:t>
      </w:r>
      <w:r w:rsidRPr="005A3D4A">
        <w:rPr>
          <w:rFonts w:ascii="Times New Roman" w:eastAsia="Times New Roman" w:hAnsi="Times New Roman" w:cs="Times New Roman"/>
          <w:i/>
          <w:sz w:val="20"/>
          <w:szCs w:val="20"/>
          <w:lang w:val="pl-PL"/>
        </w:rPr>
        <w:t>Majority Staff Report and Recommendations</w:t>
      </w:r>
      <w:r w:rsidRPr="005A3D4A">
        <w:rPr>
          <w:rFonts w:ascii="Times New Roman" w:eastAsia="Times New Roman" w:hAnsi="Times New Roman" w:cs="Times New Roman"/>
          <w:sz w:val="20"/>
          <w:szCs w:val="20"/>
          <w:lang w:val="pl-PL"/>
        </w:rPr>
        <w:t>, Izba Reprezentantów Stanów Zjednoczonych, s. 11, raport dostępny online: https://judiciary.house.gov/uploadedfiles/competition_in_digital_markets.pdf [dostęp: 9 października 2020 roku].</w:t>
      </w:r>
    </w:p>
  </w:footnote>
  <w:footnote w:id="7">
    <w:p w:rsidR="005A3D4A" w:rsidRDefault="005A3D4A" w:rsidP="005A3D4A">
      <w:pPr>
        <w:spacing w:line="36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 Cunningham, F. Ederer, S. Ma (2018) </w:t>
      </w:r>
      <w:r>
        <w:rPr>
          <w:rFonts w:ascii="Times New Roman" w:eastAsia="Times New Roman" w:hAnsi="Times New Roman" w:cs="Times New Roman"/>
          <w:i/>
          <w:sz w:val="20"/>
          <w:szCs w:val="20"/>
        </w:rPr>
        <w:t>Killer Acquisitions</w:t>
      </w:r>
      <w:r>
        <w:rPr>
          <w:rFonts w:ascii="Times New Roman" w:eastAsia="Times New Roman" w:hAnsi="Times New Roman" w:cs="Times New Roman"/>
          <w:sz w:val="20"/>
          <w:szCs w:val="20"/>
        </w:rPr>
        <w:t xml:space="preserve">, artykuł dostępny online: https://papers.ssrn.com/sol3/papers.cfm?abstract_id=3241707 [dostęp: 24: września 2020 roku]; C. Pike (2020) </w:t>
      </w:r>
      <w:r>
        <w:rPr>
          <w:rFonts w:ascii="Times New Roman" w:eastAsia="Times New Roman" w:hAnsi="Times New Roman" w:cs="Times New Roman"/>
          <w:i/>
          <w:sz w:val="20"/>
          <w:szCs w:val="20"/>
        </w:rPr>
        <w:t>Start-ups, Killer Acquisitions and Merger Control – Background Note</w:t>
      </w:r>
      <w:r>
        <w:rPr>
          <w:rFonts w:ascii="Times New Roman" w:eastAsia="Times New Roman" w:hAnsi="Times New Roman" w:cs="Times New Roman"/>
          <w:sz w:val="20"/>
          <w:szCs w:val="20"/>
        </w:rPr>
        <w:t>, OECD Competition Papers  DAF/COMP(2020)5, dokument dostępny online: https://one.oecd.org/document/DAF/COMP(2020)5/en/pdf [dostęp: 24 września 2020 roku].</w:t>
      </w:r>
    </w:p>
  </w:footnote>
  <w:footnote w:id="8">
    <w:p w:rsidR="005A3D4A" w:rsidRDefault="005A3D4A" w:rsidP="005A3D4A">
      <w:pPr>
        <w:spacing w:line="36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 K. Kamepalli, R. G. Rajan, L. Zingales (2020) </w:t>
      </w:r>
      <w:r>
        <w:rPr>
          <w:rFonts w:ascii="Times New Roman" w:eastAsia="Times New Roman" w:hAnsi="Times New Roman" w:cs="Times New Roman"/>
          <w:i/>
          <w:sz w:val="20"/>
          <w:szCs w:val="20"/>
        </w:rPr>
        <w:t>Kill Zone</w:t>
      </w:r>
      <w:r>
        <w:rPr>
          <w:rFonts w:ascii="Times New Roman" w:eastAsia="Times New Roman" w:hAnsi="Times New Roman" w:cs="Times New Roman"/>
          <w:sz w:val="20"/>
          <w:szCs w:val="20"/>
        </w:rPr>
        <w:t>, Becker Friedman Institute for Economics Working Paper No. 2020-19, University of Chicago, artykuł dostępny online:</w:t>
      </w:r>
      <w:r>
        <w:rPr>
          <w:rFonts w:ascii="Times New Roman" w:eastAsia="Times New Roman" w:hAnsi="Times New Roman" w:cs="Times New Roman"/>
          <w:sz w:val="20"/>
          <w:szCs w:val="20"/>
        </w:rPr>
        <w:br/>
        <w:t>https://bfi.uchicago.edu/wp-content/uploads/BFI_WP_202019.pdf [dostęp: 24 września 2020 roku].</w:t>
      </w:r>
    </w:p>
  </w:footnote>
  <w:footnote w:id="9">
    <w:p w:rsidR="005A3D4A" w:rsidRDefault="005A3D4A">
      <w:pPr>
        <w:spacing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 Aghion et al. (2018) </w:t>
      </w:r>
      <w:r>
        <w:rPr>
          <w:rFonts w:ascii="Times New Roman" w:eastAsia="Times New Roman" w:hAnsi="Times New Roman" w:cs="Times New Roman"/>
          <w:i/>
          <w:sz w:val="20"/>
          <w:szCs w:val="20"/>
        </w:rPr>
        <w:t>The Causal Effects of Competition on Innovation: Experimental Evidence</w:t>
      </w:r>
      <w:r>
        <w:rPr>
          <w:rFonts w:ascii="Times New Roman" w:eastAsia="Times New Roman" w:hAnsi="Times New Roman" w:cs="Times New Roman"/>
          <w:sz w:val="20"/>
          <w:szCs w:val="20"/>
        </w:rPr>
        <w:t xml:space="preserve">, „The Journal of Law, Economics, and Organization” t. 34 nr 2, Oxford University Press, artykuł dostępny online: https://academic.oup.com/jleo/article/34/2/162/4919662 [dostęp: 24 września 2020 roku]; P. Aghion et al. (2019) </w:t>
      </w:r>
      <w:r>
        <w:rPr>
          <w:rFonts w:ascii="Times New Roman" w:eastAsia="Times New Roman" w:hAnsi="Times New Roman" w:cs="Times New Roman"/>
          <w:i/>
          <w:sz w:val="20"/>
          <w:szCs w:val="20"/>
        </w:rPr>
        <w:t>A Theory of Falling Growth and Rising Rents</w:t>
      </w:r>
      <w:r>
        <w:rPr>
          <w:rFonts w:ascii="Times New Roman" w:eastAsia="Times New Roman" w:hAnsi="Times New Roman" w:cs="Times New Roman"/>
          <w:sz w:val="20"/>
          <w:szCs w:val="20"/>
        </w:rPr>
        <w:t>, Bank Rezerwy Federalnej w San Francisco, Working Paper 2019-11, artykuł dostępny online: https://www.frbsf.org/economic-research/files/wp2019-11.pdf [dostęp: 24 września 2020 roku].</w:t>
      </w:r>
    </w:p>
  </w:footnote>
  <w:footnote w:id="10">
    <w:p w:rsidR="005A3D4A" w:rsidRPr="005A3D4A" w:rsidRDefault="005A3D4A">
      <w:pPr>
        <w:spacing w:line="360" w:lineRule="auto"/>
        <w:jc w:val="both"/>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Por. np. D. Owczarek (red.) (2018) </w:t>
      </w:r>
      <w:r w:rsidRPr="005A3D4A">
        <w:rPr>
          <w:rFonts w:ascii="Times New Roman" w:eastAsia="Times New Roman" w:hAnsi="Times New Roman" w:cs="Times New Roman"/>
          <w:i/>
          <w:sz w:val="20"/>
          <w:szCs w:val="20"/>
          <w:lang w:val="pl-PL"/>
        </w:rPr>
        <w:t>New forms of work in Poland</w:t>
      </w:r>
      <w:r w:rsidRPr="005A3D4A">
        <w:rPr>
          <w:rFonts w:ascii="Times New Roman" w:eastAsia="Times New Roman" w:hAnsi="Times New Roman" w:cs="Times New Roman"/>
          <w:sz w:val="20"/>
          <w:szCs w:val="20"/>
          <w:lang w:val="pl-PL"/>
        </w:rPr>
        <w:t>, Instytut Spraw Publicznych, raport dostępny online: https://www.isp.org.pl/en/publications/new-form-of-work-in-poland [dostęp: 24 września 2020 roku].</w:t>
      </w:r>
    </w:p>
  </w:footnote>
  <w:footnote w:id="11">
    <w:p w:rsidR="005A3D4A" w:rsidRPr="005A3D4A" w:rsidRDefault="005A3D4A">
      <w:pPr>
        <w:spacing w:line="360" w:lineRule="auto"/>
        <w:jc w:val="both"/>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W kontekście Polski por. np. K. Gyódi, W. Hardy, J. Mazur (2019) </w:t>
      </w:r>
      <w:r w:rsidRPr="005A3D4A">
        <w:rPr>
          <w:rFonts w:ascii="Times New Roman" w:eastAsia="Times New Roman" w:hAnsi="Times New Roman" w:cs="Times New Roman"/>
          <w:i/>
          <w:sz w:val="20"/>
          <w:szCs w:val="20"/>
          <w:lang w:val="pl-PL"/>
        </w:rPr>
        <w:t>Airbnb w Warszawie. Charakterystyka rynku i wyzwania dla miasta</w:t>
      </w:r>
      <w:r w:rsidRPr="005A3D4A">
        <w:rPr>
          <w:rFonts w:ascii="Times New Roman" w:eastAsia="Times New Roman" w:hAnsi="Times New Roman" w:cs="Times New Roman"/>
          <w:sz w:val="20"/>
          <w:szCs w:val="20"/>
          <w:lang w:val="pl-PL"/>
        </w:rPr>
        <w:t>, DELab UW – Digital Economy Lab, raport dostępny online: https://www.delab.uw.edu.pl/wp-content/uploads/2020/09/DELab_airbnb_prezentacja.pdf [dostęp: 24 września 2020 roku].</w:t>
      </w:r>
    </w:p>
  </w:footnote>
  <w:footnote w:id="12">
    <w:p w:rsidR="005A3D4A" w:rsidRDefault="005A3D4A">
      <w:pPr>
        <w:spacing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Por. np. S. Schechner (2016) </w:t>
      </w:r>
      <w:r>
        <w:rPr>
          <w:rFonts w:ascii="Times New Roman" w:eastAsia="Times New Roman" w:hAnsi="Times New Roman" w:cs="Times New Roman"/>
          <w:i/>
          <w:sz w:val="20"/>
          <w:szCs w:val="20"/>
        </w:rPr>
        <w:t>Uber’s ‘Not a Taxi Company’ Defense on Trial in EU</w:t>
      </w:r>
      <w:r>
        <w:rPr>
          <w:rFonts w:ascii="Times New Roman" w:eastAsia="Times New Roman" w:hAnsi="Times New Roman" w:cs="Times New Roman"/>
          <w:sz w:val="20"/>
          <w:szCs w:val="20"/>
        </w:rPr>
        <w:t>, „The Wall Street Journal”, 29 listopada 2016 roku: https://www.wsj.com/articles/ubers-not-a-taxi-company-defense-on-trial-in-eu-1480427094 [dostęp: 24 września 2020 roku].</w:t>
      </w:r>
    </w:p>
  </w:footnote>
  <w:footnote w:id="13">
    <w:p w:rsidR="005A3D4A" w:rsidRPr="005A3D4A" w:rsidRDefault="005A3D4A">
      <w:pPr>
        <w:spacing w:line="360" w:lineRule="auto"/>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K. Chojecka, S. A. Roy, J. J. Zygmuntowski, op. cit., s. 12.</w:t>
      </w:r>
    </w:p>
  </w:footnote>
  <w:footnote w:id="14">
    <w:p w:rsidR="005A3D4A" w:rsidRDefault="005A3D4A">
      <w:pPr>
        <w:spacing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H. A. Shelanski (2013) </w:t>
      </w:r>
      <w:r>
        <w:rPr>
          <w:rFonts w:ascii="Times New Roman" w:eastAsia="Times New Roman" w:hAnsi="Times New Roman" w:cs="Times New Roman"/>
          <w:i/>
          <w:sz w:val="20"/>
          <w:szCs w:val="20"/>
        </w:rPr>
        <w:t>Information, Innovation, and Competition Policy for the Internet</w:t>
      </w:r>
      <w:r>
        <w:rPr>
          <w:rFonts w:ascii="Times New Roman" w:eastAsia="Times New Roman" w:hAnsi="Times New Roman" w:cs="Times New Roman"/>
          <w:sz w:val="20"/>
          <w:szCs w:val="20"/>
        </w:rPr>
        <w:t xml:space="preserve">, artykuł dostępny online: https://scholarship.law.upenn.edu/penn_law_review/vol161/iss6/6/ [dostęp: 24 września 2020 roku]. D. N. Cicilline,  T. McSweeney (2018) </w:t>
      </w:r>
      <w:r>
        <w:rPr>
          <w:rFonts w:ascii="Times New Roman" w:eastAsia="Times New Roman" w:hAnsi="Times New Roman" w:cs="Times New Roman"/>
          <w:i/>
          <w:sz w:val="20"/>
          <w:szCs w:val="20"/>
        </w:rPr>
        <w:t>Competition Is at the Heart of Facebook's Privacy Problem</w:t>
      </w:r>
      <w:r>
        <w:rPr>
          <w:rFonts w:ascii="Times New Roman" w:eastAsia="Times New Roman" w:hAnsi="Times New Roman" w:cs="Times New Roman"/>
          <w:sz w:val="20"/>
          <w:szCs w:val="20"/>
        </w:rPr>
        <w:t>, „Wired”, 24 kwietnia 2018 roku: https://www.wired.com/story/competition-is-at-the-heart-of-facebooks-privacy-problem/ [dostęp: 24 września 2020 roku]</w:t>
      </w:r>
    </w:p>
  </w:footnote>
  <w:footnote w:id="15">
    <w:p w:rsidR="005A3D4A" w:rsidRDefault="005A3D4A">
      <w:pPr>
        <w:spacing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 Allington et al. (2020) </w:t>
      </w:r>
      <w:r>
        <w:rPr>
          <w:rFonts w:ascii="Times New Roman" w:eastAsia="Times New Roman" w:hAnsi="Times New Roman" w:cs="Times New Roman"/>
          <w:i/>
          <w:sz w:val="20"/>
          <w:szCs w:val="20"/>
        </w:rPr>
        <w:t>Health-protective behaviour, social media usage and conspiracy belief during the COVID-19 public health emergency</w:t>
      </w:r>
      <w:r>
        <w:rPr>
          <w:rFonts w:ascii="Times New Roman" w:eastAsia="Times New Roman" w:hAnsi="Times New Roman" w:cs="Times New Roman"/>
          <w:sz w:val="20"/>
          <w:szCs w:val="20"/>
        </w:rPr>
        <w:t xml:space="preserve">, „Psychological Medicine” 1–7, Cambridge University Press, https://doi.org/10.1017/S003329172000224X [dostęp: 24 września 2020 roku]. W temacie szerzenia nienawiści: E. Meixler (2018) </w:t>
      </w:r>
      <w:r>
        <w:rPr>
          <w:rFonts w:ascii="Times New Roman" w:eastAsia="Times New Roman" w:hAnsi="Times New Roman" w:cs="Times New Roman"/>
          <w:i/>
          <w:sz w:val="20"/>
          <w:szCs w:val="20"/>
        </w:rPr>
        <w:t>U.N. Fact Finders Say Facebook Played a 'Determining' Role in Violence Against the Rohingya</w:t>
      </w:r>
      <w:r>
        <w:rPr>
          <w:rFonts w:ascii="Times New Roman" w:eastAsia="Times New Roman" w:hAnsi="Times New Roman" w:cs="Times New Roman"/>
          <w:sz w:val="20"/>
          <w:szCs w:val="20"/>
        </w:rPr>
        <w:t>, „Time”, 13 marca 2018 roku: https://time.com/5197039/un-facebook-myanmar-rohingya-violence/ [dostęp: 24 września 2020 roku].</w:t>
      </w:r>
    </w:p>
  </w:footnote>
  <w:footnote w:id="16">
    <w:p w:rsidR="005A3D4A" w:rsidRPr="005A3D4A" w:rsidRDefault="005A3D4A">
      <w:pPr>
        <w:spacing w:line="360" w:lineRule="auto"/>
        <w:jc w:val="both"/>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W Polsce działa m.in. koalicja ekspercka na rzecz Polskiej Karty Suwerenności Cyfrowej: https://cyfrowasuwerennosc.pl/ </w:t>
      </w:r>
    </w:p>
  </w:footnote>
  <w:footnote w:id="17">
    <w:p w:rsidR="005A3D4A" w:rsidRPr="005A3D4A" w:rsidRDefault="005A3D4A">
      <w:pPr>
        <w:spacing w:line="360" w:lineRule="auto"/>
        <w:jc w:val="both"/>
        <w:rPr>
          <w:rFonts w:ascii="Times New Roman" w:eastAsia="Times New Roman" w:hAnsi="Times New Roman" w:cs="Times New Roman"/>
          <w:sz w:val="20"/>
          <w:szCs w:val="20"/>
          <w:lang w:val="pl-PL"/>
        </w:rPr>
      </w:pPr>
      <w:r>
        <w:rPr>
          <w:vertAlign w:val="superscript"/>
        </w:rPr>
        <w:footnoteRef/>
      </w:r>
      <w:r>
        <w:rPr>
          <w:rFonts w:ascii="Times New Roman" w:eastAsia="Times New Roman" w:hAnsi="Times New Roman" w:cs="Times New Roman"/>
          <w:sz w:val="20"/>
          <w:szCs w:val="20"/>
        </w:rPr>
        <w:t xml:space="preserve"> Subcommittee on Antitrust, Commercial and Administrative Law, op. cit., s. 378-406. </w:t>
      </w:r>
      <w:r w:rsidRPr="005A3D4A">
        <w:rPr>
          <w:rFonts w:ascii="Times New Roman" w:eastAsia="Times New Roman" w:hAnsi="Times New Roman" w:cs="Times New Roman"/>
          <w:sz w:val="20"/>
          <w:szCs w:val="20"/>
          <w:lang w:val="pl-PL"/>
        </w:rPr>
        <w:t xml:space="preserve">Rozbicie cyfrowych gigantów na mniejsze podmioty było jednym z najważniejszych wątków kampanii prezydenckiej senator Elizabeth Warren, por. E. Warren (2019) </w:t>
      </w:r>
      <w:r w:rsidRPr="005A3D4A">
        <w:rPr>
          <w:rFonts w:ascii="Times New Roman" w:eastAsia="Times New Roman" w:hAnsi="Times New Roman" w:cs="Times New Roman"/>
          <w:i/>
          <w:sz w:val="20"/>
          <w:szCs w:val="20"/>
          <w:lang w:val="pl-PL"/>
        </w:rPr>
        <w:t>Here’s how we can break up Big Tech</w:t>
      </w:r>
      <w:r w:rsidRPr="005A3D4A">
        <w:rPr>
          <w:rFonts w:ascii="Times New Roman" w:eastAsia="Times New Roman" w:hAnsi="Times New Roman" w:cs="Times New Roman"/>
          <w:sz w:val="20"/>
          <w:szCs w:val="20"/>
          <w:lang w:val="pl-PL"/>
        </w:rPr>
        <w:t>, „Medium”, 8 marca 2019 roku: https://medium.com/@teamwarren/heres-how-we-can-break-up-big-tech-9ad9e0da324c [dostęp: 24 września 2020 roku].</w:t>
      </w:r>
    </w:p>
  </w:footnote>
  <w:footnote w:id="18">
    <w:p w:rsidR="005A3D4A" w:rsidRPr="005A3D4A" w:rsidRDefault="005A3D4A">
      <w:pPr>
        <w:spacing w:line="360" w:lineRule="auto"/>
        <w:jc w:val="both"/>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K. Chojecka, S. A. Roy, J. J. Zygmuntowski, op. cit., s. 41-42. Szerzej o spółdzielczości platformowej por. J. J. Zygmuntowski (2018) </w:t>
      </w:r>
      <w:r w:rsidRPr="005A3D4A">
        <w:rPr>
          <w:rFonts w:ascii="Times New Roman" w:eastAsia="Times New Roman" w:hAnsi="Times New Roman" w:cs="Times New Roman"/>
          <w:i/>
          <w:sz w:val="20"/>
          <w:szCs w:val="20"/>
          <w:lang w:val="pl-PL"/>
        </w:rPr>
        <w:t>Commoning in the Digital Era: Platform Cooperativism as a Counter to Cognitive Capitalism</w:t>
      </w:r>
      <w:r w:rsidRPr="005A3D4A">
        <w:rPr>
          <w:rFonts w:ascii="Times New Roman" w:eastAsia="Times New Roman" w:hAnsi="Times New Roman" w:cs="Times New Roman"/>
          <w:sz w:val="20"/>
          <w:szCs w:val="20"/>
          <w:lang w:val="pl-PL"/>
        </w:rPr>
        <w:t xml:space="preserve">, „Praktyka Teoretyczna” t. 27 nr 1, https://doi.org/10.14746/prt.2018.1.7 [dostęp: 24 września 2020 roku]; A. Burnicka, J. J. Zygmuntowski (2019) </w:t>
      </w:r>
      <w:r w:rsidRPr="005A3D4A">
        <w:rPr>
          <w:rFonts w:ascii="Times New Roman" w:eastAsia="Times New Roman" w:hAnsi="Times New Roman" w:cs="Times New Roman"/>
          <w:i/>
          <w:sz w:val="20"/>
          <w:szCs w:val="20"/>
          <w:lang w:val="pl-PL"/>
        </w:rPr>
        <w:t>#CoopTech: Platform Cooperativism as the Engine of Solidary Growth</w:t>
      </w:r>
      <w:r w:rsidRPr="005A3D4A">
        <w:rPr>
          <w:rFonts w:ascii="Times New Roman" w:eastAsia="Times New Roman" w:hAnsi="Times New Roman" w:cs="Times New Roman"/>
          <w:sz w:val="20"/>
          <w:szCs w:val="20"/>
          <w:lang w:val="pl-PL"/>
        </w:rPr>
        <w:t>, Instrat, http://instrat.pl/en/cooptech-en/ [dostęp: 24 września 2020 roku].</w:t>
      </w:r>
    </w:p>
  </w:footnote>
  <w:footnote w:id="19">
    <w:p w:rsidR="005A3D4A" w:rsidRPr="005A3D4A" w:rsidRDefault="005A3D4A">
      <w:pPr>
        <w:spacing w:line="360" w:lineRule="auto"/>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K. Chojecka, S. A. Roy, J. J. Zygmuntowski, op. cit., s. 9.</w:t>
      </w:r>
    </w:p>
  </w:footnote>
  <w:footnote w:id="20">
    <w:p w:rsidR="005A3D4A" w:rsidRDefault="005A3D4A">
      <w:pPr>
        <w:spacing w:line="360" w:lineRule="auto"/>
        <w:jc w:val="both"/>
        <w:rPr>
          <w:rFonts w:ascii="Times New Roman" w:eastAsia="Times New Roman" w:hAnsi="Times New Roman" w:cs="Times New Roman"/>
          <w:sz w:val="20"/>
          <w:szCs w:val="20"/>
        </w:rPr>
      </w:pPr>
      <w:r>
        <w:rPr>
          <w:vertAlign w:val="superscript"/>
        </w:rPr>
        <w:footnoteRef/>
      </w:r>
      <w:r w:rsidRPr="005A3D4A">
        <w:rPr>
          <w:rFonts w:ascii="Times New Roman" w:eastAsia="Times New Roman" w:hAnsi="Times New Roman" w:cs="Times New Roman"/>
          <w:sz w:val="20"/>
          <w:szCs w:val="20"/>
          <w:lang w:val="pl-PL"/>
        </w:rPr>
        <w:t xml:space="preserve"> R. Chopra, Federalna Komisja Handlu: „Te usługi mają cenę, a płacisz za nie swoimi danymi”; J. Furman, Harvard Kennedy School: „Konsumentom może się wydawać, że otrzymują </w:t>
      </w:r>
      <w:r w:rsidRPr="005A3D4A">
        <w:rPr>
          <w:rFonts w:ascii="Times New Roman" w:eastAsia="Times New Roman" w:hAnsi="Times New Roman" w:cs="Times New Roman"/>
          <w:i/>
          <w:sz w:val="20"/>
          <w:szCs w:val="20"/>
          <w:lang w:val="pl-PL"/>
        </w:rPr>
        <w:t>darmowe</w:t>
      </w:r>
      <w:r w:rsidRPr="005A3D4A">
        <w:rPr>
          <w:rFonts w:ascii="Times New Roman" w:eastAsia="Times New Roman" w:hAnsi="Times New Roman" w:cs="Times New Roman"/>
          <w:sz w:val="20"/>
          <w:szCs w:val="20"/>
          <w:lang w:val="pl-PL"/>
        </w:rPr>
        <w:t xml:space="preserve"> produkty, ale tak naprawdę płacą za te produkty na szereg sposobów”. </w:t>
      </w:r>
      <w:r>
        <w:rPr>
          <w:rFonts w:ascii="Times New Roman" w:eastAsia="Times New Roman" w:hAnsi="Times New Roman" w:cs="Times New Roman"/>
          <w:sz w:val="20"/>
          <w:szCs w:val="20"/>
        </w:rPr>
        <w:t>Za: Subcommittee on Antitrust, Commercial and Administrative Law, op. cit., s. 37.</w:t>
      </w:r>
    </w:p>
  </w:footnote>
  <w:footnote w:id="21">
    <w:p w:rsidR="005A3D4A" w:rsidRPr="005A3D4A" w:rsidRDefault="005A3D4A">
      <w:pPr>
        <w:spacing w:line="360" w:lineRule="auto"/>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K. Chojecka, S. A. Roy, J. J. Zygmuntowski, op. cit., s. 11.</w:t>
      </w:r>
    </w:p>
  </w:footnote>
  <w:footnote w:id="22">
    <w:p w:rsidR="005A3D4A" w:rsidRPr="005A3D4A" w:rsidRDefault="005A3D4A">
      <w:pPr>
        <w:spacing w:line="360" w:lineRule="auto"/>
        <w:jc w:val="both"/>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Klasyczne już omówienie przedstawiła M. Mazzucato (2016) </w:t>
      </w:r>
      <w:r w:rsidRPr="005A3D4A">
        <w:rPr>
          <w:rFonts w:ascii="Times New Roman" w:eastAsia="Times New Roman" w:hAnsi="Times New Roman" w:cs="Times New Roman"/>
          <w:i/>
          <w:sz w:val="20"/>
          <w:szCs w:val="20"/>
          <w:lang w:val="pl-PL"/>
        </w:rPr>
        <w:t>Przedsiębiorcze państwo. Obalić mit o relacji sektora publicznego i prywatnego</w:t>
      </w:r>
      <w:r w:rsidRPr="005A3D4A">
        <w:rPr>
          <w:rFonts w:ascii="Times New Roman" w:eastAsia="Times New Roman" w:hAnsi="Times New Roman" w:cs="Times New Roman"/>
          <w:sz w:val="20"/>
          <w:szCs w:val="20"/>
          <w:lang w:val="pl-PL"/>
        </w:rPr>
        <w:t>, Wydawnictwo Ekonomiczne Heterodox.</w:t>
      </w:r>
    </w:p>
  </w:footnote>
  <w:footnote w:id="23">
    <w:p w:rsidR="005A3D4A" w:rsidRDefault="005A3D4A">
      <w:pPr>
        <w:spacing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B. Fung (2019) </w:t>
      </w:r>
      <w:r>
        <w:rPr>
          <w:rFonts w:ascii="Times New Roman" w:eastAsia="Times New Roman" w:hAnsi="Times New Roman" w:cs="Times New Roman"/>
          <w:i/>
          <w:sz w:val="20"/>
          <w:szCs w:val="20"/>
        </w:rPr>
        <w:t>US threatens 100% tariffs on French cheese and champagne</w:t>
      </w:r>
      <w:r>
        <w:rPr>
          <w:rFonts w:ascii="Times New Roman" w:eastAsia="Times New Roman" w:hAnsi="Times New Roman" w:cs="Times New Roman"/>
          <w:sz w:val="20"/>
          <w:szCs w:val="20"/>
        </w:rPr>
        <w:t xml:space="preserve">, „CNN Business”, 3 grudnia 2019 roku: https://edition.cnn.com/2019/12/02/tech/french-tariffs-digital-services-tax/index.html [dostęp: 24 września 2020 roku]; J. Leonard, L. Davison (2020) </w:t>
      </w:r>
      <w:r>
        <w:rPr>
          <w:rFonts w:ascii="Times New Roman" w:eastAsia="Times New Roman" w:hAnsi="Times New Roman" w:cs="Times New Roman"/>
          <w:i/>
          <w:sz w:val="20"/>
          <w:szCs w:val="20"/>
        </w:rPr>
        <w:t>U.S. starts probe into digital tax plans from EU to India</w:t>
      </w:r>
      <w:r>
        <w:rPr>
          <w:rFonts w:ascii="Times New Roman" w:eastAsia="Times New Roman" w:hAnsi="Times New Roman" w:cs="Times New Roman"/>
          <w:sz w:val="20"/>
          <w:szCs w:val="20"/>
        </w:rPr>
        <w:t xml:space="preserve">, „Accounting Today”, 2 czerwca 2020 roku: </w:t>
      </w:r>
    </w:p>
    <w:p w:rsidR="005A3D4A" w:rsidRPr="005A3D4A" w:rsidRDefault="005A3D4A">
      <w:pPr>
        <w:spacing w:line="360" w:lineRule="auto"/>
        <w:jc w:val="both"/>
        <w:rPr>
          <w:rFonts w:ascii="Times New Roman" w:eastAsia="Times New Roman" w:hAnsi="Times New Roman" w:cs="Times New Roman"/>
          <w:sz w:val="20"/>
          <w:szCs w:val="20"/>
          <w:lang w:val="pl-PL"/>
        </w:rPr>
      </w:pPr>
      <w:r w:rsidRPr="005A3D4A">
        <w:rPr>
          <w:rFonts w:ascii="Times New Roman" w:eastAsia="Times New Roman" w:hAnsi="Times New Roman" w:cs="Times New Roman"/>
          <w:sz w:val="20"/>
          <w:szCs w:val="20"/>
          <w:lang w:val="pl-PL"/>
        </w:rPr>
        <w:t>https://www.accountingtoday.com/articles/u-s-starts-probe-into-digital-tax-plans-from-eu-to-india [dostęp: 24 września 2020 roku].</w:t>
      </w:r>
    </w:p>
  </w:footnote>
  <w:footnote w:id="24">
    <w:p w:rsidR="005A3D4A" w:rsidRDefault="005A3D4A">
      <w:pPr>
        <w:spacing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L. Thomas (2020) </w:t>
      </w:r>
      <w:r>
        <w:rPr>
          <w:rFonts w:ascii="Times New Roman" w:eastAsia="Times New Roman" w:hAnsi="Times New Roman" w:cs="Times New Roman"/>
          <w:i/>
          <w:sz w:val="20"/>
          <w:szCs w:val="20"/>
        </w:rPr>
        <w:t>OECD says U.S. still committed to global digital tax talks</w:t>
      </w:r>
      <w:r>
        <w:rPr>
          <w:rFonts w:ascii="Times New Roman" w:eastAsia="Times New Roman" w:hAnsi="Times New Roman" w:cs="Times New Roman"/>
          <w:sz w:val="20"/>
          <w:szCs w:val="20"/>
        </w:rPr>
        <w:t>, „Reuters”, 1 lipca 2020 roku: https://www.reuters.com/article/us-oecd-tax-idUSKBN2425I9 [dostęp: 24 września 2020 roku].</w:t>
      </w:r>
    </w:p>
  </w:footnote>
  <w:footnote w:id="25">
    <w:p w:rsidR="005A3D4A" w:rsidRPr="005A3D4A" w:rsidRDefault="005A3D4A">
      <w:pPr>
        <w:spacing w:line="360" w:lineRule="auto"/>
        <w:jc w:val="both"/>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Cała sekcja opracowana została na podstawie K. Chojecka, S. A. Roy, J. J. Zygmuntowski, op. cit., s. 15-22.</w:t>
      </w:r>
    </w:p>
  </w:footnote>
  <w:footnote w:id="26">
    <w:p w:rsidR="005A3D4A" w:rsidRPr="005A3D4A" w:rsidRDefault="005A3D4A">
      <w:pPr>
        <w:spacing w:line="360" w:lineRule="auto"/>
        <w:jc w:val="both"/>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w:t>
      </w:r>
      <w:r w:rsidRPr="005A3D4A">
        <w:rPr>
          <w:rFonts w:ascii="Times New Roman" w:eastAsia="Times New Roman" w:hAnsi="Times New Roman" w:cs="Times New Roman"/>
          <w:i/>
          <w:sz w:val="20"/>
          <w:szCs w:val="20"/>
          <w:lang w:val="pl-PL"/>
        </w:rPr>
        <w:t>Vládní návrh zákona o dani z digitálních služeb</w:t>
      </w:r>
      <w:r w:rsidRPr="005A3D4A">
        <w:rPr>
          <w:rFonts w:ascii="Times New Roman" w:eastAsia="Times New Roman" w:hAnsi="Times New Roman" w:cs="Times New Roman"/>
          <w:sz w:val="20"/>
          <w:szCs w:val="20"/>
          <w:lang w:val="pl-PL"/>
        </w:rPr>
        <w:t>, druk nr 658 w VIII kadencji Izby Poselskiej:</w:t>
      </w:r>
      <w:r w:rsidRPr="005A3D4A">
        <w:rPr>
          <w:rFonts w:ascii="Times New Roman" w:eastAsia="Times New Roman" w:hAnsi="Times New Roman" w:cs="Times New Roman"/>
          <w:sz w:val="20"/>
          <w:szCs w:val="20"/>
          <w:lang w:val="pl-PL"/>
        </w:rPr>
        <w:br/>
        <w:t xml:space="preserve"> https://www.psp.cz/sqw/historie.sqw?o=8&amp;t=658 [dostęp: 24 września 2020 roku].</w:t>
      </w:r>
    </w:p>
  </w:footnote>
  <w:footnote w:id="27">
    <w:p w:rsidR="005A3D4A" w:rsidRDefault="005A3D4A">
      <w:pPr>
        <w:spacing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J. Lopatka, E. Hardcastle (2020) </w:t>
      </w:r>
      <w:r>
        <w:rPr>
          <w:rFonts w:ascii="Times New Roman" w:eastAsia="Times New Roman" w:hAnsi="Times New Roman" w:cs="Times New Roman"/>
          <w:i/>
          <w:sz w:val="20"/>
          <w:szCs w:val="20"/>
        </w:rPr>
        <w:t>Czech coalition agrees 5% digital tax aimed at global internet giants</w:t>
      </w:r>
      <w:r>
        <w:rPr>
          <w:rFonts w:ascii="Times New Roman" w:eastAsia="Times New Roman" w:hAnsi="Times New Roman" w:cs="Times New Roman"/>
          <w:sz w:val="20"/>
          <w:szCs w:val="20"/>
        </w:rPr>
        <w:t>, „Reuters”, 10 czerwca 2020 roku: https://www.reuters.com/article/czech-internet-tax-idUSL8N2DN4MC [dostęp: 24 września 2020 roku].</w:t>
      </w:r>
    </w:p>
  </w:footnote>
  <w:footnote w:id="28">
    <w:p w:rsidR="005A3D4A" w:rsidRDefault="005A3D4A" w:rsidP="005A3D4A">
      <w:pPr>
        <w:spacing w:line="36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LOI n° 2019-759 du 24 juillet 2019 portant création d'une taxe sur les services numériques et modification de la trajectoire de baisse de l'impôt sur les sociétés</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br/>
        <w:t>https://www.legifrance.gouv.fr/jorf/id/JORFTEXT000038811588?r=ubJP0Wqhwf [dostęp: 24 września 2020 roku].</w:t>
      </w:r>
    </w:p>
  </w:footnote>
  <w:footnote w:id="29">
    <w:p w:rsidR="005A3D4A" w:rsidRPr="005A3D4A" w:rsidRDefault="005A3D4A" w:rsidP="005A3D4A">
      <w:pPr>
        <w:spacing w:line="360" w:lineRule="auto"/>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i/>
          <w:sz w:val="20"/>
          <w:szCs w:val="20"/>
          <w:lang w:val="pl-PL"/>
        </w:rPr>
        <w:t xml:space="preserve"> Digitalsteuergesetz 2020 (DiStG 2020)</w:t>
      </w:r>
      <w:r w:rsidRPr="005A3D4A">
        <w:rPr>
          <w:rFonts w:ascii="Times New Roman" w:eastAsia="Times New Roman" w:hAnsi="Times New Roman" w:cs="Times New Roman"/>
          <w:sz w:val="20"/>
          <w:szCs w:val="20"/>
          <w:lang w:val="pl-PL"/>
        </w:rPr>
        <w:t xml:space="preserve">: </w:t>
      </w:r>
    </w:p>
    <w:p w:rsidR="005A3D4A" w:rsidRPr="005A3D4A" w:rsidRDefault="005A3D4A" w:rsidP="005A3D4A">
      <w:pPr>
        <w:spacing w:line="360" w:lineRule="auto"/>
        <w:rPr>
          <w:rFonts w:ascii="Times New Roman" w:eastAsia="Times New Roman" w:hAnsi="Times New Roman" w:cs="Times New Roman"/>
          <w:sz w:val="20"/>
          <w:szCs w:val="20"/>
          <w:lang w:val="pl-PL"/>
        </w:rPr>
      </w:pPr>
      <w:r w:rsidRPr="005A3D4A">
        <w:rPr>
          <w:rFonts w:ascii="Times New Roman" w:eastAsia="Times New Roman" w:hAnsi="Times New Roman" w:cs="Times New Roman"/>
          <w:sz w:val="20"/>
          <w:szCs w:val="20"/>
          <w:lang w:val="pl-PL"/>
        </w:rPr>
        <w:t>https://www.ris.bka.gv.at/GeltendeFassung.wxe?Abfrage=Bundesnormen&amp;Gesetzesnummer=20010780 [dostęp: 24 września 2020 roku].</w:t>
      </w:r>
    </w:p>
  </w:footnote>
  <w:footnote w:id="30">
    <w:p w:rsidR="005A3D4A" w:rsidRPr="005A3D4A" w:rsidRDefault="005A3D4A" w:rsidP="005A3D4A">
      <w:pPr>
        <w:spacing w:line="360" w:lineRule="auto"/>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w:t>
      </w:r>
      <w:r w:rsidRPr="005A3D4A">
        <w:rPr>
          <w:rFonts w:ascii="Times New Roman" w:eastAsia="Times New Roman" w:hAnsi="Times New Roman" w:cs="Times New Roman"/>
          <w:i/>
          <w:sz w:val="20"/>
          <w:szCs w:val="20"/>
          <w:lang w:val="pl-PL"/>
        </w:rPr>
        <w:t>Bundesgesetz, mit dem eine Abgabe auf Werbeleistungen eingeführt wird (Werbeabgabegesetz 2000):</w:t>
      </w:r>
      <w:r w:rsidRPr="005A3D4A">
        <w:rPr>
          <w:rFonts w:ascii="Times New Roman" w:eastAsia="Times New Roman" w:hAnsi="Times New Roman" w:cs="Times New Roman"/>
          <w:sz w:val="20"/>
          <w:szCs w:val="20"/>
          <w:lang w:val="pl-PL"/>
        </w:rPr>
        <w:t xml:space="preserve"> https://www.ris.bka.gv.at/GeltendeFassung.wxe?Abfrage=Bundesnormen&amp;Gesetzesnummer=20000689 [dostęp: 24 września 2020 roku].</w:t>
      </w:r>
    </w:p>
  </w:footnote>
  <w:footnote w:id="31">
    <w:p w:rsidR="005A3D4A" w:rsidRPr="005A3D4A" w:rsidRDefault="005A3D4A" w:rsidP="005A3D4A">
      <w:pPr>
        <w:spacing w:line="360" w:lineRule="auto"/>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w:t>
      </w:r>
      <w:r w:rsidRPr="005A3D4A">
        <w:rPr>
          <w:rFonts w:ascii="Times New Roman" w:eastAsia="Times New Roman" w:hAnsi="Times New Roman" w:cs="Times New Roman"/>
          <w:i/>
          <w:sz w:val="20"/>
          <w:szCs w:val="20"/>
          <w:lang w:val="pl-PL"/>
        </w:rPr>
        <w:t>Proyecto de Ley del Impuesto sobre Determinados Servicios Digitales</w:t>
      </w:r>
      <w:r w:rsidRPr="005A3D4A">
        <w:rPr>
          <w:rFonts w:ascii="Times New Roman" w:eastAsia="Times New Roman" w:hAnsi="Times New Roman" w:cs="Times New Roman"/>
          <w:sz w:val="20"/>
          <w:szCs w:val="20"/>
          <w:lang w:val="pl-PL"/>
        </w:rPr>
        <w:t xml:space="preserve">:  </w:t>
      </w:r>
      <w:r w:rsidRPr="005A3D4A">
        <w:rPr>
          <w:rFonts w:ascii="Times New Roman" w:eastAsia="Times New Roman" w:hAnsi="Times New Roman" w:cs="Times New Roman"/>
          <w:sz w:val="20"/>
          <w:szCs w:val="20"/>
          <w:lang w:val="pl-PL"/>
        </w:rPr>
        <w:br/>
        <w:t>http://www.congreso.es/portal/page/portal/Congreso/Congreso/Iniciativas?_piref73_2148295_73_1335437_1335437.next_page=/wc/servidorCGI&amp;CMD=VERLST&amp;BASE=IW14&amp;FMT=INITXDSS.fmt&amp;DOCS=1-1&amp;DOCORDER=FIFO&amp;OPDEF=ADJ&amp;QUERY=%28121%2F000001*.NDOC.%29 [dostęp: 10 października 2020 roku].</w:t>
      </w:r>
    </w:p>
  </w:footnote>
  <w:footnote w:id="32">
    <w:p w:rsidR="005A3D4A" w:rsidRPr="005A3D4A" w:rsidRDefault="005A3D4A">
      <w:pPr>
        <w:spacing w:line="360" w:lineRule="auto"/>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K. Chojecka, S. A. Roy, J. J. Zygmuntowski, op. cit., s. 12.</w:t>
      </w:r>
    </w:p>
  </w:footnote>
  <w:footnote w:id="33">
    <w:p w:rsidR="005A3D4A" w:rsidRPr="005A3D4A" w:rsidRDefault="005A3D4A">
      <w:pPr>
        <w:spacing w:line="360" w:lineRule="auto"/>
        <w:jc w:val="both"/>
        <w:rPr>
          <w:rFonts w:ascii="Times New Roman" w:eastAsia="Times New Roman" w:hAnsi="Times New Roman" w:cs="Times New Roman"/>
          <w:sz w:val="20"/>
          <w:szCs w:val="20"/>
          <w:lang w:val="pl-PL"/>
        </w:rPr>
      </w:pPr>
      <w:r>
        <w:rPr>
          <w:vertAlign w:val="superscript"/>
        </w:rPr>
        <w:footnoteRef/>
      </w:r>
      <w:r>
        <w:rPr>
          <w:rFonts w:ascii="Times New Roman" w:eastAsia="Times New Roman" w:hAnsi="Times New Roman" w:cs="Times New Roman"/>
          <w:sz w:val="20"/>
          <w:szCs w:val="20"/>
        </w:rPr>
        <w:t xml:space="preserve"> M. Mazzucato (2018) </w:t>
      </w:r>
      <w:r>
        <w:rPr>
          <w:rFonts w:ascii="Times New Roman" w:eastAsia="Times New Roman" w:hAnsi="Times New Roman" w:cs="Times New Roman"/>
          <w:i/>
          <w:sz w:val="20"/>
          <w:szCs w:val="20"/>
        </w:rPr>
        <w:t>Mission-oriented research &amp; innovation in the European Union: A problem-solving approach to fuel innovation-led growth</w:t>
      </w:r>
      <w:r>
        <w:rPr>
          <w:rFonts w:ascii="Times New Roman" w:eastAsia="Times New Roman" w:hAnsi="Times New Roman" w:cs="Times New Roman"/>
          <w:sz w:val="20"/>
          <w:szCs w:val="20"/>
        </w:rPr>
        <w:t xml:space="preserve">. </w:t>
      </w:r>
      <w:r w:rsidRPr="005A3D4A">
        <w:rPr>
          <w:rFonts w:ascii="Times New Roman" w:eastAsia="Times New Roman" w:hAnsi="Times New Roman" w:cs="Times New Roman"/>
          <w:sz w:val="20"/>
          <w:szCs w:val="20"/>
          <w:lang w:val="pl-PL"/>
        </w:rPr>
        <w:t>Komisja Europejska, Dyrekcja Generalna ds. Badań Naukowych i Innowacji, raport dostępny online: https://ec.europa.eu/info/sites/info/files/mazzucato_report_2018.pdf [dostęp: 24 września 2020 roku]. Misje powinny (1) być odważne i ekscytujące oraz angażować społeczeństwo na poziomie emocjonalnym, (2) być sformułowane w jasny sposób i zakładać konkretny cel, którym ma zostać zrealizowany w stosunkowo długiej, ale wyobrażalnej perspektywie czasowej, (3) jednocześnie ryzykowne (tj. to, czy uda się je zrealizować, nie powinno być oczywiste) i realistyczne, (4) interdyscyplinarne i angażujące podmioty z różnych sektorów gospodarki i życia społecznego (państwo, prywatny kapitał, organizacje pozarządowe itd.), (5) zakładać możliwość osiągnięcia celu na różne sposoby (nawet jeśli część z nich skończy się porażką), a nie tylko według jednego scenariusza. Paradygmatyczną misją było lądowanie człowieka na Księżycu w ramach programu Apollo. W gospodarczej historii Polski trudno wskazać tak rozumiane misje, choć część z kryteriów wskazanych w raporcie spełniają np. budowa portu w Gdyni i Centralnego Okręgu Przemysłowego czy odbudowa Warszawy. Mazzucato jako przykłady misji, jakie może wyznaczyć dla siebie Unia Europejska, wymienia (1) osiągnięcie neutralności węglowej przez 100 europejskich miast do 2030 roku, (2) oceany wolne od plastiku – ograniczenie o 90% ilości plastiku przedostającego się do środowiska morskiego i zebranie ponad połowy plastiku już znajdującego się w oceanach, morzach i na obszarach przybrzeżnych do 2025 r., (3) ograniczenie o 50% postępu demencji u dotkniętych nią pacjentów do 2030 roku.</w:t>
      </w:r>
    </w:p>
  </w:footnote>
  <w:footnote w:id="34">
    <w:p w:rsidR="005A3D4A" w:rsidRPr="005A3D4A" w:rsidRDefault="005A3D4A" w:rsidP="005A3D4A">
      <w:pPr>
        <w:spacing w:line="360" w:lineRule="auto"/>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Najwyższa Izba Kontroli (2020) </w:t>
      </w:r>
      <w:r w:rsidRPr="005A3D4A">
        <w:rPr>
          <w:rFonts w:ascii="Times New Roman" w:eastAsia="Times New Roman" w:hAnsi="Times New Roman" w:cs="Times New Roman"/>
          <w:i/>
          <w:sz w:val="20"/>
          <w:szCs w:val="20"/>
          <w:lang w:val="pl-PL"/>
        </w:rPr>
        <w:t>Realizacja programu Ogólnopolskiej Sieci Edukacyjnej (OSE). Informacja o wynikach kontroli</w:t>
      </w:r>
      <w:r w:rsidRPr="005A3D4A">
        <w:rPr>
          <w:rFonts w:ascii="Times New Roman" w:eastAsia="Times New Roman" w:hAnsi="Times New Roman" w:cs="Times New Roman"/>
          <w:sz w:val="20"/>
          <w:szCs w:val="20"/>
          <w:lang w:val="pl-PL"/>
        </w:rPr>
        <w:t>, dokument dostępny online:</w:t>
      </w:r>
      <w:r w:rsidRPr="005A3D4A">
        <w:rPr>
          <w:rFonts w:ascii="Times New Roman" w:eastAsia="Times New Roman" w:hAnsi="Times New Roman" w:cs="Times New Roman"/>
          <w:sz w:val="20"/>
          <w:szCs w:val="20"/>
          <w:lang w:val="pl-PL"/>
        </w:rPr>
        <w:br/>
        <w:t>https://www.nik.gov.pl/plik/id,22667,vp,25360.pdf [dostęp: 24 września 2020 roku].</w:t>
      </w:r>
    </w:p>
  </w:footnote>
  <w:footnote w:id="35">
    <w:p w:rsidR="005A3D4A" w:rsidRPr="005A3D4A" w:rsidRDefault="005A3D4A" w:rsidP="005A3D4A">
      <w:pPr>
        <w:spacing w:line="360" w:lineRule="auto"/>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Por. </w:t>
      </w:r>
      <w:r w:rsidRPr="005A3D4A">
        <w:rPr>
          <w:rFonts w:ascii="Times New Roman" w:eastAsia="Times New Roman" w:hAnsi="Times New Roman" w:cs="Times New Roman"/>
          <w:i/>
          <w:sz w:val="20"/>
          <w:szCs w:val="20"/>
          <w:lang w:val="pl-PL"/>
        </w:rPr>
        <w:t>Atlas szerokopasmowego dostępu do Internet</w:t>
      </w:r>
      <w:r w:rsidRPr="005A3D4A">
        <w:rPr>
          <w:rFonts w:ascii="Times New Roman" w:eastAsia="Times New Roman" w:hAnsi="Times New Roman" w:cs="Times New Roman"/>
          <w:sz w:val="20"/>
          <w:szCs w:val="20"/>
          <w:lang w:val="pl-PL"/>
        </w:rPr>
        <w:t>u przygotowany przez Urząd Komunikacji Elektronicznej: https://mapbook.uke.gov.pl/areas [dostęp: 24 września 2020 roku].</w:t>
      </w:r>
    </w:p>
  </w:footnote>
  <w:footnote w:id="36">
    <w:p w:rsidR="005A3D4A" w:rsidRPr="005A3D4A" w:rsidRDefault="005A3D4A">
      <w:pPr>
        <w:spacing w:line="360" w:lineRule="auto"/>
        <w:jc w:val="both"/>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K. Chojecka, S. A. Roy, J. J. Zygmuntowski, op. cit., s. 28-38 i 46-51.</w:t>
      </w:r>
    </w:p>
  </w:footnote>
  <w:footnote w:id="37">
    <w:p w:rsidR="005A3D4A" w:rsidRPr="005A3D4A" w:rsidRDefault="005A3D4A">
      <w:pPr>
        <w:spacing w:line="360" w:lineRule="auto"/>
        <w:jc w:val="both"/>
        <w:rPr>
          <w:rFonts w:ascii="Times New Roman" w:eastAsia="Times New Roman" w:hAnsi="Times New Roman" w:cs="Times New Roman"/>
          <w:sz w:val="20"/>
          <w:szCs w:val="20"/>
          <w:lang w:val="pl-PL"/>
        </w:rPr>
      </w:pPr>
      <w:r>
        <w:rPr>
          <w:vertAlign w:val="superscript"/>
        </w:rPr>
        <w:footnoteRef/>
      </w:r>
      <w:r w:rsidRPr="005A3D4A">
        <w:rPr>
          <w:rFonts w:ascii="Times New Roman" w:eastAsia="Times New Roman" w:hAnsi="Times New Roman" w:cs="Times New Roman"/>
          <w:sz w:val="20"/>
          <w:szCs w:val="20"/>
          <w:lang w:val="pl-PL"/>
        </w:rPr>
        <w:t xml:space="preserve"> D. Antonów (2020) </w:t>
      </w:r>
      <w:r w:rsidRPr="005A3D4A">
        <w:rPr>
          <w:rFonts w:ascii="Times New Roman" w:eastAsia="Times New Roman" w:hAnsi="Times New Roman" w:cs="Times New Roman"/>
          <w:i/>
          <w:sz w:val="20"/>
          <w:szCs w:val="20"/>
          <w:lang w:val="pl-PL"/>
        </w:rPr>
        <w:t>Źródła, wykładnia i stosowanie prawa podatkowego</w:t>
      </w:r>
      <w:r w:rsidRPr="005A3D4A">
        <w:rPr>
          <w:rFonts w:ascii="Times New Roman" w:eastAsia="Times New Roman" w:hAnsi="Times New Roman" w:cs="Times New Roman"/>
          <w:sz w:val="20"/>
          <w:szCs w:val="20"/>
          <w:lang w:val="pl-PL"/>
        </w:rPr>
        <w:t xml:space="preserve">, w: P. Borszowski (red.), </w:t>
      </w:r>
      <w:r w:rsidRPr="005A3D4A">
        <w:rPr>
          <w:rFonts w:ascii="Times New Roman" w:eastAsia="Times New Roman" w:hAnsi="Times New Roman" w:cs="Times New Roman"/>
          <w:i/>
          <w:sz w:val="20"/>
          <w:szCs w:val="20"/>
          <w:lang w:val="pl-PL"/>
        </w:rPr>
        <w:t>Prawo podatkowe z kazusami i pytaniami</w:t>
      </w:r>
      <w:r w:rsidRPr="005A3D4A">
        <w:rPr>
          <w:rFonts w:ascii="Times New Roman" w:eastAsia="Times New Roman" w:hAnsi="Times New Roman" w:cs="Times New Roman"/>
          <w:sz w:val="20"/>
          <w:szCs w:val="20"/>
          <w:lang w:val="pl-PL"/>
        </w:rPr>
        <w:t>, Wolters Kluwer, s. 47.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ADE" w:rsidRDefault="00AA5B00">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97098"/>
    <w:multiLevelType w:val="multilevel"/>
    <w:tmpl w:val="849032CA"/>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1077D4E"/>
    <w:multiLevelType w:val="multilevel"/>
    <w:tmpl w:val="C3D20166"/>
    <w:lvl w:ilvl="0">
      <w:start w:val="1"/>
      <w:numFmt w:val="bullet"/>
      <w:lvlText w:val="●"/>
      <w:lvlJc w:val="left"/>
      <w:pPr>
        <w:ind w:left="108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950B73"/>
    <w:multiLevelType w:val="multilevel"/>
    <w:tmpl w:val="F55EBE5E"/>
    <w:lvl w:ilvl="0">
      <w:start w:val="1"/>
      <w:numFmt w:val="decimal"/>
      <w:lvlText w:val="%1)"/>
      <w:lvlJc w:val="left"/>
      <w:pPr>
        <w:ind w:left="720" w:hanging="72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1C0808A0"/>
    <w:multiLevelType w:val="multilevel"/>
    <w:tmpl w:val="31E45DF4"/>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C3005E5"/>
    <w:multiLevelType w:val="multilevel"/>
    <w:tmpl w:val="86DC098E"/>
    <w:lvl w:ilvl="0">
      <w:start w:val="1"/>
      <w:numFmt w:val="bullet"/>
      <w:lvlText w:val="●"/>
      <w:lvlJc w:val="left"/>
      <w:pPr>
        <w:ind w:left="108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9840C9"/>
    <w:multiLevelType w:val="multilevel"/>
    <w:tmpl w:val="2EF02FBC"/>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669431D"/>
    <w:multiLevelType w:val="multilevel"/>
    <w:tmpl w:val="C6B21B9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2E150CD5"/>
    <w:multiLevelType w:val="multilevel"/>
    <w:tmpl w:val="DF60EA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470707E"/>
    <w:multiLevelType w:val="multilevel"/>
    <w:tmpl w:val="E60025A4"/>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D0D661F"/>
    <w:multiLevelType w:val="multilevel"/>
    <w:tmpl w:val="F5BE1EE4"/>
    <w:lvl w:ilvl="0">
      <w:start w:val="1"/>
      <w:numFmt w:val="decimal"/>
      <w:lvlText w:val="%1)"/>
      <w:lvlJc w:val="left"/>
      <w:pPr>
        <w:ind w:left="720" w:hanging="360"/>
      </w:pPr>
      <w:rPr>
        <w:rFonts w:ascii="Lato" w:eastAsia="Lato" w:hAnsi="Lato" w:cs="Lato"/>
        <w:b w:val="0"/>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FAE2CDD"/>
    <w:multiLevelType w:val="multilevel"/>
    <w:tmpl w:val="AA1ED156"/>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72A6AA6"/>
    <w:multiLevelType w:val="multilevel"/>
    <w:tmpl w:val="4FC00A1C"/>
    <w:lvl w:ilvl="0">
      <w:start w:val="1"/>
      <w:numFmt w:val="decimal"/>
      <w:lvlText w:val="%1)"/>
      <w:lvlJc w:val="left"/>
      <w:pPr>
        <w:ind w:left="1440" w:hanging="72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4CB20D02"/>
    <w:multiLevelType w:val="multilevel"/>
    <w:tmpl w:val="954C0FAC"/>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34B1BDD"/>
    <w:multiLevelType w:val="multilevel"/>
    <w:tmpl w:val="2196CC8C"/>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3A65135"/>
    <w:multiLevelType w:val="multilevel"/>
    <w:tmpl w:val="4E9C3FA8"/>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4DC3303"/>
    <w:multiLevelType w:val="multilevel"/>
    <w:tmpl w:val="74B4A9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8A31BFB"/>
    <w:multiLevelType w:val="multilevel"/>
    <w:tmpl w:val="3D2E6A3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7" w15:restartNumberingAfterBreak="0">
    <w:nsid w:val="59BA0DAF"/>
    <w:multiLevelType w:val="multilevel"/>
    <w:tmpl w:val="5EEAAE7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8" w15:restartNumberingAfterBreak="0">
    <w:nsid w:val="5E082AC2"/>
    <w:multiLevelType w:val="multilevel"/>
    <w:tmpl w:val="FD6A7032"/>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310339C"/>
    <w:multiLevelType w:val="multilevel"/>
    <w:tmpl w:val="4F7CDC0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0" w15:restartNumberingAfterBreak="0">
    <w:nsid w:val="654143F8"/>
    <w:multiLevelType w:val="multilevel"/>
    <w:tmpl w:val="AAF8580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1" w15:restartNumberingAfterBreak="0">
    <w:nsid w:val="65FF393B"/>
    <w:multiLevelType w:val="multilevel"/>
    <w:tmpl w:val="A50415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7394949"/>
    <w:multiLevelType w:val="multilevel"/>
    <w:tmpl w:val="685884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B3E6A7D"/>
    <w:multiLevelType w:val="multilevel"/>
    <w:tmpl w:val="1E86580A"/>
    <w:lvl w:ilvl="0">
      <w:start w:val="1"/>
      <w:numFmt w:val="bullet"/>
      <w:lvlText w:val="●"/>
      <w:lvlJc w:val="left"/>
      <w:pPr>
        <w:ind w:left="108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B9C11D5"/>
    <w:multiLevelType w:val="multilevel"/>
    <w:tmpl w:val="7A36D6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D5E0195"/>
    <w:multiLevelType w:val="multilevel"/>
    <w:tmpl w:val="BF7213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09A2559"/>
    <w:multiLevelType w:val="multilevel"/>
    <w:tmpl w:val="0B447728"/>
    <w:lvl w:ilvl="0">
      <w:start w:val="1"/>
      <w:numFmt w:val="decimal"/>
      <w:lvlText w:val="%1."/>
      <w:lvlJc w:val="right"/>
      <w:pPr>
        <w:ind w:left="0" w:firstLine="360"/>
      </w:pPr>
      <w:rPr>
        <w:rFonts w:ascii="Arial" w:eastAsia="Arial" w:hAnsi="Arial" w:cs="Arial"/>
        <w:b/>
        <w:u w:val="none"/>
      </w:rPr>
    </w:lvl>
    <w:lvl w:ilvl="1">
      <w:start w:val="1"/>
      <w:numFmt w:val="decimal"/>
      <w:lvlText w:val="%1.%2."/>
      <w:lvlJc w:val="right"/>
      <w:pPr>
        <w:ind w:left="0" w:firstLine="360"/>
      </w:pPr>
      <w:rPr>
        <w:i w:val="0"/>
        <w:u w:val="none"/>
      </w:rPr>
    </w:lvl>
    <w:lvl w:ilvl="2">
      <w:start w:val="1"/>
      <w:numFmt w:val="bullet"/>
      <w:lvlText w:val="●"/>
      <w:lvlJc w:val="left"/>
      <w:pPr>
        <w:ind w:left="1080" w:hanging="360"/>
      </w:pPr>
      <w:rPr>
        <w:u w:val="none"/>
      </w:rPr>
    </w:lvl>
    <w:lvl w:ilvl="3">
      <w:start w:val="1"/>
      <w:numFmt w:val="decimal"/>
      <w:lvlText w:val="%1.%2.●.%4."/>
      <w:lvlJc w:val="right"/>
      <w:pPr>
        <w:ind w:left="2880" w:hanging="360"/>
      </w:pPr>
      <w:rPr>
        <w:u w:val="none"/>
      </w:rPr>
    </w:lvl>
    <w:lvl w:ilvl="4">
      <w:start w:val="1"/>
      <w:numFmt w:val="decimal"/>
      <w:lvlText w:val="%1.%2.●.%4.%5."/>
      <w:lvlJc w:val="right"/>
      <w:pPr>
        <w:ind w:left="3600" w:hanging="360"/>
      </w:pPr>
      <w:rPr>
        <w:u w:val="none"/>
      </w:rPr>
    </w:lvl>
    <w:lvl w:ilvl="5">
      <w:start w:val="1"/>
      <w:numFmt w:val="decimal"/>
      <w:lvlText w:val="%1.%2.●.%4.%5.%6."/>
      <w:lvlJc w:val="right"/>
      <w:pPr>
        <w:ind w:left="4320" w:hanging="360"/>
      </w:pPr>
      <w:rPr>
        <w:u w:val="none"/>
      </w:rPr>
    </w:lvl>
    <w:lvl w:ilvl="6">
      <w:start w:val="1"/>
      <w:numFmt w:val="decimal"/>
      <w:lvlText w:val="%1.%2.●.%4.%5.%6.%7."/>
      <w:lvlJc w:val="right"/>
      <w:pPr>
        <w:ind w:left="5040" w:hanging="360"/>
      </w:pPr>
      <w:rPr>
        <w:u w:val="none"/>
      </w:rPr>
    </w:lvl>
    <w:lvl w:ilvl="7">
      <w:start w:val="1"/>
      <w:numFmt w:val="decimal"/>
      <w:lvlText w:val="%1.%2.●.%4.%5.%6.%7.%8."/>
      <w:lvlJc w:val="right"/>
      <w:pPr>
        <w:ind w:left="5760" w:hanging="360"/>
      </w:pPr>
      <w:rPr>
        <w:u w:val="none"/>
      </w:rPr>
    </w:lvl>
    <w:lvl w:ilvl="8">
      <w:start w:val="1"/>
      <w:numFmt w:val="decimal"/>
      <w:lvlText w:val="%1.%2.●.%4.%5.%6.%7.%8.%9."/>
      <w:lvlJc w:val="right"/>
      <w:pPr>
        <w:ind w:left="6480" w:hanging="360"/>
      </w:pPr>
      <w:rPr>
        <w:u w:val="none"/>
      </w:rPr>
    </w:lvl>
  </w:abstractNum>
  <w:abstractNum w:abstractNumId="27" w15:restartNumberingAfterBreak="0">
    <w:nsid w:val="734D324C"/>
    <w:multiLevelType w:val="multilevel"/>
    <w:tmpl w:val="85940D96"/>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8C72A28"/>
    <w:multiLevelType w:val="multilevel"/>
    <w:tmpl w:val="1A602F82"/>
    <w:lvl w:ilvl="0">
      <w:start w:val="1"/>
      <w:numFmt w:val="bullet"/>
      <w:lvlText w:val="●"/>
      <w:lvlJc w:val="left"/>
      <w:pPr>
        <w:ind w:left="108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8D12E71"/>
    <w:multiLevelType w:val="multilevel"/>
    <w:tmpl w:val="CC42764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0" w15:restartNumberingAfterBreak="0">
    <w:nsid w:val="7CA21734"/>
    <w:multiLevelType w:val="multilevel"/>
    <w:tmpl w:val="C64271AC"/>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4"/>
  </w:num>
  <w:num w:numId="2">
    <w:abstractNumId w:val="9"/>
  </w:num>
  <w:num w:numId="3">
    <w:abstractNumId w:val="8"/>
  </w:num>
  <w:num w:numId="4">
    <w:abstractNumId w:val="5"/>
  </w:num>
  <w:num w:numId="5">
    <w:abstractNumId w:val="19"/>
  </w:num>
  <w:num w:numId="6">
    <w:abstractNumId w:val="25"/>
  </w:num>
  <w:num w:numId="7">
    <w:abstractNumId w:val="22"/>
  </w:num>
  <w:num w:numId="8">
    <w:abstractNumId w:val="21"/>
  </w:num>
  <w:num w:numId="9">
    <w:abstractNumId w:val="2"/>
  </w:num>
  <w:num w:numId="10">
    <w:abstractNumId w:val="12"/>
  </w:num>
  <w:num w:numId="11">
    <w:abstractNumId w:val="15"/>
  </w:num>
  <w:num w:numId="12">
    <w:abstractNumId w:val="10"/>
  </w:num>
  <w:num w:numId="13">
    <w:abstractNumId w:val="11"/>
  </w:num>
  <w:num w:numId="14">
    <w:abstractNumId w:val="4"/>
  </w:num>
  <w:num w:numId="15">
    <w:abstractNumId w:val="29"/>
  </w:num>
  <w:num w:numId="16">
    <w:abstractNumId w:val="6"/>
  </w:num>
  <w:num w:numId="17">
    <w:abstractNumId w:val="13"/>
  </w:num>
  <w:num w:numId="18">
    <w:abstractNumId w:val="20"/>
  </w:num>
  <w:num w:numId="19">
    <w:abstractNumId w:val="1"/>
  </w:num>
  <w:num w:numId="20">
    <w:abstractNumId w:val="0"/>
  </w:num>
  <w:num w:numId="21">
    <w:abstractNumId w:val="18"/>
  </w:num>
  <w:num w:numId="22">
    <w:abstractNumId w:val="17"/>
  </w:num>
  <w:num w:numId="23">
    <w:abstractNumId w:val="28"/>
  </w:num>
  <w:num w:numId="24">
    <w:abstractNumId w:val="26"/>
  </w:num>
  <w:num w:numId="25">
    <w:abstractNumId w:val="23"/>
  </w:num>
  <w:num w:numId="26">
    <w:abstractNumId w:val="27"/>
  </w:num>
  <w:num w:numId="27">
    <w:abstractNumId w:val="16"/>
  </w:num>
  <w:num w:numId="28">
    <w:abstractNumId w:val="3"/>
  </w:num>
  <w:num w:numId="29">
    <w:abstractNumId w:val="24"/>
  </w:num>
  <w:num w:numId="30">
    <w:abstractNumId w:val="30"/>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F79"/>
    <w:rsid w:val="002569CB"/>
    <w:rsid w:val="002E36CD"/>
    <w:rsid w:val="00370F79"/>
    <w:rsid w:val="00553053"/>
    <w:rsid w:val="005A3D4A"/>
    <w:rsid w:val="00877E79"/>
    <w:rsid w:val="00AA5B00"/>
    <w:rsid w:val="00AC52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89E596-72AD-4540-837F-4346EF038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Akapitzlist">
    <w:name w:val="List Paragraph"/>
    <w:basedOn w:val="Normalny"/>
    <w:uiPriority w:val="34"/>
    <w:qFormat/>
    <w:rsid w:val="005A3D4A"/>
    <w:pPr>
      <w:ind w:left="720"/>
      <w:contextualSpacing/>
    </w:pPr>
  </w:style>
  <w:style w:type="paragraph" w:styleId="Nagwek">
    <w:name w:val="header"/>
    <w:basedOn w:val="Normalny"/>
    <w:link w:val="NagwekZnak"/>
    <w:uiPriority w:val="99"/>
    <w:unhideWhenUsed/>
    <w:rsid w:val="002E36CD"/>
    <w:pPr>
      <w:tabs>
        <w:tab w:val="center" w:pos="4536"/>
        <w:tab w:val="right" w:pos="9072"/>
      </w:tabs>
      <w:spacing w:line="240" w:lineRule="auto"/>
    </w:pPr>
  </w:style>
  <w:style w:type="character" w:customStyle="1" w:styleId="NagwekZnak">
    <w:name w:val="Nagłówek Znak"/>
    <w:basedOn w:val="Domylnaczcionkaakapitu"/>
    <w:link w:val="Nagwek"/>
    <w:uiPriority w:val="99"/>
    <w:rsid w:val="002E36CD"/>
  </w:style>
  <w:style w:type="paragraph" w:styleId="Stopka">
    <w:name w:val="footer"/>
    <w:basedOn w:val="Normalny"/>
    <w:link w:val="StopkaZnak"/>
    <w:uiPriority w:val="99"/>
    <w:unhideWhenUsed/>
    <w:rsid w:val="002E36CD"/>
    <w:pPr>
      <w:tabs>
        <w:tab w:val="center" w:pos="4536"/>
        <w:tab w:val="right" w:pos="9072"/>
      </w:tabs>
      <w:spacing w:line="240" w:lineRule="auto"/>
    </w:pPr>
  </w:style>
  <w:style w:type="character" w:customStyle="1" w:styleId="StopkaZnak">
    <w:name w:val="Stopka Znak"/>
    <w:basedOn w:val="Domylnaczcionkaakapitu"/>
    <w:link w:val="Stopka"/>
    <w:uiPriority w:val="99"/>
    <w:rsid w:val="002E36CD"/>
  </w:style>
  <w:style w:type="paragraph" w:styleId="Tekstdymka">
    <w:name w:val="Balloon Text"/>
    <w:basedOn w:val="Normalny"/>
    <w:link w:val="TekstdymkaZnak"/>
    <w:uiPriority w:val="99"/>
    <w:semiHidden/>
    <w:unhideWhenUsed/>
    <w:rsid w:val="00877E79"/>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77E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59</Pages>
  <Words>12987</Words>
  <Characters>77926</Characters>
  <Application>Microsoft Office Word</Application>
  <DocSecurity>0</DocSecurity>
  <Lines>649</Lines>
  <Paragraphs>181</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90732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Dariusz Standerski</dc:creator>
  <cp:lastModifiedBy>Grzegorz Molesztak</cp:lastModifiedBy>
  <cp:revision>3</cp:revision>
  <cp:lastPrinted>2020-11-10T13:24:00Z</cp:lastPrinted>
  <dcterms:created xsi:type="dcterms:W3CDTF">2020-11-10T13:24:00Z</dcterms:created>
  <dcterms:modified xsi:type="dcterms:W3CDTF">2021-07-07T10:30:00Z</dcterms:modified>
</cp:coreProperties>
</file>