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0D70" w:rsidRPr="00AA5C67" w:rsidRDefault="004A4B66" w:rsidP="00AA5C67">
      <w:pPr>
        <w:spacing w:before="120" w:after="120" w:line="276" w:lineRule="auto"/>
        <w:jc w:val="center"/>
        <w:rPr>
          <w:rStyle w:val="apple-converted-space"/>
          <w:rFonts w:ascii="Tahoma" w:eastAsia="Arial" w:hAnsi="Tahoma" w:cs="Tahoma"/>
          <w:b/>
          <w:bCs/>
        </w:rPr>
      </w:pPr>
      <w:bookmarkStart w:id="0" w:name="_GoBack"/>
      <w:bookmarkEnd w:id="0"/>
      <w:r w:rsidRPr="00AA5C67">
        <w:rPr>
          <w:rStyle w:val="apple-converted-space"/>
          <w:rFonts w:ascii="Tahoma" w:hAnsi="Tahoma" w:cs="Tahoma"/>
          <w:b/>
          <w:bCs/>
        </w:rPr>
        <w:t>UZASADNIENIE</w:t>
      </w:r>
    </w:p>
    <w:p w:rsidR="00AC0D70" w:rsidRPr="00AA5C67" w:rsidRDefault="00AC0D70" w:rsidP="00AA5C67">
      <w:pPr>
        <w:spacing w:before="120" w:after="120" w:line="276" w:lineRule="auto"/>
        <w:jc w:val="both"/>
        <w:rPr>
          <w:rFonts w:ascii="Tahoma" w:eastAsia="Arial" w:hAnsi="Tahoma" w:cs="Tahoma"/>
          <w:b/>
          <w:bCs/>
        </w:rPr>
      </w:pPr>
    </w:p>
    <w:p w:rsidR="006C5065" w:rsidRPr="00AA5C67" w:rsidRDefault="006C5065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6C5065" w:rsidRPr="00AA5C67" w:rsidRDefault="006C5065" w:rsidP="00AA5C67">
      <w:pPr>
        <w:pStyle w:val="Nagwek1"/>
        <w:spacing w:before="120" w:after="120" w:line="276" w:lineRule="auto"/>
        <w:jc w:val="both"/>
        <w:rPr>
          <w:rFonts w:ascii="Tahoma" w:eastAsia="Verdana" w:hAnsi="Tahoma" w:cs="Tahoma"/>
          <w:b/>
          <w:color w:val="auto"/>
          <w:sz w:val="24"/>
          <w:szCs w:val="24"/>
        </w:rPr>
      </w:pPr>
      <w:r w:rsidRPr="00AA5C67">
        <w:rPr>
          <w:rFonts w:ascii="Tahoma" w:eastAsia="Verdana" w:hAnsi="Tahoma" w:cs="Tahoma"/>
          <w:b/>
          <w:color w:val="auto"/>
          <w:sz w:val="24"/>
          <w:szCs w:val="24"/>
        </w:rPr>
        <w:t>I. Potrzeba i cel wydania ustawy</w:t>
      </w:r>
    </w:p>
    <w:p w:rsidR="00AC0D70" w:rsidRPr="00AA5C67" w:rsidRDefault="00AC0D70" w:rsidP="00AA5C67">
      <w:pPr>
        <w:spacing w:before="120" w:after="120" w:line="276" w:lineRule="auto"/>
        <w:jc w:val="both"/>
        <w:rPr>
          <w:rFonts w:ascii="Tahoma" w:hAnsi="Tahoma" w:cs="Tahoma"/>
          <w:b/>
          <w:bCs/>
        </w:rPr>
      </w:pPr>
    </w:p>
    <w:p w:rsidR="00002807" w:rsidRPr="00AA5C67" w:rsidRDefault="006C5065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C</w:t>
      </w:r>
      <w:r w:rsidR="004A4B66" w:rsidRPr="00AA5C67">
        <w:rPr>
          <w:rFonts w:ascii="Tahoma" w:hAnsi="Tahoma" w:cs="Tahoma"/>
        </w:rPr>
        <w:t xml:space="preserve">elem nowelizacji jest </w:t>
      </w:r>
      <w:r w:rsidRPr="00AA5C67">
        <w:rPr>
          <w:rFonts w:ascii="Tahoma" w:hAnsi="Tahoma" w:cs="Tahoma"/>
        </w:rPr>
        <w:t>wzmocnienie ochrony prawnej obywateli i obywatelek</w:t>
      </w:r>
      <w:r w:rsidR="00002807" w:rsidRPr="00AA5C67">
        <w:rPr>
          <w:rFonts w:ascii="Tahoma" w:hAnsi="Tahoma" w:cs="Tahoma"/>
        </w:rPr>
        <w:t xml:space="preserve"> przed przemocą, dyskryminacją i mową nienawiści</w:t>
      </w:r>
      <w:r w:rsidRPr="00AA5C67">
        <w:rPr>
          <w:rFonts w:ascii="Tahoma" w:hAnsi="Tahoma" w:cs="Tahoma"/>
        </w:rPr>
        <w:t xml:space="preserve"> poprzez </w:t>
      </w:r>
      <w:r w:rsidR="00002807" w:rsidRPr="00AA5C67">
        <w:rPr>
          <w:rFonts w:ascii="Tahoma" w:hAnsi="Tahoma" w:cs="Tahoma"/>
        </w:rPr>
        <w:t>objęcie</w:t>
      </w:r>
      <w:r w:rsidRPr="00AA5C67">
        <w:rPr>
          <w:rFonts w:ascii="Tahoma" w:hAnsi="Tahoma" w:cs="Tahoma"/>
        </w:rPr>
        <w:t xml:space="preserve"> </w:t>
      </w:r>
      <w:r w:rsidR="00002807" w:rsidRPr="00AA5C67">
        <w:rPr>
          <w:rFonts w:ascii="Tahoma" w:hAnsi="Tahoma" w:cs="Tahoma"/>
        </w:rPr>
        <w:t xml:space="preserve">zakresem zastosowania przepisów karnych dotyczących tzw. przestępstw z nienawiści większej ilości </w:t>
      </w:r>
      <w:r w:rsidR="00BC6E39" w:rsidRPr="00AA5C67">
        <w:rPr>
          <w:rFonts w:ascii="Tahoma" w:hAnsi="Tahoma" w:cs="Tahoma"/>
        </w:rPr>
        <w:t>cech chronionych</w:t>
      </w:r>
      <w:r w:rsidR="00002807" w:rsidRPr="00AA5C67">
        <w:rPr>
          <w:rFonts w:ascii="Tahoma" w:hAnsi="Tahoma" w:cs="Tahoma"/>
        </w:rPr>
        <w:t>.</w:t>
      </w:r>
      <w:r w:rsidR="006C39D4" w:rsidRPr="00AA5C67">
        <w:rPr>
          <w:rFonts w:ascii="Tahoma" w:hAnsi="Tahoma" w:cs="Tahoma"/>
        </w:rPr>
        <w:t xml:space="preserve"> </w:t>
      </w:r>
      <w:r w:rsidR="00B9744D" w:rsidRPr="00AA5C67">
        <w:rPr>
          <w:rFonts w:ascii="Tahoma" w:hAnsi="Tahoma" w:cs="Tahoma"/>
        </w:rPr>
        <w:t xml:space="preserve">Przyjęcie proponowanej ustawy doprowadzi do pełniejszej realizacji konstytucyjnego ogólnego zakazu dyskryminacji ze względu na jakąkolwiek przyczynę zawartego w art. 32 Konstytucji, który obecnie nie jest przestrzegany ze względu na </w:t>
      </w:r>
      <w:r w:rsidR="00BC6E39" w:rsidRPr="00AA5C67">
        <w:rPr>
          <w:rFonts w:ascii="Tahoma" w:hAnsi="Tahoma" w:cs="Tahoma"/>
        </w:rPr>
        <w:t>wyłączenie spod ochrony</w:t>
      </w:r>
      <w:r w:rsidR="00B9744D" w:rsidRPr="00AA5C67">
        <w:rPr>
          <w:rFonts w:ascii="Tahoma" w:hAnsi="Tahoma" w:cs="Tahoma"/>
        </w:rPr>
        <w:t xml:space="preserve"> prawnokarn</w:t>
      </w:r>
      <w:r w:rsidR="00BC6E39" w:rsidRPr="00AA5C67">
        <w:rPr>
          <w:rFonts w:ascii="Tahoma" w:hAnsi="Tahoma" w:cs="Tahoma"/>
        </w:rPr>
        <w:t>ej części obywateli i obywatelek noszących cechy będące motywacją do przestępstw</w:t>
      </w:r>
      <w:r w:rsidR="00B9744D" w:rsidRPr="00AA5C67">
        <w:rPr>
          <w:rFonts w:ascii="Tahoma" w:hAnsi="Tahoma" w:cs="Tahoma"/>
        </w:rPr>
        <w:t xml:space="preserve">. </w:t>
      </w:r>
      <w:r w:rsidR="006C39D4" w:rsidRPr="00AA5C67">
        <w:rPr>
          <w:rFonts w:ascii="Tahoma" w:hAnsi="Tahoma" w:cs="Tahoma"/>
        </w:rPr>
        <w:t xml:space="preserve">Poprzez proponowane zmiany Polska zrealizuje </w:t>
      </w:r>
      <w:r w:rsidR="00BC6E39" w:rsidRPr="00AA5C67">
        <w:rPr>
          <w:rFonts w:ascii="Tahoma" w:hAnsi="Tahoma" w:cs="Tahoma"/>
        </w:rPr>
        <w:t xml:space="preserve">również </w:t>
      </w:r>
      <w:r w:rsidR="006C39D4" w:rsidRPr="00AA5C67">
        <w:rPr>
          <w:rFonts w:ascii="Tahoma" w:hAnsi="Tahoma" w:cs="Tahoma"/>
        </w:rPr>
        <w:t>rekomendacje międzynarodowych organizacji działających na rzecz praw człowieka oraz zobowiązania wynikające z ratyfikowanych konwencji.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Obecnie obowiązujące przepisy zapewniające ochronę przed tzw. przestępstwami z nienawiści nie </w:t>
      </w:r>
      <w:r w:rsidR="0021153D" w:rsidRPr="00AA5C67">
        <w:rPr>
          <w:rFonts w:ascii="Tahoma" w:hAnsi="Tahoma" w:cs="Tahoma"/>
        </w:rPr>
        <w:t>przyznają</w:t>
      </w:r>
      <w:r w:rsidRPr="00AA5C67">
        <w:rPr>
          <w:rFonts w:ascii="Tahoma" w:hAnsi="Tahoma" w:cs="Tahoma"/>
        </w:rPr>
        <w:t xml:space="preserve"> skutecznej i kompletnej ochrony wszystkich grup, które są na nie narażone. W szczególności, nie obejmują </w:t>
      </w:r>
      <w:r w:rsidR="0021153D" w:rsidRPr="00AA5C67">
        <w:rPr>
          <w:rFonts w:ascii="Tahoma" w:hAnsi="Tahoma" w:cs="Tahoma"/>
        </w:rPr>
        <w:t xml:space="preserve">płci, </w:t>
      </w:r>
      <w:r w:rsidRPr="00AA5C67">
        <w:rPr>
          <w:rFonts w:ascii="Tahoma" w:hAnsi="Tahoma" w:cs="Tahoma"/>
        </w:rPr>
        <w:t>niepełnosprawności,</w:t>
      </w:r>
      <w:r w:rsidR="00BC6E39" w:rsidRPr="00AA5C67">
        <w:rPr>
          <w:rFonts w:ascii="Tahoma" w:hAnsi="Tahoma" w:cs="Tahoma"/>
        </w:rPr>
        <w:t xml:space="preserve"> wieku,</w:t>
      </w:r>
      <w:r w:rsidRPr="00AA5C67">
        <w:rPr>
          <w:rFonts w:ascii="Tahoma" w:hAnsi="Tahoma" w:cs="Tahoma"/>
        </w:rPr>
        <w:t xml:space="preserve"> tożsamości płciowej</w:t>
      </w:r>
      <w:r w:rsidR="00535E96" w:rsidRPr="00AA5C67">
        <w:rPr>
          <w:rFonts w:ascii="Tahoma" w:hAnsi="Tahoma" w:cs="Tahoma"/>
        </w:rPr>
        <w:t xml:space="preserve">, </w:t>
      </w:r>
      <w:r w:rsidR="00535E96" w:rsidRPr="00AA5C67">
        <w:rPr>
          <w:rStyle w:val="apple-converted-space"/>
          <w:rFonts w:ascii="Tahoma" w:hAnsi="Tahoma" w:cs="Tahoma"/>
          <w:iCs/>
        </w:rPr>
        <w:t>ekspresji płciowej,</w:t>
      </w:r>
      <w:r w:rsidRPr="00AA5C67">
        <w:rPr>
          <w:rFonts w:ascii="Tahoma" w:hAnsi="Tahoma" w:cs="Tahoma"/>
        </w:rPr>
        <w:t xml:space="preserve"> ani orientacji seksualnej.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AC0D70" w:rsidRPr="00AA5C67" w:rsidRDefault="004A4B66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Rolą państwa jest </w:t>
      </w:r>
      <w:r w:rsidR="00002807" w:rsidRPr="00AA5C67">
        <w:rPr>
          <w:rFonts w:ascii="Tahoma" w:hAnsi="Tahoma" w:cs="Tahoma"/>
        </w:rPr>
        <w:t>dbanie o bezpieczeństwo swoich obywateli i obywatelek poprzez przeciwdziałanie</w:t>
      </w:r>
      <w:r w:rsidRPr="00AA5C67">
        <w:rPr>
          <w:rFonts w:ascii="Tahoma" w:hAnsi="Tahoma" w:cs="Tahoma"/>
        </w:rPr>
        <w:t xml:space="preserve"> dyskryminacji </w:t>
      </w:r>
      <w:r w:rsidR="00002807" w:rsidRPr="00AA5C67">
        <w:rPr>
          <w:rFonts w:ascii="Tahoma" w:hAnsi="Tahoma" w:cs="Tahoma"/>
        </w:rPr>
        <w:t xml:space="preserve">oraz przemocy. W przypadku cech, </w:t>
      </w:r>
      <w:r w:rsidR="00BC6E39" w:rsidRPr="00AA5C67">
        <w:rPr>
          <w:rFonts w:ascii="Tahoma" w:hAnsi="Tahoma" w:cs="Tahoma"/>
        </w:rPr>
        <w:t>ze względu na</w:t>
      </w:r>
      <w:r w:rsidR="00002807" w:rsidRPr="00AA5C67">
        <w:rPr>
          <w:rFonts w:ascii="Tahoma" w:hAnsi="Tahoma" w:cs="Tahoma"/>
        </w:rPr>
        <w:t xml:space="preserve"> </w:t>
      </w:r>
      <w:r w:rsidR="00BC6E39" w:rsidRPr="00AA5C67">
        <w:rPr>
          <w:rFonts w:ascii="Tahoma" w:hAnsi="Tahoma" w:cs="Tahoma"/>
        </w:rPr>
        <w:t>które</w:t>
      </w:r>
      <w:r w:rsidR="00002807" w:rsidRPr="00AA5C67">
        <w:rPr>
          <w:rFonts w:ascii="Tahoma" w:hAnsi="Tahoma" w:cs="Tahoma"/>
        </w:rPr>
        <w:t xml:space="preserve"> dana osoba</w:t>
      </w:r>
      <w:r w:rsidR="00BC6E39" w:rsidRPr="00AA5C67">
        <w:rPr>
          <w:rFonts w:ascii="Tahoma" w:hAnsi="Tahoma" w:cs="Tahoma"/>
        </w:rPr>
        <w:t xml:space="preserve"> lub grupa osób</w:t>
      </w:r>
      <w:r w:rsidR="00002807" w:rsidRPr="00AA5C67">
        <w:rPr>
          <w:rFonts w:ascii="Tahoma" w:hAnsi="Tahoma" w:cs="Tahoma"/>
        </w:rPr>
        <w:t xml:space="preserve"> spotyka się z </w:t>
      </w:r>
      <w:r w:rsidR="00BC6E39" w:rsidRPr="00AA5C67">
        <w:rPr>
          <w:rFonts w:ascii="Tahoma" w:hAnsi="Tahoma" w:cs="Tahoma"/>
        </w:rPr>
        <w:t>dyskryminacyjnym</w:t>
      </w:r>
      <w:r w:rsidR="00002807" w:rsidRPr="00AA5C67">
        <w:rPr>
          <w:rFonts w:ascii="Tahoma" w:hAnsi="Tahoma" w:cs="Tahoma"/>
        </w:rPr>
        <w:t xml:space="preserve"> traktowaniem</w:t>
      </w:r>
      <w:r w:rsidR="00BC6E39" w:rsidRPr="00AA5C67">
        <w:rPr>
          <w:rFonts w:ascii="Tahoma" w:hAnsi="Tahoma" w:cs="Tahoma"/>
        </w:rPr>
        <w:t xml:space="preserve"> lub przemocą</w:t>
      </w:r>
      <w:r w:rsidR="00002807" w:rsidRPr="00AA5C67">
        <w:rPr>
          <w:rFonts w:ascii="Tahoma" w:hAnsi="Tahoma" w:cs="Tahoma"/>
        </w:rPr>
        <w:t>, p</w:t>
      </w:r>
      <w:r w:rsidRPr="00AA5C67">
        <w:rPr>
          <w:rFonts w:ascii="Tahoma" w:hAnsi="Tahoma" w:cs="Tahoma"/>
        </w:rPr>
        <w:t>odnoszenie świadomości społecznej i edukacj</w:t>
      </w:r>
      <w:r w:rsidR="00002807" w:rsidRPr="00AA5C67">
        <w:rPr>
          <w:rFonts w:ascii="Tahoma" w:hAnsi="Tahoma" w:cs="Tahoma"/>
        </w:rPr>
        <w:t>a</w:t>
      </w:r>
      <w:r w:rsidRPr="00AA5C67">
        <w:rPr>
          <w:rFonts w:ascii="Tahoma" w:hAnsi="Tahoma" w:cs="Tahoma"/>
        </w:rPr>
        <w:t xml:space="preserve"> antydyskryminacyjn</w:t>
      </w:r>
      <w:r w:rsidR="00002807" w:rsidRPr="00AA5C67">
        <w:rPr>
          <w:rFonts w:ascii="Tahoma" w:hAnsi="Tahoma" w:cs="Tahoma"/>
        </w:rPr>
        <w:t xml:space="preserve">a to za mało </w:t>
      </w:r>
      <w:r w:rsidR="0021153D" w:rsidRPr="00AA5C67">
        <w:rPr>
          <w:rFonts w:ascii="Tahoma" w:hAnsi="Tahoma" w:cs="Tahoma"/>
        </w:rPr>
        <w:t xml:space="preserve">- </w:t>
      </w:r>
      <w:r w:rsidRPr="00AA5C67">
        <w:rPr>
          <w:rFonts w:ascii="Tahoma" w:hAnsi="Tahoma" w:cs="Tahoma"/>
        </w:rPr>
        <w:t xml:space="preserve">ochrona ofiar </w:t>
      </w:r>
      <w:r w:rsidR="0021153D" w:rsidRPr="00AA5C67">
        <w:rPr>
          <w:rFonts w:ascii="Tahoma" w:hAnsi="Tahoma" w:cs="Tahoma"/>
        </w:rPr>
        <w:t>musi być oparta o system</w:t>
      </w:r>
      <w:r w:rsidR="00BC6E39" w:rsidRPr="00AA5C67">
        <w:rPr>
          <w:rFonts w:ascii="Tahoma" w:hAnsi="Tahoma" w:cs="Tahoma"/>
        </w:rPr>
        <w:t xml:space="preserve"> sankcji karnych skutecznie odstraszający sprawców.</w:t>
      </w:r>
    </w:p>
    <w:p w:rsidR="00AC0D70" w:rsidRPr="00AA5C67" w:rsidRDefault="00AC0D70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AC0D70" w:rsidRPr="00AA5C67" w:rsidRDefault="0021153D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Choć</w:t>
      </w:r>
      <w:r w:rsidR="004A4B66" w:rsidRPr="00AA5C67">
        <w:rPr>
          <w:rFonts w:ascii="Tahoma" w:hAnsi="Tahoma" w:cs="Tahoma"/>
        </w:rPr>
        <w:t xml:space="preserve"> </w:t>
      </w:r>
      <w:r w:rsidRPr="00AA5C67">
        <w:rPr>
          <w:rFonts w:ascii="Tahoma" w:hAnsi="Tahoma" w:cs="Tahoma"/>
        </w:rPr>
        <w:t>liczne zachowania o charakterze przemocowym lub dyskryminacyjnym</w:t>
      </w:r>
      <w:r w:rsidR="00BC6E39" w:rsidRPr="00AA5C67">
        <w:rPr>
          <w:rFonts w:ascii="Tahoma" w:hAnsi="Tahoma" w:cs="Tahoma"/>
        </w:rPr>
        <w:t xml:space="preserve"> </w:t>
      </w:r>
      <w:r w:rsidRPr="00AA5C67">
        <w:rPr>
          <w:rFonts w:ascii="Tahoma" w:hAnsi="Tahoma" w:cs="Tahoma"/>
        </w:rPr>
        <w:t>mogą zostać w świetle przepisów karnych potraktowane jako</w:t>
      </w:r>
      <w:r w:rsidR="004A4B66" w:rsidRPr="00AA5C67">
        <w:rPr>
          <w:rFonts w:ascii="Tahoma" w:hAnsi="Tahoma" w:cs="Tahoma"/>
        </w:rPr>
        <w:t xml:space="preserve"> </w:t>
      </w:r>
      <w:r w:rsidRPr="00AA5C67">
        <w:rPr>
          <w:rFonts w:ascii="Tahoma" w:hAnsi="Tahoma" w:cs="Tahoma"/>
        </w:rPr>
        <w:t>przestępstwa (np.</w:t>
      </w:r>
      <w:r w:rsidR="00BC6E39" w:rsidRPr="00AA5C67">
        <w:rPr>
          <w:rFonts w:ascii="Tahoma" w:hAnsi="Tahoma" w:cs="Tahoma"/>
        </w:rPr>
        <w:t xml:space="preserve"> jako</w:t>
      </w:r>
      <w:r w:rsidRPr="00AA5C67">
        <w:rPr>
          <w:rFonts w:ascii="Tahoma" w:hAnsi="Tahoma" w:cs="Tahoma"/>
        </w:rPr>
        <w:t xml:space="preserve"> </w:t>
      </w:r>
      <w:r w:rsidR="004A4B66" w:rsidRPr="00AA5C67">
        <w:rPr>
          <w:rFonts w:ascii="Tahoma" w:hAnsi="Tahoma" w:cs="Tahoma"/>
        </w:rPr>
        <w:t>nar</w:t>
      </w:r>
      <w:r w:rsidRPr="00AA5C67">
        <w:rPr>
          <w:rFonts w:ascii="Tahoma" w:hAnsi="Tahoma" w:cs="Tahoma"/>
        </w:rPr>
        <w:t>uszenie nietykalności cielesnej czy groźba), to n</w:t>
      </w:r>
      <w:r w:rsidR="004A4B66" w:rsidRPr="00AA5C67">
        <w:rPr>
          <w:rFonts w:ascii="Tahoma" w:hAnsi="Tahoma" w:cs="Tahoma"/>
        </w:rPr>
        <w:t xml:space="preserve">ależy </w:t>
      </w:r>
      <w:r w:rsidRPr="00AA5C67">
        <w:rPr>
          <w:rFonts w:ascii="Tahoma" w:hAnsi="Tahoma" w:cs="Tahoma"/>
        </w:rPr>
        <w:t>podkreślić</w:t>
      </w:r>
      <w:r w:rsidR="004A4B66" w:rsidRPr="00AA5C67">
        <w:rPr>
          <w:rFonts w:ascii="Tahoma" w:hAnsi="Tahoma" w:cs="Tahoma"/>
        </w:rPr>
        <w:t xml:space="preserve">, że jeżeli </w:t>
      </w:r>
      <w:r w:rsidRPr="00AA5C67">
        <w:rPr>
          <w:rFonts w:ascii="Tahoma" w:hAnsi="Tahoma" w:cs="Tahoma"/>
        </w:rPr>
        <w:t>motywacją sprawcy jest</w:t>
      </w:r>
      <w:r w:rsidR="004A4B66" w:rsidRPr="00AA5C67">
        <w:rPr>
          <w:rFonts w:ascii="Tahoma" w:hAnsi="Tahoma" w:cs="Tahoma"/>
        </w:rPr>
        <w:t xml:space="preserve"> fakt przynależności pokrzywdzonego do </w:t>
      </w:r>
      <w:r w:rsidRPr="00AA5C67">
        <w:rPr>
          <w:rFonts w:ascii="Tahoma" w:hAnsi="Tahoma" w:cs="Tahoma"/>
        </w:rPr>
        <w:t xml:space="preserve">danej </w:t>
      </w:r>
      <w:r w:rsidR="004A4B66" w:rsidRPr="00AA5C67">
        <w:rPr>
          <w:rFonts w:ascii="Tahoma" w:hAnsi="Tahoma" w:cs="Tahoma"/>
        </w:rPr>
        <w:t xml:space="preserve">grupy mniejszościowej, </w:t>
      </w:r>
      <w:r w:rsidRPr="00AA5C67">
        <w:rPr>
          <w:rFonts w:ascii="Tahoma" w:hAnsi="Tahoma" w:cs="Tahoma"/>
        </w:rPr>
        <w:t xml:space="preserve">to mamy do czynienia z </w:t>
      </w:r>
      <w:r w:rsidR="0010091B" w:rsidRPr="00AA5C67">
        <w:rPr>
          <w:rFonts w:ascii="Tahoma" w:hAnsi="Tahoma" w:cs="Tahoma"/>
        </w:rPr>
        <w:t>działaniem</w:t>
      </w:r>
      <w:r w:rsidRPr="00AA5C67">
        <w:rPr>
          <w:rFonts w:ascii="Tahoma" w:hAnsi="Tahoma" w:cs="Tahoma"/>
        </w:rPr>
        <w:t xml:space="preserve"> </w:t>
      </w:r>
      <w:r w:rsidR="0010091B" w:rsidRPr="00AA5C67">
        <w:rPr>
          <w:rFonts w:ascii="Tahoma" w:hAnsi="Tahoma" w:cs="Tahoma"/>
        </w:rPr>
        <w:t>wywołanym</w:t>
      </w:r>
      <w:r w:rsidRPr="00AA5C67">
        <w:rPr>
          <w:rFonts w:ascii="Tahoma" w:hAnsi="Tahoma" w:cs="Tahoma"/>
        </w:rPr>
        <w:t xml:space="preserve"> jego upr</w:t>
      </w:r>
      <w:r w:rsidR="0010091B" w:rsidRPr="00AA5C67">
        <w:rPr>
          <w:rFonts w:ascii="Tahoma" w:hAnsi="Tahoma" w:cs="Tahoma"/>
        </w:rPr>
        <w:t xml:space="preserve">zedzeniami, </w:t>
      </w:r>
      <w:r w:rsidRPr="00AA5C67">
        <w:rPr>
          <w:rFonts w:ascii="Tahoma" w:hAnsi="Tahoma" w:cs="Tahoma"/>
        </w:rPr>
        <w:t>o</w:t>
      </w:r>
      <w:r w:rsidR="0010091B" w:rsidRPr="00AA5C67">
        <w:rPr>
          <w:rFonts w:ascii="Tahoma" w:hAnsi="Tahoma" w:cs="Tahoma"/>
        </w:rPr>
        <w:t xml:space="preserve"> szczególnie</w:t>
      </w:r>
      <w:r w:rsidRPr="00AA5C67">
        <w:rPr>
          <w:rFonts w:ascii="Tahoma" w:hAnsi="Tahoma" w:cs="Tahoma"/>
        </w:rPr>
        <w:t xml:space="preserve"> nagannym społecznie charakterze, który zasługuję w związku z tym na surowsze potraktowanie.</w:t>
      </w:r>
    </w:p>
    <w:p w:rsidR="006C39D4" w:rsidRPr="00AA5C67" w:rsidRDefault="006C39D4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6C39D4" w:rsidRPr="00AA5C67" w:rsidRDefault="0010091B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lastRenderedPageBreak/>
        <w:t xml:space="preserve">Polski system ochrony przed dyskryminacją nie funkcjonuje w prawnej próżni i należy oceniać go w kontekście treści przepisów i orzecznictwa o charakterze ponadnarodowym. </w:t>
      </w:r>
      <w:r w:rsidR="006C39D4" w:rsidRPr="00AA5C67">
        <w:rPr>
          <w:rFonts w:ascii="Tahoma" w:hAnsi="Tahoma" w:cs="Tahoma"/>
        </w:rPr>
        <w:t>Europejski Trybunał Praw Człowieka</w:t>
      </w:r>
      <w:r w:rsidRPr="00AA5C67">
        <w:rPr>
          <w:rFonts w:ascii="Tahoma" w:hAnsi="Tahoma" w:cs="Tahoma"/>
        </w:rPr>
        <w:t xml:space="preserve"> (ETPCz)</w:t>
      </w:r>
      <w:r w:rsidR="006C39D4" w:rsidRPr="00AA5C67">
        <w:rPr>
          <w:rFonts w:ascii="Tahoma" w:hAnsi="Tahoma" w:cs="Tahoma"/>
        </w:rPr>
        <w:t xml:space="preserve"> w orzeczeniach dotyczących przestępstw z nienawiści lub motywowanych uprzedzeniami zwraca uwagę, że zakaz dyskryminacji wyraża elementarne wartości demokratycznych społeczeństw i państw, które tworzą Radę Europy (np. § 155 wyroku ETPCz z dnia 6 lipca 2005 r., </w:t>
      </w:r>
      <w:r w:rsidR="006C39D4" w:rsidRPr="00AA5C67">
        <w:rPr>
          <w:rFonts w:ascii="Tahoma" w:hAnsi="Tahoma" w:cs="Tahoma"/>
          <w:i/>
        </w:rPr>
        <w:t>Nachova i inni przeciwko Bułgarii</w:t>
      </w:r>
      <w:r w:rsidR="006C39D4" w:rsidRPr="00AA5C67">
        <w:rPr>
          <w:rFonts w:ascii="Tahoma" w:hAnsi="Tahoma" w:cs="Tahoma"/>
        </w:rPr>
        <w:t xml:space="preserve">, skarga nr 43577/98 i 43579/98). </w:t>
      </w:r>
      <w:r w:rsidRPr="00AA5C67">
        <w:rPr>
          <w:rFonts w:ascii="Tahoma" w:hAnsi="Tahoma" w:cs="Tahoma"/>
        </w:rPr>
        <w:t xml:space="preserve">ETPCz </w:t>
      </w:r>
      <w:r w:rsidR="006C39D4" w:rsidRPr="00AA5C67">
        <w:rPr>
          <w:rFonts w:ascii="Tahoma" w:hAnsi="Tahoma" w:cs="Tahoma"/>
        </w:rPr>
        <w:t>orzekł, że prawne kwalifikowanie przestępstw motywowanych uprzedzeniami jako przestępstw pozbawionych tej motywacji sprawia, że reakcja organów ścigania nie jest adekwatna i ogranicza prewencję</w:t>
      </w:r>
      <w:r w:rsidRPr="00AA5C67">
        <w:rPr>
          <w:rFonts w:ascii="Tahoma" w:hAnsi="Tahoma" w:cs="Tahoma"/>
        </w:rPr>
        <w:t>,</w:t>
      </w:r>
      <w:r w:rsidR="006C39D4" w:rsidRPr="00AA5C67">
        <w:rPr>
          <w:rFonts w:ascii="Tahoma" w:hAnsi="Tahoma" w:cs="Tahoma"/>
        </w:rPr>
        <w:t xml:space="preserve"> a także zaufanie do organów państwa jako obrońców ofiar (wyrok ETPCz z dnia 14 grudnia 2010 r., </w:t>
      </w:r>
      <w:r w:rsidR="006C39D4" w:rsidRPr="00AA5C67">
        <w:rPr>
          <w:rFonts w:ascii="Tahoma" w:hAnsi="Tahoma" w:cs="Tahoma"/>
          <w:i/>
        </w:rPr>
        <w:t>Milanović przeciwko Serbii</w:t>
      </w:r>
      <w:r w:rsidR="006C39D4" w:rsidRPr="00AA5C67">
        <w:rPr>
          <w:rFonts w:ascii="Tahoma" w:hAnsi="Tahoma" w:cs="Tahoma"/>
        </w:rPr>
        <w:t>, skarga nr 44614/07).</w:t>
      </w:r>
    </w:p>
    <w:p w:rsidR="006C39D4" w:rsidRPr="00AA5C67" w:rsidRDefault="006C39D4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21153D" w:rsidRPr="00AA5C67" w:rsidRDefault="0010091B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W kontekście konkretnych postulatów zmian, w</w:t>
      </w:r>
      <w:r w:rsidR="006C39D4" w:rsidRPr="00AA5C67">
        <w:rPr>
          <w:rFonts w:ascii="Tahoma" w:hAnsi="Tahoma" w:cs="Tahoma"/>
        </w:rPr>
        <w:t>prowadzenie do Kodeksu karnego zmian w celu karania przestępstw z nienawiści jako aktów dyskryminacji i przemocy ze względu na orientację seksualną, niepełnosprawność i wiek, zalecił Polsce Komitet Przeciwko Torturom (pkt 25 zaleceń końcowych dotyczących połączonego V i VI sprawozdania okresowego Polski z realizacji postanowień Konwencji w sprawie zakazu stosowania tortur oraz innego okrutnego, nieludzkiego lub poniżającego traktowania albo karania z dnia 19 listopada 2013 r.). Także Komitet Praw Człowieka zarekomendował znowelizowanie Kodeksu karnego:  należy wg . niego wprowadzić definicję mowy nienawiści i uznać za przestępstwa czyny motywowane nienawiści ze względu na orientację seksualną lub tożsamość płciową (pkt 8 uwag końcowych Komitetu Praw Człowieka do VI sprawozdania okresowego Polski z realizacji postanowień Międzynarodowego Paktu Praw Obywatelskich i Politycznych z dnia 26 października 2010 r.). Nowelizacja Kodeksu karnego w celu uwzględnienia mowy nienawiści i przestępstw motywowanych rasizmem, ksenofobią i homofobią to też jedno z ostatnich zaleceń Komitetu Praw Dziecka (pkt 17b zaleceń Komitetu Praw Dziecka z dnia 2 października 2015 r.).</w:t>
      </w:r>
    </w:p>
    <w:p w:rsidR="006C39D4" w:rsidRPr="00AA5C67" w:rsidRDefault="006C39D4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6C39D4" w:rsidRPr="00AA5C67" w:rsidRDefault="006C39D4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W zakresie niepełnosprawności, na Polsce ciąży na mocy art. 16 ust. 5 Konwencji o prawach osób niepełnosprawnych obowiązek uchwalenia prawa, które sprawi, że przypadki wykorzystywania, przemocy i nadużyć wobec </w:t>
      </w:r>
      <w:r w:rsidRPr="00AA5C67">
        <w:rPr>
          <w:rStyle w:val="apple-converted-space"/>
          <w:rFonts w:ascii="Tahoma" w:hAnsi="Tahoma" w:cs="Tahoma"/>
          <w:bCs/>
        </w:rPr>
        <w:t>osób niepełnosprawnych</w:t>
      </w:r>
      <w:r w:rsidRPr="00AA5C67">
        <w:rPr>
          <w:rFonts w:ascii="Tahoma" w:hAnsi="Tahoma" w:cs="Tahoma"/>
        </w:rPr>
        <w:t xml:space="preserve"> będą wykrywane, badane i ścigane. Brak przesłanki niepełnosprawności wśród </w:t>
      </w:r>
      <w:r w:rsidR="00110BB3" w:rsidRPr="00AA5C67">
        <w:rPr>
          <w:rFonts w:ascii="Tahoma" w:hAnsi="Tahoma" w:cs="Tahoma"/>
        </w:rPr>
        <w:t>cech</w:t>
      </w:r>
      <w:r w:rsidRPr="00AA5C67">
        <w:rPr>
          <w:rFonts w:ascii="Tahoma" w:hAnsi="Tahoma" w:cs="Tahoma"/>
        </w:rPr>
        <w:t xml:space="preserve"> chronionych w polskim Kodeksie karnym uniemożliwia pełną realizację tego zobowiązania.</w:t>
      </w:r>
    </w:p>
    <w:p w:rsidR="006C39D4" w:rsidRPr="00AA5C67" w:rsidRDefault="006C39D4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21153D" w:rsidRPr="00AA5C67" w:rsidRDefault="0021153D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W związku z tym, że motywowane różnorakimi uprzedzeniami przestępstwa z nienawiści są szczególnie groźne - uderzają w chronią na poziomie konstytucyjnym przyrodzoną godność każdego człowieka i uniemożliwiają pełną realizację</w:t>
      </w:r>
      <w:r w:rsidR="00D3310A" w:rsidRPr="00AA5C67">
        <w:rPr>
          <w:rFonts w:ascii="Tahoma" w:hAnsi="Tahoma" w:cs="Tahoma"/>
        </w:rPr>
        <w:t xml:space="preserve"> </w:t>
      </w:r>
      <w:r w:rsidR="00D3310A" w:rsidRPr="00AA5C67">
        <w:rPr>
          <w:rFonts w:ascii="Tahoma" w:hAnsi="Tahoma" w:cs="Tahoma"/>
        </w:rPr>
        <w:lastRenderedPageBreak/>
        <w:t xml:space="preserve">przysługujących wszystkim praw i wolności - konieczne jest naprawienie błędu </w:t>
      </w:r>
      <w:r w:rsidR="00110BB3" w:rsidRPr="00AA5C67">
        <w:rPr>
          <w:rFonts w:ascii="Tahoma" w:hAnsi="Tahoma" w:cs="Tahoma"/>
        </w:rPr>
        <w:t>w krajowym</w:t>
      </w:r>
      <w:r w:rsidR="00D3310A" w:rsidRPr="00AA5C67">
        <w:rPr>
          <w:rFonts w:ascii="Tahoma" w:hAnsi="Tahoma" w:cs="Tahoma"/>
        </w:rPr>
        <w:t xml:space="preserve"> system</w:t>
      </w:r>
      <w:r w:rsidR="00110BB3" w:rsidRPr="00AA5C67">
        <w:rPr>
          <w:rFonts w:ascii="Tahoma" w:hAnsi="Tahoma" w:cs="Tahoma"/>
        </w:rPr>
        <w:t>ie</w:t>
      </w:r>
      <w:r w:rsidR="00D3310A" w:rsidRPr="00AA5C67">
        <w:rPr>
          <w:rFonts w:ascii="Tahoma" w:hAnsi="Tahoma" w:cs="Tahoma"/>
        </w:rPr>
        <w:t xml:space="preserve"> prawa karnego polegającego na nieuwzględnieniu płci, niepełnosprawności,</w:t>
      </w:r>
      <w:r w:rsidR="00110BB3" w:rsidRPr="00AA5C67">
        <w:rPr>
          <w:rFonts w:ascii="Tahoma" w:hAnsi="Tahoma" w:cs="Tahoma"/>
        </w:rPr>
        <w:t xml:space="preserve"> wieku,</w:t>
      </w:r>
      <w:r w:rsidR="00D3310A" w:rsidRPr="00AA5C67">
        <w:rPr>
          <w:rFonts w:ascii="Tahoma" w:hAnsi="Tahoma" w:cs="Tahoma"/>
        </w:rPr>
        <w:t xml:space="preserve"> tożsamości płciowej oraz orientacji seksualnej w katalogu przesłanek chronionych.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II. Rzeczywisty stan w dziedzinie, która ma być unormowana</w:t>
      </w:r>
    </w:p>
    <w:p w:rsidR="0021153D" w:rsidRPr="00AA5C67" w:rsidRDefault="0021153D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110BB3" w:rsidRPr="00AA5C67" w:rsidRDefault="0021153D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Obowiązujące obecnie przepisy nie stanowią, że przestępstwem jest nawoływanie do nienawiści ze względu na płeć, </w:t>
      </w:r>
      <w:r w:rsidR="00110BB3" w:rsidRPr="00AA5C67">
        <w:rPr>
          <w:rFonts w:ascii="Tahoma" w:hAnsi="Tahoma" w:cs="Tahoma"/>
        </w:rPr>
        <w:t xml:space="preserve">wiek, </w:t>
      </w:r>
      <w:r w:rsidRPr="00AA5C67">
        <w:rPr>
          <w:rFonts w:ascii="Tahoma" w:hAnsi="Tahoma" w:cs="Tahoma"/>
        </w:rPr>
        <w:t xml:space="preserve">orientację seksualną, tożsamość płciową </w:t>
      </w:r>
      <w:r w:rsidR="00110BB3" w:rsidRPr="00AA5C67">
        <w:rPr>
          <w:rFonts w:ascii="Tahoma" w:hAnsi="Tahoma" w:cs="Tahoma"/>
        </w:rPr>
        <w:t>czy</w:t>
      </w:r>
      <w:r w:rsidRPr="00AA5C67">
        <w:rPr>
          <w:rFonts w:ascii="Tahoma" w:hAnsi="Tahoma" w:cs="Tahoma"/>
        </w:rPr>
        <w:t xml:space="preserve"> niepełnosprawność. Nie jest również przestępstwem znieważanie grupy ludności ze względu na te cechy. </w:t>
      </w:r>
    </w:p>
    <w:p w:rsidR="00110BB3" w:rsidRPr="00AA5C67" w:rsidRDefault="00110BB3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21153D" w:rsidRPr="00AA5C67" w:rsidRDefault="00110BB3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Obecnie p</w:t>
      </w:r>
      <w:r w:rsidR="0021153D" w:rsidRPr="00AA5C67">
        <w:rPr>
          <w:rFonts w:ascii="Tahoma" w:hAnsi="Tahoma" w:cs="Tahoma"/>
        </w:rPr>
        <w:t>rzestępstwem jest jedynie znieważenie innej osoby</w:t>
      </w:r>
      <w:r w:rsidRPr="00AA5C67">
        <w:rPr>
          <w:rFonts w:ascii="Tahoma" w:hAnsi="Tahoma" w:cs="Tahoma"/>
        </w:rPr>
        <w:t xml:space="preserve">. W </w:t>
      </w:r>
      <w:r w:rsidR="0021153D" w:rsidRPr="00AA5C67">
        <w:rPr>
          <w:rFonts w:ascii="Tahoma" w:hAnsi="Tahoma" w:cs="Tahoma"/>
        </w:rPr>
        <w:t xml:space="preserve">takim wypadku </w:t>
      </w:r>
      <w:r w:rsidRPr="00AA5C67">
        <w:rPr>
          <w:rFonts w:ascii="Tahoma" w:hAnsi="Tahoma" w:cs="Tahoma"/>
        </w:rPr>
        <w:t xml:space="preserve">nie mamy jednak </w:t>
      </w:r>
      <w:r w:rsidR="0021153D" w:rsidRPr="00AA5C67">
        <w:rPr>
          <w:rFonts w:ascii="Tahoma" w:hAnsi="Tahoma" w:cs="Tahoma"/>
        </w:rPr>
        <w:t>do czynienia z przestępstwem ściganym z urzędu, a jedynie z oskarżenia prywatnego. To sprawia, że ciężar zgromadzenia materiału dowodowego, sporządzenia i popierania aktu oskarżenia i uczestnictwa w postępowaniu sądowym spoczywa tylko na pokrzywdzonym. Jest tak mimo w oczywisty sposób szkodliwego społecznie charakteru przestępstw z nienawiści motywowanych wymienionymi wyżej przesłankami.</w:t>
      </w:r>
    </w:p>
    <w:p w:rsidR="0021153D" w:rsidRPr="00AA5C67" w:rsidRDefault="0021153D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21153D" w:rsidRPr="00AA5C67" w:rsidRDefault="0021153D" w:rsidP="00AA5C67">
      <w:pPr>
        <w:spacing w:before="120" w:after="120" w:line="276" w:lineRule="auto"/>
        <w:jc w:val="both"/>
        <w:rPr>
          <w:rFonts w:ascii="Tahoma" w:eastAsia="Cambria" w:hAnsi="Tahoma" w:cs="Tahoma"/>
        </w:rPr>
      </w:pPr>
      <w:r w:rsidRPr="00AA5C67">
        <w:rPr>
          <w:rFonts w:ascii="Tahoma" w:hAnsi="Tahoma" w:cs="Tahoma"/>
        </w:rPr>
        <w:t xml:space="preserve">Ponadto, fakt, że wyżej wymienione przesłanki nie są obecne w przepisach sprawia, że niezwykłe trudne jest badanie </w:t>
      </w:r>
      <w:r w:rsidR="00D3310A" w:rsidRPr="00AA5C67">
        <w:rPr>
          <w:rFonts w:ascii="Tahoma" w:hAnsi="Tahoma" w:cs="Tahoma"/>
        </w:rPr>
        <w:t xml:space="preserve">ich występowania i przeciwdziałanie im. Chociaż w medialnym i społecznym odbiorze motywacja przestępstwa z nienawiści w postaci płci, niepełnosprawności, tożsamości płciowej lub orientacji seksualnej jest powszechna, to ze statystycznego punktu widzenia przesłanki te stają się </w:t>
      </w:r>
      <w:r w:rsidR="000233EA" w:rsidRPr="00AA5C67">
        <w:rPr>
          <w:rFonts w:ascii="Tahoma" w:hAnsi="Tahoma" w:cs="Tahoma"/>
        </w:rPr>
        <w:t xml:space="preserve">mniej </w:t>
      </w:r>
      <w:r w:rsidR="00D3310A" w:rsidRPr="00AA5C67">
        <w:rPr>
          <w:rFonts w:ascii="Tahoma" w:hAnsi="Tahoma" w:cs="Tahoma"/>
        </w:rPr>
        <w:t>widoczne, co obniża skuteczność działań prewencyjnych.</w:t>
      </w:r>
      <w:r w:rsidR="000233EA" w:rsidRPr="00AA5C67">
        <w:rPr>
          <w:rFonts w:ascii="Tahoma" w:hAnsi="Tahoma" w:cs="Tahoma"/>
        </w:rPr>
        <w:t xml:space="preserve"> </w:t>
      </w:r>
      <w:r w:rsidR="007F1D22" w:rsidRPr="00AA5C67">
        <w:rPr>
          <w:rFonts w:ascii="Tahoma" w:hAnsi="Tahoma" w:cs="Tahoma"/>
        </w:rPr>
        <w:t xml:space="preserve">Badania wskazują, że mimo braków w statystykach mamy w tym obszarze do czynieia z kryzysem wywołanym bezczynnością państwa i jego organów ścigania: np. badanie przeprowadzone przez Centrum Badań nad Uprzedzeniami Uniwersytetu Warszawskiego w 2015 roku wskazują, że skala przestępstw wobec osób LGBT+ była ponad dwa razy wyższa niż wobec całej populacji </w:t>
      </w:r>
      <w:r w:rsidR="007F1D22" w:rsidRPr="00AA5C67">
        <w:rPr>
          <w:rStyle w:val="apple-converted-space"/>
          <w:rFonts w:ascii="Tahoma" w:eastAsia="Cambria" w:hAnsi="Tahoma" w:cs="Tahoma"/>
        </w:rPr>
        <w:t>(odpowiednio 6% i 13,5%).  Tak radykalna różnica jest spowodowana m. in. lukami w prawie chroniącym przed przestępstwami motywowanymi uprzedzeniami.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III. Różnice pomiędzy dotychczasowym a projektowanym stanem prawnym</w:t>
      </w:r>
      <w:r w:rsidR="002F5DF1" w:rsidRPr="00AA5C67">
        <w:rPr>
          <w:rFonts w:ascii="Tahoma" w:hAnsi="Tahoma" w:cs="Tahoma"/>
          <w:b/>
        </w:rPr>
        <w:t>[</w:t>
      </w:r>
    </w:p>
    <w:p w:rsidR="00D3310A" w:rsidRPr="00AA5C67" w:rsidRDefault="00D3310A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D3310A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Projekt przewiduje uzupełnienie katalogu przesłanek chronionych przed tzw. przestępstwami z nienawiści o </w:t>
      </w:r>
      <w:r w:rsidR="000233EA" w:rsidRPr="00AA5C67">
        <w:rPr>
          <w:rFonts w:ascii="Tahoma" w:hAnsi="Tahoma" w:cs="Tahoma"/>
        </w:rPr>
        <w:t>przesłanki: płci</w:t>
      </w:r>
      <w:r w:rsidRPr="00AA5C67">
        <w:rPr>
          <w:rFonts w:ascii="Tahoma" w:hAnsi="Tahoma" w:cs="Tahoma"/>
        </w:rPr>
        <w:t>, niepełnosprawnoś</w:t>
      </w:r>
      <w:r w:rsidR="000233EA" w:rsidRPr="00AA5C67">
        <w:rPr>
          <w:rFonts w:ascii="Tahoma" w:hAnsi="Tahoma" w:cs="Tahoma"/>
        </w:rPr>
        <w:t>ci</w:t>
      </w:r>
      <w:r w:rsidRPr="00AA5C67">
        <w:rPr>
          <w:rFonts w:ascii="Tahoma" w:hAnsi="Tahoma" w:cs="Tahoma"/>
        </w:rPr>
        <w:t>, tożsamoś</w:t>
      </w:r>
      <w:r w:rsidR="000233EA" w:rsidRPr="00AA5C67">
        <w:rPr>
          <w:rFonts w:ascii="Tahoma" w:hAnsi="Tahoma" w:cs="Tahoma"/>
        </w:rPr>
        <w:t>ci</w:t>
      </w:r>
      <w:r w:rsidRPr="00AA5C67">
        <w:rPr>
          <w:rFonts w:ascii="Tahoma" w:hAnsi="Tahoma" w:cs="Tahoma"/>
        </w:rPr>
        <w:t xml:space="preserve"> płciow</w:t>
      </w:r>
      <w:r w:rsidR="000233EA" w:rsidRPr="00AA5C67">
        <w:rPr>
          <w:rFonts w:ascii="Tahoma" w:hAnsi="Tahoma" w:cs="Tahoma"/>
        </w:rPr>
        <w:t>ej</w:t>
      </w:r>
      <w:r w:rsidR="00535E96" w:rsidRPr="00AA5C67">
        <w:rPr>
          <w:rFonts w:ascii="Tahoma" w:hAnsi="Tahoma" w:cs="Tahoma"/>
        </w:rPr>
        <w:t xml:space="preserve">, </w:t>
      </w:r>
      <w:r w:rsidR="00535E96" w:rsidRPr="00AA5C67">
        <w:rPr>
          <w:rStyle w:val="apple-converted-space"/>
          <w:rFonts w:ascii="Tahoma" w:hAnsi="Tahoma" w:cs="Tahoma"/>
          <w:iCs/>
        </w:rPr>
        <w:t>ekspresji płciowej</w:t>
      </w:r>
      <w:r w:rsidRPr="00AA5C67">
        <w:rPr>
          <w:rFonts w:ascii="Tahoma" w:hAnsi="Tahoma" w:cs="Tahoma"/>
        </w:rPr>
        <w:t xml:space="preserve"> i orientacj</w:t>
      </w:r>
      <w:r w:rsidR="000233EA" w:rsidRPr="00AA5C67">
        <w:rPr>
          <w:rFonts w:ascii="Tahoma" w:hAnsi="Tahoma" w:cs="Tahoma"/>
        </w:rPr>
        <w:t>i</w:t>
      </w:r>
      <w:r w:rsidRPr="00AA5C67">
        <w:rPr>
          <w:rFonts w:ascii="Tahoma" w:hAnsi="Tahoma" w:cs="Tahoma"/>
        </w:rPr>
        <w:t xml:space="preserve"> seksualn</w:t>
      </w:r>
      <w:r w:rsidR="000233EA" w:rsidRPr="00AA5C67">
        <w:rPr>
          <w:rFonts w:ascii="Tahoma" w:hAnsi="Tahoma" w:cs="Tahoma"/>
        </w:rPr>
        <w:t>ej.</w:t>
      </w:r>
      <w:r w:rsidRPr="00AA5C67">
        <w:rPr>
          <w:rFonts w:ascii="Tahoma" w:hAnsi="Tahoma" w:cs="Tahoma"/>
        </w:rPr>
        <w:t xml:space="preserve"> </w:t>
      </w:r>
    </w:p>
    <w:p w:rsidR="00DA5417" w:rsidRPr="00AA5C67" w:rsidRDefault="00DA5417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D3310A" w:rsidRPr="00AA5C67" w:rsidRDefault="00DA5417" w:rsidP="00AA5C67">
      <w:pPr>
        <w:shd w:val="clear" w:color="auto" w:fill="FFFFFF"/>
        <w:spacing w:before="120" w:after="120" w:line="276" w:lineRule="auto"/>
        <w:jc w:val="both"/>
        <w:rPr>
          <w:rFonts w:ascii="Tahoma" w:hAnsi="Tahoma" w:cs="Tahoma"/>
          <w:color w:val="222222"/>
          <w:u w:color="222222"/>
        </w:rPr>
      </w:pPr>
      <w:r w:rsidRPr="00AA5C67">
        <w:rPr>
          <w:rStyle w:val="apple-converted-space"/>
          <w:rFonts w:ascii="Tahoma" w:hAnsi="Tahoma" w:cs="Tahoma"/>
          <w:color w:val="222222"/>
          <w:u w:color="222222"/>
        </w:rPr>
        <w:t xml:space="preserve">Celem proponowanych zmian w art. 119 § 1 kk, 256 § 1 oraz 257 kk jest więc rozszerzenie katalogu </w:t>
      </w:r>
      <w:r w:rsidR="00110BB3" w:rsidRPr="00AA5C67">
        <w:rPr>
          <w:rStyle w:val="apple-converted-space"/>
          <w:rFonts w:ascii="Tahoma" w:hAnsi="Tahoma" w:cs="Tahoma"/>
          <w:color w:val="222222"/>
          <w:u w:color="222222"/>
        </w:rPr>
        <w:t>cech chronionych</w:t>
      </w:r>
      <w:r w:rsidRPr="00AA5C67">
        <w:rPr>
          <w:rStyle w:val="apple-converted-space"/>
          <w:rFonts w:ascii="Tahoma" w:hAnsi="Tahoma" w:cs="Tahoma"/>
          <w:color w:val="222222"/>
          <w:u w:color="222222"/>
        </w:rPr>
        <w:t xml:space="preserve">. Propozycja nie obejmuje jednak ogólnych kryteriów i przesłanek, a określa i konkretnie definiuje chronione cechy, </w:t>
      </w:r>
      <w:r w:rsidR="00110BB3" w:rsidRPr="00AA5C67">
        <w:rPr>
          <w:rStyle w:val="apple-converted-space"/>
          <w:rFonts w:ascii="Tahoma" w:hAnsi="Tahoma" w:cs="Tahoma"/>
          <w:color w:val="222222"/>
          <w:u w:color="222222"/>
        </w:rPr>
        <w:t>by</w:t>
      </w:r>
      <w:r w:rsidRPr="00AA5C67">
        <w:rPr>
          <w:rStyle w:val="apple-converted-space"/>
          <w:rFonts w:ascii="Tahoma" w:hAnsi="Tahoma" w:cs="Tahoma"/>
          <w:color w:val="222222"/>
          <w:u w:color="222222"/>
        </w:rPr>
        <w:t xml:space="preserve"> </w:t>
      </w:r>
      <w:r w:rsidR="00110BB3" w:rsidRPr="00AA5C67">
        <w:rPr>
          <w:rStyle w:val="apple-converted-space"/>
          <w:rFonts w:ascii="Tahoma" w:hAnsi="Tahoma" w:cs="Tahoma"/>
          <w:color w:val="222222"/>
          <w:u w:color="222222"/>
        </w:rPr>
        <w:t>spełnić wymogi związane</w:t>
      </w:r>
      <w:r w:rsidRPr="00AA5C67">
        <w:rPr>
          <w:rStyle w:val="apple-converted-space"/>
          <w:rFonts w:ascii="Tahoma" w:hAnsi="Tahoma" w:cs="Tahoma"/>
          <w:color w:val="222222"/>
          <w:u w:color="222222"/>
        </w:rPr>
        <w:t xml:space="preserve"> z zasadą określoności przepisów prawa, szczególnie ważnej, gdy mowa o przepisach prawa karnego.</w:t>
      </w:r>
      <w:r w:rsidRPr="00AA5C67">
        <w:rPr>
          <w:rFonts w:ascii="Tahoma" w:hAnsi="Tahoma" w:cs="Tahoma"/>
          <w:color w:val="222222"/>
          <w:u w:color="222222"/>
        </w:rPr>
        <w:t xml:space="preserve"> W </w:t>
      </w:r>
      <w:r w:rsidR="00D3310A" w:rsidRPr="00AA5C67">
        <w:rPr>
          <w:rFonts w:ascii="Tahoma" w:hAnsi="Tahoma" w:cs="Tahoma"/>
        </w:rPr>
        <w:t>celu usunięcia wątpliwości interpretacyjnych, projekt wprowadza do kodeksu karnego definicje legalne orientacji seksualnej i tożsamości płciowej jako nowych przesłanek chronionych, których dookreślenie mogłoby okazać się problematyczne dla stosujących przepisy prokuratur i sądów.</w:t>
      </w:r>
    </w:p>
    <w:p w:rsidR="00D3310A" w:rsidRPr="00AA5C67" w:rsidRDefault="00D3310A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IV. Przewidywane skutki społeczne, gospodarcze, finansowe i prawne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233EA" w:rsidRPr="00AA5C67" w:rsidRDefault="000233EA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Skutki społeczne projektu będą pozytywne, ponieważ pozwolą skuteczniej chronić przed dyskryminacją, przemocą i mową nienawiści obywateli i obywatelki narażone na takie działania ze względu na płeć, niepełnosprawność, orientację seksualną lub tożsamość płciową.</w:t>
      </w:r>
      <w:r w:rsidR="007F1D22" w:rsidRPr="00AA5C67">
        <w:rPr>
          <w:rFonts w:ascii="Tahoma" w:hAnsi="Tahoma" w:cs="Tahoma"/>
        </w:rPr>
        <w:t xml:space="preserve"> Wyraźne wyodrębnienie przestępstw motywowanych uprzedzeniami i nienawiścią w prawie karnym,  dotkliwa sankcja i wskazanie pełnego katalogu chronionych przesłanek wyraźnie wskażą brak akceptacji społeczeństwa i państwa  dla takich czynów, co ułatwi prewencję i zniechęci potencjalnych sprawców.</w:t>
      </w:r>
    </w:p>
    <w:p w:rsidR="000233EA" w:rsidRPr="00AA5C67" w:rsidRDefault="000233EA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B9744D" w:rsidRPr="00AA5C67" w:rsidRDefault="00B9744D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 xml:space="preserve">Jednocześnie, proponowane zmiany nie będą miały negatywnego wpływu na ochronę wolności wypowiedzi. Przewidywane rozszerzenie ochrony prawnokarnej ma bowiem na celu sankcjonowanie wypowiedzi i działań o szczególnie rażącym charakterze. Wolność słowa znajduje się po ochroną art. 54 Konstytucji Rzeczpospolitej Polskiej czy art. 10 Konwencji o ochronie praw człowieka i podstawowych wolności, a przepisy te zapewniają ochronę przed nieuzasadnionym ograniczaniem prawa do wypowiedzi czy cenzurą. Europejski Trybunał Praw Człowieka dopuszcza jednak ograniczenie wolności słowa wobec wypowiedzi dyskryminacyjnych i niejednokrotnie odmawiał przyznania ochrony z art. 10 Konwencji. Strony, które uznają się za skazane z naruszeniem Konwencji za wypowiedź o charakterze kontrowersyjnym, wulgarnym lub obraźliwym, ale nienoszącą charakteru wskazanego w krajowych przepisach karnych, zachowają prawo do zastosowania środków przewidzianych w Konwencji.  </w:t>
      </w:r>
    </w:p>
    <w:p w:rsidR="000233EA" w:rsidRPr="00AA5C67" w:rsidRDefault="000233EA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0233EA" w:rsidRPr="00AA5C67" w:rsidRDefault="000233EA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Skutkiem prawnym ustawy będzie realizacja w przepisach kodeku karnego licznych rekomendacji międzynarodowych instytucji pracujących na rzecz podniesienia standardu ochrony praw człowieka.</w:t>
      </w:r>
    </w:p>
    <w:p w:rsidR="000233EA" w:rsidRPr="00AA5C67" w:rsidRDefault="000233EA" w:rsidP="00AA5C67">
      <w:pPr>
        <w:spacing w:before="120" w:after="120" w:line="276" w:lineRule="auto"/>
        <w:jc w:val="both"/>
        <w:rPr>
          <w:rFonts w:ascii="Tahoma" w:hAnsi="Tahoma" w:cs="Tahoma"/>
        </w:rPr>
      </w:pPr>
    </w:p>
    <w:p w:rsidR="000233EA" w:rsidRPr="00AA5C67" w:rsidRDefault="000233EA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Ustawa nie będzie mieć istotnych skutków gospodarczych ani finansowych.</w:t>
      </w:r>
    </w:p>
    <w:p w:rsidR="00B9744D" w:rsidRPr="00AA5C67" w:rsidRDefault="00B9744D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 xml:space="preserve">V. Źródła finansowania, jeżeli projekt ustawy pociąga za sobą obciążenie budżetu państwa lub budżetów jednostek samorządu terytorialnego 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002807" w:rsidP="00AA5C67">
      <w:pPr>
        <w:shd w:val="clear" w:color="auto" w:fill="FFFFFF"/>
        <w:spacing w:before="120" w:after="120" w:line="276" w:lineRule="auto"/>
        <w:jc w:val="both"/>
        <w:rPr>
          <w:rStyle w:val="apple-converted-space"/>
          <w:rFonts w:ascii="Tahoma" w:hAnsi="Tahoma" w:cs="Tahoma"/>
          <w:color w:val="222222"/>
          <w:u w:color="222222"/>
        </w:rPr>
      </w:pPr>
      <w:r w:rsidRPr="00AA5C67">
        <w:rPr>
          <w:rStyle w:val="apple-converted-space"/>
          <w:rFonts w:ascii="Tahoma" w:hAnsi="Tahoma" w:cs="Tahoma"/>
          <w:color w:val="222222"/>
          <w:u w:color="222222"/>
        </w:rPr>
        <w:t>Uchwalenie projektu nie pociąga za sobą obciążenia budżetu państwa ani budżetów jednostek samorządu terytorialnego dodatkowymi kosztami.</w:t>
      </w:r>
    </w:p>
    <w:p w:rsidR="00535E96" w:rsidRPr="00AA5C67" w:rsidRDefault="00535E96" w:rsidP="00AA5C67">
      <w:pPr>
        <w:shd w:val="clear" w:color="auto" w:fill="FFFFFF"/>
        <w:spacing w:before="120" w:after="120" w:line="276" w:lineRule="auto"/>
        <w:jc w:val="both"/>
        <w:rPr>
          <w:rStyle w:val="apple-converted-space"/>
          <w:rFonts w:ascii="Tahoma" w:hAnsi="Tahoma" w:cs="Tahoma"/>
          <w:color w:val="222222"/>
          <w:u w:color="222222"/>
        </w:rPr>
      </w:pPr>
    </w:p>
    <w:p w:rsidR="00535E96" w:rsidRPr="00AA5C67" w:rsidRDefault="00535E96" w:rsidP="00AA5C67">
      <w:pPr>
        <w:shd w:val="clear" w:color="auto" w:fill="FFFFFF"/>
        <w:spacing w:before="120" w:after="120" w:line="276" w:lineRule="auto"/>
        <w:jc w:val="both"/>
        <w:rPr>
          <w:rFonts w:ascii="Tahoma" w:hAnsi="Tahoma" w:cs="Tahoma"/>
          <w:color w:val="222222"/>
          <w:u w:color="222222"/>
        </w:rPr>
      </w:pPr>
      <w:r w:rsidRPr="00AA5C67">
        <w:rPr>
          <w:rStyle w:val="apple-converted-space"/>
          <w:rFonts w:ascii="Tahoma" w:hAnsi="Tahoma" w:cs="Tahoma"/>
          <w:color w:val="222222"/>
          <w:u w:color="222222"/>
        </w:rPr>
        <w:t>Rozszerzenie katalogu przestępstw podlegających karze grzywny może poskutkować bardzo umiarkowanym wzrostem dochodów państwa z tytułu tego typu kar nakładanych w związku z egzekwowaniem nowych przepisów karnych.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VI. Założenia projektów podstawowych aktów wykonawczych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</w:rPr>
      </w:pPr>
      <w:r w:rsidRPr="00AA5C67">
        <w:rPr>
          <w:rFonts w:ascii="Tahoma" w:hAnsi="Tahoma" w:cs="Tahoma"/>
        </w:rPr>
        <w:t>Projekt nie przewiduje wydania nowych ani zmiany treści obowiązujących aktów wykonawczych.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  <w:r w:rsidRPr="00AA5C67">
        <w:rPr>
          <w:rFonts w:ascii="Tahoma" w:hAnsi="Tahoma" w:cs="Tahoma"/>
          <w:b/>
        </w:rPr>
        <w:t>VII. Zgodność z prawem Unii Europejskiej</w:t>
      </w:r>
    </w:p>
    <w:p w:rsidR="00002807" w:rsidRPr="00AA5C67" w:rsidRDefault="00002807" w:rsidP="00AA5C67">
      <w:pPr>
        <w:spacing w:before="120" w:after="120" w:line="276" w:lineRule="auto"/>
        <w:jc w:val="both"/>
        <w:rPr>
          <w:rFonts w:ascii="Tahoma" w:hAnsi="Tahoma" w:cs="Tahoma"/>
          <w:b/>
        </w:rPr>
      </w:pPr>
    </w:p>
    <w:p w:rsidR="00064E26" w:rsidRPr="00AA5C67" w:rsidRDefault="00002807" w:rsidP="00AA5C67">
      <w:pPr>
        <w:shd w:val="clear" w:color="auto" w:fill="FFFFFF"/>
        <w:spacing w:before="120" w:after="120" w:line="276" w:lineRule="auto"/>
        <w:jc w:val="both"/>
        <w:rPr>
          <w:rStyle w:val="apple-converted-space"/>
          <w:rFonts w:ascii="Tahoma" w:hAnsi="Tahoma" w:cs="Tahoma"/>
          <w:b/>
          <w:color w:val="222222"/>
          <w:u w:color="222222"/>
        </w:rPr>
      </w:pPr>
      <w:r w:rsidRPr="00AA5C67">
        <w:rPr>
          <w:rStyle w:val="apple-converted-space"/>
          <w:rFonts w:ascii="Tahoma" w:hAnsi="Tahoma" w:cs="Tahoma"/>
          <w:color w:val="222222"/>
          <w:u w:color="222222"/>
        </w:rPr>
        <w:t xml:space="preserve">Projektowana ustawa nie jest niezgodna z prawem Unii Europejskiej ani nie jest ustawą wykonującą prawo Unii Europejskiej. </w:t>
      </w:r>
    </w:p>
    <w:sectPr w:rsidR="00064E26" w:rsidRPr="00AA5C67" w:rsidSect="00BE189F"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57B9" w:rsidRDefault="006857B9">
      <w:r>
        <w:separator/>
      </w:r>
    </w:p>
  </w:endnote>
  <w:endnote w:type="continuationSeparator" w:id="0">
    <w:p w:rsidR="006857B9" w:rsidRDefault="00685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24402002"/>
      <w:docPartObj>
        <w:docPartGallery w:val="Page Numbers (Bottom of Page)"/>
        <w:docPartUnique/>
      </w:docPartObj>
    </w:sdtPr>
    <w:sdtEndPr/>
    <w:sdtContent>
      <w:p w:rsidR="006C5065" w:rsidRDefault="00D0142D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3832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A25B97" w:rsidRPr="006C5065" w:rsidRDefault="00A25B97">
    <w:pPr>
      <w:pStyle w:val="Stopka"/>
      <w:tabs>
        <w:tab w:val="clear" w:pos="9072"/>
        <w:tab w:val="right" w:pos="9046"/>
      </w:tabs>
      <w:spacing w:line="240" w:lineRule="exact"/>
      <w:jc w:val="center"/>
      <w:rPr>
        <w:rFonts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57B9" w:rsidRDefault="006857B9">
      <w:r>
        <w:separator/>
      </w:r>
    </w:p>
  </w:footnote>
  <w:footnote w:type="continuationSeparator" w:id="0">
    <w:p w:rsidR="006857B9" w:rsidRDefault="006857B9">
      <w:r>
        <w:continuationSeparator/>
      </w:r>
    </w:p>
  </w:footnote>
  <w:footnote w:type="continuationNotice" w:id="1">
    <w:p w:rsidR="006857B9" w:rsidRDefault="006857B9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A93F09"/>
    <w:multiLevelType w:val="hybridMultilevel"/>
    <w:tmpl w:val="744042EC"/>
    <w:numStyleLink w:val="Zaimportowanystyl3"/>
  </w:abstractNum>
  <w:abstractNum w:abstractNumId="1" w15:restartNumberingAfterBreak="0">
    <w:nsid w:val="25821564"/>
    <w:multiLevelType w:val="hybridMultilevel"/>
    <w:tmpl w:val="907ED192"/>
    <w:styleLink w:val="Zaimportowanystyl1"/>
    <w:lvl w:ilvl="0" w:tplc="6D06DC9E">
      <w:start w:val="1"/>
      <w:numFmt w:val="decimal"/>
      <w:lvlText w:val="%1)"/>
      <w:lvlJc w:val="left"/>
      <w:pPr>
        <w:ind w:left="425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51AA39E">
      <w:start w:val="1"/>
      <w:numFmt w:val="lowerLetter"/>
      <w:lvlText w:val="%2."/>
      <w:lvlJc w:val="left"/>
      <w:pPr>
        <w:ind w:left="114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665AEA66">
      <w:start w:val="1"/>
      <w:numFmt w:val="lowerRoman"/>
      <w:lvlText w:val="%3."/>
      <w:lvlJc w:val="left"/>
      <w:pPr>
        <w:ind w:left="1865" w:hanging="6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D692231C">
      <w:start w:val="1"/>
      <w:numFmt w:val="decimal"/>
      <w:lvlText w:val="%4."/>
      <w:lvlJc w:val="left"/>
      <w:pPr>
        <w:ind w:left="258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400A17B4">
      <w:start w:val="1"/>
      <w:numFmt w:val="lowerLetter"/>
      <w:lvlText w:val="%5."/>
      <w:lvlJc w:val="left"/>
      <w:pPr>
        <w:ind w:left="330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B2B682B0">
      <w:start w:val="1"/>
      <w:numFmt w:val="lowerRoman"/>
      <w:lvlText w:val="%6."/>
      <w:lvlJc w:val="left"/>
      <w:pPr>
        <w:ind w:left="4025" w:hanging="6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38486C60">
      <w:start w:val="1"/>
      <w:numFmt w:val="decimal"/>
      <w:lvlText w:val="%7."/>
      <w:lvlJc w:val="left"/>
      <w:pPr>
        <w:ind w:left="474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31668374">
      <w:start w:val="1"/>
      <w:numFmt w:val="lowerLetter"/>
      <w:lvlText w:val="%8."/>
      <w:lvlJc w:val="left"/>
      <w:pPr>
        <w:ind w:left="5465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5CD6D004">
      <w:start w:val="1"/>
      <w:numFmt w:val="lowerRoman"/>
      <w:lvlText w:val="%9."/>
      <w:lvlJc w:val="left"/>
      <w:pPr>
        <w:ind w:left="6185" w:hanging="64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2E732F8B"/>
    <w:multiLevelType w:val="hybridMultilevel"/>
    <w:tmpl w:val="2140D834"/>
    <w:lvl w:ilvl="0" w:tplc="0788675E">
      <w:start w:val="6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670D81"/>
    <w:multiLevelType w:val="hybridMultilevel"/>
    <w:tmpl w:val="744042EC"/>
    <w:styleLink w:val="Zaimportowanystyl3"/>
    <w:lvl w:ilvl="0" w:tplc="C10A26A6">
      <w:start w:val="1"/>
      <w:numFmt w:val="bullet"/>
      <w:lvlText w:val="•"/>
      <w:lvlJc w:val="left"/>
      <w:pPr>
        <w:ind w:left="709" w:hanging="709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2B827E2C">
      <w:start w:val="1"/>
      <w:numFmt w:val="bullet"/>
      <w:lvlText w:val="o"/>
      <w:lvlJc w:val="left"/>
      <w:pPr>
        <w:ind w:left="720" w:hanging="698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0144D83A">
      <w:start w:val="1"/>
      <w:numFmt w:val="bullet"/>
      <w:lvlText w:val="▪"/>
      <w:lvlJc w:val="left"/>
      <w:pPr>
        <w:ind w:left="1440" w:hanging="68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BE963A22">
      <w:start w:val="1"/>
      <w:numFmt w:val="bullet"/>
      <w:lvlText w:val="•"/>
      <w:lvlJc w:val="left"/>
      <w:pPr>
        <w:ind w:left="2160" w:hanging="676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99748CF0">
      <w:start w:val="1"/>
      <w:numFmt w:val="bullet"/>
      <w:lvlText w:val="o"/>
      <w:lvlJc w:val="left"/>
      <w:pPr>
        <w:ind w:left="2880" w:hanging="665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40C666EC">
      <w:start w:val="1"/>
      <w:numFmt w:val="bullet"/>
      <w:lvlText w:val="▪"/>
      <w:lvlJc w:val="left"/>
      <w:pPr>
        <w:ind w:left="3600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E85CA38C">
      <w:start w:val="1"/>
      <w:numFmt w:val="bullet"/>
      <w:lvlText w:val="•"/>
      <w:lvlJc w:val="left"/>
      <w:pPr>
        <w:ind w:left="4320" w:hanging="643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E350FDBC">
      <w:start w:val="1"/>
      <w:numFmt w:val="bullet"/>
      <w:lvlText w:val="o"/>
      <w:lvlJc w:val="left"/>
      <w:pPr>
        <w:ind w:left="5040" w:hanging="632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AABC8D98">
      <w:start w:val="1"/>
      <w:numFmt w:val="bullet"/>
      <w:lvlText w:val="▪"/>
      <w:lvlJc w:val="left"/>
      <w:pPr>
        <w:ind w:left="5760" w:hanging="621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2B14CC7"/>
    <w:multiLevelType w:val="hybridMultilevel"/>
    <w:tmpl w:val="A1222B08"/>
    <w:lvl w:ilvl="0" w:tplc="C204C276">
      <w:start w:val="4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226496F"/>
    <w:multiLevelType w:val="hybridMultilevel"/>
    <w:tmpl w:val="F410D350"/>
    <w:styleLink w:val="Zaimportowanystyl2"/>
    <w:lvl w:ilvl="0" w:tplc="225690F2">
      <w:start w:val="1"/>
      <w:numFmt w:val="upperLetter"/>
      <w:lvlText w:val="(%1)"/>
      <w:lvlJc w:val="left"/>
      <w:pPr>
        <w:ind w:left="709" w:hanging="70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396A2890">
      <w:start w:val="1"/>
      <w:numFmt w:val="lowerLetter"/>
      <w:lvlText w:val="%2."/>
      <w:lvlJc w:val="left"/>
      <w:pPr>
        <w:ind w:left="698" w:hanging="698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8068A54E">
      <w:start w:val="1"/>
      <w:numFmt w:val="lowerRoman"/>
      <w:lvlText w:val="%3."/>
      <w:lvlJc w:val="left"/>
      <w:pPr>
        <w:ind w:left="1410" w:hanging="61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4420F320">
      <w:start w:val="1"/>
      <w:numFmt w:val="decimal"/>
      <w:lvlText w:val="%4."/>
      <w:lvlJc w:val="left"/>
      <w:pPr>
        <w:ind w:left="2130" w:hanging="67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C9F8C3CC">
      <w:start w:val="1"/>
      <w:numFmt w:val="lowerLetter"/>
      <w:lvlText w:val="%5."/>
      <w:lvlJc w:val="left"/>
      <w:pPr>
        <w:ind w:left="2850" w:hanging="66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1988D576">
      <w:start w:val="1"/>
      <w:numFmt w:val="lowerRoman"/>
      <w:lvlText w:val="%6."/>
      <w:lvlJc w:val="left"/>
      <w:pPr>
        <w:ind w:left="3570" w:hanging="579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ECA5084">
      <w:start w:val="1"/>
      <w:numFmt w:val="decimal"/>
      <w:lvlText w:val="%7."/>
      <w:lvlJc w:val="left"/>
      <w:pPr>
        <w:ind w:left="4290" w:hanging="64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2CB2F7EE">
      <w:start w:val="1"/>
      <w:numFmt w:val="lowerLetter"/>
      <w:lvlText w:val="%8."/>
      <w:lvlJc w:val="left"/>
      <w:pPr>
        <w:ind w:left="5010" w:hanging="632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3DC3986">
      <w:start w:val="1"/>
      <w:numFmt w:val="lowerRoman"/>
      <w:lvlText w:val="%9."/>
      <w:lvlJc w:val="left"/>
      <w:pPr>
        <w:ind w:left="5730" w:hanging="5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C0373E6"/>
    <w:multiLevelType w:val="hybridMultilevel"/>
    <w:tmpl w:val="F410D350"/>
    <w:numStyleLink w:val="Zaimportowanystyl2"/>
  </w:abstractNum>
  <w:abstractNum w:abstractNumId="7" w15:restartNumberingAfterBreak="0">
    <w:nsid w:val="738F771F"/>
    <w:multiLevelType w:val="hybridMultilevel"/>
    <w:tmpl w:val="907ED192"/>
    <w:numStyleLink w:val="Zaimportowanystyl1"/>
  </w:abstractNum>
  <w:num w:numId="1">
    <w:abstractNumId w:val="1"/>
  </w:num>
  <w:num w:numId="2">
    <w:abstractNumId w:val="7"/>
  </w:num>
  <w:num w:numId="3">
    <w:abstractNumId w:val="5"/>
  </w:num>
  <w:num w:numId="4">
    <w:abstractNumId w:val="6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D70"/>
    <w:rsid w:val="00002807"/>
    <w:rsid w:val="0001511F"/>
    <w:rsid w:val="000233EA"/>
    <w:rsid w:val="00064E26"/>
    <w:rsid w:val="0007295C"/>
    <w:rsid w:val="000910D7"/>
    <w:rsid w:val="000B0D4B"/>
    <w:rsid w:val="0010091B"/>
    <w:rsid w:val="00103335"/>
    <w:rsid w:val="00110BB3"/>
    <w:rsid w:val="0011115E"/>
    <w:rsid w:val="00163DC5"/>
    <w:rsid w:val="00177952"/>
    <w:rsid w:val="001C61C8"/>
    <w:rsid w:val="001D0991"/>
    <w:rsid w:val="00204832"/>
    <w:rsid w:val="0021153D"/>
    <w:rsid w:val="002E3960"/>
    <w:rsid w:val="002E5FC3"/>
    <w:rsid w:val="002F5DF1"/>
    <w:rsid w:val="00304F58"/>
    <w:rsid w:val="0039029D"/>
    <w:rsid w:val="003B6A1D"/>
    <w:rsid w:val="003F7FD2"/>
    <w:rsid w:val="00400B1B"/>
    <w:rsid w:val="00486FF2"/>
    <w:rsid w:val="004A4B66"/>
    <w:rsid w:val="00525AC1"/>
    <w:rsid w:val="00535E96"/>
    <w:rsid w:val="005878AD"/>
    <w:rsid w:val="005A17C5"/>
    <w:rsid w:val="005C604F"/>
    <w:rsid w:val="005E385F"/>
    <w:rsid w:val="00621B6A"/>
    <w:rsid w:val="006857B9"/>
    <w:rsid w:val="006C0D06"/>
    <w:rsid w:val="006C39D4"/>
    <w:rsid w:val="006C5065"/>
    <w:rsid w:val="006D53CA"/>
    <w:rsid w:val="007B343F"/>
    <w:rsid w:val="007E5185"/>
    <w:rsid w:val="007F1D22"/>
    <w:rsid w:val="00803943"/>
    <w:rsid w:val="0080616B"/>
    <w:rsid w:val="0084797B"/>
    <w:rsid w:val="008574B1"/>
    <w:rsid w:val="0088251D"/>
    <w:rsid w:val="008F2966"/>
    <w:rsid w:val="009C110A"/>
    <w:rsid w:val="00A204E6"/>
    <w:rsid w:val="00A25B97"/>
    <w:rsid w:val="00A712A7"/>
    <w:rsid w:val="00A94CD4"/>
    <w:rsid w:val="00AA5C67"/>
    <w:rsid w:val="00AC0D70"/>
    <w:rsid w:val="00AD0416"/>
    <w:rsid w:val="00B9744D"/>
    <w:rsid w:val="00BB4709"/>
    <w:rsid w:val="00BC6E39"/>
    <w:rsid w:val="00BE189F"/>
    <w:rsid w:val="00C043F2"/>
    <w:rsid w:val="00C12CA1"/>
    <w:rsid w:val="00C3217D"/>
    <w:rsid w:val="00C5363A"/>
    <w:rsid w:val="00D0142D"/>
    <w:rsid w:val="00D3310A"/>
    <w:rsid w:val="00D454B3"/>
    <w:rsid w:val="00D63832"/>
    <w:rsid w:val="00DA5417"/>
    <w:rsid w:val="00DB2B2F"/>
    <w:rsid w:val="00DC1FAF"/>
    <w:rsid w:val="00DF6FF3"/>
    <w:rsid w:val="00E12233"/>
    <w:rsid w:val="00E75C07"/>
    <w:rsid w:val="00EB2AE5"/>
    <w:rsid w:val="00EF10C5"/>
    <w:rsid w:val="00F22B18"/>
    <w:rsid w:val="00FF7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ED174D90-B83B-4946-9984-0FEB6FFB08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Pr>
      <w:rFonts w:cs="Arial Unicode MS"/>
      <w:color w:val="000000"/>
      <w:sz w:val="24"/>
      <w:szCs w:val="24"/>
      <w:u w:color="000000"/>
    </w:rPr>
  </w:style>
  <w:style w:type="paragraph" w:styleId="Nagwek1">
    <w:name w:val="heading 1"/>
    <w:next w:val="Normalny"/>
    <w:pPr>
      <w:keepNext/>
      <w:keepLines/>
      <w:spacing w:before="240"/>
      <w:outlineLvl w:val="0"/>
    </w:pPr>
    <w:rPr>
      <w:rFonts w:ascii="Cambria" w:eastAsia="Cambria" w:hAnsi="Cambria" w:cs="Cambria"/>
      <w:color w:val="365F91"/>
      <w:sz w:val="32"/>
      <w:szCs w:val="32"/>
      <w:u w:color="365F91"/>
    </w:rPr>
  </w:style>
  <w:style w:type="paragraph" w:styleId="Nagwek2">
    <w:name w:val="heading 2"/>
    <w:next w:val="Normalny"/>
    <w:pPr>
      <w:keepNext/>
      <w:keepLines/>
      <w:spacing w:before="40"/>
      <w:outlineLvl w:val="1"/>
    </w:pPr>
    <w:rPr>
      <w:rFonts w:ascii="Cambria" w:eastAsia="Cambria" w:hAnsi="Cambria" w:cs="Cambria"/>
      <w:color w:val="365F91"/>
      <w:sz w:val="26"/>
      <w:szCs w:val="26"/>
      <w:u w:color="365F91"/>
    </w:rPr>
  </w:style>
  <w:style w:type="paragraph" w:styleId="Nagwek3">
    <w:name w:val="heading 3"/>
    <w:next w:val="Normalny"/>
    <w:pPr>
      <w:keepNext/>
      <w:keepLines/>
      <w:spacing w:before="40"/>
      <w:outlineLvl w:val="2"/>
    </w:pPr>
    <w:rPr>
      <w:rFonts w:ascii="Cambria" w:eastAsia="Cambria" w:hAnsi="Cambria" w:cs="Cambria"/>
      <w:color w:val="243F60"/>
      <w:sz w:val="24"/>
      <w:szCs w:val="24"/>
      <w:u w:color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apple-converted-space">
    <w:name w:val="apple-converted-space"/>
  </w:style>
  <w:style w:type="numbering" w:customStyle="1" w:styleId="Zaimportowanystyl1">
    <w:name w:val="Zaimportowany styl 1"/>
    <w:pPr>
      <w:numPr>
        <w:numId w:val="1"/>
      </w:numPr>
    </w:pPr>
  </w:style>
  <w:style w:type="character" w:customStyle="1" w:styleId="OdwoanieprzypisudolnegoFootnoteReferneceFootnoteReferenceNumber">
    <w:name w:val="Odwołanie przypisu dolnego;Footnote Refernece;Footnote Reference Number"/>
    <w:basedOn w:val="apple-converted-space"/>
    <w:rPr>
      <w:vertAlign w:val="superscript"/>
    </w:rPr>
  </w:style>
  <w:style w:type="paragraph" w:styleId="Tekstprzypisudolnego">
    <w:name w:val="footnote text"/>
    <w:link w:val="TekstprzypisudolnegoZnak"/>
    <w:uiPriority w:val="99"/>
    <w:rPr>
      <w:rFonts w:eastAsia="Times New Roman"/>
      <w:color w:val="000000"/>
      <w:u w:color="000000"/>
    </w:rPr>
  </w:style>
  <w:style w:type="character" w:customStyle="1" w:styleId="Hyperlink0">
    <w:name w:val="Hyperlink.0"/>
    <w:basedOn w:val="apple-converted-space"/>
    <w:rPr>
      <w:color w:val="0000FF"/>
      <w:u w:val="single" w:color="0000FF"/>
    </w:rPr>
  </w:style>
  <w:style w:type="paragraph" w:styleId="Akapitzlist">
    <w:name w:val="List Paragraph"/>
    <w:pPr>
      <w:ind w:left="72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NormalnyWeb">
    <w:name w:val="Normal (Web)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numbering" w:customStyle="1" w:styleId="Zaimportowanystyl3">
    <w:name w:val="Zaimportowany styl 3"/>
    <w:pPr>
      <w:numPr>
        <w:numId w:val="5"/>
      </w:numPr>
    </w:pPr>
  </w:style>
  <w:style w:type="paragraph" w:styleId="Legenda">
    <w:name w:val="caption"/>
    <w:next w:val="Normalny"/>
    <w:pPr>
      <w:spacing w:after="200"/>
    </w:pPr>
    <w:rPr>
      <w:rFonts w:cs="Arial Unicode MS"/>
      <w:i/>
      <w:iCs/>
      <w:color w:val="1F497D"/>
      <w:sz w:val="18"/>
      <w:szCs w:val="18"/>
      <w:u w:color="1F497D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A712A7"/>
    <w:rPr>
      <w:rFonts w:eastAsia="Times New Roman"/>
      <w:color w:val="000000"/>
      <w:u w:color="000000"/>
    </w:rPr>
  </w:style>
  <w:style w:type="character" w:styleId="Odwoanieprzypisudolnego">
    <w:name w:val="footnote reference"/>
    <w:basedOn w:val="Domylnaczcionkaakapitu"/>
    <w:uiPriority w:val="99"/>
    <w:unhideWhenUsed/>
    <w:rsid w:val="00A712A7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0616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0616B"/>
    <w:rPr>
      <w:rFonts w:ascii="Segoe UI" w:hAnsi="Segoe UI" w:cs="Segoe UI"/>
      <w:color w:val="000000"/>
      <w:sz w:val="18"/>
      <w:szCs w:val="18"/>
      <w:u w:color="000000"/>
    </w:rPr>
  </w:style>
  <w:style w:type="paragraph" w:customStyle="1" w:styleId="Normalny1">
    <w:name w:val="Normalny1"/>
    <w:rsid w:val="006D53CA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hd w:val="clear" w:color="auto" w:fill="FFFFFF"/>
    </w:pPr>
    <w:rPr>
      <w:rFonts w:ascii="Liberation Serif" w:eastAsia="Liberation Serif" w:hAnsi="Liberation Serif" w:cs="Liberation Serif"/>
      <w:color w:val="000000"/>
      <w:sz w:val="24"/>
      <w:szCs w:val="24"/>
      <w:bdr w:val="none" w:sz="0" w:space="0" w:color="auto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E39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E39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E3960"/>
    <w:rPr>
      <w:rFonts w:cs="Arial Unicode MS"/>
      <w:color w:val="000000"/>
      <w:u w:color="000000"/>
    </w:rPr>
  </w:style>
  <w:style w:type="paragraph" w:styleId="Nagwek">
    <w:name w:val="header"/>
    <w:basedOn w:val="Normalny"/>
    <w:link w:val="NagwekZnak"/>
    <w:uiPriority w:val="99"/>
    <w:semiHidden/>
    <w:unhideWhenUsed/>
    <w:rsid w:val="006C506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6C5065"/>
    <w:rPr>
      <w:rFonts w:cs="Arial Unicode MS"/>
      <w:color w:val="000000"/>
      <w:sz w:val="24"/>
      <w:szCs w:val="24"/>
      <w:u w:color="000000"/>
    </w:rPr>
  </w:style>
  <w:style w:type="character" w:customStyle="1" w:styleId="StopkaZnak">
    <w:name w:val="Stopka Znak"/>
    <w:basedOn w:val="Domylnaczcionkaakapitu"/>
    <w:link w:val="Stopka"/>
    <w:uiPriority w:val="99"/>
    <w:rsid w:val="006C5065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29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4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D1F4B7B-BFFB-4B49-BC85-088936F36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1481</Words>
  <Characters>8889</Characters>
  <Application>Microsoft Office Word</Application>
  <DocSecurity>0</DocSecurity>
  <Lines>74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D. Grabowska</dc:creator>
  <cp:lastModifiedBy>Grzegorz Molesztak</cp:lastModifiedBy>
  <cp:revision>3</cp:revision>
  <cp:lastPrinted>2016-07-04T12:39:00Z</cp:lastPrinted>
  <dcterms:created xsi:type="dcterms:W3CDTF">2019-12-13T12:28:00Z</dcterms:created>
  <dcterms:modified xsi:type="dcterms:W3CDTF">2020-01-08T11:32:00Z</dcterms:modified>
</cp:coreProperties>
</file>