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03F02" w14:textId="77777777" w:rsidR="0095045F" w:rsidRPr="00FD3A19" w:rsidRDefault="0095045F" w:rsidP="0095045F">
      <w:pPr>
        <w:jc w:val="center"/>
        <w:rPr>
          <w:rFonts w:ascii="Arial" w:hAnsi="Arial" w:cs="Arial"/>
          <w:b/>
          <w:bCs/>
          <w:sz w:val="24"/>
          <w:szCs w:val="20"/>
        </w:rPr>
      </w:pPr>
      <w:r w:rsidRPr="00FD3A19">
        <w:rPr>
          <w:rFonts w:ascii="Arial" w:hAnsi="Arial" w:cs="Arial"/>
          <w:b/>
          <w:bCs/>
          <w:sz w:val="24"/>
          <w:szCs w:val="20"/>
        </w:rPr>
        <w:t>UZASADNIENIE</w:t>
      </w:r>
    </w:p>
    <w:p w14:paraId="43A73A12" w14:textId="474B912A" w:rsidR="0095045F" w:rsidRPr="00925585" w:rsidRDefault="0095045F" w:rsidP="0095045F">
      <w:pPr>
        <w:pStyle w:val="Normal1"/>
      </w:pPr>
      <w:r w:rsidRPr="00925585">
        <w:t xml:space="preserve">Projekt </w:t>
      </w:r>
      <w:r w:rsidRPr="00925585">
        <w:rPr>
          <w:i/>
          <w:iCs/>
        </w:rPr>
        <w:t>ustawy o zmianie ustawy o odnawialnych źródłach energii oraz niektórych innych ustaw</w:t>
      </w:r>
      <w:r w:rsidRPr="00925585">
        <w:t xml:space="preserve"> ma na celu modyfikację funkcjonującego systemu wsparcia </w:t>
      </w:r>
      <w:proofErr w:type="spellStart"/>
      <w:r w:rsidRPr="00925585">
        <w:t>prosumpcji</w:t>
      </w:r>
      <w:proofErr w:type="spellEnd"/>
      <w:r w:rsidRPr="00925585">
        <w:t xml:space="preserve"> </w:t>
      </w:r>
      <w:r>
        <w:t>przez</w:t>
      </w:r>
      <w:r w:rsidRPr="00925585">
        <w:t xml:space="preserve"> stworzenie warunków do szerszej partycypacji społeczeństwa. Głównym celem niniejszego projektu jest promocja </w:t>
      </w:r>
      <w:r>
        <w:t xml:space="preserve">wykorzystania </w:t>
      </w:r>
      <w:r w:rsidRPr="00925585">
        <w:t>odnawialnych źródeł energii w form</w:t>
      </w:r>
      <w:r>
        <w:t>ul</w:t>
      </w:r>
      <w:r w:rsidRPr="00925585">
        <w:t>e rozproszonej i obywatelskiej</w:t>
      </w:r>
      <w:r>
        <w:t>,</w:t>
      </w:r>
      <w:r w:rsidRPr="00925585">
        <w:t xml:space="preserve"> co przyczyni się do osiągnięcia </w:t>
      </w:r>
      <w:r>
        <w:t xml:space="preserve">krajowego </w:t>
      </w:r>
      <w:r w:rsidRPr="00925585">
        <w:t xml:space="preserve">celu udziału energii ze źródeł odnawialnych w końcowym zużyciu energii brutto. Przedstawiane rozwiązania adresują zidentyfikowane problemy w funkcjonowaniu modelu </w:t>
      </w:r>
      <w:proofErr w:type="spellStart"/>
      <w:r w:rsidRPr="00925585">
        <w:t>prosumpcji</w:t>
      </w:r>
      <w:proofErr w:type="spellEnd"/>
      <w:r w:rsidRPr="00925585">
        <w:t xml:space="preserve"> oraz umożliwią korzystanie z</w:t>
      </w:r>
      <w:r w:rsidR="0000415C">
        <w:t>e</w:t>
      </w:r>
      <w:r w:rsidRPr="00925585">
        <w:t xml:space="preserve"> wsparcia energetyki </w:t>
      </w:r>
      <w:proofErr w:type="spellStart"/>
      <w:r w:rsidRPr="00925585">
        <w:t>prosumenckiej</w:t>
      </w:r>
      <w:proofErr w:type="spellEnd"/>
      <w:r w:rsidRPr="00925585">
        <w:t xml:space="preserve"> przez grupy odbiorców energii, które dotychczas nie miały takiej możliwości</w:t>
      </w:r>
      <w:r w:rsidR="0000415C">
        <w:t>,</w:t>
      </w:r>
      <w:r w:rsidRPr="00925585">
        <w:t xml:space="preserve"> wprowadzając wariant </w:t>
      </w:r>
      <w:r>
        <w:t>„</w:t>
      </w:r>
      <w:r w:rsidRPr="00925585">
        <w:t>prosumenta zbiorowego energii odnawialnej</w:t>
      </w:r>
      <w:r>
        <w:t>”</w:t>
      </w:r>
      <w:r w:rsidRPr="00925585">
        <w:t xml:space="preserve"> (</w:t>
      </w:r>
      <w:r w:rsidR="002A09DF">
        <w:t>służący</w:t>
      </w:r>
      <w:r w:rsidRPr="00925585">
        <w:t xml:space="preserve"> budowie i eksploatacji instalacji </w:t>
      </w:r>
      <w:r w:rsidR="0000415C">
        <w:t>odnawialnego źródła energii (</w:t>
      </w:r>
      <w:r w:rsidRPr="00925585">
        <w:t>OZE</w:t>
      </w:r>
      <w:r w:rsidR="0000415C">
        <w:t>)</w:t>
      </w:r>
      <w:r w:rsidRPr="00925585">
        <w:t xml:space="preserve"> w ramach budynków wielolokalowych) oraz </w:t>
      </w:r>
      <w:r>
        <w:t>„</w:t>
      </w:r>
      <w:r w:rsidRPr="00925585">
        <w:t>prosumenta wirtualnego energii odnawialnej</w:t>
      </w:r>
      <w:r>
        <w:t>”</w:t>
      </w:r>
      <w:r w:rsidRPr="00925585">
        <w:t xml:space="preserve"> (opierającego się na koncepcji przypisania określonej części produkcji z oddalonej instalacji OZE do danego punktu poboru energii). Dodatkowo projekt ustawy doprecyzowuje regulacje, wobec których zidentyfikowane zostały wątpliwości interpretacyjne lub </w:t>
      </w:r>
      <w:r w:rsidR="00BA328C">
        <w:t xml:space="preserve">które </w:t>
      </w:r>
      <w:r w:rsidRPr="00925585">
        <w:t>są wdrażane w różny sposób przez uczestników rynku</w:t>
      </w:r>
      <w:r>
        <w:t>, a także</w:t>
      </w:r>
      <w:r w:rsidRPr="00925585">
        <w:t xml:space="preserve"> wprowadza zmiany niezbędne do kompleksowego usprawnienia działania i promocji systemu </w:t>
      </w:r>
      <w:proofErr w:type="spellStart"/>
      <w:r w:rsidRPr="00925585">
        <w:t>prosumpcji</w:t>
      </w:r>
      <w:proofErr w:type="spellEnd"/>
      <w:r w:rsidRPr="00925585">
        <w:t xml:space="preserve"> w Polsce.</w:t>
      </w:r>
    </w:p>
    <w:p w14:paraId="016B910C" w14:textId="6CD8FF96" w:rsidR="0095045F" w:rsidRPr="00925585" w:rsidRDefault="0095045F" w:rsidP="0095045F">
      <w:pPr>
        <w:pStyle w:val="Normal1"/>
      </w:pPr>
      <w:r w:rsidRPr="00925585">
        <w:t>Projekt jest implementacją art. 2 pkt 15 i art. 21 ust. 1</w:t>
      </w:r>
      <w:r w:rsidR="0000415C">
        <w:t xml:space="preserve"> i </w:t>
      </w:r>
      <w:r w:rsidRPr="00925585">
        <w:t xml:space="preserve"> 4</w:t>
      </w:r>
      <w:r w:rsidR="0000415C">
        <w:rPr>
          <w:rFonts w:ascii="Times New Roman" w:hAnsi="Times New Roman" w:cs="Times New Roman"/>
          <w:sz w:val="24"/>
        </w:rPr>
        <w:t>–</w:t>
      </w:r>
      <w:r w:rsidRPr="00925585">
        <w:t>6 dyrektywy Parlamentu Europejskiego i</w:t>
      </w:r>
      <w:r>
        <w:t> </w:t>
      </w:r>
      <w:r w:rsidRPr="00925585">
        <w:t>Rady (UE) 2018/2001 z dnia 11 grudnia 2018 r. w sprawie promowania stosowania energii ze źródeł odnawialnych</w:t>
      </w:r>
      <w:r w:rsidR="0000415C">
        <w:t xml:space="preserve"> (Dz. Urz. UE L 328  21.12.2018, str</w:t>
      </w:r>
      <w:r w:rsidR="0000415C" w:rsidRPr="0000415C">
        <w:t>. 82</w:t>
      </w:r>
      <w:r w:rsidR="0000415C">
        <w:t xml:space="preserve">, z </w:t>
      </w:r>
      <w:proofErr w:type="spellStart"/>
      <w:r w:rsidR="0000415C">
        <w:t>późn</w:t>
      </w:r>
      <w:proofErr w:type="spellEnd"/>
      <w:r w:rsidR="0000415C">
        <w:t xml:space="preserve">. </w:t>
      </w:r>
      <w:proofErr w:type="spellStart"/>
      <w:r w:rsidR="0000415C">
        <w:t>zm</w:t>
      </w:r>
      <w:proofErr w:type="spellEnd"/>
      <w:r w:rsidR="0000415C">
        <w:t>)</w:t>
      </w:r>
      <w:r w:rsidRPr="00925585">
        <w:t xml:space="preserve"> (dalej jako „dyrektywa RED II”). Proponowane przepisy dopuszczają możliwość eksploatacji przez prosumentów energii odnawialnej instalacji, która nie jest ich własnością i która może być zarządzana przez osobę trzecią, która jednak podlega ich instrukcjom</w:t>
      </w:r>
      <w:r>
        <w:t>,</w:t>
      </w:r>
      <w:r w:rsidRPr="00925585">
        <w:t xml:space="preserve"> co jest w pełni zgodne z</w:t>
      </w:r>
      <w:r>
        <w:t> </w:t>
      </w:r>
      <w:r w:rsidR="0000415C">
        <w:t xml:space="preserve">regulacjami </w:t>
      </w:r>
      <w:r>
        <w:t xml:space="preserve">dyrektywy </w:t>
      </w:r>
      <w:r w:rsidRPr="00925585">
        <w:t xml:space="preserve">RED II. </w:t>
      </w:r>
    </w:p>
    <w:p w14:paraId="16A817EF" w14:textId="5BD21E25" w:rsidR="0095045F" w:rsidRPr="00925585" w:rsidRDefault="0095045F" w:rsidP="0095045F">
      <w:pPr>
        <w:pStyle w:val="Normal1"/>
      </w:pPr>
      <w:r w:rsidRPr="00925585">
        <w:t xml:space="preserve">Działania mające na celu rozwój i wykorzystanie energetyki </w:t>
      </w:r>
      <w:proofErr w:type="spellStart"/>
      <w:r w:rsidRPr="00925585">
        <w:t>prosumenckiej</w:t>
      </w:r>
      <w:proofErr w:type="spellEnd"/>
      <w:r w:rsidRPr="00925585">
        <w:t xml:space="preserve"> i rozproszonej przyczynią się równocześnie do realizacji innych priorytetów rządu</w:t>
      </w:r>
      <w:r>
        <w:t>,</w:t>
      </w:r>
      <w:r w:rsidRPr="00925585">
        <w:t xml:space="preserve"> takich jak:</w:t>
      </w:r>
    </w:p>
    <w:p w14:paraId="49AAE37F" w14:textId="26DB46A3" w:rsidR="0095045F" w:rsidRPr="00925585" w:rsidRDefault="0095045F" w:rsidP="0095045F">
      <w:pPr>
        <w:pStyle w:val="Normal1"/>
        <w:numPr>
          <w:ilvl w:val="0"/>
          <w:numId w:val="7"/>
        </w:numPr>
      </w:pPr>
      <w:r w:rsidRPr="00925585">
        <w:t>poprawa efektywności energetycznej</w:t>
      </w:r>
      <w:r w:rsidR="0000415C">
        <w:t>;</w:t>
      </w:r>
      <w:r w:rsidRPr="00925585">
        <w:t xml:space="preserve"> </w:t>
      </w:r>
    </w:p>
    <w:p w14:paraId="3BE662E8" w14:textId="4531A2D9" w:rsidR="0095045F" w:rsidRPr="00925585" w:rsidRDefault="0095045F" w:rsidP="0095045F">
      <w:pPr>
        <w:pStyle w:val="Normal1"/>
        <w:numPr>
          <w:ilvl w:val="0"/>
          <w:numId w:val="7"/>
        </w:numPr>
      </w:pPr>
      <w:r w:rsidRPr="00925585">
        <w:t>zmniejszenie emisyjności sektora energetycznego</w:t>
      </w:r>
      <w:r w:rsidR="0000415C">
        <w:t>;</w:t>
      </w:r>
      <w:r w:rsidRPr="00925585">
        <w:t xml:space="preserve"> </w:t>
      </w:r>
    </w:p>
    <w:p w14:paraId="106D1F52" w14:textId="1C412B30" w:rsidR="0095045F" w:rsidRPr="00925585" w:rsidRDefault="0095045F" w:rsidP="0095045F">
      <w:pPr>
        <w:pStyle w:val="Normal1"/>
        <w:numPr>
          <w:ilvl w:val="0"/>
          <w:numId w:val="7"/>
        </w:numPr>
      </w:pPr>
      <w:r w:rsidRPr="00925585">
        <w:t>poprawa lokalnego bezpieczeństwa energetycznego</w:t>
      </w:r>
      <w:r w:rsidR="0000415C">
        <w:t>;</w:t>
      </w:r>
      <w:r w:rsidRPr="00925585">
        <w:t xml:space="preserve"> </w:t>
      </w:r>
    </w:p>
    <w:p w14:paraId="455759BE" w14:textId="77777777" w:rsidR="0095045F" w:rsidRPr="00925585" w:rsidRDefault="0095045F" w:rsidP="0095045F">
      <w:pPr>
        <w:pStyle w:val="Normal1"/>
        <w:numPr>
          <w:ilvl w:val="0"/>
          <w:numId w:val="7"/>
        </w:numPr>
      </w:pPr>
      <w:r w:rsidRPr="00925585">
        <w:t xml:space="preserve">walka ze zjawiskiem smogu. </w:t>
      </w:r>
    </w:p>
    <w:p w14:paraId="431A9668" w14:textId="77777777" w:rsidR="0095045F" w:rsidRPr="00925585" w:rsidRDefault="0095045F" w:rsidP="0095045F">
      <w:pPr>
        <w:pStyle w:val="Normal1"/>
      </w:pPr>
      <w:r w:rsidRPr="00925585">
        <w:t>Proponowana nowelizacja stanowi odpowiedź na następujące problemy:</w:t>
      </w:r>
    </w:p>
    <w:p w14:paraId="6E08D916" w14:textId="0B228770" w:rsidR="0095045F" w:rsidRPr="00925585" w:rsidRDefault="0095045F" w:rsidP="0095045F">
      <w:pPr>
        <w:pStyle w:val="Normal1"/>
        <w:numPr>
          <w:ilvl w:val="0"/>
          <w:numId w:val="8"/>
        </w:numPr>
      </w:pPr>
      <w:r w:rsidRPr="00925585">
        <w:t xml:space="preserve">umożliwienie pełnej partycypacji społeczeństwa w systemie </w:t>
      </w:r>
      <w:proofErr w:type="spellStart"/>
      <w:r w:rsidRPr="00925585">
        <w:t>prosumenckim</w:t>
      </w:r>
      <w:proofErr w:type="spellEnd"/>
      <w:r w:rsidR="0000415C">
        <w:t>;</w:t>
      </w:r>
      <w:r w:rsidRPr="00925585">
        <w:t xml:space="preserve"> </w:t>
      </w:r>
    </w:p>
    <w:p w14:paraId="647D21DE" w14:textId="46B2939A" w:rsidR="0095045F" w:rsidRPr="00925585" w:rsidRDefault="0095045F" w:rsidP="0095045F">
      <w:pPr>
        <w:pStyle w:val="Normal1"/>
        <w:numPr>
          <w:ilvl w:val="0"/>
          <w:numId w:val="8"/>
        </w:numPr>
      </w:pPr>
      <w:r w:rsidRPr="00925585">
        <w:t>zwiększenie efektów działań wspierających przedsięwzięcia niskoemisyjne</w:t>
      </w:r>
      <w:r w:rsidR="0000415C">
        <w:t>;</w:t>
      </w:r>
    </w:p>
    <w:p w14:paraId="2F892BAC" w14:textId="77777777" w:rsidR="0095045F" w:rsidRPr="00925585" w:rsidRDefault="0095045F" w:rsidP="0095045F">
      <w:pPr>
        <w:pStyle w:val="Normal1"/>
        <w:numPr>
          <w:ilvl w:val="0"/>
          <w:numId w:val="8"/>
        </w:numPr>
      </w:pPr>
      <w:r w:rsidRPr="00925585">
        <w:t>zwiększenie udziału energii ze źródeł odnawialnych w końcowym zużyciu energii brutto.</w:t>
      </w:r>
    </w:p>
    <w:p w14:paraId="3C5D4026" w14:textId="77777777" w:rsidR="0095045F" w:rsidRPr="00925585" w:rsidRDefault="0095045F" w:rsidP="0095045F">
      <w:pPr>
        <w:pStyle w:val="Normal1"/>
      </w:pPr>
      <w:r w:rsidRPr="00925585">
        <w:t xml:space="preserve">Projekt ustawy przewiduje: </w:t>
      </w:r>
    </w:p>
    <w:p w14:paraId="6072C366" w14:textId="4BD55276" w:rsidR="0095045F" w:rsidRPr="00925585" w:rsidRDefault="0095045F" w:rsidP="0095045F">
      <w:pPr>
        <w:pStyle w:val="Normal1"/>
        <w:numPr>
          <w:ilvl w:val="0"/>
          <w:numId w:val="9"/>
        </w:numPr>
      </w:pPr>
      <w:r w:rsidRPr="00925585">
        <w:t xml:space="preserve">wprowadzenie nowego modelu rozliczeń w ramach wsparcia energetyki </w:t>
      </w:r>
      <w:proofErr w:type="spellStart"/>
      <w:r w:rsidRPr="00925585">
        <w:t>prosumenckiej</w:t>
      </w:r>
      <w:proofErr w:type="spellEnd"/>
      <w:r w:rsidRPr="00925585">
        <w:t xml:space="preserve"> adresującego zidentyfikowane problemy funkcjonowania dotychczasowego modelu rozliczeń</w:t>
      </w:r>
      <w:r w:rsidR="0000415C">
        <w:t>;</w:t>
      </w:r>
    </w:p>
    <w:p w14:paraId="2DBF18D7" w14:textId="77777777" w:rsidR="0095045F" w:rsidRPr="00925585" w:rsidRDefault="0095045F" w:rsidP="0095045F">
      <w:pPr>
        <w:pStyle w:val="Normal1"/>
        <w:numPr>
          <w:ilvl w:val="0"/>
          <w:numId w:val="9"/>
        </w:numPr>
      </w:pPr>
      <w:r w:rsidRPr="00925585">
        <w:t>wprowadzenie nowych definicji</w:t>
      </w:r>
      <w:r w:rsidR="0000415C">
        <w:t>,</w:t>
      </w:r>
      <w:r w:rsidRPr="00925585">
        <w:t xml:space="preserve"> m.in.: prosumenta zbiorowego energii odnawialnej i</w:t>
      </w:r>
      <w:r>
        <w:t> </w:t>
      </w:r>
      <w:r w:rsidRPr="00925585">
        <w:t>prosumenta wirtualnego energii odnawialnej</w:t>
      </w:r>
      <w:r w:rsidR="0000415C">
        <w:t>,</w:t>
      </w:r>
      <w:r w:rsidRPr="00925585">
        <w:t xml:space="preserve"> zwiększających dostępność modeli </w:t>
      </w:r>
      <w:proofErr w:type="spellStart"/>
      <w:r w:rsidRPr="00925585">
        <w:t>prosumenckich</w:t>
      </w:r>
      <w:proofErr w:type="spellEnd"/>
      <w:r w:rsidRPr="00925585">
        <w:t xml:space="preserve"> dla społeczeństwa</w:t>
      </w:r>
      <w:r w:rsidR="0000415C">
        <w:t>;</w:t>
      </w:r>
    </w:p>
    <w:p w14:paraId="1728C274" w14:textId="77777777" w:rsidR="0095045F" w:rsidRPr="00925585" w:rsidRDefault="0095045F" w:rsidP="0095045F">
      <w:pPr>
        <w:pStyle w:val="Normal1"/>
        <w:numPr>
          <w:ilvl w:val="0"/>
          <w:numId w:val="9"/>
        </w:numPr>
      </w:pPr>
      <w:r w:rsidRPr="00925585">
        <w:t>doprecyzowanie przepisów w celu uniknięcia niekorzystnych dla prosumentów interpretacji</w:t>
      </w:r>
      <w:r>
        <w:t>.</w:t>
      </w:r>
      <w:r w:rsidRPr="00925585">
        <w:t xml:space="preserve"> </w:t>
      </w:r>
    </w:p>
    <w:p w14:paraId="11B8A786" w14:textId="77777777" w:rsidR="0095045F" w:rsidRPr="00925585" w:rsidRDefault="0095045F" w:rsidP="0095045F">
      <w:pPr>
        <w:pStyle w:val="Tytu1"/>
      </w:pPr>
      <w:r w:rsidRPr="00925585">
        <w:t xml:space="preserve">Zasady funkcjonowania obecnego systemu </w:t>
      </w:r>
      <w:proofErr w:type="spellStart"/>
      <w:r w:rsidRPr="00925585">
        <w:t>prosumpcji</w:t>
      </w:r>
      <w:proofErr w:type="spellEnd"/>
    </w:p>
    <w:p w14:paraId="73FF68D0" w14:textId="1A79560B" w:rsidR="0095045F" w:rsidRPr="00925585" w:rsidRDefault="0095045F" w:rsidP="0095045F">
      <w:pPr>
        <w:pStyle w:val="Tekst"/>
      </w:pPr>
      <w:r w:rsidRPr="00925585">
        <w:t>Zgodnie z obowiązującą obecnie definicją prosument to podmiot, któr</w:t>
      </w:r>
      <w:r w:rsidR="00E712C5">
        <w:t>y</w:t>
      </w:r>
      <w:r w:rsidRPr="00925585">
        <w:t xml:space="preserve"> spełnia jednocześnie poniższe warunki: </w:t>
      </w:r>
    </w:p>
    <w:p w14:paraId="2864E90D" w14:textId="6302353D" w:rsidR="0095045F" w:rsidRPr="00925585" w:rsidRDefault="0000415C" w:rsidP="0095045F">
      <w:pPr>
        <w:pStyle w:val="StyleBulletyUnderline"/>
        <w:numPr>
          <w:ilvl w:val="0"/>
          <w:numId w:val="4"/>
        </w:numPr>
        <w:ind w:left="567" w:hanging="283"/>
        <w:rPr>
          <w:rFonts w:cs="Arial"/>
          <w:u w:val="none"/>
          <w:lang w:eastAsia="pl-PL"/>
        </w:rPr>
      </w:pPr>
      <w:r>
        <w:rPr>
          <w:rFonts w:cs="Arial"/>
          <w:u w:val="none"/>
          <w:lang w:eastAsia="pl-PL"/>
        </w:rPr>
        <w:lastRenderedPageBreak/>
        <w:t>j</w:t>
      </w:r>
      <w:r w:rsidR="0095045F" w:rsidRPr="00925585">
        <w:rPr>
          <w:rFonts w:cs="Arial"/>
          <w:u w:val="none"/>
          <w:lang w:eastAsia="pl-PL"/>
        </w:rPr>
        <w:t>est odbiorcą końcowym, który wytwarza energię we własnym źródle, pod warunkiem że nie stanowi to przedmiotu jego przeważającej działalności gospodarczej</w:t>
      </w:r>
      <w:r>
        <w:rPr>
          <w:rFonts w:cs="Arial"/>
          <w:u w:val="none"/>
          <w:lang w:eastAsia="pl-PL"/>
        </w:rPr>
        <w:t>,</w:t>
      </w:r>
    </w:p>
    <w:p w14:paraId="424D6A5E" w14:textId="66C1515B" w:rsidR="0095045F" w:rsidRPr="00925585" w:rsidRDefault="0000415C" w:rsidP="0095045F">
      <w:pPr>
        <w:pStyle w:val="StyleBulletyUnderline"/>
        <w:numPr>
          <w:ilvl w:val="0"/>
          <w:numId w:val="4"/>
        </w:numPr>
        <w:ind w:left="567" w:hanging="283"/>
        <w:rPr>
          <w:rFonts w:cs="Arial"/>
          <w:u w:val="none"/>
          <w:lang w:eastAsia="pl-PL"/>
        </w:rPr>
      </w:pPr>
      <w:r>
        <w:rPr>
          <w:rFonts w:cs="Arial"/>
          <w:u w:val="none"/>
          <w:lang w:eastAsia="pl-PL"/>
        </w:rPr>
        <w:t>w</w:t>
      </w:r>
      <w:r w:rsidR="0095045F" w:rsidRPr="00925585">
        <w:rPr>
          <w:rFonts w:cs="Arial"/>
          <w:u w:val="none"/>
          <w:lang w:eastAsia="pl-PL"/>
        </w:rPr>
        <w:t xml:space="preserve">ytwarza energię wyłącznie na własne potrzeby w </w:t>
      </w:r>
      <w:proofErr w:type="spellStart"/>
      <w:r w:rsidR="0095045F" w:rsidRPr="00925585">
        <w:rPr>
          <w:rFonts w:cs="Arial"/>
          <w:u w:val="none"/>
          <w:lang w:eastAsia="pl-PL"/>
        </w:rPr>
        <w:t>mikroinstalacji</w:t>
      </w:r>
      <w:proofErr w:type="spellEnd"/>
      <w:r w:rsidR="0095045F" w:rsidRPr="00925585">
        <w:rPr>
          <w:rFonts w:cs="Arial"/>
          <w:u w:val="none"/>
          <w:lang w:eastAsia="pl-PL"/>
        </w:rPr>
        <w:t xml:space="preserve"> OZE (odnawialne źródło energii elektrycznej o mocy zainstalowanej do 50 kW);  </w:t>
      </w:r>
    </w:p>
    <w:p w14:paraId="2EF67F67" w14:textId="215AF4FD" w:rsidR="0095045F" w:rsidRPr="00925585" w:rsidRDefault="0000415C" w:rsidP="0095045F">
      <w:pPr>
        <w:pStyle w:val="StyleBulletyUnderline"/>
        <w:numPr>
          <w:ilvl w:val="0"/>
          <w:numId w:val="4"/>
        </w:numPr>
        <w:ind w:left="567" w:hanging="283"/>
        <w:rPr>
          <w:rFonts w:cs="Arial"/>
          <w:u w:val="none"/>
          <w:lang w:eastAsia="pl-PL"/>
        </w:rPr>
      </w:pPr>
      <w:r>
        <w:rPr>
          <w:rFonts w:cs="Arial"/>
          <w:u w:val="none"/>
          <w:lang w:eastAsia="pl-PL"/>
        </w:rPr>
        <w:t>r</w:t>
      </w:r>
      <w:r w:rsidR="0095045F" w:rsidRPr="00925585">
        <w:rPr>
          <w:rFonts w:cs="Arial"/>
          <w:u w:val="none"/>
          <w:lang w:eastAsia="pl-PL"/>
        </w:rPr>
        <w:t xml:space="preserve">ozlicza się na podstawie umowy kompleksowej. </w:t>
      </w:r>
    </w:p>
    <w:p w14:paraId="4182516F" w14:textId="4090FA5A" w:rsidR="0095045F" w:rsidRPr="00925585" w:rsidRDefault="0095045F" w:rsidP="0095045F">
      <w:pPr>
        <w:pStyle w:val="Tekst"/>
      </w:pPr>
      <w:r w:rsidRPr="00925585">
        <w:t xml:space="preserve">Energia wyprodukowana w </w:t>
      </w:r>
      <w:proofErr w:type="spellStart"/>
      <w:r w:rsidRPr="00925585">
        <w:t>mikroinstalacji</w:t>
      </w:r>
      <w:proofErr w:type="spellEnd"/>
      <w:r w:rsidRPr="00925585">
        <w:t xml:space="preserve"> prosumenta w pierwszej kolejności pokrywa jego potrzeby własne, tzn. nie jest wprowadzana do sieci i nie ma obowiązku jej opomiarowania. W przypadku produkcji przekraczającej bieżące zużycie, prosument oddaje wytworzone nadwyżki do sieci niskiego napięcia, do której jest przyłączony. Prosument jest opomiarowany łącznie jako całość instalacji odbiorczo-wytwórczej, tj. licznik </w:t>
      </w:r>
      <w:r w:rsidR="00BA26C5">
        <w:t>operatora systemu dystrybucyjnego (dalej „</w:t>
      </w:r>
      <w:r w:rsidRPr="00925585">
        <w:t>OSD</w:t>
      </w:r>
      <w:r w:rsidR="00BA26C5">
        <w:t>”)</w:t>
      </w:r>
      <w:r w:rsidRPr="00925585">
        <w:t xml:space="preserve"> znajdujący się na granicy między prosumentem a siecią OSD</w:t>
      </w:r>
      <w:r w:rsidR="0000415C">
        <w:t>,</w:t>
      </w:r>
      <w:r w:rsidRPr="00925585">
        <w:t xml:space="preserve"> mierzy tylko energię oddaną i pobraną z sieci (nie mierzy produkcji źródła). Prosument dodatkowo może, ale nie musi</w:t>
      </w:r>
      <w:r w:rsidR="0000415C">
        <w:t>,</w:t>
      </w:r>
      <w:r w:rsidRPr="00925585">
        <w:t xml:space="preserve"> zainstalować swojego opomiarowania na źródle wytwórczym.</w:t>
      </w:r>
    </w:p>
    <w:p w14:paraId="3F7ADFF3" w14:textId="0821D569" w:rsidR="0095045F" w:rsidRPr="00925585" w:rsidRDefault="0095045F" w:rsidP="0095045F">
      <w:pPr>
        <w:pStyle w:val="Tekst"/>
      </w:pPr>
      <w:r w:rsidRPr="00925585">
        <w:t xml:space="preserve">Na podstawie art. 4 ust. 1 </w:t>
      </w:r>
      <w:r w:rsidR="0000415C">
        <w:t xml:space="preserve">ustawy </w:t>
      </w:r>
      <w:r w:rsidR="0000415C" w:rsidRPr="0000415C">
        <w:t>z dnia 20 lutego 2015 r. o odnawialnych źródłach energii</w:t>
      </w:r>
      <w:r w:rsidR="0000415C">
        <w:t xml:space="preserve"> (Dz. U. z 2021 r. poz. 610), zwanej dalej „</w:t>
      </w:r>
      <w:r w:rsidRPr="00925585">
        <w:t>ustaw</w:t>
      </w:r>
      <w:r w:rsidR="0000415C">
        <w:t>ą</w:t>
      </w:r>
      <w:r w:rsidRPr="00925585">
        <w:t xml:space="preserve"> o OZE</w:t>
      </w:r>
      <w:r w:rsidR="0000415C">
        <w:t>”,</w:t>
      </w:r>
      <w:r w:rsidRPr="00925585">
        <w:t xml:space="preserve"> w ramach systemu wsparcia prosument otrzymuje </w:t>
      </w:r>
      <w:r w:rsidR="00E712C5">
        <w:t>o</w:t>
      </w:r>
      <w:r w:rsidRPr="00925585">
        <w:t xml:space="preserve">pust na opłacie za energię czynną, opłacie dystrybucyjnej zmiennej i jakościowej w stosunku zależnym od mocy instalacji: </w:t>
      </w:r>
    </w:p>
    <w:p w14:paraId="67EE31D6" w14:textId="7C5FDB19" w:rsidR="0095045F" w:rsidRPr="00925585" w:rsidRDefault="0000415C" w:rsidP="008E5DE8">
      <w:pPr>
        <w:pStyle w:val="StyleBulletyUnderline"/>
        <w:numPr>
          <w:ilvl w:val="0"/>
          <w:numId w:val="0"/>
        </w:numPr>
        <w:ind w:left="567"/>
        <w:rPr>
          <w:rFonts w:cs="Arial"/>
          <w:u w:val="none"/>
          <w:lang w:eastAsia="pl-PL"/>
        </w:rPr>
      </w:pPr>
      <w:r>
        <w:rPr>
          <w:rFonts w:cs="Arial"/>
          <w:u w:val="none"/>
          <w:lang w:eastAsia="pl-PL"/>
        </w:rPr>
        <w:t>1) d</w:t>
      </w:r>
      <w:r w:rsidR="0095045F" w:rsidRPr="00925585">
        <w:rPr>
          <w:rFonts w:cs="Arial"/>
          <w:u w:val="none"/>
          <w:lang w:eastAsia="pl-PL"/>
        </w:rPr>
        <w:t>la instalacji do 10 kW prosument otrzymuje opust w wysokości 80% ilości energii wprowadzonej do sieci;</w:t>
      </w:r>
    </w:p>
    <w:p w14:paraId="37FAC04D" w14:textId="04655016" w:rsidR="0095045F" w:rsidRPr="00925585" w:rsidRDefault="0000415C" w:rsidP="008E5DE8">
      <w:pPr>
        <w:pStyle w:val="StyleBulletyUnderline"/>
        <w:numPr>
          <w:ilvl w:val="0"/>
          <w:numId w:val="0"/>
        </w:numPr>
        <w:ind w:left="567"/>
        <w:rPr>
          <w:rFonts w:cs="Arial"/>
          <w:u w:val="none"/>
          <w:lang w:eastAsia="pl-PL"/>
        </w:rPr>
      </w:pPr>
      <w:r>
        <w:rPr>
          <w:rFonts w:cs="Arial"/>
          <w:u w:val="none"/>
          <w:lang w:eastAsia="pl-PL"/>
        </w:rPr>
        <w:t>2) d</w:t>
      </w:r>
      <w:r w:rsidR="0095045F" w:rsidRPr="00925585">
        <w:rPr>
          <w:rFonts w:cs="Arial"/>
          <w:u w:val="none"/>
          <w:lang w:eastAsia="pl-PL"/>
        </w:rPr>
        <w:t>la instalacji powyżej 10 kW prosument otrzymuje opust w wysokości 70% ilości energii wprowadzonej do sieci.</w:t>
      </w:r>
    </w:p>
    <w:p w14:paraId="29B0107B" w14:textId="77777777" w:rsidR="0095045F" w:rsidRPr="00925585" w:rsidRDefault="0095045F" w:rsidP="0095045F">
      <w:pPr>
        <w:pStyle w:val="Tekst"/>
      </w:pPr>
      <w:r w:rsidRPr="00925585">
        <w:t xml:space="preserve">Prosument może wykorzystać opust za energię wprowadzoną do sieci w ciągu 12 miesięcy od jej wprowadzenia do sieci. Zgodnie z obowiązującym prawem, prosument ma obowiązek rozliczania energii elektrycznej w oparciu o umowę kompleksową – odbiorcy rozliczani na podstawie umów rozdzielnych nie mają możliwości skorzystania z systemu. </w:t>
      </w:r>
    </w:p>
    <w:p w14:paraId="62751599" w14:textId="3DBE152A" w:rsidR="0095045F" w:rsidRPr="00925585" w:rsidRDefault="0095045F" w:rsidP="0095045F">
      <w:pPr>
        <w:pStyle w:val="Tekst"/>
      </w:pPr>
      <w:r w:rsidRPr="00925585">
        <w:t>Zgodnie z obowiązującymi przepisami, podstawą rozliczenia zmiennych opłat dystrybucyjnych w</w:t>
      </w:r>
      <w:r>
        <w:t> </w:t>
      </w:r>
      <w:r w:rsidRPr="00925585">
        <w:t>relacji prosument</w:t>
      </w:r>
      <w:r w:rsidR="00BD57FF">
        <w:t xml:space="preserve"> </w:t>
      </w:r>
      <w:r w:rsidR="00BD57FF">
        <w:rPr>
          <w:rFonts w:ascii="Times New Roman" w:hAnsi="Times New Roman" w:cs="Times New Roman"/>
          <w:sz w:val="24"/>
        </w:rPr>
        <w:t>–</w:t>
      </w:r>
      <w:r w:rsidR="00BD57FF">
        <w:t xml:space="preserve"> </w:t>
      </w:r>
      <w:r w:rsidRPr="00925585">
        <w:t>sprzedawca jest ilość energii pobranej z uwzględnieniem opustu, tj. skorygowana o</w:t>
      </w:r>
      <w:r>
        <w:t> </w:t>
      </w:r>
      <w:r w:rsidRPr="00925585">
        <w:t>pobraną energię zmagazynowaną. Sprzedawca natomiast rozlicza się z OSD za całość energii pobranej z sieci przez prosumenta (bez uwzględnienia opustu, czyli sprzedawca przekazuje do OSD wyższą opłatę dystrybucyjną niż otrzymał od odbiorcy, bo jest ona wyliczona w oparciu o całości energii pobranej z</w:t>
      </w:r>
      <w:r>
        <w:t> </w:t>
      </w:r>
      <w:r w:rsidRPr="00925585">
        <w:t xml:space="preserve">sieci przez prosumenta). </w:t>
      </w:r>
    </w:p>
    <w:p w14:paraId="40CA8365" w14:textId="77777777" w:rsidR="0095045F" w:rsidRPr="00925585" w:rsidRDefault="0095045F" w:rsidP="0095045F">
      <w:pPr>
        <w:pStyle w:val="Tekst"/>
      </w:pPr>
      <w:r w:rsidRPr="00925585">
        <w:t>Sprzedawca dysponuje nadwyżką energii wprowadzonej przez prosumenta do sieci wobec ilości przez niego pobranej. Różnica pomiędzy wartością energii pobranej przez prosumenta a wartością energii wprowadzonej do sieci przez prosumenta miała w założeniu pokryć koszty rozliczenia sprzedawcy z</w:t>
      </w:r>
      <w:r>
        <w:t> </w:t>
      </w:r>
      <w:r w:rsidRPr="00925585">
        <w:t xml:space="preserve">OSD. </w:t>
      </w:r>
    </w:p>
    <w:p w14:paraId="341F9A5A" w14:textId="6189185A" w:rsidR="0095045F" w:rsidRPr="00925585" w:rsidRDefault="0095045F" w:rsidP="0095045F">
      <w:pPr>
        <w:pStyle w:val="Tekst"/>
      </w:pPr>
      <w:r w:rsidRPr="00925585">
        <w:t>Tak zdefiniowany sposób rozliczenia</w:t>
      </w:r>
      <w:r>
        <w:t xml:space="preserve"> </w:t>
      </w:r>
      <w:r w:rsidRPr="00925585">
        <w:t>wiąże się jednak</w:t>
      </w:r>
      <w:r w:rsidR="00593972">
        <w:t>,</w:t>
      </w:r>
      <w:r w:rsidRPr="00925585">
        <w:t xml:space="preserve"> wbrew założeniom</w:t>
      </w:r>
      <w:r w:rsidR="00593972">
        <w:t>,</w:t>
      </w:r>
      <w:r w:rsidRPr="00925585">
        <w:t xml:space="preserve"> z utratą marży przez sprzedawcę energii. W założeniu, dzięki energii wprowadzonej do sieci przez prosumenta, w ilości przekraczającej jego pobór rozliczany przez opust, sprzedawca może oczekiwać korzyści </w:t>
      </w:r>
      <w:r w:rsidR="00593972">
        <w:t>z</w:t>
      </w:r>
      <w:r w:rsidR="00593972" w:rsidRPr="00925585">
        <w:t xml:space="preserve"> </w:t>
      </w:r>
      <w:r w:rsidRPr="00925585">
        <w:t>obro</w:t>
      </w:r>
      <w:r w:rsidR="00593972">
        <w:t>tu</w:t>
      </w:r>
      <w:r w:rsidRPr="00925585">
        <w:t xml:space="preserve"> energią (pobraną przez prosumenta musi zakupić na rynku</w:t>
      </w:r>
      <w:r>
        <w:t>,</w:t>
      </w:r>
      <w:r w:rsidRPr="00925585">
        <w:t xml:space="preserve"> a oddaną do sieci może albo sprzedać albo wykorzystać dla innych swoich odbiorców). Jednak opust udzielony na stawkach zmiennych dystrybucyjnych, które sprzedawca musi „zrekompensować” OSD, prowadzi do obniżenia marży sprzedawcy</w:t>
      </w:r>
      <w:r>
        <w:t xml:space="preserve">, </w:t>
      </w:r>
      <w:r w:rsidRPr="00925585">
        <w:t>osiągającej ujemne wartości</w:t>
      </w:r>
      <w:r>
        <w:t xml:space="preserve"> (wg założeń modelu rozliczenie opustu miało przekładać się na realizację dodatniej marży). </w:t>
      </w:r>
    </w:p>
    <w:p w14:paraId="3B712E4F" w14:textId="77777777" w:rsidR="0095045F" w:rsidRPr="00925585" w:rsidRDefault="0095045F" w:rsidP="0095045F">
      <w:pPr>
        <w:pStyle w:val="Tytu1"/>
      </w:pPr>
      <w:r w:rsidRPr="00925585">
        <w:t>Analiza efektywności funkcjonowania obecnego systemu wsparcia</w:t>
      </w:r>
    </w:p>
    <w:p w14:paraId="000A6EB6" w14:textId="77777777" w:rsidR="0095045F" w:rsidRPr="00925585" w:rsidRDefault="0095045F" w:rsidP="0095045F">
      <w:pPr>
        <w:pStyle w:val="Tekst"/>
      </w:pPr>
      <w:r w:rsidRPr="00925585">
        <w:t xml:space="preserve">Poniżej przedstawiono analizę mocnych i słabych stron funkcjonującego obecnie systemu wsparcia prosumentów. </w:t>
      </w:r>
    </w:p>
    <w:p w14:paraId="2B45DFB6" w14:textId="637827B5" w:rsidR="0095045F" w:rsidRPr="00925585" w:rsidRDefault="0095045F" w:rsidP="0095045F">
      <w:pPr>
        <w:pStyle w:val="Nagwek4"/>
        <w:spacing w:before="240"/>
        <w:rPr>
          <w:b w:val="0"/>
          <w:bCs w:val="0"/>
          <w:u w:val="none"/>
          <w:lang w:eastAsia="pl-PL"/>
        </w:rPr>
      </w:pPr>
      <w:r w:rsidRPr="00925585">
        <w:rPr>
          <w:b w:val="0"/>
          <w:bCs w:val="0"/>
          <w:u w:val="none"/>
          <w:lang w:eastAsia="pl-PL"/>
        </w:rPr>
        <w:lastRenderedPageBreak/>
        <w:t>Zalety</w:t>
      </w:r>
      <w:r w:rsidR="00593972">
        <w:rPr>
          <w:b w:val="0"/>
          <w:bCs w:val="0"/>
          <w:u w:val="none"/>
          <w:lang w:eastAsia="pl-PL"/>
        </w:rPr>
        <w:t>:</w:t>
      </w:r>
    </w:p>
    <w:p w14:paraId="32A4074F" w14:textId="77777777" w:rsidR="0095045F" w:rsidRPr="00925585" w:rsidRDefault="0095045F" w:rsidP="0095045F">
      <w:pPr>
        <w:pStyle w:val="StyleBulletyUnderline"/>
        <w:numPr>
          <w:ilvl w:val="0"/>
          <w:numId w:val="4"/>
        </w:numPr>
        <w:ind w:left="567" w:hanging="283"/>
        <w:rPr>
          <w:rFonts w:cs="Arial"/>
          <w:u w:val="none"/>
          <w:lang w:eastAsia="pl-PL"/>
        </w:rPr>
      </w:pPr>
      <w:r w:rsidRPr="00925585">
        <w:rPr>
          <w:rFonts w:cs="Arial"/>
          <w:u w:val="none"/>
          <w:lang w:eastAsia="pl-PL"/>
        </w:rPr>
        <w:t xml:space="preserve">System opłacalny dla prosumenta </w:t>
      </w:r>
    </w:p>
    <w:p w14:paraId="59B94008" w14:textId="139843FE" w:rsidR="0095045F" w:rsidRPr="00925585" w:rsidRDefault="0095045F" w:rsidP="0095045F">
      <w:pPr>
        <w:pStyle w:val="Tekst"/>
        <w:ind w:left="567"/>
      </w:pPr>
      <w:r w:rsidRPr="00925585">
        <w:t xml:space="preserve">Główną zaletą funkcjonującego systemu jest jego opłacalność dla podmiotów uprawnionych. </w:t>
      </w:r>
      <w:r>
        <w:t>P</w:t>
      </w:r>
      <w:r w:rsidRPr="00925585">
        <w:t xml:space="preserve">rosument, który zdecyduje się na instalację </w:t>
      </w:r>
      <w:proofErr w:type="spellStart"/>
      <w:r w:rsidRPr="00925585">
        <w:t>mikroinstalacji</w:t>
      </w:r>
      <w:proofErr w:type="spellEnd"/>
      <w:r w:rsidRPr="00925585">
        <w:t xml:space="preserve"> OZE o</w:t>
      </w:r>
      <w:r>
        <w:t> </w:t>
      </w:r>
      <w:r w:rsidRPr="00925585">
        <w:t>odpowiednio dobranej mocy, dzięki przyznanemu opustowi, będzie uzyskiwał w rozliczeniu rocznym korzyści finansowe i</w:t>
      </w:r>
      <w:r>
        <w:t> </w:t>
      </w:r>
      <w:r w:rsidRPr="00925585">
        <w:t>uzyska zwrot z inwestycji w zadowalającym</w:t>
      </w:r>
      <w:r>
        <w:t xml:space="preserve"> czasie</w:t>
      </w:r>
      <w:r w:rsidRPr="00925585">
        <w:t>. Jest to okres zdecydowanie krótszy od obecnego okresu wsparcia</w:t>
      </w:r>
      <w:r>
        <w:t>,</w:t>
      </w:r>
      <w:r w:rsidRPr="00925585">
        <w:t xml:space="preserve"> a tym bardziej od okresu eksploatacji instalacji (który wynosi 25</w:t>
      </w:r>
      <w:r w:rsidR="00593972">
        <w:rPr>
          <w:rFonts w:ascii="Times New Roman" w:hAnsi="Times New Roman" w:cs="Times New Roman"/>
          <w:sz w:val="24"/>
        </w:rPr>
        <w:t>–</w:t>
      </w:r>
      <w:r w:rsidRPr="00925585">
        <w:t>30 lat).</w:t>
      </w:r>
    </w:p>
    <w:p w14:paraId="32DA670C" w14:textId="77777777" w:rsidR="0095045F" w:rsidRPr="00925585" w:rsidRDefault="0095045F" w:rsidP="0095045F">
      <w:pPr>
        <w:pStyle w:val="StyleBulletyUnderline"/>
        <w:numPr>
          <w:ilvl w:val="0"/>
          <w:numId w:val="4"/>
        </w:numPr>
        <w:ind w:left="567" w:hanging="283"/>
        <w:rPr>
          <w:rFonts w:cs="Arial"/>
          <w:u w:val="none"/>
          <w:lang w:eastAsia="pl-PL"/>
        </w:rPr>
      </w:pPr>
      <w:r w:rsidRPr="00925585">
        <w:rPr>
          <w:rFonts w:cs="Arial"/>
          <w:u w:val="none"/>
          <w:lang w:eastAsia="pl-PL"/>
        </w:rPr>
        <w:t>Możliwość połączenia z dotacjami, preferencyjnymi formami finansowania i innymi korzyściami</w:t>
      </w:r>
    </w:p>
    <w:p w14:paraId="7FAFFFA9" w14:textId="4AA7CA9E" w:rsidR="0095045F" w:rsidRPr="00925585" w:rsidRDefault="0095045F" w:rsidP="0095045F">
      <w:pPr>
        <w:pStyle w:val="Tekst"/>
        <w:ind w:left="567"/>
      </w:pPr>
      <w:r w:rsidRPr="00925585">
        <w:t xml:space="preserve">Korzystanie przez prosumenta z systemu opustów w żaden sposób nie ogranicza możliwości finansowania nakładów na instalację OZE przez prosumenta z dostępnych dotacji, innych preferencyjnych form finansowania (programy </w:t>
      </w:r>
      <w:r w:rsidR="00593972" w:rsidRPr="00593972">
        <w:t>Narodow</w:t>
      </w:r>
      <w:r w:rsidR="00593972">
        <w:t>ego</w:t>
      </w:r>
      <w:r w:rsidR="00593972" w:rsidRPr="00593972">
        <w:t xml:space="preserve"> Fundusz</w:t>
      </w:r>
      <w:r w:rsidR="00593972">
        <w:t>u</w:t>
      </w:r>
      <w:r w:rsidR="00593972" w:rsidRPr="00593972">
        <w:t xml:space="preserve"> Ochrony Środowiska i Gospodarki Wodnej </w:t>
      </w:r>
      <w:r w:rsidR="00593972">
        <w:t>(</w:t>
      </w:r>
      <w:r w:rsidRPr="00925585">
        <w:t>NFOŚiGW</w:t>
      </w:r>
      <w:r w:rsidR="00593972">
        <w:t>)</w:t>
      </w:r>
      <w:r w:rsidRPr="00925585">
        <w:t xml:space="preserve">, preferencyjne kredyty, inne) i innymi korzyściami (ulga termomodernizacyjna). </w:t>
      </w:r>
    </w:p>
    <w:p w14:paraId="1DF00177" w14:textId="77777777" w:rsidR="0095045F" w:rsidRPr="00925585" w:rsidRDefault="0095045F" w:rsidP="0095045F">
      <w:pPr>
        <w:pStyle w:val="Tekst"/>
        <w:ind w:left="567"/>
      </w:pPr>
      <w:r w:rsidRPr="00925585">
        <w:t xml:space="preserve">Inaczej jest w przypadku aukcji OZE, gdzie wytwórca energii musi dokonać korekty ceny podanej przez siebie na aukcji, jeśli korzysta z innej formy pomocy publicznej na budowę lub funkcjonowanie źródła OZE. </w:t>
      </w:r>
    </w:p>
    <w:p w14:paraId="1B74EA81" w14:textId="77777777" w:rsidR="0095045F" w:rsidRPr="00925585" w:rsidRDefault="0095045F" w:rsidP="0095045F">
      <w:pPr>
        <w:pStyle w:val="Tekst"/>
        <w:ind w:left="567"/>
        <w:rPr>
          <w:lang w:eastAsia="pl-PL"/>
        </w:rPr>
      </w:pPr>
      <w:r w:rsidRPr="00925585">
        <w:t>Skorzystanie przez prosumenta z dotacji w żadnym stopniu nie ogranicza jego udziału w</w:t>
      </w:r>
      <w:r>
        <w:t> </w:t>
      </w:r>
      <w:r w:rsidRPr="00925585">
        <w:t xml:space="preserve">systemie </w:t>
      </w:r>
      <w:proofErr w:type="spellStart"/>
      <w:r w:rsidRPr="00925585">
        <w:t>prosumenckim</w:t>
      </w:r>
      <w:proofErr w:type="spellEnd"/>
      <w:r w:rsidRPr="00925585">
        <w:t>.</w:t>
      </w:r>
    </w:p>
    <w:p w14:paraId="6F551A25" w14:textId="77777777" w:rsidR="0095045F" w:rsidRPr="00925585" w:rsidRDefault="0095045F" w:rsidP="0095045F">
      <w:pPr>
        <w:pStyle w:val="Nagwek4"/>
        <w:spacing w:before="240"/>
        <w:rPr>
          <w:b w:val="0"/>
          <w:bCs w:val="0"/>
          <w:u w:val="none"/>
          <w:lang w:eastAsia="pl-PL"/>
        </w:rPr>
      </w:pPr>
      <w:r w:rsidRPr="00925585">
        <w:rPr>
          <w:b w:val="0"/>
          <w:bCs w:val="0"/>
          <w:u w:val="none"/>
          <w:lang w:eastAsia="pl-PL"/>
        </w:rPr>
        <w:t>Wady</w:t>
      </w:r>
      <w:r w:rsidR="00593972">
        <w:rPr>
          <w:b w:val="0"/>
          <w:bCs w:val="0"/>
          <w:u w:val="none"/>
          <w:lang w:eastAsia="pl-PL"/>
        </w:rPr>
        <w:t>:</w:t>
      </w:r>
    </w:p>
    <w:p w14:paraId="2ED901FE" w14:textId="77777777" w:rsidR="0095045F" w:rsidRDefault="0095045F" w:rsidP="0095045F">
      <w:pPr>
        <w:pStyle w:val="StyleBulletyUnderline"/>
        <w:numPr>
          <w:ilvl w:val="0"/>
          <w:numId w:val="4"/>
        </w:numPr>
        <w:ind w:left="567" w:hanging="283"/>
        <w:rPr>
          <w:rFonts w:cs="Arial"/>
          <w:u w:val="none"/>
          <w:lang w:eastAsia="pl-PL"/>
        </w:rPr>
      </w:pPr>
      <w:r>
        <w:rPr>
          <w:rFonts w:cs="Arial"/>
          <w:u w:val="none"/>
          <w:lang w:eastAsia="pl-PL"/>
        </w:rPr>
        <w:t xml:space="preserve">Model rozliczeń opustów skłaniający do przewymiarowania instalacji </w:t>
      </w:r>
      <w:proofErr w:type="spellStart"/>
      <w:r>
        <w:rPr>
          <w:rFonts w:cs="Arial"/>
          <w:u w:val="none"/>
          <w:lang w:eastAsia="pl-PL"/>
        </w:rPr>
        <w:t>prosumenckich</w:t>
      </w:r>
      <w:proofErr w:type="spellEnd"/>
    </w:p>
    <w:p w14:paraId="562E2D30" w14:textId="167B63E3" w:rsidR="0095045F" w:rsidRPr="009510FC" w:rsidRDefault="0095045F" w:rsidP="0095045F">
      <w:pPr>
        <w:pStyle w:val="StyleBulletyUnderline"/>
        <w:numPr>
          <w:ilvl w:val="0"/>
          <w:numId w:val="0"/>
        </w:numPr>
        <w:ind w:left="567"/>
        <w:rPr>
          <w:rFonts w:cs="Arial"/>
          <w:szCs w:val="24"/>
          <w:u w:val="none"/>
        </w:rPr>
      </w:pPr>
      <w:r w:rsidRPr="009510FC">
        <w:rPr>
          <w:rFonts w:cs="Arial"/>
          <w:szCs w:val="24"/>
          <w:u w:val="none"/>
        </w:rPr>
        <w:t>W obecnym systemie wsparcia prosumentów, energia wprowadzona przez prosumenta do sieci może być pobrana bez ponoszenia kosztu energii elektrycznej oraz opłat zmiennych dystrybucyjnych po zastosowaniu opustu w stosunku 1:0,7 (dla instalacji fotowoltaicznych o mocy w zakresie 10</w:t>
      </w:r>
      <w:r w:rsidR="00593972">
        <w:rPr>
          <w:rFonts w:ascii="Times New Roman" w:hAnsi="Times New Roman"/>
          <w:sz w:val="24"/>
          <w:szCs w:val="24"/>
        </w:rPr>
        <w:t>–</w:t>
      </w:r>
      <w:r w:rsidRPr="009510FC">
        <w:rPr>
          <w:rFonts w:cs="Arial"/>
          <w:szCs w:val="24"/>
          <w:u w:val="none"/>
        </w:rPr>
        <w:t>50 kW) lub 1:0,8 (dla instalacji o mocy nie przekraczającej 10 kW). W celu maksymalizacji korzyści ekonomicznych, prosument dąży do możliwie pełnego pokrycia swojego zużycia energii, energią zmagazynowaną (po rozliczeniu opustu). W efekcie prosumenci inwestują w przewymiarowane o ok. 25</w:t>
      </w:r>
      <w:r w:rsidR="00593972" w:rsidRPr="001A5231">
        <w:rPr>
          <w:rFonts w:ascii="Times New Roman" w:hAnsi="Times New Roman"/>
          <w:sz w:val="24"/>
          <w:szCs w:val="24"/>
          <w:u w:val="none"/>
        </w:rPr>
        <w:t>–</w:t>
      </w:r>
      <w:r w:rsidRPr="009510FC">
        <w:rPr>
          <w:rFonts w:cs="Arial"/>
          <w:szCs w:val="24"/>
          <w:u w:val="none"/>
        </w:rPr>
        <w:t>35% instalacje fotowoltaiczne, co przekłada się na ponoszenie przez prosumentów wyższych nakładów początkowych</w:t>
      </w:r>
      <w:r>
        <w:rPr>
          <w:rFonts w:cs="Arial"/>
          <w:szCs w:val="24"/>
          <w:u w:val="none"/>
        </w:rPr>
        <w:t>.</w:t>
      </w:r>
    </w:p>
    <w:p w14:paraId="448861F4" w14:textId="77777777" w:rsidR="0095045F" w:rsidRPr="00925585" w:rsidRDefault="0095045F" w:rsidP="0095045F">
      <w:pPr>
        <w:pStyle w:val="StyleBulletyUnderline"/>
        <w:numPr>
          <w:ilvl w:val="0"/>
          <w:numId w:val="4"/>
        </w:numPr>
        <w:ind w:left="567" w:hanging="283"/>
        <w:rPr>
          <w:rFonts w:cs="Arial"/>
          <w:u w:val="none"/>
          <w:lang w:eastAsia="pl-PL"/>
        </w:rPr>
      </w:pPr>
      <w:r w:rsidRPr="00925585">
        <w:rPr>
          <w:rFonts w:cs="Arial"/>
          <w:u w:val="none"/>
          <w:lang w:eastAsia="pl-PL"/>
        </w:rPr>
        <w:t xml:space="preserve">System powodujący, że sprzedawcy energii </w:t>
      </w:r>
      <w:r>
        <w:rPr>
          <w:rFonts w:cs="Arial"/>
          <w:u w:val="none"/>
          <w:lang w:eastAsia="pl-PL"/>
        </w:rPr>
        <w:t>ponosz</w:t>
      </w:r>
      <w:r w:rsidRPr="00925585">
        <w:rPr>
          <w:rFonts w:cs="Arial"/>
          <w:u w:val="none"/>
          <w:lang w:eastAsia="pl-PL"/>
        </w:rPr>
        <w:t>ą straty na obsłudze prosumentów</w:t>
      </w:r>
    </w:p>
    <w:p w14:paraId="3F22AD79" w14:textId="1D7D6328" w:rsidR="0095045F" w:rsidRPr="00925585" w:rsidRDefault="0095045F" w:rsidP="0095045F">
      <w:pPr>
        <w:pStyle w:val="Tekst"/>
        <w:ind w:left="567"/>
      </w:pPr>
      <w:r w:rsidRPr="00925585">
        <w:t xml:space="preserve">System </w:t>
      </w:r>
      <w:proofErr w:type="spellStart"/>
      <w:r w:rsidRPr="00925585">
        <w:t>prosumencki</w:t>
      </w:r>
      <w:proofErr w:type="spellEnd"/>
      <w:r w:rsidRPr="00925585">
        <w:t xml:space="preserve"> w obecnym kształcie jest niekorzystny dla sprzedawcy energii elektrycznej. Wynika to z mechanizmu, w ramach którego opust jest przyznawany prosumentowi na opłacie za energię czynną oraz stawkach zmiennych dystrybucyjnych. Sprzedawca natomiast rozlicza się z OSD z całości opłat bez uwzględniania przyznanego opustu (co wynika z art. 4 ust. 5 ustawy o OZE). W założeniu dodatkowe koszty rozliczenia ze sprzedawcą, powinny być pokryte przez przychody z nadwyżki energii, którą sprzedawca dysponuje (prosument odbiera 80% lub 70% wprowadzonej energii). W praktyce, koszty rozliczenia z OSD są na ogół wyższe niż zysk ze sprzedaży nadwyżek energii, co prowadzi do sytuacji, w której sprzedawca może osiągać ujemną marżę</w:t>
      </w:r>
      <w:r>
        <w:t xml:space="preserve">, co przekłada się </w:t>
      </w:r>
      <w:r w:rsidR="00593972">
        <w:t xml:space="preserve">natomiast </w:t>
      </w:r>
      <w:r>
        <w:t xml:space="preserve">na niechęć promowania modelu </w:t>
      </w:r>
      <w:proofErr w:type="spellStart"/>
      <w:r>
        <w:t>prosumenckiego</w:t>
      </w:r>
      <w:proofErr w:type="spellEnd"/>
      <w:r>
        <w:t xml:space="preserve"> przez sprzedawców energii</w:t>
      </w:r>
      <w:r w:rsidRPr="00925585">
        <w:t>. W przypadku utrzymania obecnego systemu wsparcia prosumentów, problem będzie narastał wraz z rozwojem sektora.</w:t>
      </w:r>
    </w:p>
    <w:p w14:paraId="3065E103" w14:textId="0936839A" w:rsidR="0095045F" w:rsidRPr="00925585" w:rsidRDefault="0095045F" w:rsidP="0095045F">
      <w:pPr>
        <w:pStyle w:val="StyleBulletyUnderline"/>
        <w:numPr>
          <w:ilvl w:val="0"/>
          <w:numId w:val="4"/>
        </w:numPr>
        <w:ind w:left="567" w:hanging="283"/>
        <w:rPr>
          <w:rFonts w:cs="Arial"/>
          <w:u w:val="none"/>
          <w:lang w:eastAsia="pl-PL"/>
        </w:rPr>
      </w:pPr>
      <w:r>
        <w:rPr>
          <w:rFonts w:cs="Arial"/>
          <w:u w:val="none"/>
          <w:lang w:eastAsia="pl-PL"/>
        </w:rPr>
        <w:t xml:space="preserve">Nieprecyzyjność </w:t>
      </w:r>
      <w:r w:rsidR="00593972">
        <w:rPr>
          <w:rFonts w:cs="Arial"/>
          <w:u w:val="none"/>
          <w:lang w:eastAsia="pl-PL"/>
        </w:rPr>
        <w:t xml:space="preserve">przepisów </w:t>
      </w:r>
      <w:r>
        <w:rPr>
          <w:rFonts w:cs="Arial"/>
          <w:u w:val="none"/>
          <w:lang w:eastAsia="pl-PL"/>
        </w:rPr>
        <w:t>ustawy i b</w:t>
      </w:r>
      <w:r w:rsidRPr="00925585">
        <w:rPr>
          <w:rFonts w:cs="Arial"/>
          <w:u w:val="none"/>
          <w:lang w:eastAsia="pl-PL"/>
        </w:rPr>
        <w:t>rak przepisów wykonawczych</w:t>
      </w:r>
      <w:r>
        <w:rPr>
          <w:rFonts w:cs="Arial"/>
          <w:u w:val="none"/>
          <w:lang w:eastAsia="pl-PL"/>
        </w:rPr>
        <w:t xml:space="preserve"> </w:t>
      </w:r>
    </w:p>
    <w:p w14:paraId="4F75F2B3" w14:textId="77777777" w:rsidR="0095045F" w:rsidRPr="00925585" w:rsidRDefault="0095045F" w:rsidP="0095045F">
      <w:pPr>
        <w:pStyle w:val="Tekst"/>
        <w:ind w:left="567"/>
      </w:pPr>
      <w:r w:rsidRPr="00925585">
        <w:t>System wsparcia prosumentów, oparty na prawie do odbioru energii wprowadzonej do sieci w</w:t>
      </w:r>
      <w:r>
        <w:t> </w:t>
      </w:r>
      <w:r w:rsidRPr="00925585">
        <w:t xml:space="preserve">stosunku 1:0,8 lub 1:0,7 nie został wystarczająco precyzyjnie sformułowany, co pozostawia pewną dowolność interpretacyjną. </w:t>
      </w:r>
    </w:p>
    <w:p w14:paraId="7AECA938" w14:textId="77777777" w:rsidR="0095045F" w:rsidRPr="00925585" w:rsidRDefault="0095045F" w:rsidP="0095045F">
      <w:pPr>
        <w:pStyle w:val="Tekst"/>
        <w:ind w:left="567"/>
        <w:rPr>
          <w:lang w:eastAsia="pl-PL"/>
        </w:rPr>
      </w:pPr>
      <w:r w:rsidRPr="00925585">
        <w:lastRenderedPageBreak/>
        <w:t>Główne zidentyfikowane kwestie to:</w:t>
      </w:r>
    </w:p>
    <w:p w14:paraId="6424D4A2" w14:textId="77777777" w:rsidR="0095045F" w:rsidRPr="00925585" w:rsidRDefault="0095045F" w:rsidP="0095045F">
      <w:pPr>
        <w:pStyle w:val="Bullety"/>
        <w:numPr>
          <w:ilvl w:val="0"/>
          <w:numId w:val="2"/>
        </w:numPr>
        <w:ind w:left="993" w:hanging="426"/>
        <w:rPr>
          <w:rFonts w:cs="Arial"/>
          <w:lang w:eastAsia="pl-PL"/>
        </w:rPr>
      </w:pPr>
      <w:r w:rsidRPr="00925585">
        <w:rPr>
          <w:rFonts w:cs="Arial"/>
          <w:lang w:eastAsia="pl-PL"/>
        </w:rPr>
        <w:t xml:space="preserve">Nie określono sposobu, w jaki powinno przebiegać bilansowanie, wobec czego OSD mają możliwość programowania liczników za pomocą algorytmu arytmetycznego lub wektorowego, co nie jest bez znaczenia dla wysokości rachunku prosumenta. </w:t>
      </w:r>
    </w:p>
    <w:p w14:paraId="73FE3E77" w14:textId="77777777" w:rsidR="0095045F" w:rsidRPr="00925585" w:rsidRDefault="0095045F" w:rsidP="0095045F">
      <w:pPr>
        <w:pStyle w:val="Bullety"/>
        <w:numPr>
          <w:ilvl w:val="0"/>
          <w:numId w:val="2"/>
        </w:numPr>
        <w:ind w:left="993" w:hanging="426"/>
        <w:rPr>
          <w:rFonts w:cs="Arial"/>
          <w:lang w:eastAsia="pl-PL"/>
        </w:rPr>
      </w:pPr>
      <w:r w:rsidRPr="00925585">
        <w:rPr>
          <w:rFonts w:cs="Arial"/>
          <w:lang w:eastAsia="pl-PL"/>
        </w:rPr>
        <w:t>Nie określono sposobu rozliczania prosumenta posiadającego taryfy strefowe.</w:t>
      </w:r>
    </w:p>
    <w:p w14:paraId="7BAF3F7B" w14:textId="77777777" w:rsidR="0095045F" w:rsidRPr="00925585" w:rsidRDefault="0095045F" w:rsidP="0095045F">
      <w:pPr>
        <w:pStyle w:val="Bullety"/>
        <w:numPr>
          <w:ilvl w:val="0"/>
          <w:numId w:val="2"/>
        </w:numPr>
        <w:ind w:left="993" w:hanging="426"/>
        <w:rPr>
          <w:rFonts w:cs="Arial"/>
          <w:lang w:eastAsia="pl-PL"/>
        </w:rPr>
      </w:pPr>
      <w:r w:rsidRPr="00925585">
        <w:rPr>
          <w:rFonts w:cs="Arial"/>
          <w:lang w:eastAsia="pl-PL"/>
        </w:rPr>
        <w:t>Brak jasnego określenia</w:t>
      </w:r>
      <w:r w:rsidR="004848A5">
        <w:rPr>
          <w:rFonts w:cs="Arial"/>
          <w:lang w:eastAsia="pl-PL"/>
        </w:rPr>
        <w:t>,</w:t>
      </w:r>
      <w:r w:rsidRPr="00925585">
        <w:rPr>
          <w:rFonts w:cs="Arial"/>
          <w:lang w:eastAsia="pl-PL"/>
        </w:rPr>
        <w:t xml:space="preserve"> czy opust dotyczy stawek OZE, kogeneracyjnej i </w:t>
      </w:r>
      <w:proofErr w:type="spellStart"/>
      <w:r w:rsidRPr="00925585">
        <w:rPr>
          <w:rFonts w:cs="Arial"/>
          <w:lang w:eastAsia="pl-PL"/>
        </w:rPr>
        <w:t>mocowej</w:t>
      </w:r>
      <w:proofErr w:type="spellEnd"/>
      <w:r w:rsidRPr="00925585">
        <w:rPr>
          <w:rFonts w:cs="Arial"/>
          <w:lang w:eastAsia="pl-PL"/>
        </w:rPr>
        <w:t>.</w:t>
      </w:r>
    </w:p>
    <w:p w14:paraId="0D235363" w14:textId="0B6360AC" w:rsidR="0095045F" w:rsidRPr="00925585" w:rsidRDefault="0095045F" w:rsidP="0095045F">
      <w:pPr>
        <w:pStyle w:val="Tekst"/>
        <w:ind w:left="567"/>
      </w:pPr>
      <w:r w:rsidRPr="00925585">
        <w:t xml:space="preserve">Warto wskazać, że nowelizacja ustawy o OZE wprowadziła delegację ustawową w celu dookreślenia tych trzech kwestii. Obecnie trwają prace nad przygotowaniem i wdrożeniem odpowiedniego </w:t>
      </w:r>
      <w:r w:rsidR="004848A5">
        <w:t>r</w:t>
      </w:r>
      <w:r w:rsidRPr="00925585">
        <w:t>ozporządzenia Ministra Klimatu</w:t>
      </w:r>
      <w:r w:rsidR="004848A5">
        <w:t xml:space="preserve"> i Środowiska</w:t>
      </w:r>
      <w:r w:rsidRPr="00925585">
        <w:t xml:space="preserve">. </w:t>
      </w:r>
    </w:p>
    <w:p w14:paraId="1F42C0A1" w14:textId="1E63D465" w:rsidR="0095045F" w:rsidRPr="00925585" w:rsidRDefault="0095045F" w:rsidP="0095045F">
      <w:pPr>
        <w:pStyle w:val="StyleBulletyUnderline"/>
        <w:numPr>
          <w:ilvl w:val="0"/>
          <w:numId w:val="4"/>
        </w:numPr>
        <w:ind w:left="567" w:hanging="283"/>
        <w:rPr>
          <w:rFonts w:cs="Arial"/>
          <w:u w:val="none"/>
          <w:lang w:eastAsia="pl-PL"/>
        </w:rPr>
      </w:pPr>
      <w:r w:rsidRPr="00925585">
        <w:rPr>
          <w:rFonts w:cs="Arial"/>
          <w:u w:val="none"/>
          <w:lang w:eastAsia="pl-PL"/>
        </w:rPr>
        <w:t>Okres wsparcia ograniczony</w:t>
      </w:r>
      <w:r w:rsidR="004848A5">
        <w:rPr>
          <w:rFonts w:cs="Arial"/>
          <w:u w:val="none"/>
          <w:lang w:eastAsia="pl-PL"/>
        </w:rPr>
        <w:t xml:space="preserve"> </w:t>
      </w:r>
      <w:r w:rsidRPr="00925585">
        <w:rPr>
          <w:rFonts w:cs="Arial"/>
          <w:u w:val="none"/>
          <w:lang w:eastAsia="pl-PL"/>
        </w:rPr>
        <w:t xml:space="preserve">do </w:t>
      </w:r>
      <w:r w:rsidR="004848A5">
        <w:rPr>
          <w:rFonts w:cs="Arial"/>
          <w:u w:val="none"/>
          <w:lang w:eastAsia="pl-PL"/>
        </w:rPr>
        <w:t>dnia</w:t>
      </w:r>
      <w:r w:rsidR="004848A5" w:rsidRPr="00925585">
        <w:rPr>
          <w:rFonts w:cs="Arial"/>
          <w:u w:val="none"/>
          <w:lang w:eastAsia="pl-PL"/>
        </w:rPr>
        <w:t xml:space="preserve"> </w:t>
      </w:r>
      <w:r w:rsidRPr="00925585">
        <w:rPr>
          <w:rFonts w:cs="Arial"/>
          <w:u w:val="none"/>
          <w:lang w:eastAsia="pl-PL"/>
        </w:rPr>
        <w:t>30 czerwca 2039 r</w:t>
      </w:r>
      <w:r w:rsidR="004848A5">
        <w:rPr>
          <w:rFonts w:cs="Arial"/>
          <w:u w:val="none"/>
          <w:lang w:eastAsia="pl-PL"/>
        </w:rPr>
        <w:t>.</w:t>
      </w:r>
      <w:r w:rsidRPr="00925585">
        <w:rPr>
          <w:rFonts w:cs="Arial"/>
          <w:u w:val="none"/>
          <w:lang w:eastAsia="pl-PL"/>
        </w:rPr>
        <w:t xml:space="preserve"> </w:t>
      </w:r>
    </w:p>
    <w:p w14:paraId="5EE494C9" w14:textId="51CDF5CF" w:rsidR="0095045F" w:rsidRPr="00925585" w:rsidRDefault="0095045F" w:rsidP="0095045F">
      <w:pPr>
        <w:pStyle w:val="Tekst"/>
        <w:ind w:left="567"/>
      </w:pPr>
      <w:r w:rsidRPr="00925585">
        <w:t xml:space="preserve">System wsparcia dla indywidualnej instalacji został przez </w:t>
      </w:r>
      <w:r w:rsidR="004848A5">
        <w:t>u</w:t>
      </w:r>
      <w:r w:rsidRPr="00925585">
        <w:t xml:space="preserve">stawę o OZE określony na maksymalnie 15 lat, ale nie dłużej niż </w:t>
      </w:r>
      <w:r w:rsidR="004848A5">
        <w:t xml:space="preserve">do dnia </w:t>
      </w:r>
      <w:r w:rsidRPr="00925585">
        <w:t xml:space="preserve">30 czerwca 2039 r. </w:t>
      </w:r>
    </w:p>
    <w:p w14:paraId="022CDAFC" w14:textId="00A21799" w:rsidR="0095045F" w:rsidRPr="00925585" w:rsidRDefault="0095045F" w:rsidP="0095045F">
      <w:pPr>
        <w:pStyle w:val="Tekst"/>
        <w:ind w:left="567"/>
      </w:pPr>
      <w:r w:rsidRPr="00925585">
        <w:t>Okres 15 lat nie jest dostosowany do średniej żywotności paneli słonecznych, która przy obecnym zaawansowaniu technologii jest szacowana na 25</w:t>
      </w:r>
      <w:r w:rsidR="004848A5" w:rsidRPr="00925585">
        <w:rPr>
          <w:lang w:eastAsia="pl-PL"/>
        </w:rPr>
        <w:t>–</w:t>
      </w:r>
      <w:r w:rsidRPr="00925585">
        <w:t>30 lat. Ponadto sztywno określony koniec okresu wsparcia (30 czerwca 2039 r</w:t>
      </w:r>
      <w:r w:rsidR="004848A5">
        <w:t>.</w:t>
      </w:r>
      <w:r w:rsidRPr="00925585">
        <w:t>) dla wszystkich instalacji, niezależnie od daty ich instalacji, spowoduje, że instalacje powstające po czerwcu 2024 r</w:t>
      </w:r>
      <w:r w:rsidR="004848A5">
        <w:t>.</w:t>
      </w:r>
      <w:r w:rsidRPr="00925585">
        <w:t xml:space="preserve"> będą uprawnione do korzystania z systemu wsparcia przez okres poniżej 15 lat. Może to stanowić istotną barierę rozwoju </w:t>
      </w:r>
      <w:proofErr w:type="spellStart"/>
      <w:r w:rsidRPr="00925585">
        <w:t>mikroinstalacji</w:t>
      </w:r>
      <w:proofErr w:type="spellEnd"/>
      <w:r w:rsidRPr="00925585">
        <w:t xml:space="preserve"> po 2024</w:t>
      </w:r>
      <w:r w:rsidR="004848A5">
        <w:t xml:space="preserve"> r</w:t>
      </w:r>
      <w:r w:rsidRPr="00925585">
        <w:t xml:space="preserve">. </w:t>
      </w:r>
    </w:p>
    <w:p w14:paraId="0DD9A19C" w14:textId="77777777" w:rsidR="0095045F" w:rsidRPr="00925585" w:rsidRDefault="0095045F" w:rsidP="0095045F">
      <w:pPr>
        <w:pStyle w:val="StyleBulletyUnderline"/>
        <w:numPr>
          <w:ilvl w:val="0"/>
          <w:numId w:val="4"/>
        </w:numPr>
        <w:ind w:left="567" w:hanging="283"/>
        <w:rPr>
          <w:rFonts w:cs="Arial"/>
          <w:u w:val="none"/>
          <w:lang w:eastAsia="pl-PL"/>
        </w:rPr>
      </w:pPr>
      <w:r w:rsidRPr="00925585">
        <w:rPr>
          <w:rFonts w:cs="Arial"/>
          <w:u w:val="none"/>
          <w:lang w:eastAsia="pl-PL"/>
        </w:rPr>
        <w:t>Niepełna zgodność z dyrektywą RED II</w:t>
      </w:r>
    </w:p>
    <w:p w14:paraId="711989A8" w14:textId="7A8E57D4" w:rsidR="0095045F" w:rsidRPr="00925585" w:rsidRDefault="0095045F" w:rsidP="0095045F">
      <w:pPr>
        <w:pStyle w:val="Tekst"/>
        <w:ind w:left="567"/>
      </w:pPr>
      <w:r w:rsidRPr="00925585">
        <w:t xml:space="preserve">Wskazane powyżej kwestie powodują, że obowiązujący system </w:t>
      </w:r>
      <w:proofErr w:type="spellStart"/>
      <w:r w:rsidRPr="00925585">
        <w:t>prosumencki</w:t>
      </w:r>
      <w:proofErr w:type="spellEnd"/>
      <w:r w:rsidRPr="00925585">
        <w:t xml:space="preserve"> nie spełnia wszystkich wymogów </w:t>
      </w:r>
      <w:r w:rsidR="004848A5">
        <w:t>d</w:t>
      </w:r>
      <w:r w:rsidRPr="00925585">
        <w:t xml:space="preserve">yrektywy RED II, w szczególności </w:t>
      </w:r>
      <w:r w:rsidR="004848A5">
        <w:t>przepisów</w:t>
      </w:r>
      <w:r w:rsidR="004848A5" w:rsidRPr="00925585">
        <w:t xml:space="preserve"> </w:t>
      </w:r>
      <w:r w:rsidRPr="00925585">
        <w:t>o niedyskryminacji i</w:t>
      </w:r>
      <w:r>
        <w:t> </w:t>
      </w:r>
      <w:r w:rsidRPr="00925585">
        <w:t xml:space="preserve">przejrzystości. Przepisy </w:t>
      </w:r>
      <w:r w:rsidR="004848A5">
        <w:t>d</w:t>
      </w:r>
      <w:r w:rsidRPr="00925585">
        <w:t>yrektywy RED II należy transponować do porządku prawnego do dnia 30 czerwca 2021 r.</w:t>
      </w:r>
    </w:p>
    <w:p w14:paraId="7BC2D469" w14:textId="41CC4864" w:rsidR="0095045F" w:rsidRPr="00925585" w:rsidRDefault="0095045F" w:rsidP="0095045F">
      <w:pPr>
        <w:pStyle w:val="Tekst"/>
        <w:ind w:left="567"/>
      </w:pPr>
      <w:r w:rsidRPr="00925585">
        <w:t xml:space="preserve">Należy zwrócić uwagę na następujące wymagania </w:t>
      </w:r>
      <w:r w:rsidR="004848A5">
        <w:t>d</w:t>
      </w:r>
      <w:r w:rsidRPr="00925585">
        <w:t xml:space="preserve">yrektywy RED II odnoście </w:t>
      </w:r>
      <w:proofErr w:type="spellStart"/>
      <w:r w:rsidRPr="00925585">
        <w:t>prosumpcji</w:t>
      </w:r>
      <w:proofErr w:type="spellEnd"/>
      <w:r w:rsidRPr="00925585">
        <w:t>, których nie spełnia obecnie obowiązująca ustawa o OZE</w:t>
      </w:r>
      <w:r>
        <w:t>, a które wdrożyć będzie trzeba w najbliższym czasie</w:t>
      </w:r>
      <w:r w:rsidRPr="00925585">
        <w:t>:</w:t>
      </w:r>
    </w:p>
    <w:p w14:paraId="7C5BAD03" w14:textId="48A8C77B" w:rsidR="0095045F" w:rsidRPr="00925585" w:rsidRDefault="0095045F" w:rsidP="0095045F">
      <w:pPr>
        <w:pStyle w:val="Bullety"/>
        <w:numPr>
          <w:ilvl w:val="0"/>
          <w:numId w:val="3"/>
        </w:numPr>
        <w:ind w:left="851" w:hanging="284"/>
        <w:rPr>
          <w:rFonts w:cs="Arial"/>
          <w:lang w:eastAsia="pl-PL"/>
        </w:rPr>
      </w:pPr>
      <w:r>
        <w:rPr>
          <w:rFonts w:cs="Arial"/>
          <w:lang w:eastAsia="pl-PL"/>
        </w:rPr>
        <w:t>Funkcjonujące procedury zapewniają brak dyskryminacji p</w:t>
      </w:r>
      <w:r w:rsidRPr="00925585">
        <w:rPr>
          <w:rFonts w:cs="Arial"/>
          <w:lang w:eastAsia="pl-PL"/>
        </w:rPr>
        <w:t>rosumen</w:t>
      </w:r>
      <w:r>
        <w:rPr>
          <w:rFonts w:cs="Arial"/>
          <w:lang w:eastAsia="pl-PL"/>
        </w:rPr>
        <w:t>tów</w:t>
      </w:r>
      <w:r w:rsidRPr="00925585">
        <w:rPr>
          <w:rFonts w:cs="Arial"/>
          <w:lang w:eastAsia="pl-PL"/>
        </w:rPr>
        <w:t xml:space="preserve"> działający</w:t>
      </w:r>
      <w:r>
        <w:rPr>
          <w:rFonts w:cs="Arial"/>
          <w:lang w:eastAsia="pl-PL"/>
        </w:rPr>
        <w:t>ch</w:t>
      </w:r>
      <w:r w:rsidRPr="00925585">
        <w:rPr>
          <w:rFonts w:cs="Arial"/>
          <w:lang w:eastAsia="pl-PL"/>
        </w:rPr>
        <w:t xml:space="preserve"> indywidualnie lub za pośrednictwem koncentratorów, a Państwa członkowskie mają obowiązek zapewnić dostępność </w:t>
      </w:r>
      <w:proofErr w:type="spellStart"/>
      <w:r w:rsidRPr="00925585">
        <w:rPr>
          <w:rFonts w:cs="Arial"/>
          <w:lang w:eastAsia="pl-PL"/>
        </w:rPr>
        <w:t>prosumpcji</w:t>
      </w:r>
      <w:proofErr w:type="spellEnd"/>
      <w:r w:rsidRPr="00925585">
        <w:rPr>
          <w:rFonts w:cs="Arial"/>
          <w:lang w:eastAsia="pl-PL"/>
        </w:rPr>
        <w:t xml:space="preserve"> dla wszystkich odbiorców końcowych – przykładowo brak możliwości stania się prosumentem przez odbiorcę, który rozdzielił umowy może być potraktowan</w:t>
      </w:r>
      <w:r w:rsidR="004848A5">
        <w:rPr>
          <w:rFonts w:cs="Arial"/>
          <w:lang w:eastAsia="pl-PL"/>
        </w:rPr>
        <w:t>y</w:t>
      </w:r>
      <w:r w:rsidRPr="00925585">
        <w:rPr>
          <w:rFonts w:cs="Arial"/>
          <w:lang w:eastAsia="pl-PL"/>
        </w:rPr>
        <w:t xml:space="preserve"> jako niezgodn</w:t>
      </w:r>
      <w:r w:rsidR="004848A5">
        <w:rPr>
          <w:rFonts w:cs="Arial"/>
          <w:lang w:eastAsia="pl-PL"/>
        </w:rPr>
        <w:t>y</w:t>
      </w:r>
      <w:r w:rsidRPr="00925585">
        <w:rPr>
          <w:rFonts w:cs="Arial"/>
          <w:lang w:eastAsia="pl-PL"/>
        </w:rPr>
        <w:t xml:space="preserve"> z tymi przepisami.</w:t>
      </w:r>
    </w:p>
    <w:p w14:paraId="64094971" w14:textId="77777777" w:rsidR="0095045F" w:rsidRPr="00925585" w:rsidRDefault="0095045F" w:rsidP="0095045F">
      <w:pPr>
        <w:pStyle w:val="Bullety"/>
        <w:numPr>
          <w:ilvl w:val="0"/>
          <w:numId w:val="3"/>
        </w:numPr>
        <w:ind w:left="851" w:hanging="284"/>
        <w:rPr>
          <w:rFonts w:cs="Arial"/>
          <w:lang w:eastAsia="pl-PL"/>
        </w:rPr>
      </w:pPr>
      <w:r w:rsidRPr="00925585">
        <w:rPr>
          <w:rFonts w:cs="Arial"/>
          <w:lang w:eastAsia="pl-PL"/>
        </w:rPr>
        <w:t>Dyrektywa nakazuje umożliwić działanie grupowe prosumentów energii odnawialnej, czyli zlokalizowanych w tym samym budynku lub budynku wielomieszkaniowym. Należy umożliwić im dzielenie się energią, bez uszczerbku dla indywidualnych opłat i podatków. Różnice między nimi, a prosumentami indywidualnymi, jeżeli mają być, muszą być proporcjonalne i należycie uzasadnione.</w:t>
      </w:r>
    </w:p>
    <w:p w14:paraId="53536FE8" w14:textId="13E3E3F9" w:rsidR="0095045F" w:rsidRPr="00925585" w:rsidRDefault="0095045F" w:rsidP="0095045F">
      <w:pPr>
        <w:pStyle w:val="Bullety"/>
        <w:numPr>
          <w:ilvl w:val="0"/>
          <w:numId w:val="3"/>
        </w:numPr>
        <w:ind w:left="851" w:hanging="284"/>
        <w:rPr>
          <w:rFonts w:cs="Arial"/>
          <w:lang w:eastAsia="pl-PL"/>
        </w:rPr>
      </w:pPr>
      <w:r w:rsidRPr="00925585">
        <w:rPr>
          <w:rFonts w:cs="Arial"/>
          <w:lang w:eastAsia="pl-PL"/>
        </w:rPr>
        <w:t xml:space="preserve">Wprowadzić możliwość, by prosumenci indywidualni (ale też działający grupowo, jeżeli nie ma przeciwskazań), mieli możliwość sprzedawania swoich nadwyżek energii na podstawie handlu </w:t>
      </w:r>
      <w:proofErr w:type="spellStart"/>
      <w:r w:rsidRPr="00925585">
        <w:rPr>
          <w:rFonts w:cs="Arial"/>
          <w:i/>
          <w:lang w:eastAsia="pl-PL"/>
        </w:rPr>
        <w:t>peer</w:t>
      </w:r>
      <w:proofErr w:type="spellEnd"/>
      <w:r w:rsidRPr="00925585">
        <w:rPr>
          <w:rFonts w:cs="Arial"/>
          <w:i/>
          <w:lang w:eastAsia="pl-PL"/>
        </w:rPr>
        <w:t>-to-</w:t>
      </w:r>
      <w:proofErr w:type="spellStart"/>
      <w:r w:rsidRPr="00925585">
        <w:rPr>
          <w:rFonts w:cs="Arial"/>
          <w:i/>
          <w:lang w:eastAsia="pl-PL"/>
        </w:rPr>
        <w:t>peer</w:t>
      </w:r>
      <w:proofErr w:type="spellEnd"/>
      <w:r w:rsidRPr="00925585">
        <w:rPr>
          <w:rFonts w:cs="Arial"/>
          <w:lang w:eastAsia="pl-PL"/>
        </w:rPr>
        <w:t xml:space="preserve">, czyli na podstawie umowy dotyczącej z góry </w:t>
      </w:r>
      <w:r>
        <w:rPr>
          <w:rFonts w:cs="Arial"/>
          <w:lang w:eastAsia="pl-PL"/>
        </w:rPr>
        <w:t>sprecyzowanych</w:t>
      </w:r>
      <w:r w:rsidRPr="00925585">
        <w:rPr>
          <w:rFonts w:cs="Arial"/>
          <w:lang w:eastAsia="pl-PL"/>
        </w:rPr>
        <w:t xml:space="preserve"> warunków określających zautomatyzowane dokonywanie transakcji i płatności, bezpośrednio pomiędzy uczestnikami rynku.</w:t>
      </w:r>
    </w:p>
    <w:p w14:paraId="42F8FAC9" w14:textId="77777777" w:rsidR="0095045F" w:rsidRPr="00925585" w:rsidRDefault="0095045F" w:rsidP="0095045F">
      <w:pPr>
        <w:pStyle w:val="Bullety"/>
        <w:numPr>
          <w:ilvl w:val="0"/>
          <w:numId w:val="3"/>
        </w:numPr>
        <w:ind w:left="851" w:hanging="284"/>
        <w:rPr>
          <w:rFonts w:cs="Arial"/>
          <w:lang w:eastAsia="pl-PL"/>
        </w:rPr>
      </w:pPr>
      <w:r w:rsidRPr="00925585">
        <w:rPr>
          <w:rFonts w:cs="Arial"/>
          <w:lang w:eastAsia="pl-PL"/>
        </w:rPr>
        <w:t>Zapewnić, aby odbiorcy końcowi, w tym gospodarstwa domowe, mieli możliwość uczestniczenia w społecznościach energetycznych. Społeczności takie mają mieć podmiotowość prawną, mają mieć prawo do sprzedaży energii, podziału energii w</w:t>
      </w:r>
      <w:r>
        <w:rPr>
          <w:rFonts w:cs="Arial"/>
          <w:lang w:eastAsia="pl-PL"/>
        </w:rPr>
        <w:t> </w:t>
      </w:r>
      <w:r w:rsidRPr="00925585">
        <w:rPr>
          <w:rFonts w:cs="Arial"/>
          <w:lang w:eastAsia="pl-PL"/>
        </w:rPr>
        <w:t>społeczności i niedyskryminacyjny dostęp do wszystkich odpowiednich rynków energii, w</w:t>
      </w:r>
      <w:r>
        <w:rPr>
          <w:rFonts w:cs="Arial"/>
          <w:lang w:eastAsia="pl-PL"/>
        </w:rPr>
        <w:t> </w:t>
      </w:r>
      <w:r w:rsidRPr="00925585">
        <w:rPr>
          <w:rFonts w:cs="Arial"/>
          <w:lang w:eastAsia="pl-PL"/>
        </w:rPr>
        <w:t>tym za pośrednictwem koncentracji.</w:t>
      </w:r>
    </w:p>
    <w:p w14:paraId="64B9D340" w14:textId="28AD7F81" w:rsidR="0095045F" w:rsidRDefault="0095045F" w:rsidP="0095045F">
      <w:pPr>
        <w:pStyle w:val="Tekst"/>
        <w:ind w:left="567"/>
      </w:pPr>
      <w:r>
        <w:lastRenderedPageBreak/>
        <w:t xml:space="preserve">Proponowane zmiany są kolejnym krokiem w kierunku pełnej implementacji </w:t>
      </w:r>
      <w:r w:rsidR="004848A5">
        <w:t>d</w:t>
      </w:r>
      <w:r>
        <w:t>yrektywy</w:t>
      </w:r>
      <w:r w:rsidR="004848A5">
        <w:t xml:space="preserve"> </w:t>
      </w:r>
      <w:r w:rsidR="004848A5" w:rsidRPr="00925585">
        <w:t>RED II</w:t>
      </w:r>
      <w:r>
        <w:t>.</w:t>
      </w:r>
      <w:r w:rsidRPr="00925585">
        <w:t xml:space="preserve"> </w:t>
      </w:r>
    </w:p>
    <w:p w14:paraId="7B6B935C" w14:textId="77777777" w:rsidR="0095045F" w:rsidRPr="00925585" w:rsidRDefault="0095045F" w:rsidP="0095045F">
      <w:pPr>
        <w:pStyle w:val="Tytu1"/>
        <w:rPr>
          <w:b w:val="0"/>
          <w:bCs w:val="0"/>
        </w:rPr>
      </w:pPr>
      <w:r w:rsidRPr="00925585">
        <w:t xml:space="preserve">Cele wprowadzanych zmian w modelu </w:t>
      </w:r>
      <w:proofErr w:type="spellStart"/>
      <w:r w:rsidRPr="00925585">
        <w:t>prosumenckim</w:t>
      </w:r>
      <w:proofErr w:type="spellEnd"/>
    </w:p>
    <w:p w14:paraId="6901289B" w14:textId="77777777" w:rsidR="0095045F" w:rsidRPr="00925585" w:rsidRDefault="0095045F" w:rsidP="0095045F">
      <w:pPr>
        <w:pStyle w:val="Tekst"/>
      </w:pPr>
      <w:r w:rsidRPr="00925585">
        <w:t xml:space="preserve">Biorąc pod uwagę ograniczenia obecnego systemu wsparcia energetyki </w:t>
      </w:r>
      <w:proofErr w:type="spellStart"/>
      <w:r w:rsidRPr="00925585">
        <w:t>prosumenckiej</w:t>
      </w:r>
      <w:proofErr w:type="spellEnd"/>
      <w:r w:rsidRPr="00925585">
        <w:t xml:space="preserve"> oraz zidentyfikowane problemy związane z jego funkcjonowaniem, propozycje zmian regulacyjnych mają na celu </w:t>
      </w:r>
      <w:r w:rsidR="002A09DF">
        <w:t>rozwiązanie</w:t>
      </w:r>
      <w:r w:rsidRPr="00925585">
        <w:t xml:space="preserve"> poniższych kwestii.</w:t>
      </w:r>
    </w:p>
    <w:p w14:paraId="6C7FA9A2" w14:textId="77777777" w:rsidR="0095045F" w:rsidRPr="00925585" w:rsidRDefault="0095045F" w:rsidP="0095045F">
      <w:pPr>
        <w:pStyle w:val="StyleBulletyUnderline"/>
        <w:numPr>
          <w:ilvl w:val="0"/>
          <w:numId w:val="5"/>
        </w:numPr>
        <w:ind w:left="567" w:hanging="283"/>
        <w:rPr>
          <w:rFonts w:cs="Arial"/>
          <w:u w:val="none"/>
          <w:lang w:eastAsia="pl-PL"/>
        </w:rPr>
      </w:pPr>
      <w:r w:rsidRPr="00925585">
        <w:rPr>
          <w:rFonts w:cs="Arial"/>
          <w:u w:val="none"/>
          <w:lang w:eastAsia="pl-PL"/>
        </w:rPr>
        <w:t>Zapewnienie porównywalnej opłacalności instalacji</w:t>
      </w:r>
    </w:p>
    <w:p w14:paraId="789B9832" w14:textId="77777777" w:rsidR="0095045F" w:rsidRPr="00925585" w:rsidRDefault="0095045F" w:rsidP="0095045F">
      <w:pPr>
        <w:pStyle w:val="Bullety"/>
        <w:numPr>
          <w:ilvl w:val="0"/>
          <w:numId w:val="0"/>
        </w:numPr>
        <w:ind w:left="540"/>
        <w:rPr>
          <w:rFonts w:cs="Arial"/>
          <w:lang w:eastAsia="pl-PL"/>
        </w:rPr>
      </w:pPr>
      <w:r w:rsidRPr="00925585">
        <w:rPr>
          <w:rFonts w:cs="Arial"/>
        </w:rPr>
        <w:t xml:space="preserve">Podstawowym założeniem przyjętym przy opracowaniu zmian modelu </w:t>
      </w:r>
      <w:proofErr w:type="spellStart"/>
      <w:r w:rsidRPr="00925585">
        <w:rPr>
          <w:rFonts w:cs="Arial"/>
        </w:rPr>
        <w:t>prosumenckiego</w:t>
      </w:r>
      <w:proofErr w:type="spellEnd"/>
      <w:r w:rsidRPr="00925585">
        <w:rPr>
          <w:rFonts w:cs="Arial"/>
        </w:rPr>
        <w:t xml:space="preserve"> było założenie o utrzymaniu zbliżonego poziomu opłacalności </w:t>
      </w:r>
      <w:r>
        <w:rPr>
          <w:rFonts w:cs="Arial"/>
        </w:rPr>
        <w:t xml:space="preserve">inwestycji </w:t>
      </w:r>
      <w:r w:rsidRPr="00925585">
        <w:rPr>
          <w:rFonts w:cs="Arial"/>
        </w:rPr>
        <w:t>w instalację fotowoltaiczną. Na potrzeby analiz jako wiodące wykorzystano dwa wskaźniki: okres zwrotu inwestycji oraz całkowite korzyści otrzymane przez prosumenta w okresie wsparcia.</w:t>
      </w:r>
    </w:p>
    <w:p w14:paraId="042AA92F" w14:textId="77777777" w:rsidR="0095045F" w:rsidRPr="00925585" w:rsidRDefault="0095045F" w:rsidP="0095045F">
      <w:pPr>
        <w:pStyle w:val="StyleBulletyUnderline"/>
        <w:numPr>
          <w:ilvl w:val="0"/>
          <w:numId w:val="5"/>
        </w:numPr>
        <w:ind w:left="567" w:hanging="283"/>
        <w:rPr>
          <w:rFonts w:cs="Arial"/>
          <w:u w:val="none"/>
          <w:lang w:eastAsia="pl-PL"/>
        </w:rPr>
      </w:pPr>
      <w:r w:rsidRPr="00925585">
        <w:rPr>
          <w:rFonts w:cs="Arial"/>
          <w:u w:val="none"/>
          <w:lang w:eastAsia="pl-PL"/>
        </w:rPr>
        <w:t>Ograniczenie kosztów po stronie prosumenta</w:t>
      </w:r>
    </w:p>
    <w:p w14:paraId="73A91CA7" w14:textId="6A0E398F" w:rsidR="0095045F" w:rsidRPr="00925585" w:rsidRDefault="0095045F" w:rsidP="0095045F">
      <w:pPr>
        <w:pStyle w:val="Bullety"/>
        <w:numPr>
          <w:ilvl w:val="0"/>
          <w:numId w:val="0"/>
        </w:numPr>
        <w:ind w:left="540"/>
        <w:rPr>
          <w:rFonts w:cs="Arial"/>
          <w:lang w:eastAsia="pl-PL"/>
        </w:rPr>
      </w:pPr>
      <w:r w:rsidRPr="00925585">
        <w:rPr>
          <w:rFonts w:cs="Arial"/>
        </w:rPr>
        <w:t>W obecnym systemie wsparcia prosumentów, energia wprowadzona przez prosumenta do sieci może być pobrana bez ponoszenia kosztu energii elektrycznej oraz opłat zmiennych dystrybucyjnych po zastosowaniu opustu w stosunku 1:0,7 (dla instalacji fotowoltaicznych o</w:t>
      </w:r>
      <w:r>
        <w:rPr>
          <w:rFonts w:cs="Arial"/>
        </w:rPr>
        <w:t> </w:t>
      </w:r>
      <w:r w:rsidRPr="00925585">
        <w:rPr>
          <w:rFonts w:cs="Arial"/>
        </w:rPr>
        <w:t>mocy w zakresie 10</w:t>
      </w:r>
      <w:r w:rsidR="004A124E" w:rsidRPr="00925585">
        <w:rPr>
          <w:rFonts w:cs="Arial"/>
          <w:lang w:eastAsia="pl-PL"/>
        </w:rPr>
        <w:t>–</w:t>
      </w:r>
      <w:r w:rsidRPr="00925585">
        <w:rPr>
          <w:rFonts w:cs="Arial"/>
        </w:rPr>
        <w:t>50 kW) lub 1:0,8 (dla instalacji o mocy nie przekraczającej 10 kW). W</w:t>
      </w:r>
      <w:r>
        <w:rPr>
          <w:rFonts w:cs="Arial"/>
        </w:rPr>
        <w:t> </w:t>
      </w:r>
      <w:r w:rsidRPr="00925585">
        <w:rPr>
          <w:rFonts w:cs="Arial"/>
        </w:rPr>
        <w:t>celu maksymalizacji korzyści ekonomicznych prosument dąży do możliwie pełnego pokrycia swojego zużycia energii energią zmagazynowaną (po rozliczeniu opustu). W efekcie prosumenci inwestują w przewymiarowane o ok. 25</w:t>
      </w:r>
      <w:r w:rsidR="004A124E" w:rsidRPr="00925585">
        <w:rPr>
          <w:rFonts w:cs="Arial"/>
          <w:lang w:eastAsia="pl-PL"/>
        </w:rPr>
        <w:t>–</w:t>
      </w:r>
      <w:r w:rsidRPr="00925585">
        <w:rPr>
          <w:rFonts w:cs="Arial"/>
        </w:rPr>
        <w:t>35% instalacje fotowoltaiczne, co przekłada się na ponoszenie przez prosumentów wyższych nakładów początkowych. Propozycje zmian spowodują obniżenie progu wejścia dla nowych prosumentów.</w:t>
      </w:r>
    </w:p>
    <w:p w14:paraId="39BD35CB" w14:textId="77777777" w:rsidR="0095045F" w:rsidRPr="00925585" w:rsidRDefault="0095045F" w:rsidP="0095045F">
      <w:pPr>
        <w:pStyle w:val="StyleBulletyUnderline"/>
        <w:numPr>
          <w:ilvl w:val="0"/>
          <w:numId w:val="5"/>
        </w:numPr>
        <w:ind w:left="567" w:hanging="283"/>
        <w:rPr>
          <w:rFonts w:cs="Arial"/>
          <w:u w:val="none"/>
          <w:lang w:eastAsia="pl-PL"/>
        </w:rPr>
      </w:pPr>
      <w:r w:rsidRPr="00925585">
        <w:rPr>
          <w:rFonts w:cs="Arial"/>
          <w:u w:val="none"/>
          <w:lang w:eastAsia="pl-PL"/>
        </w:rPr>
        <w:t>Likwidacja straty sprzedawców</w:t>
      </w:r>
    </w:p>
    <w:p w14:paraId="2AC581CB" w14:textId="77777777" w:rsidR="0095045F" w:rsidRPr="00925585" w:rsidRDefault="0095045F" w:rsidP="0095045F">
      <w:pPr>
        <w:pStyle w:val="Bullety"/>
        <w:numPr>
          <w:ilvl w:val="0"/>
          <w:numId w:val="0"/>
        </w:numPr>
        <w:ind w:left="567"/>
        <w:rPr>
          <w:rFonts w:cs="Arial"/>
          <w:lang w:eastAsia="pl-PL"/>
        </w:rPr>
      </w:pPr>
      <w:r w:rsidRPr="00925585">
        <w:rPr>
          <w:rFonts w:cs="Arial"/>
        </w:rPr>
        <w:t>W założeniu obecnego modelu wsparcia, dodatkowe koszty ponoszone przez sprzedawcę z</w:t>
      </w:r>
      <w:r>
        <w:rPr>
          <w:rFonts w:cs="Arial"/>
        </w:rPr>
        <w:t> </w:t>
      </w:r>
      <w:r w:rsidRPr="00925585">
        <w:rPr>
          <w:rFonts w:cs="Arial"/>
        </w:rPr>
        <w:t>tyt</w:t>
      </w:r>
      <w:r>
        <w:rPr>
          <w:rFonts w:cs="Arial"/>
        </w:rPr>
        <w:t>ułu</w:t>
      </w:r>
      <w:r w:rsidRPr="00925585">
        <w:rPr>
          <w:rFonts w:cs="Arial"/>
        </w:rPr>
        <w:t xml:space="preserve"> rozliczenia z OSD (sprzedawca płaci pełne opłaty zmienne za dystrybucję energii pobranej przez prosumenta) oraz inne koszty związane z obsługą prosumentów (spółki obrotu pokrywają podatek akcyzowy oraz koszt świadectw pochodzenia – kolorów – dla energii pobieranej przez prosumentów w ramach rozliczenia energii wprowadzonej) powinny być pokryte przez przychody z nadwyżki energii, którą sprzedawca dysponuje (prosument odbiera 80% lub 70% wprowadzonej energii). </w:t>
      </w:r>
      <w:bookmarkStart w:id="0" w:name="_Hlk58495321"/>
      <w:r>
        <w:rPr>
          <w:rFonts w:cs="Arial"/>
        </w:rPr>
        <w:t xml:space="preserve">Praktyka funkcjonowania systemu po wdrożeniu wskazuje, że </w:t>
      </w:r>
      <w:bookmarkEnd w:id="0"/>
      <w:r w:rsidRPr="00925585">
        <w:rPr>
          <w:rFonts w:cs="Arial"/>
        </w:rPr>
        <w:t xml:space="preserve">koszty rozliczenia z OSD są na ogół wyższe niż zysk ze sprzedaży nadwyżek energii, co prowadzi do sytuacji, w której sprzedawca może osiągać ujemną marżę. Wdrożenie regulacji zmieniających model </w:t>
      </w:r>
      <w:proofErr w:type="spellStart"/>
      <w:r w:rsidRPr="00925585">
        <w:rPr>
          <w:rFonts w:cs="Arial"/>
        </w:rPr>
        <w:t>prosumencki</w:t>
      </w:r>
      <w:proofErr w:type="spellEnd"/>
      <w:r w:rsidRPr="00925585">
        <w:rPr>
          <w:rFonts w:cs="Arial"/>
        </w:rPr>
        <w:t xml:space="preserve"> ma na celu zatrzymanie narastania tego problemu i zmniejszenie jego wymiaru (obecni prosumenci będą mieli możliwość przejścia na nowy model,</w:t>
      </w:r>
      <w:r>
        <w:rPr>
          <w:rFonts w:cs="Arial"/>
        </w:rPr>
        <w:t xml:space="preserve"> </w:t>
      </w:r>
      <w:bookmarkStart w:id="1" w:name="_Hlk58495493"/>
      <w:r>
        <w:rPr>
          <w:rFonts w:cs="Arial"/>
        </w:rPr>
        <w:t>który zakłada m.in. dłuższy okres wsparcia oraz rabat na opłatach dystrybucyjnych)</w:t>
      </w:r>
      <w:bookmarkEnd w:id="1"/>
      <w:r w:rsidRPr="00925585">
        <w:rPr>
          <w:rFonts w:cs="Arial"/>
        </w:rPr>
        <w:t>.</w:t>
      </w:r>
    </w:p>
    <w:p w14:paraId="76110270" w14:textId="77777777" w:rsidR="0095045F" w:rsidRPr="00925585" w:rsidRDefault="0095045F" w:rsidP="0095045F">
      <w:pPr>
        <w:pStyle w:val="StyleBulletyUnderline"/>
        <w:numPr>
          <w:ilvl w:val="0"/>
          <w:numId w:val="5"/>
        </w:numPr>
        <w:ind w:left="567" w:hanging="283"/>
        <w:rPr>
          <w:rFonts w:cs="Arial"/>
          <w:u w:val="none"/>
          <w:lang w:eastAsia="pl-PL"/>
        </w:rPr>
      </w:pPr>
      <w:r w:rsidRPr="00925585">
        <w:rPr>
          <w:rFonts w:cs="Arial"/>
          <w:u w:val="none"/>
          <w:lang w:eastAsia="pl-PL"/>
        </w:rPr>
        <w:t>Likwidacja ograniczeń ze względu na formę rozliczenia</w:t>
      </w:r>
    </w:p>
    <w:p w14:paraId="05977DA6" w14:textId="3EC30315" w:rsidR="0095045F" w:rsidRPr="00925585" w:rsidRDefault="0095045F" w:rsidP="0095045F">
      <w:pPr>
        <w:pStyle w:val="Bullety"/>
        <w:numPr>
          <w:ilvl w:val="0"/>
          <w:numId w:val="0"/>
        </w:numPr>
        <w:ind w:left="567"/>
        <w:rPr>
          <w:rFonts w:cs="Arial"/>
        </w:rPr>
      </w:pPr>
      <w:r w:rsidRPr="00925585">
        <w:rPr>
          <w:rFonts w:cs="Arial"/>
        </w:rPr>
        <w:t xml:space="preserve">Mimo braku bezpośrednio odpowiedniego </w:t>
      </w:r>
      <w:r w:rsidR="004A124E">
        <w:rPr>
          <w:rFonts w:cs="Arial"/>
        </w:rPr>
        <w:t>przepisu</w:t>
      </w:r>
      <w:r w:rsidRPr="00925585">
        <w:rPr>
          <w:rFonts w:cs="Arial"/>
        </w:rPr>
        <w:t>, ustawa o OZE wymaga, aby prosument dokonywał zakupu energii elektrycznej na podstawie umowy kompleksowej. Wobec tego automatycznie wykluczone zostają podmioty dokonujące zakupu na podstawie umów rozdzielonych. Zmiany regulacyjne mają na celu zniesienie obecnego ograniczenia w tym zakresie.</w:t>
      </w:r>
    </w:p>
    <w:p w14:paraId="1FBBFFA1" w14:textId="77777777" w:rsidR="0095045F" w:rsidRPr="00925585" w:rsidRDefault="0095045F" w:rsidP="0095045F">
      <w:pPr>
        <w:pStyle w:val="StyleBulletyUnderline"/>
        <w:numPr>
          <w:ilvl w:val="0"/>
          <w:numId w:val="5"/>
        </w:numPr>
        <w:ind w:left="567" w:hanging="283"/>
        <w:rPr>
          <w:rFonts w:cs="Arial"/>
          <w:u w:val="none"/>
          <w:lang w:eastAsia="pl-PL"/>
        </w:rPr>
      </w:pPr>
      <w:proofErr w:type="spellStart"/>
      <w:r w:rsidRPr="00925585">
        <w:rPr>
          <w:rFonts w:cs="Arial"/>
          <w:u w:val="none"/>
          <w:lang w:eastAsia="pl-PL"/>
        </w:rPr>
        <w:t>Uspójnienie</w:t>
      </w:r>
      <w:proofErr w:type="spellEnd"/>
      <w:r w:rsidRPr="00925585">
        <w:rPr>
          <w:rFonts w:cs="Arial"/>
          <w:u w:val="none"/>
          <w:lang w:eastAsia="pl-PL"/>
        </w:rPr>
        <w:t xml:space="preserve"> okresu wsparcia z okresem użyteczności instalacji</w:t>
      </w:r>
    </w:p>
    <w:p w14:paraId="0A4A916B" w14:textId="5A5A1831" w:rsidR="0095045F" w:rsidRPr="00925585" w:rsidRDefault="0095045F" w:rsidP="0095045F">
      <w:pPr>
        <w:pStyle w:val="Bullety"/>
        <w:numPr>
          <w:ilvl w:val="0"/>
          <w:numId w:val="0"/>
        </w:numPr>
        <w:ind w:left="540"/>
        <w:rPr>
          <w:rFonts w:cs="Arial"/>
        </w:rPr>
      </w:pPr>
      <w:r w:rsidRPr="00925585">
        <w:rPr>
          <w:rFonts w:cs="Arial"/>
        </w:rPr>
        <w:t>Zgodnie z zapisami ustawy o OZE, obecny model wsparcia prosumentów zapewnia pomoc w</w:t>
      </w:r>
      <w:r>
        <w:rPr>
          <w:rFonts w:cs="Arial"/>
        </w:rPr>
        <w:t> </w:t>
      </w:r>
      <w:r w:rsidRPr="00925585">
        <w:rPr>
          <w:rFonts w:cs="Arial"/>
        </w:rPr>
        <w:t xml:space="preserve">okresie 15 lat, maksymalnie do </w:t>
      </w:r>
      <w:r w:rsidR="00816B8E">
        <w:rPr>
          <w:rFonts w:cs="Arial"/>
        </w:rPr>
        <w:t xml:space="preserve">dnia </w:t>
      </w:r>
      <w:r w:rsidRPr="00925585">
        <w:rPr>
          <w:rFonts w:cs="Arial"/>
        </w:rPr>
        <w:t xml:space="preserve">30 czerwca 2039 r. Planowane zmiany mają na celu </w:t>
      </w:r>
      <w:proofErr w:type="spellStart"/>
      <w:r w:rsidRPr="00925585">
        <w:rPr>
          <w:rFonts w:cs="Arial"/>
        </w:rPr>
        <w:t>uspójnienie</w:t>
      </w:r>
      <w:proofErr w:type="spellEnd"/>
      <w:r w:rsidRPr="00925585">
        <w:rPr>
          <w:rFonts w:cs="Arial"/>
        </w:rPr>
        <w:t xml:space="preserve"> okresu wsparcia oraz oczekiwanego czasu ekonomicznej użyteczności instalacji w</w:t>
      </w:r>
      <w:r>
        <w:rPr>
          <w:rFonts w:cs="Arial"/>
        </w:rPr>
        <w:t> </w:t>
      </w:r>
      <w:r w:rsidRPr="00925585">
        <w:rPr>
          <w:rFonts w:cs="Arial"/>
        </w:rPr>
        <w:t>perspektywie 25 lat.</w:t>
      </w:r>
    </w:p>
    <w:p w14:paraId="69B965C0" w14:textId="77777777" w:rsidR="0095045F" w:rsidRPr="00925585" w:rsidRDefault="0095045F" w:rsidP="0095045F">
      <w:pPr>
        <w:pStyle w:val="StyleBulletyUnderline"/>
        <w:numPr>
          <w:ilvl w:val="0"/>
          <w:numId w:val="5"/>
        </w:numPr>
        <w:ind w:left="567" w:hanging="283"/>
        <w:rPr>
          <w:rFonts w:cs="Arial"/>
          <w:u w:val="none"/>
          <w:lang w:eastAsia="pl-PL"/>
        </w:rPr>
      </w:pPr>
      <w:r w:rsidRPr="00925585">
        <w:rPr>
          <w:rFonts w:cs="Arial"/>
          <w:u w:val="none"/>
          <w:lang w:eastAsia="pl-PL"/>
        </w:rPr>
        <w:lastRenderedPageBreak/>
        <w:t>Rozszerzenie dostępności systemu wsparcia o nowe grupy prosumentów</w:t>
      </w:r>
    </w:p>
    <w:p w14:paraId="08815337" w14:textId="77777777" w:rsidR="0095045F" w:rsidRPr="00925585" w:rsidRDefault="0095045F" w:rsidP="0095045F">
      <w:pPr>
        <w:pStyle w:val="Bullety"/>
        <w:numPr>
          <w:ilvl w:val="0"/>
          <w:numId w:val="0"/>
        </w:numPr>
        <w:ind w:left="540"/>
        <w:rPr>
          <w:rFonts w:cs="Arial"/>
        </w:rPr>
      </w:pPr>
      <w:r w:rsidRPr="00925585">
        <w:rPr>
          <w:rFonts w:cs="Arial"/>
        </w:rPr>
        <w:t xml:space="preserve">Obecny system wsparcia efektywnie ograniczył dostępność rozwiązań </w:t>
      </w:r>
      <w:proofErr w:type="spellStart"/>
      <w:r w:rsidRPr="00925585">
        <w:rPr>
          <w:rFonts w:cs="Arial"/>
        </w:rPr>
        <w:t>prosumenckich</w:t>
      </w:r>
      <w:proofErr w:type="spellEnd"/>
      <w:r w:rsidRPr="00925585">
        <w:rPr>
          <w:rFonts w:cs="Arial"/>
        </w:rPr>
        <w:t xml:space="preserve"> do modelu lokalnego, w którym prosument musi dysponować możliwościami przyłączenia instalacji za licznikiem energii elektrycznej w bezpośrednim sąsiedztwie punktu poboru energii. Oznacza to, że w rozwoju energetyki </w:t>
      </w:r>
      <w:proofErr w:type="spellStart"/>
      <w:r w:rsidRPr="00925585">
        <w:rPr>
          <w:rFonts w:cs="Arial"/>
        </w:rPr>
        <w:t>prosumenckiej</w:t>
      </w:r>
      <w:proofErr w:type="spellEnd"/>
      <w:r w:rsidRPr="00925585">
        <w:rPr>
          <w:rFonts w:cs="Arial"/>
        </w:rPr>
        <w:t xml:space="preserve"> nie mogą uczestniczyć osoby i podmioty nie dysponujące z różnych przyczyn odpowiednimi warunkami. Proponowane zmiany regulacyjne mają na celu rozszerzenie możliwości rozwoju energetyki </w:t>
      </w:r>
      <w:proofErr w:type="spellStart"/>
      <w:r w:rsidRPr="00925585">
        <w:rPr>
          <w:rFonts w:cs="Arial"/>
        </w:rPr>
        <w:t>prosumenckiej</w:t>
      </w:r>
      <w:proofErr w:type="spellEnd"/>
      <w:r w:rsidRPr="00925585">
        <w:rPr>
          <w:rFonts w:cs="Arial"/>
        </w:rPr>
        <w:t xml:space="preserve"> o nowe grupy prosumentów, w tym:</w:t>
      </w:r>
    </w:p>
    <w:p w14:paraId="64621E00" w14:textId="77777777" w:rsidR="0095045F" w:rsidRPr="00925585" w:rsidRDefault="00816B8E" w:rsidP="008E5DE8">
      <w:pPr>
        <w:pStyle w:val="Bullety"/>
        <w:keepNext/>
        <w:numPr>
          <w:ilvl w:val="0"/>
          <w:numId w:val="0"/>
        </w:numPr>
        <w:ind w:left="851"/>
        <w:rPr>
          <w:rFonts w:cs="Arial"/>
          <w:lang w:eastAsia="pl-PL"/>
        </w:rPr>
      </w:pPr>
      <w:r>
        <w:rPr>
          <w:rFonts w:cs="Arial"/>
          <w:lang w:eastAsia="pl-PL"/>
        </w:rPr>
        <w:t xml:space="preserve">a) </w:t>
      </w:r>
      <w:r w:rsidR="0095045F" w:rsidRPr="00925585">
        <w:rPr>
          <w:rFonts w:cs="Arial"/>
          <w:lang w:eastAsia="pl-PL"/>
        </w:rPr>
        <w:t>Prosument zbiorowy energii odnawialnej</w:t>
      </w:r>
    </w:p>
    <w:p w14:paraId="2325C89C" w14:textId="6C40A09B" w:rsidR="0095045F" w:rsidRPr="00925585" w:rsidRDefault="0095045F" w:rsidP="0095045F">
      <w:pPr>
        <w:pStyle w:val="Bullety"/>
        <w:numPr>
          <w:ilvl w:val="0"/>
          <w:numId w:val="0"/>
        </w:numPr>
        <w:ind w:left="851"/>
        <w:rPr>
          <w:rFonts w:cs="Arial"/>
        </w:rPr>
      </w:pPr>
      <w:r w:rsidRPr="00925585">
        <w:rPr>
          <w:rFonts w:cs="Arial"/>
        </w:rPr>
        <w:t xml:space="preserve">Model prosumenta zbiorowego jest modelem </w:t>
      </w:r>
      <w:r w:rsidR="002A09DF">
        <w:rPr>
          <w:rFonts w:cs="Arial"/>
        </w:rPr>
        <w:t>przeznaczonym dla</w:t>
      </w:r>
      <w:r w:rsidRPr="00925585">
        <w:rPr>
          <w:rFonts w:cs="Arial"/>
        </w:rPr>
        <w:t xml:space="preserve"> konsument</w:t>
      </w:r>
      <w:r w:rsidR="002A09DF">
        <w:rPr>
          <w:rFonts w:cs="Arial"/>
        </w:rPr>
        <w:t>ów</w:t>
      </w:r>
      <w:r w:rsidRPr="00925585">
        <w:rPr>
          <w:rFonts w:cs="Arial"/>
        </w:rPr>
        <w:t xml:space="preserve"> energii elektrycznej w budynkach wielolokalowych. Osoby i podmioty zużywające energię w takich budynkach praktycznie </w:t>
      </w:r>
      <w:r w:rsidR="00C61E5E">
        <w:rPr>
          <w:rFonts w:cs="Arial"/>
        </w:rPr>
        <w:t>nie mają obecnie</w:t>
      </w:r>
      <w:r w:rsidRPr="00925585">
        <w:rPr>
          <w:rFonts w:cs="Arial"/>
        </w:rPr>
        <w:t xml:space="preserve"> możliwości korzystania z modelu wsparcia dla energetyki </w:t>
      </w:r>
      <w:proofErr w:type="spellStart"/>
      <w:r w:rsidRPr="00925585">
        <w:rPr>
          <w:rFonts w:cs="Arial"/>
        </w:rPr>
        <w:t>prosumenckiej</w:t>
      </w:r>
      <w:proofErr w:type="spellEnd"/>
      <w:r w:rsidRPr="00925585">
        <w:rPr>
          <w:rFonts w:cs="Arial"/>
        </w:rPr>
        <w:t xml:space="preserve"> ze względu na brak rozwiązań umożliwiających korzystanie z</w:t>
      </w:r>
      <w:r>
        <w:rPr>
          <w:rFonts w:cs="Arial"/>
        </w:rPr>
        <w:t> </w:t>
      </w:r>
      <w:r w:rsidRPr="00925585">
        <w:rPr>
          <w:rFonts w:cs="Arial"/>
        </w:rPr>
        <w:t>instalacji OZE zlokalizowanej na budynku wielolokalow</w:t>
      </w:r>
      <w:r>
        <w:rPr>
          <w:rFonts w:cs="Arial"/>
        </w:rPr>
        <w:t>ym</w:t>
      </w:r>
      <w:r w:rsidRPr="00925585">
        <w:rPr>
          <w:rFonts w:cs="Arial"/>
        </w:rPr>
        <w:t xml:space="preserve"> lub w </w:t>
      </w:r>
      <w:r>
        <w:rPr>
          <w:rFonts w:cs="Arial"/>
        </w:rPr>
        <w:t xml:space="preserve">jego </w:t>
      </w:r>
      <w:r w:rsidRPr="00925585">
        <w:rPr>
          <w:rFonts w:cs="Arial"/>
        </w:rPr>
        <w:t>bezpośredni</w:t>
      </w:r>
      <w:r>
        <w:rPr>
          <w:rFonts w:cs="Arial"/>
        </w:rPr>
        <w:t>m</w:t>
      </w:r>
      <w:r w:rsidRPr="00925585">
        <w:rPr>
          <w:rFonts w:cs="Arial"/>
        </w:rPr>
        <w:t xml:space="preserve"> </w:t>
      </w:r>
      <w:r>
        <w:rPr>
          <w:rFonts w:cs="Arial"/>
        </w:rPr>
        <w:t>sąsiedztwie</w:t>
      </w:r>
      <w:r w:rsidRPr="00925585">
        <w:rPr>
          <w:rFonts w:cs="Arial"/>
        </w:rPr>
        <w:t xml:space="preserve"> i podłączonej do sieci elektroenergetycznej poza licznikiem zużycia energii elektrycznej przypisanym do danego konsumenta. Model prosumenta zbiorowego</w:t>
      </w:r>
      <w:r w:rsidR="00BA0F97">
        <w:rPr>
          <w:rFonts w:cs="Arial"/>
        </w:rPr>
        <w:t xml:space="preserve"> zakłada</w:t>
      </w:r>
      <w:r w:rsidRPr="00925585">
        <w:rPr>
          <w:rFonts w:cs="Arial"/>
        </w:rPr>
        <w:t xml:space="preserve"> </w:t>
      </w:r>
      <w:r>
        <w:rPr>
          <w:rFonts w:cs="Arial"/>
        </w:rPr>
        <w:t xml:space="preserve">takie </w:t>
      </w:r>
      <w:r w:rsidRPr="00925585">
        <w:rPr>
          <w:rFonts w:cs="Arial"/>
        </w:rPr>
        <w:t>umieszczeni</w:t>
      </w:r>
      <w:r w:rsidR="00BA0F97">
        <w:rPr>
          <w:rFonts w:cs="Arial"/>
        </w:rPr>
        <w:t>e</w:t>
      </w:r>
      <w:r w:rsidRPr="00925585">
        <w:rPr>
          <w:rFonts w:cs="Arial"/>
        </w:rPr>
        <w:t xml:space="preserve"> instalacji </w:t>
      </w:r>
      <w:r w:rsidR="00A36208">
        <w:rPr>
          <w:rFonts w:cs="Arial"/>
        </w:rPr>
        <w:t xml:space="preserve">OZE </w:t>
      </w:r>
      <w:r w:rsidRPr="00925585">
        <w:rPr>
          <w:rFonts w:cs="Arial"/>
        </w:rPr>
        <w:t xml:space="preserve">oraz </w:t>
      </w:r>
      <w:r>
        <w:rPr>
          <w:rFonts w:cs="Arial"/>
        </w:rPr>
        <w:t xml:space="preserve">jej </w:t>
      </w:r>
      <w:r w:rsidRPr="00925585">
        <w:rPr>
          <w:rFonts w:cs="Arial"/>
        </w:rPr>
        <w:t>przyłączenie do sieci elektroenergetycznej za punktem przyłączenia budynku do sieci dystrybucyjnej. Takie źródło OSD będzie wyposażone w tzw. inteligentny licznik energii elektrycznej umożliwiającej rejestrację energii wyprodukowanej przez źródło w</w:t>
      </w:r>
      <w:r>
        <w:rPr>
          <w:rFonts w:cs="Arial"/>
        </w:rPr>
        <w:t> </w:t>
      </w:r>
      <w:r w:rsidRPr="00925585">
        <w:rPr>
          <w:rFonts w:cs="Arial"/>
        </w:rPr>
        <w:t>przedziałach godzinowych.</w:t>
      </w:r>
    </w:p>
    <w:p w14:paraId="7B8DBDA5" w14:textId="065E4828" w:rsidR="0095045F" w:rsidRPr="00925585" w:rsidRDefault="0095045F" w:rsidP="0095045F">
      <w:pPr>
        <w:pStyle w:val="Bullety"/>
        <w:numPr>
          <w:ilvl w:val="0"/>
          <w:numId w:val="0"/>
        </w:numPr>
        <w:ind w:left="851"/>
        <w:rPr>
          <w:rFonts w:cs="Arial"/>
        </w:rPr>
      </w:pPr>
      <w:r w:rsidRPr="00925585">
        <w:rPr>
          <w:rFonts w:cs="Arial"/>
        </w:rPr>
        <w:t>Każdy z prosumentów zbiorowych będzie posiadał określony udział w instalacji i</w:t>
      </w:r>
      <w:r>
        <w:rPr>
          <w:rFonts w:cs="Arial"/>
        </w:rPr>
        <w:t> </w:t>
      </w:r>
      <w:r w:rsidRPr="00925585">
        <w:rPr>
          <w:rFonts w:cs="Arial"/>
        </w:rPr>
        <w:t>odpowiednia część energii wyprodukowana przez źródło będzie przypisana</w:t>
      </w:r>
      <w:r>
        <w:rPr>
          <w:rFonts w:cs="Arial"/>
        </w:rPr>
        <w:t xml:space="preserve"> do</w:t>
      </w:r>
      <w:r w:rsidRPr="00925585">
        <w:rPr>
          <w:rFonts w:cs="Arial"/>
        </w:rPr>
        <w:t xml:space="preserve"> konkretnego prosumenta. Za rozliczenie ilości energii poszczególnych prosumentów będzie odpowiedzialny Operator Systemu Dystrybucyjnego. Model rozliczenia energii zużywanej przez prosumenta zbiorowego oraz przypisanej do niego energii wprowadzanej będzie analogiczny do rozwiązań stosowanych w przypadku prosumenta klasycznego, tj. ilości energii pobranej i wprowadzonej będą bilansowane w okresach godzinowych, mimo że wartości te będą rejestrowane osobnymi licznikami elektrycznymi.</w:t>
      </w:r>
    </w:p>
    <w:p w14:paraId="07B14CE5" w14:textId="0C1BBD43" w:rsidR="0095045F" w:rsidRPr="00925585" w:rsidRDefault="0095045F" w:rsidP="0095045F">
      <w:pPr>
        <w:pStyle w:val="Bullety"/>
        <w:numPr>
          <w:ilvl w:val="0"/>
          <w:numId w:val="0"/>
        </w:numPr>
        <w:ind w:left="851"/>
        <w:rPr>
          <w:rFonts w:cs="Arial"/>
        </w:rPr>
      </w:pPr>
      <w:r w:rsidRPr="00925585">
        <w:rPr>
          <w:rFonts w:cs="Arial"/>
        </w:rPr>
        <w:t>W przypadku równoczesnego (w danej godzinie) poboru i wprowadzenia energii, występuje w</w:t>
      </w:r>
      <w:r>
        <w:rPr>
          <w:rFonts w:cs="Arial"/>
        </w:rPr>
        <w:t> </w:t>
      </w:r>
      <w:r w:rsidRPr="00925585">
        <w:rPr>
          <w:rFonts w:cs="Arial"/>
        </w:rPr>
        <w:t xml:space="preserve">przypadku prosumenta zbiorowego zjawisko </w:t>
      </w:r>
      <w:r>
        <w:rPr>
          <w:rFonts w:cs="Arial"/>
        </w:rPr>
        <w:t>„</w:t>
      </w:r>
      <w:r w:rsidRPr="00925585">
        <w:rPr>
          <w:rFonts w:cs="Arial"/>
        </w:rPr>
        <w:t xml:space="preserve">wirtualnej </w:t>
      </w:r>
      <w:proofErr w:type="spellStart"/>
      <w:r w:rsidRPr="00925585">
        <w:rPr>
          <w:rFonts w:cs="Arial"/>
        </w:rPr>
        <w:t>autokonsumpcji</w:t>
      </w:r>
      <w:proofErr w:type="spellEnd"/>
      <w:r>
        <w:rPr>
          <w:rFonts w:cs="Arial"/>
        </w:rPr>
        <w:t>”</w:t>
      </w:r>
      <w:r w:rsidRPr="00925585">
        <w:rPr>
          <w:rFonts w:cs="Arial"/>
        </w:rPr>
        <w:t xml:space="preserve">. Przy </w:t>
      </w:r>
      <w:r>
        <w:rPr>
          <w:rFonts w:cs="Arial"/>
        </w:rPr>
        <w:t>„</w:t>
      </w:r>
      <w:r w:rsidRPr="00925585">
        <w:rPr>
          <w:rFonts w:cs="Arial"/>
        </w:rPr>
        <w:t xml:space="preserve">wirtualnej </w:t>
      </w:r>
      <w:proofErr w:type="spellStart"/>
      <w:r w:rsidRPr="00925585">
        <w:rPr>
          <w:rFonts w:cs="Arial"/>
        </w:rPr>
        <w:t>autokonsumpcji</w:t>
      </w:r>
      <w:proofErr w:type="spellEnd"/>
      <w:r>
        <w:rPr>
          <w:rFonts w:cs="Arial"/>
        </w:rPr>
        <w:t>”</w:t>
      </w:r>
      <w:r w:rsidRPr="00925585">
        <w:rPr>
          <w:rFonts w:cs="Arial"/>
        </w:rPr>
        <w:t xml:space="preserve"> część energii elektrycznej (odpowiadająca mniejszej wartości z ilości energii pobieranej i ilości energii wprowadzanej przez źródło, która jest przypisana do danego prosumenta) przepływa od źródła do lokalu prosumenta z pominięciem sieci elektroenergetycznej operatora sieci dystrybucyjnej </w:t>
      </w:r>
      <w:r w:rsidR="006433BC" w:rsidRPr="00925585">
        <w:rPr>
          <w:rFonts w:cs="Arial"/>
        </w:rPr>
        <w:t>–</w:t>
      </w:r>
      <w:r w:rsidRPr="00925585">
        <w:rPr>
          <w:rFonts w:cs="Arial"/>
        </w:rPr>
        <w:t xml:space="preserve"> zarówno źródło, jak i miejsce zużycia energii, podłączone są za punktem przyłączenia budynku do sieci OSD. W związku z tym zasadne jest traktowanie energii wprowadzanej i pobieranej w ramach </w:t>
      </w:r>
      <w:r>
        <w:rPr>
          <w:rFonts w:cs="Arial"/>
        </w:rPr>
        <w:t>„</w:t>
      </w:r>
      <w:r w:rsidRPr="00925585">
        <w:rPr>
          <w:rFonts w:cs="Arial"/>
        </w:rPr>
        <w:t xml:space="preserve">wirtualnej </w:t>
      </w:r>
      <w:proofErr w:type="spellStart"/>
      <w:r w:rsidRPr="00925585">
        <w:rPr>
          <w:rFonts w:cs="Arial"/>
        </w:rPr>
        <w:t>autokonsumpcji</w:t>
      </w:r>
      <w:proofErr w:type="spellEnd"/>
      <w:r>
        <w:rPr>
          <w:rFonts w:cs="Arial"/>
        </w:rPr>
        <w:t>”</w:t>
      </w:r>
      <w:r w:rsidRPr="00925585">
        <w:rPr>
          <w:rFonts w:cs="Arial"/>
        </w:rPr>
        <w:t xml:space="preserve">, analogicznie do faktycznej </w:t>
      </w:r>
      <w:proofErr w:type="spellStart"/>
      <w:r w:rsidRPr="00925585">
        <w:rPr>
          <w:rFonts w:cs="Arial"/>
        </w:rPr>
        <w:t>autokonsumpcji</w:t>
      </w:r>
      <w:proofErr w:type="spellEnd"/>
      <w:r w:rsidRPr="00925585">
        <w:rPr>
          <w:rFonts w:cs="Arial"/>
        </w:rPr>
        <w:t xml:space="preserve"> realizowanej w przypadku prosumenta klasycznego, tj. nie powinna </w:t>
      </w:r>
      <w:r w:rsidR="006433BC" w:rsidRPr="00925585">
        <w:rPr>
          <w:rFonts w:cs="Arial"/>
        </w:rPr>
        <w:t xml:space="preserve">ona </w:t>
      </w:r>
      <w:r w:rsidRPr="00925585">
        <w:rPr>
          <w:rFonts w:cs="Arial"/>
        </w:rPr>
        <w:t>być podstawą naliczenia jakichkolwiek opłat zmiennych (zarówno po stronie sprzedawcy</w:t>
      </w:r>
      <w:r>
        <w:rPr>
          <w:rFonts w:cs="Arial"/>
        </w:rPr>
        <w:t>,</w:t>
      </w:r>
      <w:r w:rsidRPr="00925585">
        <w:rPr>
          <w:rFonts w:cs="Arial"/>
        </w:rPr>
        <w:t xml:space="preserve"> jak i dystrybutora).</w:t>
      </w:r>
      <w:r w:rsidR="006433BC">
        <w:rPr>
          <w:rFonts w:cs="Arial"/>
        </w:rPr>
        <w:t xml:space="preserve"> </w:t>
      </w:r>
    </w:p>
    <w:p w14:paraId="37DF9AAC" w14:textId="189B9AF2" w:rsidR="0095045F" w:rsidRDefault="0095045F" w:rsidP="0095045F">
      <w:pPr>
        <w:pStyle w:val="Bullety"/>
        <w:numPr>
          <w:ilvl w:val="0"/>
          <w:numId w:val="0"/>
        </w:numPr>
        <w:ind w:left="851"/>
        <w:rPr>
          <w:rFonts w:cs="Arial"/>
        </w:rPr>
      </w:pPr>
      <w:r w:rsidRPr="00925585">
        <w:rPr>
          <w:rFonts w:cs="Arial"/>
        </w:rPr>
        <w:t xml:space="preserve">Rozliczenie </w:t>
      </w:r>
      <w:r>
        <w:rPr>
          <w:rFonts w:cs="Arial"/>
        </w:rPr>
        <w:t>„</w:t>
      </w:r>
      <w:r w:rsidRPr="00925585">
        <w:rPr>
          <w:rFonts w:cs="Arial"/>
        </w:rPr>
        <w:t xml:space="preserve">wirtualnej </w:t>
      </w:r>
      <w:proofErr w:type="spellStart"/>
      <w:r w:rsidRPr="00925585">
        <w:rPr>
          <w:rFonts w:cs="Arial"/>
        </w:rPr>
        <w:t>autokonsumpcji</w:t>
      </w:r>
      <w:proofErr w:type="spellEnd"/>
      <w:r>
        <w:rPr>
          <w:rFonts w:cs="Arial"/>
        </w:rPr>
        <w:t>”</w:t>
      </w:r>
      <w:r w:rsidRPr="00925585">
        <w:rPr>
          <w:rFonts w:cs="Arial"/>
        </w:rPr>
        <w:t xml:space="preserve"> w przypadku prosumentów zbiorowych wymaga danych godzinowych zarówno w zakresie energii wprowadzanej</w:t>
      </w:r>
      <w:r>
        <w:rPr>
          <w:rFonts w:cs="Arial"/>
        </w:rPr>
        <w:t>,</w:t>
      </w:r>
      <w:r w:rsidRPr="00925585">
        <w:rPr>
          <w:rFonts w:cs="Arial"/>
        </w:rPr>
        <w:t xml:space="preserve"> jak i zużywanej. Ograniczeniem w tym względzie jest relatywnie niewielki odsetek obecnych konsumentów w</w:t>
      </w:r>
      <w:r>
        <w:rPr>
          <w:rFonts w:cs="Arial"/>
        </w:rPr>
        <w:t> </w:t>
      </w:r>
      <w:r w:rsidRPr="00925585">
        <w:rPr>
          <w:rFonts w:cs="Arial"/>
        </w:rPr>
        <w:t xml:space="preserve">budynkach wielolokalowych, którzy są wyposażeni w tzw. </w:t>
      </w:r>
      <w:r>
        <w:rPr>
          <w:rFonts w:cs="Arial"/>
        </w:rPr>
        <w:t>„</w:t>
      </w:r>
      <w:r w:rsidRPr="00925585">
        <w:rPr>
          <w:rFonts w:cs="Arial"/>
        </w:rPr>
        <w:t>inteligentne liczniki</w:t>
      </w:r>
      <w:r>
        <w:rPr>
          <w:rFonts w:cs="Arial"/>
        </w:rPr>
        <w:t>”</w:t>
      </w:r>
      <w:r w:rsidRPr="00925585">
        <w:rPr>
          <w:rFonts w:cs="Arial"/>
        </w:rPr>
        <w:t xml:space="preserve"> energii elektrycznej. Wprowadzenie wymagania wymiany liczników dla wszystkich prosumentów zbiorowych (nie tylko instalacji nowoczesnego licznika dla opomiarowania instalacji) mogłoby stanowić istotny problem dla spółek dystrybucyjnych i opóźnić rozwój energetyki w modelu prosumenta zbiorowego, dlatego dopuszczalnym rozwiązaniem jest kalkulacja wartości zużycia godzinowego energii przez prosumenta zbiorowego w oparciu o tradycyjny okresowy pomiar zużycia energii oraz modelowy profil zużycia godzinowego dla danej grupy taryfowej zapisany w Instrukcji Ruchu i Eksploatacji Sieci Dystrybucyjnej danego operatora. Wyliczony w ten sposób profil godzinowy zużycia energii elektrycznej na dalszych etapach procesu </w:t>
      </w:r>
      <w:r w:rsidRPr="00925585">
        <w:rPr>
          <w:rFonts w:cs="Arial"/>
        </w:rPr>
        <w:lastRenderedPageBreak/>
        <w:t>rozliczenia byłby traktowany analogicznie do profilu pomiaru faktycznego godzinowego zużycia energii elektrycznej.</w:t>
      </w:r>
      <w:r>
        <w:rPr>
          <w:rFonts w:cs="Arial"/>
        </w:rPr>
        <w:t xml:space="preserve"> </w:t>
      </w:r>
      <w:bookmarkStart w:id="2" w:name="_Hlk58495723"/>
      <w:r>
        <w:rPr>
          <w:rFonts w:cs="Arial"/>
        </w:rPr>
        <w:t xml:space="preserve">Dopuszczalność tego sposobu rozliczenia nie wpływa na proces wymiany liczników energii elektrycznej, harmonogram którego, zgodnie z </w:t>
      </w:r>
      <w:r w:rsidRPr="00644AD3">
        <w:rPr>
          <w:rFonts w:cs="Arial"/>
        </w:rPr>
        <w:t>projekt</w:t>
      </w:r>
      <w:r>
        <w:rPr>
          <w:rFonts w:cs="Arial"/>
        </w:rPr>
        <w:t>em</w:t>
      </w:r>
      <w:r w:rsidRPr="00644AD3">
        <w:rPr>
          <w:rFonts w:cs="Arial"/>
        </w:rPr>
        <w:t xml:space="preserve"> noweli ustawy Prawo </w:t>
      </w:r>
      <w:r w:rsidR="006433BC">
        <w:rPr>
          <w:rFonts w:cs="Arial"/>
        </w:rPr>
        <w:t>e</w:t>
      </w:r>
      <w:r w:rsidRPr="00644AD3">
        <w:rPr>
          <w:rFonts w:cs="Arial"/>
        </w:rPr>
        <w:t>nergetyczne</w:t>
      </w:r>
      <w:r>
        <w:rPr>
          <w:rFonts w:cs="Arial"/>
        </w:rPr>
        <w:t xml:space="preserve"> (</w:t>
      </w:r>
      <w:r w:rsidR="00FC59CE">
        <w:rPr>
          <w:rFonts w:cs="Arial"/>
        </w:rPr>
        <w:t>ustawa uchwalona 20 maja 2021 r., obecnie oczekuje na podpis Prezydenta RP</w:t>
      </w:r>
      <w:r>
        <w:rPr>
          <w:rFonts w:cs="Arial"/>
        </w:rPr>
        <w:t>), zakłada wymianę 80% liczników na „inteligentne” do końca 2028 r.</w:t>
      </w:r>
      <w:bookmarkEnd w:id="2"/>
    </w:p>
    <w:p w14:paraId="183D9C24" w14:textId="77777777" w:rsidR="0095045F" w:rsidRPr="00925585" w:rsidRDefault="00816B8E" w:rsidP="008E5DE8">
      <w:pPr>
        <w:pStyle w:val="Bullety"/>
        <w:keepNext/>
        <w:numPr>
          <w:ilvl w:val="0"/>
          <w:numId w:val="0"/>
        </w:numPr>
        <w:ind w:left="851"/>
        <w:rPr>
          <w:rFonts w:cs="Arial"/>
          <w:lang w:eastAsia="pl-PL"/>
        </w:rPr>
      </w:pPr>
      <w:r>
        <w:rPr>
          <w:rFonts w:cs="Arial"/>
          <w:lang w:eastAsia="pl-PL"/>
        </w:rPr>
        <w:t xml:space="preserve">b) </w:t>
      </w:r>
      <w:r w:rsidR="0095045F" w:rsidRPr="00925585">
        <w:rPr>
          <w:rFonts w:cs="Arial"/>
          <w:lang w:eastAsia="pl-PL"/>
        </w:rPr>
        <w:t>Prosument wirtualny energii odnawialnej</w:t>
      </w:r>
    </w:p>
    <w:p w14:paraId="0E9BDAE3" w14:textId="77777777" w:rsidR="0095045F" w:rsidRPr="00925585" w:rsidRDefault="0095045F" w:rsidP="0095045F">
      <w:pPr>
        <w:pStyle w:val="Bullety"/>
        <w:numPr>
          <w:ilvl w:val="0"/>
          <w:numId w:val="0"/>
        </w:numPr>
        <w:ind w:left="851"/>
        <w:rPr>
          <w:rFonts w:cs="Arial"/>
        </w:rPr>
      </w:pPr>
      <w:r w:rsidRPr="00925585">
        <w:rPr>
          <w:rFonts w:cs="Arial"/>
        </w:rPr>
        <w:t xml:space="preserve">Model prosumenta wirtualnego zakłada możliwość nabycia przez konsumenta praw do określonej części produkcji energii ze źródła odnawialnego, które jest oddalone od miejsca poboru energii. Rozwiązanie to umożliwia skorzystanie z modelu energetyki </w:t>
      </w:r>
      <w:proofErr w:type="spellStart"/>
      <w:r w:rsidRPr="00925585">
        <w:rPr>
          <w:rFonts w:cs="Arial"/>
        </w:rPr>
        <w:t>prosumenckiej</w:t>
      </w:r>
      <w:proofErr w:type="spellEnd"/>
      <w:r w:rsidRPr="00925585">
        <w:rPr>
          <w:rFonts w:cs="Arial"/>
        </w:rPr>
        <w:t xml:space="preserve"> osobom i podmiotom, które z różnych przyczyn nie mogły skorzystać z klasycznych rozwiązań </w:t>
      </w:r>
      <w:proofErr w:type="spellStart"/>
      <w:r w:rsidRPr="00925585">
        <w:rPr>
          <w:rFonts w:cs="Arial"/>
        </w:rPr>
        <w:t>prosumenckich</w:t>
      </w:r>
      <w:proofErr w:type="spellEnd"/>
      <w:r w:rsidRPr="00925585">
        <w:rPr>
          <w:rFonts w:cs="Arial"/>
        </w:rPr>
        <w:t>, nie będą mogły skorzystać z rozwiązań dla prosumenta zbiorowego lub mogły skorzystać w wymiarze niewystarczającym dla pokrycia zapotrzebowania na energię.</w:t>
      </w:r>
    </w:p>
    <w:p w14:paraId="0C28E6B9" w14:textId="0B828773" w:rsidR="0095045F" w:rsidRPr="00925585" w:rsidRDefault="0095045F" w:rsidP="0095045F">
      <w:pPr>
        <w:pStyle w:val="Bullety"/>
        <w:numPr>
          <w:ilvl w:val="0"/>
          <w:numId w:val="0"/>
        </w:numPr>
        <w:ind w:left="851"/>
        <w:rPr>
          <w:rFonts w:cs="Arial"/>
        </w:rPr>
      </w:pPr>
      <w:r w:rsidRPr="00925585">
        <w:rPr>
          <w:rFonts w:cs="Arial"/>
        </w:rPr>
        <w:t>Jest to model najbardziej elastyczny. W odróżnieniu od prosumenta klasycznego i</w:t>
      </w:r>
      <w:r>
        <w:rPr>
          <w:rFonts w:cs="Arial"/>
        </w:rPr>
        <w:t> </w:t>
      </w:r>
      <w:r w:rsidRPr="00925585">
        <w:rPr>
          <w:rFonts w:cs="Arial"/>
        </w:rPr>
        <w:t xml:space="preserve">prosumenta zbiorowego </w:t>
      </w:r>
      <w:r>
        <w:rPr>
          <w:rFonts w:cs="Arial"/>
        </w:rPr>
        <w:t>cechuje</w:t>
      </w:r>
      <w:r w:rsidRPr="00925585">
        <w:rPr>
          <w:rFonts w:cs="Arial"/>
        </w:rPr>
        <w:t xml:space="preserve"> się największą dowolnością w zakresie kształtowania sposobu nabycia praw do określonej produkcji (zakładamy, że rynek wypracuje rozwiązania nabycia odpowiednich udziałów za jednorazową płatność</w:t>
      </w:r>
      <w:r w:rsidR="00FC59CE">
        <w:rPr>
          <w:rFonts w:cs="Arial"/>
        </w:rPr>
        <w:t>,</w:t>
      </w:r>
      <w:r w:rsidRPr="00925585">
        <w:rPr>
          <w:rFonts w:cs="Arial"/>
        </w:rPr>
        <w:t xml:space="preserve"> jak i</w:t>
      </w:r>
      <w:r>
        <w:rPr>
          <w:rFonts w:cs="Arial"/>
        </w:rPr>
        <w:t> </w:t>
      </w:r>
      <w:r w:rsidRPr="00925585">
        <w:rPr>
          <w:rFonts w:cs="Arial"/>
        </w:rPr>
        <w:t>modele analogiczne do leasingu/ wynajmu) oraz umożliwia zmianę przypisania do punktu poboru energii (np. w przypadku zmiany miejsca zamieszkania prosumenta).</w:t>
      </w:r>
      <w:r>
        <w:rPr>
          <w:rFonts w:cs="Arial"/>
        </w:rPr>
        <w:t xml:space="preserve"> </w:t>
      </w:r>
      <w:bookmarkStart w:id="3" w:name="_Hlk58495745"/>
      <w:r>
        <w:rPr>
          <w:rFonts w:cs="Arial"/>
        </w:rPr>
        <w:t xml:space="preserve">Wszystkie te kwestie powinny zostać określone w umowie między podmiotem zarządzającym a prosumentem. Proponowane zmiany w regulacjach określają elementy, które powinny znaleźć się w umowie, jednocześnie nie determinują szczegółowych rozwiązań, przez co strony umowy mają swobodę w kształtowaniu </w:t>
      </w:r>
      <w:r w:rsidR="00FC59CE">
        <w:rPr>
          <w:rFonts w:cs="Arial"/>
        </w:rPr>
        <w:t xml:space="preserve">regulacji </w:t>
      </w:r>
      <w:r>
        <w:rPr>
          <w:rFonts w:cs="Arial"/>
        </w:rPr>
        <w:t xml:space="preserve">w sposób dla nich korzystny. W rezultacie nie występuje ryzyko ograniczenia rozwoju energetyki </w:t>
      </w:r>
      <w:proofErr w:type="spellStart"/>
      <w:r>
        <w:rPr>
          <w:rFonts w:cs="Arial"/>
        </w:rPr>
        <w:t>prosumenckiej</w:t>
      </w:r>
      <w:proofErr w:type="spellEnd"/>
      <w:r>
        <w:rPr>
          <w:rFonts w:cs="Arial"/>
        </w:rPr>
        <w:t xml:space="preserve"> w wyniku niedopasowanych do rzeczywistości </w:t>
      </w:r>
      <w:r w:rsidR="00FC59CE">
        <w:rPr>
          <w:rFonts w:cs="Arial"/>
        </w:rPr>
        <w:t xml:space="preserve">przepisów </w:t>
      </w:r>
      <w:r>
        <w:rPr>
          <w:rFonts w:cs="Arial"/>
        </w:rPr>
        <w:t xml:space="preserve">prawnych. </w:t>
      </w:r>
    </w:p>
    <w:bookmarkEnd w:id="3"/>
    <w:p w14:paraId="1827F9C9" w14:textId="49A08191" w:rsidR="0095045F" w:rsidRPr="00925585" w:rsidRDefault="0095045F" w:rsidP="0095045F">
      <w:pPr>
        <w:pStyle w:val="Bullety"/>
        <w:numPr>
          <w:ilvl w:val="0"/>
          <w:numId w:val="0"/>
        </w:numPr>
        <w:ind w:left="851"/>
        <w:rPr>
          <w:rFonts w:cs="Arial"/>
        </w:rPr>
      </w:pPr>
      <w:r w:rsidRPr="00925585">
        <w:rPr>
          <w:rFonts w:cs="Arial"/>
        </w:rPr>
        <w:t>Jako że w modelu prosumenta wirtualnego, całość przypisanej do prosumenta energii wyprodukowanej przez źródło musi przepłynąć przez sieć dystrybucyjną (i ew</w:t>
      </w:r>
      <w:r w:rsidR="00FC59CE">
        <w:rPr>
          <w:rFonts w:cs="Arial"/>
        </w:rPr>
        <w:t>entualnie</w:t>
      </w:r>
      <w:r w:rsidRPr="00925585">
        <w:rPr>
          <w:rFonts w:cs="Arial"/>
        </w:rPr>
        <w:t xml:space="preserve"> przesyłową), w</w:t>
      </w:r>
      <w:r>
        <w:rPr>
          <w:rFonts w:cs="Arial"/>
        </w:rPr>
        <w:t> </w:t>
      </w:r>
      <w:r w:rsidRPr="00925585">
        <w:rPr>
          <w:rFonts w:cs="Arial"/>
        </w:rPr>
        <w:t xml:space="preserve">tym przypadku nie jest wyliczana wartość </w:t>
      </w:r>
      <w:r>
        <w:rPr>
          <w:rFonts w:cs="Arial"/>
        </w:rPr>
        <w:t>„</w:t>
      </w:r>
      <w:r w:rsidRPr="00925585">
        <w:rPr>
          <w:rFonts w:cs="Arial"/>
        </w:rPr>
        <w:t xml:space="preserve">wirtualnej </w:t>
      </w:r>
      <w:proofErr w:type="spellStart"/>
      <w:r w:rsidRPr="00925585">
        <w:rPr>
          <w:rFonts w:cs="Arial"/>
        </w:rPr>
        <w:t>autokonsumpcji</w:t>
      </w:r>
      <w:proofErr w:type="spellEnd"/>
      <w:r>
        <w:rPr>
          <w:rFonts w:cs="Arial"/>
        </w:rPr>
        <w:t>”</w:t>
      </w:r>
      <w:r w:rsidRPr="00925585">
        <w:rPr>
          <w:rFonts w:cs="Arial"/>
        </w:rPr>
        <w:t>, a pełna ilość energii pobranej jest podstawą naliczenia opłat zmiennych dystrybucyjnych.</w:t>
      </w:r>
    </w:p>
    <w:p w14:paraId="50A65ECC" w14:textId="2D97720A" w:rsidR="0095045F" w:rsidRPr="00925585" w:rsidRDefault="0095045F" w:rsidP="0095045F">
      <w:pPr>
        <w:pStyle w:val="Bullety"/>
        <w:numPr>
          <w:ilvl w:val="0"/>
          <w:numId w:val="0"/>
        </w:numPr>
        <w:ind w:left="851"/>
        <w:rPr>
          <w:rFonts w:cs="Arial"/>
        </w:rPr>
      </w:pPr>
      <w:r w:rsidRPr="00925585">
        <w:rPr>
          <w:rFonts w:cs="Arial"/>
        </w:rPr>
        <w:t xml:space="preserve">Prosument wirtualny nabywa określone udziały w produkcji źródła OZE, co ze względu na korzyści skali (zakładamy, że sprzedawane będą udziały w dużych instalacjach) może być najbardziej efektywnym kosztowo rozwiązaniem z trzech analizowanych modeli, co rekompensuje wyższe koszty zmienne (brak </w:t>
      </w:r>
      <w:proofErr w:type="spellStart"/>
      <w:r w:rsidRPr="00925585">
        <w:rPr>
          <w:rFonts w:cs="Arial"/>
        </w:rPr>
        <w:t>autokonsumpcji</w:t>
      </w:r>
      <w:proofErr w:type="spellEnd"/>
      <w:r w:rsidRPr="00925585">
        <w:rPr>
          <w:rFonts w:cs="Arial"/>
        </w:rPr>
        <w:t xml:space="preserve">). Biorąc pod uwagę łatwość wejścia w energetykę </w:t>
      </w:r>
      <w:proofErr w:type="spellStart"/>
      <w:r w:rsidRPr="00925585">
        <w:rPr>
          <w:rFonts w:cs="Arial"/>
        </w:rPr>
        <w:t>prosumencką</w:t>
      </w:r>
      <w:proofErr w:type="spellEnd"/>
      <w:r w:rsidRPr="00925585">
        <w:rPr>
          <w:rFonts w:cs="Arial"/>
        </w:rPr>
        <w:t xml:space="preserve"> w tym modelu (wystarczy podpisanie umowy), przewiduje</w:t>
      </w:r>
      <w:r w:rsidR="00FC59CE">
        <w:rPr>
          <w:rFonts w:cs="Arial"/>
        </w:rPr>
        <w:t xml:space="preserve"> się</w:t>
      </w:r>
      <w:r w:rsidRPr="00925585">
        <w:rPr>
          <w:rFonts w:cs="Arial"/>
        </w:rPr>
        <w:t xml:space="preserve">, że będzie to bardzo popularny wariant. </w:t>
      </w:r>
    </w:p>
    <w:p w14:paraId="198F9C97" w14:textId="77777777" w:rsidR="0095045F" w:rsidRPr="00925585" w:rsidRDefault="0095045F" w:rsidP="0095045F">
      <w:pPr>
        <w:pStyle w:val="Bullety"/>
        <w:numPr>
          <w:ilvl w:val="0"/>
          <w:numId w:val="0"/>
        </w:numPr>
        <w:ind w:left="851"/>
        <w:rPr>
          <w:rFonts w:cs="Arial"/>
        </w:rPr>
      </w:pPr>
      <w:r w:rsidRPr="00925585">
        <w:rPr>
          <w:rFonts w:cs="Arial"/>
        </w:rPr>
        <w:t xml:space="preserve">W obecnym kształcie </w:t>
      </w:r>
      <w:r>
        <w:rPr>
          <w:rFonts w:cs="Arial"/>
        </w:rPr>
        <w:t xml:space="preserve">wprowadzanych przepisów </w:t>
      </w:r>
      <w:r w:rsidRPr="00925585">
        <w:rPr>
          <w:rFonts w:cs="Arial"/>
        </w:rPr>
        <w:t>model prosumenta wirtualnego nie zakłada różnicowania warunków w</w:t>
      </w:r>
      <w:r>
        <w:rPr>
          <w:rFonts w:cs="Arial"/>
        </w:rPr>
        <w:t> </w:t>
      </w:r>
      <w:r w:rsidRPr="00925585">
        <w:rPr>
          <w:rFonts w:cs="Arial"/>
        </w:rPr>
        <w:t>zależności od odległości od źródła, nie wprowadza również w tym względzie żadnych ograniczeń.</w:t>
      </w:r>
    </w:p>
    <w:p w14:paraId="35771696" w14:textId="77777777" w:rsidR="0095045F" w:rsidRPr="00925585" w:rsidRDefault="0095045F" w:rsidP="008E5DE8">
      <w:pPr>
        <w:pStyle w:val="Bullety"/>
        <w:keepNext/>
        <w:numPr>
          <w:ilvl w:val="0"/>
          <w:numId w:val="13"/>
        </w:numPr>
        <w:rPr>
          <w:rFonts w:cs="Arial"/>
          <w:lang w:eastAsia="pl-PL"/>
        </w:rPr>
      </w:pPr>
      <w:r w:rsidRPr="00925585">
        <w:rPr>
          <w:rFonts w:cs="Arial"/>
          <w:lang w:eastAsia="pl-PL"/>
        </w:rPr>
        <w:t xml:space="preserve">Możliwość łączenia modeli </w:t>
      </w:r>
      <w:proofErr w:type="spellStart"/>
      <w:r w:rsidRPr="00925585">
        <w:rPr>
          <w:rFonts w:cs="Arial"/>
          <w:lang w:eastAsia="pl-PL"/>
        </w:rPr>
        <w:t>prosumenckich</w:t>
      </w:r>
      <w:proofErr w:type="spellEnd"/>
    </w:p>
    <w:p w14:paraId="34AA4824" w14:textId="77777777" w:rsidR="0095045F" w:rsidRPr="00925585" w:rsidRDefault="0095045F" w:rsidP="0095045F">
      <w:pPr>
        <w:pStyle w:val="Bullety"/>
        <w:numPr>
          <w:ilvl w:val="0"/>
          <w:numId w:val="0"/>
        </w:numPr>
        <w:ind w:left="851"/>
        <w:rPr>
          <w:rFonts w:cs="Arial"/>
        </w:rPr>
      </w:pPr>
      <w:r w:rsidRPr="00925585">
        <w:rPr>
          <w:rFonts w:cs="Arial"/>
        </w:rPr>
        <w:t xml:space="preserve">Istnieje możliwość łączenia wariantów </w:t>
      </w:r>
      <w:proofErr w:type="spellStart"/>
      <w:r w:rsidRPr="00925585">
        <w:rPr>
          <w:rFonts w:cs="Arial"/>
        </w:rPr>
        <w:t>prosumenckich</w:t>
      </w:r>
      <w:proofErr w:type="spellEnd"/>
      <w:r w:rsidRPr="00925585">
        <w:rPr>
          <w:rFonts w:cs="Arial"/>
        </w:rPr>
        <w:t xml:space="preserve"> w ramach pojedynczego punktu poboru energii. W takim przypadku rozliczenie energii pobranej i wprowadzanej w danym okresie będzie wykonywane w kolejności od najbliższego źródła energii, czyli w przypadku (mało prawdopodobnego) prosumenta łączącego wszystkie trzy modele, pierwsza rozliczana będzie energia ze źródła lokalnego (prosument klasyczny), następnie energia przypisana w</w:t>
      </w:r>
      <w:r>
        <w:rPr>
          <w:rFonts w:cs="Arial"/>
        </w:rPr>
        <w:t> </w:t>
      </w:r>
      <w:r w:rsidRPr="00925585">
        <w:rPr>
          <w:rFonts w:cs="Arial"/>
        </w:rPr>
        <w:t>ramach prosumenta zbiorowego, a na końcu energia pochodząca ze źródła oddalonego rozliczana w</w:t>
      </w:r>
      <w:r>
        <w:rPr>
          <w:rFonts w:cs="Arial"/>
        </w:rPr>
        <w:t> </w:t>
      </w:r>
      <w:r w:rsidRPr="00925585">
        <w:rPr>
          <w:rFonts w:cs="Arial"/>
        </w:rPr>
        <w:t>ramach prosumenta wirtualnego. Ze względu na ujednolicenie zasad rozliczania w</w:t>
      </w:r>
      <w:r>
        <w:rPr>
          <w:rFonts w:cs="Arial"/>
        </w:rPr>
        <w:t> </w:t>
      </w:r>
      <w:r w:rsidRPr="00925585">
        <w:rPr>
          <w:rFonts w:cs="Arial"/>
        </w:rPr>
        <w:t>poszczególnych modelach, inne aspekty rozliczenia nie wymagają modyfikacji.</w:t>
      </w:r>
    </w:p>
    <w:p w14:paraId="039E6A25" w14:textId="77777777" w:rsidR="0095045F" w:rsidRPr="00925585" w:rsidRDefault="0095045F" w:rsidP="0095045F">
      <w:pPr>
        <w:pStyle w:val="Bullety"/>
        <w:numPr>
          <w:ilvl w:val="0"/>
          <w:numId w:val="0"/>
        </w:numPr>
        <w:ind w:left="851"/>
        <w:rPr>
          <w:rFonts w:cs="Arial"/>
        </w:rPr>
      </w:pPr>
      <w:r w:rsidRPr="00925585">
        <w:rPr>
          <w:rFonts w:cs="Arial"/>
        </w:rPr>
        <w:t xml:space="preserve">Przyjęto również założenie, że w przypadku łączenia modeli </w:t>
      </w:r>
      <w:proofErr w:type="spellStart"/>
      <w:r w:rsidRPr="00925585">
        <w:rPr>
          <w:rFonts w:cs="Arial"/>
        </w:rPr>
        <w:t>prosumenckich</w:t>
      </w:r>
      <w:proofErr w:type="spellEnd"/>
      <w:r w:rsidRPr="00925585">
        <w:rPr>
          <w:rFonts w:cs="Arial"/>
        </w:rPr>
        <w:t xml:space="preserve">, łączna moc instalacji/ udziałów w instalacjach przypisanych do jednego punktu poboru energii (niezależnie </w:t>
      </w:r>
      <w:r w:rsidRPr="00925585">
        <w:rPr>
          <w:rFonts w:cs="Arial"/>
        </w:rPr>
        <w:lastRenderedPageBreak/>
        <w:t>od modelu prosumenta) nie może przekroczyć ustawowego limitu mocy małej instalacji OZE, tj. 50kW.</w:t>
      </w:r>
    </w:p>
    <w:p w14:paraId="6F5AB17B" w14:textId="77777777" w:rsidR="0095045F" w:rsidRPr="00925585" w:rsidRDefault="0095045F" w:rsidP="0095045F">
      <w:pPr>
        <w:pStyle w:val="Tytu1"/>
      </w:pPr>
      <w:bookmarkStart w:id="4" w:name="_Toc55912853"/>
      <w:r>
        <w:t>D</w:t>
      </w:r>
      <w:r w:rsidRPr="00925585">
        <w:t>ocelow</w:t>
      </w:r>
      <w:r>
        <w:t>e</w:t>
      </w:r>
      <w:r w:rsidRPr="00925585">
        <w:t xml:space="preserve"> zasad</w:t>
      </w:r>
      <w:r>
        <w:t>y</w:t>
      </w:r>
      <w:r w:rsidRPr="00925585">
        <w:t xml:space="preserve"> funkcjonowania </w:t>
      </w:r>
      <w:r>
        <w:t xml:space="preserve">proponowanych </w:t>
      </w:r>
      <w:r w:rsidRPr="00925585">
        <w:t>modeli</w:t>
      </w:r>
      <w:bookmarkEnd w:id="4"/>
    </w:p>
    <w:p w14:paraId="0557A3B0" w14:textId="25FEC5B9" w:rsidR="0095045F" w:rsidRPr="00925585" w:rsidRDefault="0095045F" w:rsidP="0095045F">
      <w:pPr>
        <w:pStyle w:val="Tekst"/>
      </w:pPr>
      <w:r w:rsidRPr="00925585">
        <w:t>Cele powyż</w:t>
      </w:r>
      <w:r>
        <w:t>szych</w:t>
      </w:r>
      <w:r w:rsidRPr="00925585">
        <w:t xml:space="preserve"> zmian modelu </w:t>
      </w:r>
      <w:proofErr w:type="spellStart"/>
      <w:r w:rsidRPr="00925585">
        <w:t>prosumenckiego</w:t>
      </w:r>
      <w:proofErr w:type="spellEnd"/>
      <w:r w:rsidRPr="00925585">
        <w:t xml:space="preserve">, zostaną osiągnięte przez zmianę podejścia do wsparcia energetyki </w:t>
      </w:r>
      <w:proofErr w:type="spellStart"/>
      <w:r w:rsidRPr="00925585">
        <w:t>prosumenckiej</w:t>
      </w:r>
      <w:proofErr w:type="spellEnd"/>
      <w:r w:rsidRPr="00925585">
        <w:t xml:space="preserve"> w zakresie przedstawionym poniżej.</w:t>
      </w:r>
    </w:p>
    <w:p w14:paraId="0E2F4EEA" w14:textId="77777777" w:rsidR="0095045F" w:rsidRPr="00925585" w:rsidRDefault="0095045F" w:rsidP="0095045F">
      <w:pPr>
        <w:keepNext/>
        <w:spacing w:before="240"/>
        <w:jc w:val="both"/>
        <w:rPr>
          <w:rFonts w:ascii="Arial" w:hAnsi="Arial" w:cs="Arial"/>
          <w:b/>
          <w:bCs/>
          <w:sz w:val="20"/>
          <w:szCs w:val="20"/>
        </w:rPr>
      </w:pPr>
      <w:r w:rsidRPr="00925585">
        <w:rPr>
          <w:rFonts w:ascii="Arial" w:hAnsi="Arial" w:cs="Arial"/>
          <w:b/>
          <w:bCs/>
          <w:sz w:val="20"/>
          <w:szCs w:val="20"/>
        </w:rPr>
        <w:t>Porównanie obecnego i docelowego modelu prosumenta klasycznego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113" w:type="dxa"/>
        </w:tblCellMar>
        <w:tblLook w:val="04A0" w:firstRow="1" w:lastRow="0" w:firstColumn="1" w:lastColumn="0" w:noHBand="0" w:noVBand="1"/>
      </w:tblPr>
      <w:tblGrid>
        <w:gridCol w:w="3354"/>
        <w:gridCol w:w="2855"/>
        <w:gridCol w:w="2853"/>
      </w:tblGrid>
      <w:tr w:rsidR="0095045F" w:rsidRPr="00925585" w14:paraId="3BD32F61" w14:textId="77777777" w:rsidTr="006103B2">
        <w:trPr>
          <w:trHeight w:val="288"/>
          <w:tblHeader/>
        </w:trPr>
        <w:tc>
          <w:tcPr>
            <w:tcW w:w="18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F30E6C" w14:textId="77777777" w:rsidR="0095045F" w:rsidRPr="00925585" w:rsidRDefault="0095045F" w:rsidP="006103B2">
            <w:pPr>
              <w:spacing w:after="0"/>
              <w:ind w:left="57" w:right="57"/>
              <w:jc w:val="center"/>
              <w:rPr>
                <w:rFonts w:ascii="Arial" w:hAnsi="Arial" w:cs="Arial"/>
                <w:b/>
                <w:kern w:val="12"/>
                <w:sz w:val="18"/>
                <w:szCs w:val="18"/>
              </w:rPr>
            </w:pPr>
          </w:p>
        </w:tc>
        <w:tc>
          <w:tcPr>
            <w:tcW w:w="15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7D0D8A" w14:textId="77777777" w:rsidR="0095045F" w:rsidRPr="00925585" w:rsidRDefault="0095045F" w:rsidP="006103B2">
            <w:pPr>
              <w:spacing w:after="0"/>
              <w:ind w:left="57" w:right="57"/>
              <w:jc w:val="center"/>
              <w:rPr>
                <w:rFonts w:ascii="Arial" w:hAnsi="Arial" w:cs="Arial"/>
                <w:b/>
                <w:kern w:val="12"/>
                <w:sz w:val="18"/>
                <w:szCs w:val="18"/>
              </w:rPr>
            </w:pPr>
            <w:r w:rsidRPr="00925585">
              <w:rPr>
                <w:rFonts w:ascii="Arial" w:hAnsi="Arial" w:cs="Arial"/>
                <w:b/>
                <w:kern w:val="12"/>
                <w:sz w:val="18"/>
                <w:szCs w:val="18"/>
              </w:rPr>
              <w:t>Dotychczasowy model prosumenta klasycznego</w:t>
            </w:r>
          </w:p>
        </w:tc>
        <w:tc>
          <w:tcPr>
            <w:tcW w:w="15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7D4BD7" w14:textId="77777777" w:rsidR="0095045F" w:rsidRPr="00925585" w:rsidRDefault="0095045F" w:rsidP="006103B2">
            <w:pPr>
              <w:spacing w:after="0"/>
              <w:ind w:left="57" w:right="57"/>
              <w:jc w:val="center"/>
              <w:rPr>
                <w:rFonts w:ascii="Arial" w:hAnsi="Arial" w:cs="Arial"/>
                <w:b/>
                <w:kern w:val="12"/>
                <w:sz w:val="18"/>
                <w:szCs w:val="18"/>
              </w:rPr>
            </w:pPr>
            <w:r w:rsidRPr="00925585">
              <w:rPr>
                <w:rFonts w:ascii="Arial" w:hAnsi="Arial" w:cs="Arial"/>
                <w:b/>
                <w:kern w:val="12"/>
                <w:sz w:val="18"/>
                <w:szCs w:val="18"/>
              </w:rPr>
              <w:t xml:space="preserve">Docelowy model </w:t>
            </w:r>
            <w:r w:rsidRPr="00925585">
              <w:rPr>
                <w:rFonts w:ascii="Arial" w:hAnsi="Arial" w:cs="Arial"/>
                <w:b/>
                <w:kern w:val="12"/>
                <w:sz w:val="18"/>
                <w:szCs w:val="18"/>
              </w:rPr>
              <w:br/>
              <w:t>prosumenta klasycznego</w:t>
            </w:r>
          </w:p>
        </w:tc>
      </w:tr>
      <w:tr w:rsidR="0095045F" w:rsidRPr="00925585" w14:paraId="32F686F6" w14:textId="77777777" w:rsidTr="006103B2">
        <w:trPr>
          <w:trHeight w:val="288"/>
        </w:trPr>
        <w:tc>
          <w:tcPr>
            <w:tcW w:w="1851" w:type="pct"/>
            <w:tcBorders>
              <w:top w:val="single" w:sz="4" w:space="0" w:color="auto"/>
              <w:left w:val="single" w:sz="4" w:space="0" w:color="auto"/>
              <w:bottom w:val="single" w:sz="4" w:space="0" w:color="auto"/>
              <w:right w:val="single" w:sz="4" w:space="0" w:color="auto"/>
            </w:tcBorders>
            <w:vAlign w:val="center"/>
            <w:hideMark/>
          </w:tcPr>
          <w:p w14:paraId="2FCD5F86" w14:textId="77777777" w:rsidR="0095045F" w:rsidRPr="00925585" w:rsidRDefault="0095045F" w:rsidP="006103B2">
            <w:pPr>
              <w:spacing w:after="0"/>
              <w:ind w:right="57"/>
              <w:rPr>
                <w:rFonts w:ascii="Arial" w:hAnsi="Arial" w:cs="Arial"/>
                <w:kern w:val="12"/>
                <w:sz w:val="18"/>
                <w:szCs w:val="18"/>
              </w:rPr>
            </w:pPr>
            <w:r w:rsidRPr="00925585">
              <w:rPr>
                <w:rFonts w:ascii="Arial" w:hAnsi="Arial" w:cs="Arial"/>
                <w:kern w:val="12"/>
                <w:sz w:val="18"/>
                <w:szCs w:val="18"/>
              </w:rPr>
              <w:t>Opust na energii elektrycznej</w:t>
            </w:r>
          </w:p>
        </w:tc>
        <w:tc>
          <w:tcPr>
            <w:tcW w:w="1575" w:type="pct"/>
            <w:tcBorders>
              <w:top w:val="single" w:sz="4" w:space="0" w:color="auto"/>
              <w:left w:val="single" w:sz="4" w:space="0" w:color="auto"/>
              <w:bottom w:val="single" w:sz="4" w:space="0" w:color="auto"/>
              <w:right w:val="single" w:sz="4" w:space="0" w:color="auto"/>
            </w:tcBorders>
            <w:vAlign w:val="center"/>
            <w:hideMark/>
          </w:tcPr>
          <w:p w14:paraId="74D675DD" w14:textId="77777777" w:rsidR="0095045F" w:rsidRPr="00925585" w:rsidRDefault="0095045F" w:rsidP="006103B2">
            <w:pPr>
              <w:spacing w:after="0"/>
              <w:ind w:right="57"/>
              <w:jc w:val="center"/>
              <w:rPr>
                <w:rFonts w:ascii="Arial" w:hAnsi="Arial" w:cs="Arial"/>
                <w:sz w:val="18"/>
                <w:szCs w:val="18"/>
                <w:lang w:eastAsia="pl-PL"/>
              </w:rPr>
            </w:pPr>
            <w:r w:rsidRPr="00925585">
              <w:rPr>
                <w:rFonts w:ascii="Arial" w:hAnsi="Arial" w:cs="Arial"/>
                <w:sz w:val="18"/>
                <w:szCs w:val="18"/>
                <w:lang w:eastAsia="pl-PL"/>
              </w:rPr>
              <w:t>1:0,8 dla instalacji do 10 kW</w:t>
            </w:r>
          </w:p>
          <w:p w14:paraId="6274857C" w14:textId="77777777"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kern w:val="12"/>
                <w:sz w:val="18"/>
                <w:szCs w:val="18"/>
              </w:rPr>
              <w:t>1:0,7 dla instalacji pow. 10 kW</w:t>
            </w:r>
          </w:p>
        </w:tc>
        <w:tc>
          <w:tcPr>
            <w:tcW w:w="1574" w:type="pct"/>
            <w:tcBorders>
              <w:top w:val="single" w:sz="4" w:space="0" w:color="auto"/>
              <w:left w:val="single" w:sz="4" w:space="0" w:color="auto"/>
              <w:bottom w:val="single" w:sz="4" w:space="0" w:color="auto"/>
              <w:right w:val="single" w:sz="4" w:space="0" w:color="auto"/>
            </w:tcBorders>
            <w:vAlign w:val="center"/>
            <w:hideMark/>
          </w:tcPr>
          <w:p w14:paraId="2B31DCF6" w14:textId="77777777"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sz w:val="18"/>
                <w:szCs w:val="18"/>
                <w:lang w:eastAsia="pl-PL"/>
              </w:rPr>
              <w:t>1:1</w:t>
            </w:r>
          </w:p>
        </w:tc>
      </w:tr>
      <w:tr w:rsidR="0095045F" w:rsidRPr="00925585" w14:paraId="2D9CB5DC" w14:textId="77777777" w:rsidTr="006103B2">
        <w:trPr>
          <w:trHeight w:val="288"/>
        </w:trPr>
        <w:tc>
          <w:tcPr>
            <w:tcW w:w="1851" w:type="pct"/>
            <w:tcBorders>
              <w:top w:val="single" w:sz="4" w:space="0" w:color="auto"/>
              <w:left w:val="single" w:sz="4" w:space="0" w:color="auto"/>
              <w:bottom w:val="single" w:sz="4" w:space="0" w:color="auto"/>
              <w:right w:val="single" w:sz="4" w:space="0" w:color="auto"/>
            </w:tcBorders>
            <w:vAlign w:val="center"/>
            <w:hideMark/>
          </w:tcPr>
          <w:p w14:paraId="36A44AAF" w14:textId="77777777" w:rsidR="0095045F" w:rsidRPr="00925585" w:rsidRDefault="0095045F" w:rsidP="006103B2">
            <w:pPr>
              <w:spacing w:after="0"/>
              <w:ind w:right="57"/>
              <w:rPr>
                <w:rFonts w:ascii="Arial" w:hAnsi="Arial" w:cs="Arial"/>
                <w:kern w:val="12"/>
                <w:sz w:val="18"/>
                <w:szCs w:val="18"/>
              </w:rPr>
            </w:pPr>
            <w:r w:rsidRPr="00925585">
              <w:rPr>
                <w:rFonts w:ascii="Arial" w:hAnsi="Arial" w:cs="Arial"/>
                <w:kern w:val="12"/>
                <w:sz w:val="18"/>
                <w:szCs w:val="18"/>
              </w:rPr>
              <w:t>Opust na zmiennej opłacie dystrybucyjnej</w:t>
            </w:r>
          </w:p>
        </w:tc>
        <w:tc>
          <w:tcPr>
            <w:tcW w:w="1575" w:type="pct"/>
            <w:tcBorders>
              <w:top w:val="single" w:sz="4" w:space="0" w:color="auto"/>
              <w:left w:val="single" w:sz="4" w:space="0" w:color="auto"/>
              <w:bottom w:val="single" w:sz="4" w:space="0" w:color="auto"/>
              <w:right w:val="single" w:sz="4" w:space="0" w:color="auto"/>
            </w:tcBorders>
            <w:vAlign w:val="center"/>
            <w:hideMark/>
          </w:tcPr>
          <w:p w14:paraId="57D1E1B5" w14:textId="77777777"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kern w:val="12"/>
                <w:sz w:val="18"/>
                <w:szCs w:val="18"/>
              </w:rPr>
              <w:t>Sprzedawca pokrywa opust</w:t>
            </w:r>
          </w:p>
        </w:tc>
        <w:tc>
          <w:tcPr>
            <w:tcW w:w="1574" w:type="pct"/>
            <w:tcBorders>
              <w:top w:val="single" w:sz="4" w:space="0" w:color="auto"/>
              <w:left w:val="single" w:sz="4" w:space="0" w:color="auto"/>
              <w:bottom w:val="single" w:sz="4" w:space="0" w:color="auto"/>
              <w:right w:val="single" w:sz="4" w:space="0" w:color="auto"/>
            </w:tcBorders>
            <w:vAlign w:val="center"/>
            <w:hideMark/>
          </w:tcPr>
          <w:p w14:paraId="29CCB732" w14:textId="77777777"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kern w:val="12"/>
                <w:sz w:val="18"/>
                <w:szCs w:val="18"/>
              </w:rPr>
              <w:t>Brak opustu</w:t>
            </w:r>
            <w:r w:rsidRPr="00925585">
              <w:rPr>
                <w:rFonts w:ascii="Arial" w:hAnsi="Arial" w:cs="Arial"/>
                <w:kern w:val="12"/>
                <w:sz w:val="18"/>
                <w:szCs w:val="18"/>
              </w:rPr>
              <w:br/>
              <w:t>(rabat dla nie-przedsiębiorców)</w:t>
            </w:r>
          </w:p>
        </w:tc>
      </w:tr>
      <w:tr w:rsidR="0095045F" w:rsidRPr="00925585" w14:paraId="5C7AB6F9" w14:textId="77777777" w:rsidTr="006103B2">
        <w:trPr>
          <w:trHeight w:val="288"/>
        </w:trPr>
        <w:tc>
          <w:tcPr>
            <w:tcW w:w="1851" w:type="pct"/>
            <w:tcBorders>
              <w:top w:val="single" w:sz="4" w:space="0" w:color="auto"/>
              <w:left w:val="single" w:sz="4" w:space="0" w:color="auto"/>
              <w:bottom w:val="single" w:sz="4" w:space="0" w:color="auto"/>
              <w:right w:val="single" w:sz="4" w:space="0" w:color="auto"/>
            </w:tcBorders>
            <w:vAlign w:val="center"/>
            <w:hideMark/>
          </w:tcPr>
          <w:p w14:paraId="6FF97157" w14:textId="77777777" w:rsidR="0095045F" w:rsidRPr="00925585" w:rsidRDefault="0095045F" w:rsidP="006103B2">
            <w:pPr>
              <w:spacing w:after="0"/>
              <w:ind w:right="57"/>
              <w:rPr>
                <w:rFonts w:ascii="Arial" w:hAnsi="Arial" w:cs="Arial"/>
                <w:kern w:val="12"/>
                <w:sz w:val="18"/>
                <w:szCs w:val="18"/>
              </w:rPr>
            </w:pPr>
            <w:r w:rsidRPr="00925585">
              <w:rPr>
                <w:rFonts w:ascii="Arial" w:hAnsi="Arial" w:cs="Arial"/>
                <w:kern w:val="12"/>
                <w:sz w:val="18"/>
                <w:szCs w:val="18"/>
              </w:rPr>
              <w:t>Wymagana forma umowy</w:t>
            </w:r>
          </w:p>
        </w:tc>
        <w:tc>
          <w:tcPr>
            <w:tcW w:w="1575" w:type="pct"/>
            <w:tcBorders>
              <w:top w:val="single" w:sz="4" w:space="0" w:color="auto"/>
              <w:left w:val="single" w:sz="4" w:space="0" w:color="auto"/>
              <w:bottom w:val="single" w:sz="4" w:space="0" w:color="auto"/>
              <w:right w:val="single" w:sz="4" w:space="0" w:color="auto"/>
            </w:tcBorders>
            <w:vAlign w:val="center"/>
            <w:hideMark/>
          </w:tcPr>
          <w:p w14:paraId="4F7E0E31" w14:textId="77777777"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kern w:val="12"/>
                <w:sz w:val="18"/>
                <w:szCs w:val="18"/>
              </w:rPr>
              <w:t>Tylko umowa kompleksowa</w:t>
            </w:r>
          </w:p>
        </w:tc>
        <w:tc>
          <w:tcPr>
            <w:tcW w:w="1574" w:type="pct"/>
            <w:tcBorders>
              <w:top w:val="single" w:sz="4" w:space="0" w:color="auto"/>
              <w:left w:val="single" w:sz="4" w:space="0" w:color="auto"/>
              <w:bottom w:val="single" w:sz="4" w:space="0" w:color="auto"/>
              <w:right w:val="single" w:sz="4" w:space="0" w:color="auto"/>
            </w:tcBorders>
            <w:vAlign w:val="center"/>
            <w:hideMark/>
          </w:tcPr>
          <w:p w14:paraId="31F343BF" w14:textId="77777777"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kern w:val="12"/>
                <w:sz w:val="18"/>
                <w:szCs w:val="18"/>
              </w:rPr>
              <w:t xml:space="preserve">Umowa kompleksowa </w:t>
            </w:r>
            <w:r w:rsidRPr="00925585">
              <w:rPr>
                <w:rFonts w:ascii="Arial" w:hAnsi="Arial" w:cs="Arial"/>
                <w:kern w:val="12"/>
                <w:sz w:val="18"/>
                <w:szCs w:val="18"/>
              </w:rPr>
              <w:br/>
              <w:t>lub</w:t>
            </w:r>
            <w:r w:rsidRPr="00925585">
              <w:rPr>
                <w:rFonts w:ascii="Arial" w:hAnsi="Arial" w:cs="Arial"/>
                <w:kern w:val="12"/>
                <w:sz w:val="18"/>
                <w:szCs w:val="18"/>
              </w:rPr>
              <w:br/>
              <w:t>umowy rozdzielone</w:t>
            </w:r>
          </w:p>
        </w:tc>
      </w:tr>
      <w:tr w:rsidR="0095045F" w:rsidRPr="00925585" w14:paraId="64E420C5" w14:textId="77777777" w:rsidTr="006103B2">
        <w:trPr>
          <w:trHeight w:val="288"/>
        </w:trPr>
        <w:tc>
          <w:tcPr>
            <w:tcW w:w="1851" w:type="pct"/>
            <w:tcBorders>
              <w:top w:val="single" w:sz="4" w:space="0" w:color="auto"/>
              <w:left w:val="single" w:sz="4" w:space="0" w:color="auto"/>
              <w:bottom w:val="single" w:sz="4" w:space="0" w:color="auto"/>
              <w:right w:val="single" w:sz="4" w:space="0" w:color="auto"/>
            </w:tcBorders>
            <w:vAlign w:val="center"/>
            <w:hideMark/>
          </w:tcPr>
          <w:p w14:paraId="6ACA5E53" w14:textId="61B3C499" w:rsidR="0095045F" w:rsidRPr="00925585" w:rsidRDefault="0095045F" w:rsidP="006103B2">
            <w:pPr>
              <w:spacing w:after="0"/>
              <w:ind w:right="57"/>
              <w:rPr>
                <w:rFonts w:ascii="Arial" w:hAnsi="Arial" w:cs="Arial"/>
                <w:kern w:val="12"/>
                <w:sz w:val="18"/>
                <w:szCs w:val="18"/>
              </w:rPr>
            </w:pPr>
            <w:r w:rsidRPr="00925585">
              <w:rPr>
                <w:rFonts w:ascii="Arial" w:hAnsi="Arial" w:cs="Arial"/>
                <w:kern w:val="12"/>
                <w:sz w:val="18"/>
                <w:szCs w:val="18"/>
              </w:rPr>
              <w:t xml:space="preserve">Obowiązek </w:t>
            </w:r>
            <w:r w:rsidR="00FC59CE">
              <w:rPr>
                <w:rFonts w:ascii="Arial" w:hAnsi="Arial" w:cs="Arial"/>
                <w:kern w:val="12"/>
                <w:sz w:val="18"/>
                <w:szCs w:val="18"/>
              </w:rPr>
              <w:t>„</w:t>
            </w:r>
            <w:r w:rsidRPr="00925585">
              <w:rPr>
                <w:rFonts w:ascii="Arial" w:hAnsi="Arial" w:cs="Arial"/>
                <w:kern w:val="12"/>
                <w:sz w:val="18"/>
                <w:szCs w:val="18"/>
              </w:rPr>
              <w:t>kolorowania</w:t>
            </w:r>
            <w:r w:rsidR="00FC59CE">
              <w:rPr>
                <w:rFonts w:ascii="Arial" w:hAnsi="Arial" w:cs="Arial"/>
                <w:kern w:val="12"/>
                <w:sz w:val="18"/>
                <w:szCs w:val="18"/>
              </w:rPr>
              <w:t>”</w:t>
            </w:r>
            <w:r w:rsidRPr="00925585">
              <w:rPr>
                <w:rFonts w:ascii="Arial" w:hAnsi="Arial" w:cs="Arial"/>
                <w:kern w:val="12"/>
                <w:sz w:val="18"/>
                <w:szCs w:val="18"/>
              </w:rPr>
              <w:t xml:space="preserve"> energii i naliczania akcyzy (dla energii wyprodukowanej przez źródło/ zmagazynowanej)</w:t>
            </w:r>
          </w:p>
        </w:tc>
        <w:tc>
          <w:tcPr>
            <w:tcW w:w="1575" w:type="pct"/>
            <w:tcBorders>
              <w:top w:val="single" w:sz="4" w:space="0" w:color="auto"/>
              <w:left w:val="single" w:sz="4" w:space="0" w:color="auto"/>
              <w:bottom w:val="single" w:sz="4" w:space="0" w:color="auto"/>
              <w:right w:val="single" w:sz="4" w:space="0" w:color="auto"/>
            </w:tcBorders>
            <w:vAlign w:val="center"/>
            <w:hideMark/>
          </w:tcPr>
          <w:p w14:paraId="70917742" w14:textId="7070D08D" w:rsidR="0095045F" w:rsidRPr="00925585" w:rsidRDefault="0095045F" w:rsidP="00FC59CE">
            <w:pPr>
              <w:spacing w:after="0"/>
              <w:ind w:right="57"/>
              <w:jc w:val="center"/>
              <w:rPr>
                <w:rFonts w:ascii="Arial" w:hAnsi="Arial" w:cs="Arial"/>
                <w:kern w:val="12"/>
                <w:sz w:val="18"/>
                <w:szCs w:val="18"/>
              </w:rPr>
            </w:pPr>
            <w:r w:rsidRPr="00925585">
              <w:rPr>
                <w:rFonts w:ascii="Arial" w:hAnsi="Arial" w:cs="Arial"/>
                <w:kern w:val="12"/>
                <w:sz w:val="18"/>
                <w:szCs w:val="18"/>
              </w:rPr>
              <w:t xml:space="preserve">Sprzedawca pokrywa dodatkowe opłaty (akcyza, </w:t>
            </w:r>
            <w:r w:rsidR="00FC59CE">
              <w:rPr>
                <w:rFonts w:ascii="Arial" w:hAnsi="Arial" w:cs="Arial"/>
                <w:kern w:val="12"/>
                <w:sz w:val="18"/>
                <w:szCs w:val="18"/>
              </w:rPr>
              <w:t>„</w:t>
            </w:r>
            <w:r w:rsidRPr="00925585">
              <w:rPr>
                <w:rFonts w:ascii="Arial" w:hAnsi="Arial" w:cs="Arial"/>
                <w:kern w:val="12"/>
                <w:sz w:val="18"/>
                <w:szCs w:val="18"/>
              </w:rPr>
              <w:t>kolory</w:t>
            </w:r>
            <w:r w:rsidR="00FC59CE">
              <w:rPr>
                <w:rFonts w:ascii="Arial" w:hAnsi="Arial" w:cs="Arial"/>
                <w:kern w:val="12"/>
                <w:sz w:val="18"/>
                <w:szCs w:val="18"/>
              </w:rPr>
              <w:t>”</w:t>
            </w:r>
            <w:r w:rsidRPr="00925585">
              <w:rPr>
                <w:rFonts w:ascii="Arial" w:hAnsi="Arial" w:cs="Arial"/>
                <w:kern w:val="12"/>
                <w:sz w:val="18"/>
                <w:szCs w:val="18"/>
              </w:rPr>
              <w:t>)</w:t>
            </w:r>
          </w:p>
        </w:tc>
        <w:tc>
          <w:tcPr>
            <w:tcW w:w="1574" w:type="pct"/>
            <w:tcBorders>
              <w:top w:val="single" w:sz="4" w:space="0" w:color="auto"/>
              <w:left w:val="single" w:sz="4" w:space="0" w:color="auto"/>
              <w:bottom w:val="single" w:sz="4" w:space="0" w:color="auto"/>
              <w:right w:val="single" w:sz="4" w:space="0" w:color="auto"/>
            </w:tcBorders>
            <w:vAlign w:val="center"/>
            <w:hideMark/>
          </w:tcPr>
          <w:p w14:paraId="17990867" w14:textId="46D1F3B2" w:rsidR="0095045F" w:rsidRPr="00925585" w:rsidRDefault="0095045F" w:rsidP="006103B2">
            <w:pPr>
              <w:spacing w:after="0"/>
              <w:ind w:right="57"/>
              <w:jc w:val="center"/>
              <w:rPr>
                <w:rFonts w:ascii="Arial" w:hAnsi="Arial" w:cs="Arial"/>
                <w:kern w:val="12"/>
                <w:sz w:val="18"/>
                <w:szCs w:val="18"/>
              </w:rPr>
            </w:pPr>
            <w:r w:rsidRPr="00925585">
              <w:rPr>
                <w:rFonts w:ascii="Arial" w:hAnsi="Arial" w:cs="Arial"/>
                <w:kern w:val="12"/>
                <w:sz w:val="18"/>
                <w:szCs w:val="18"/>
              </w:rPr>
              <w:t xml:space="preserve">Zniesienie obowiązku </w:t>
            </w:r>
            <w:r w:rsidR="00FC59CE">
              <w:rPr>
                <w:rFonts w:ascii="Arial" w:hAnsi="Arial" w:cs="Arial"/>
                <w:kern w:val="12"/>
                <w:sz w:val="18"/>
                <w:szCs w:val="18"/>
              </w:rPr>
              <w:t>„</w:t>
            </w:r>
            <w:r w:rsidRPr="00925585">
              <w:rPr>
                <w:rFonts w:ascii="Arial" w:hAnsi="Arial" w:cs="Arial"/>
                <w:kern w:val="12"/>
                <w:sz w:val="18"/>
                <w:szCs w:val="18"/>
              </w:rPr>
              <w:t>kolorowania</w:t>
            </w:r>
            <w:r w:rsidR="00FC59CE">
              <w:rPr>
                <w:rFonts w:ascii="Arial" w:hAnsi="Arial" w:cs="Arial"/>
                <w:kern w:val="12"/>
                <w:sz w:val="18"/>
                <w:szCs w:val="18"/>
              </w:rPr>
              <w:t>”</w:t>
            </w:r>
            <w:r w:rsidRPr="00925585">
              <w:rPr>
                <w:rFonts w:ascii="Arial" w:hAnsi="Arial" w:cs="Arial"/>
                <w:kern w:val="12"/>
                <w:sz w:val="18"/>
                <w:szCs w:val="18"/>
              </w:rPr>
              <w:t xml:space="preserve"> energii i naliczania akcyzy</w:t>
            </w:r>
          </w:p>
        </w:tc>
      </w:tr>
      <w:tr w:rsidR="0095045F" w:rsidRPr="00925585" w14:paraId="1578FE68" w14:textId="77777777" w:rsidTr="006103B2">
        <w:trPr>
          <w:trHeight w:val="288"/>
        </w:trPr>
        <w:tc>
          <w:tcPr>
            <w:tcW w:w="1851" w:type="pct"/>
            <w:tcBorders>
              <w:top w:val="single" w:sz="4" w:space="0" w:color="auto"/>
              <w:left w:val="single" w:sz="4" w:space="0" w:color="auto"/>
              <w:bottom w:val="single" w:sz="4" w:space="0" w:color="auto"/>
              <w:right w:val="single" w:sz="4" w:space="0" w:color="auto"/>
            </w:tcBorders>
            <w:vAlign w:val="center"/>
            <w:hideMark/>
          </w:tcPr>
          <w:p w14:paraId="1ECA1F1A" w14:textId="77777777" w:rsidR="0095045F" w:rsidRPr="00925585" w:rsidRDefault="0095045F" w:rsidP="006103B2">
            <w:pPr>
              <w:spacing w:after="0"/>
              <w:ind w:right="57"/>
              <w:rPr>
                <w:rFonts w:ascii="Arial" w:hAnsi="Arial" w:cs="Arial"/>
                <w:kern w:val="12"/>
                <w:sz w:val="18"/>
                <w:szCs w:val="18"/>
              </w:rPr>
            </w:pPr>
            <w:r w:rsidRPr="00925585">
              <w:rPr>
                <w:rFonts w:ascii="Arial" w:hAnsi="Arial" w:cs="Arial"/>
                <w:kern w:val="12"/>
                <w:sz w:val="18"/>
                <w:szCs w:val="18"/>
              </w:rPr>
              <w:t>Okres regulacji</w:t>
            </w:r>
          </w:p>
        </w:tc>
        <w:tc>
          <w:tcPr>
            <w:tcW w:w="1575" w:type="pct"/>
            <w:tcBorders>
              <w:top w:val="single" w:sz="4" w:space="0" w:color="auto"/>
              <w:left w:val="single" w:sz="4" w:space="0" w:color="auto"/>
              <w:bottom w:val="single" w:sz="4" w:space="0" w:color="auto"/>
              <w:right w:val="single" w:sz="4" w:space="0" w:color="auto"/>
            </w:tcBorders>
            <w:vAlign w:val="center"/>
          </w:tcPr>
          <w:p w14:paraId="4B17F3BF" w14:textId="77777777" w:rsidR="0095045F" w:rsidRPr="00925585" w:rsidRDefault="0095045F" w:rsidP="006103B2">
            <w:pPr>
              <w:spacing w:after="0"/>
              <w:ind w:right="57"/>
              <w:contextualSpacing/>
              <w:jc w:val="center"/>
              <w:rPr>
                <w:rFonts w:ascii="Arial" w:hAnsi="Arial" w:cs="Arial"/>
                <w:kern w:val="12"/>
                <w:sz w:val="18"/>
                <w:szCs w:val="18"/>
              </w:rPr>
            </w:pPr>
            <w:r w:rsidRPr="00925585">
              <w:rPr>
                <w:rFonts w:ascii="Arial" w:hAnsi="Arial" w:cs="Arial"/>
                <w:kern w:val="12"/>
                <w:sz w:val="18"/>
                <w:szCs w:val="18"/>
              </w:rPr>
              <w:t xml:space="preserve">15 lat, nie później niż </w:t>
            </w:r>
            <w:r w:rsidRPr="00925585">
              <w:rPr>
                <w:rFonts w:ascii="Arial" w:hAnsi="Arial" w:cs="Arial"/>
                <w:kern w:val="12"/>
                <w:sz w:val="18"/>
                <w:szCs w:val="18"/>
              </w:rPr>
              <w:br/>
              <w:t>do czerwca 203</w:t>
            </w:r>
            <w:r>
              <w:rPr>
                <w:rFonts w:ascii="Arial" w:hAnsi="Arial" w:cs="Arial"/>
                <w:kern w:val="12"/>
                <w:sz w:val="18"/>
                <w:szCs w:val="18"/>
              </w:rPr>
              <w:t>9</w:t>
            </w:r>
            <w:r w:rsidRPr="00925585">
              <w:rPr>
                <w:rFonts w:ascii="Arial" w:hAnsi="Arial" w:cs="Arial"/>
                <w:kern w:val="12"/>
                <w:sz w:val="18"/>
                <w:szCs w:val="18"/>
              </w:rPr>
              <w:t xml:space="preserve"> r.</w:t>
            </w:r>
          </w:p>
        </w:tc>
        <w:tc>
          <w:tcPr>
            <w:tcW w:w="1574" w:type="pct"/>
            <w:tcBorders>
              <w:top w:val="single" w:sz="4" w:space="0" w:color="auto"/>
              <w:left w:val="single" w:sz="4" w:space="0" w:color="auto"/>
              <w:bottom w:val="single" w:sz="4" w:space="0" w:color="auto"/>
              <w:right w:val="single" w:sz="4" w:space="0" w:color="auto"/>
            </w:tcBorders>
            <w:vAlign w:val="center"/>
            <w:hideMark/>
          </w:tcPr>
          <w:p w14:paraId="70EED547" w14:textId="17C600E3" w:rsidR="0095045F" w:rsidRPr="00740D81" w:rsidRDefault="00740D81" w:rsidP="00740D81">
            <w:pPr>
              <w:spacing w:after="0"/>
              <w:ind w:right="57"/>
              <w:jc w:val="center"/>
              <w:rPr>
                <w:rFonts w:ascii="Arial" w:hAnsi="Arial" w:cs="Arial"/>
                <w:kern w:val="12"/>
                <w:sz w:val="18"/>
                <w:szCs w:val="18"/>
              </w:rPr>
            </w:pPr>
            <w:r>
              <w:rPr>
                <w:rFonts w:ascii="Arial" w:hAnsi="Arial" w:cs="Arial"/>
                <w:kern w:val="12"/>
                <w:sz w:val="18"/>
                <w:szCs w:val="18"/>
              </w:rPr>
              <w:t xml:space="preserve">25 </w:t>
            </w:r>
            <w:r w:rsidR="001C3DC8" w:rsidRPr="00740D81">
              <w:rPr>
                <w:rFonts w:ascii="Arial" w:hAnsi="Arial" w:cs="Arial"/>
                <w:kern w:val="12"/>
                <w:sz w:val="18"/>
                <w:szCs w:val="18"/>
              </w:rPr>
              <w:t>lat</w:t>
            </w:r>
          </w:p>
        </w:tc>
      </w:tr>
    </w:tbl>
    <w:p w14:paraId="5DC487C3" w14:textId="77777777" w:rsidR="0095045F" w:rsidRDefault="0095045F" w:rsidP="0095045F">
      <w:pPr>
        <w:pStyle w:val="StyleBulletyUnderline"/>
        <w:numPr>
          <w:ilvl w:val="0"/>
          <w:numId w:val="0"/>
        </w:numPr>
        <w:ind w:left="567"/>
        <w:rPr>
          <w:rFonts w:cs="Arial"/>
          <w:u w:val="none"/>
          <w:lang w:eastAsia="pl-PL"/>
        </w:rPr>
      </w:pPr>
    </w:p>
    <w:p w14:paraId="57993594" w14:textId="77777777" w:rsidR="0095045F" w:rsidRPr="00925585" w:rsidRDefault="00264D0E" w:rsidP="008E5DE8">
      <w:pPr>
        <w:pStyle w:val="StyleBulletyUnderline"/>
        <w:numPr>
          <w:ilvl w:val="0"/>
          <w:numId w:val="0"/>
        </w:numPr>
        <w:ind w:left="567"/>
        <w:rPr>
          <w:rFonts w:cs="Arial"/>
          <w:u w:val="none"/>
          <w:lang w:eastAsia="pl-PL"/>
        </w:rPr>
      </w:pPr>
      <w:r>
        <w:rPr>
          <w:rFonts w:cs="Arial"/>
          <w:u w:val="none"/>
          <w:lang w:eastAsia="pl-PL"/>
        </w:rPr>
        <w:t xml:space="preserve">1) </w:t>
      </w:r>
      <w:r w:rsidR="0095045F" w:rsidRPr="00925585">
        <w:rPr>
          <w:rFonts w:cs="Arial"/>
          <w:u w:val="none"/>
          <w:lang w:eastAsia="pl-PL"/>
        </w:rPr>
        <w:t>Opust na energii elektrycznej</w:t>
      </w:r>
    </w:p>
    <w:p w14:paraId="2BA964A1" w14:textId="77777777" w:rsidR="0095045F" w:rsidRPr="00925585" w:rsidRDefault="0095045F" w:rsidP="0095045F">
      <w:pPr>
        <w:pStyle w:val="Bullety"/>
        <w:numPr>
          <w:ilvl w:val="0"/>
          <w:numId w:val="0"/>
        </w:numPr>
        <w:ind w:left="567"/>
        <w:rPr>
          <w:rFonts w:cs="Arial"/>
        </w:rPr>
      </w:pPr>
      <w:r>
        <w:rPr>
          <w:rFonts w:cs="Arial"/>
        </w:rPr>
        <w:t xml:space="preserve">Proponowany </w:t>
      </w:r>
      <w:r w:rsidRPr="00925585">
        <w:rPr>
          <w:rFonts w:cs="Arial"/>
        </w:rPr>
        <w:t>model zakłada przejście z obecnego modelu opustu 1:0,8 (dla instalacji o mocy do 10 kW) lub 1:0,7 (dla instalacji o mocy powyżej 10 kW) na model z opustem 1:1 dla ilości energii wyprodukowanej przez źródło. Oznacza to, że prosument ma możliwość wprowadzenia do sieci elektroenergetycznej (zmagazynowania), a następnie pobrania energii elektrycznej w tej samej ilości. To rozwiązanie ma kilka konsekwencji:</w:t>
      </w:r>
    </w:p>
    <w:p w14:paraId="1C86439D" w14:textId="25489519" w:rsidR="0095045F" w:rsidRPr="00925585" w:rsidRDefault="00264D0E" w:rsidP="008E5DE8">
      <w:pPr>
        <w:pStyle w:val="Bullety"/>
        <w:keepNext/>
        <w:numPr>
          <w:ilvl w:val="0"/>
          <w:numId w:val="0"/>
        </w:numPr>
        <w:ind w:left="851"/>
        <w:rPr>
          <w:rFonts w:cs="Arial"/>
          <w:lang w:eastAsia="pl-PL"/>
        </w:rPr>
      </w:pPr>
      <w:r>
        <w:rPr>
          <w:rFonts w:cs="Arial"/>
          <w:lang w:eastAsia="pl-PL"/>
        </w:rPr>
        <w:t xml:space="preserve">a) </w:t>
      </w:r>
      <w:r w:rsidR="0095045F" w:rsidRPr="00644AD3">
        <w:rPr>
          <w:rFonts w:cs="Arial"/>
          <w:lang w:eastAsia="pl-PL"/>
        </w:rPr>
        <w:t xml:space="preserve">Nie występuje </w:t>
      </w:r>
      <w:r w:rsidR="0095045F">
        <w:rPr>
          <w:rFonts w:cs="Arial"/>
          <w:lang w:eastAsia="pl-PL"/>
        </w:rPr>
        <w:t>przesłanka</w:t>
      </w:r>
      <w:r w:rsidR="0095045F" w:rsidRPr="00644AD3">
        <w:rPr>
          <w:rFonts w:cs="Arial"/>
          <w:lang w:eastAsia="pl-PL"/>
        </w:rPr>
        <w:t xml:space="preserve"> do przewymiarowania instalacji fotowoltaicznej w stosunku do zapotrzebowania; jako że całość energii wprowadzonej do sieci przez prosumenta będzie dostępna bez potrącenia wynikającego z opustu, chcąc zabezpieczyć w pełni swoje zużycie energii, prosument nie będzie inwestował w instalację przewyższającą produkcją energii oczekiwane zużycie. W efekcie ograniczone zostaną koszty początkowe po stronie prosumenta, a próg wejścia obniżony. Dodatkową korzyścią z perspektywy operatora sieci dystrybucyjnej jest niższe obciążenie sieci przepływem energii w kierunku </w:t>
      </w:r>
      <w:r>
        <w:rPr>
          <w:rFonts w:cs="Arial"/>
          <w:lang w:eastAsia="pl-PL"/>
        </w:rPr>
        <w:t>„</w:t>
      </w:r>
      <w:r w:rsidR="0095045F" w:rsidRPr="00644AD3">
        <w:rPr>
          <w:rFonts w:cs="Arial"/>
          <w:lang w:eastAsia="pl-PL"/>
        </w:rPr>
        <w:t>od prosumentów</w:t>
      </w:r>
      <w:r>
        <w:rPr>
          <w:rFonts w:cs="Arial"/>
          <w:lang w:eastAsia="pl-PL"/>
        </w:rPr>
        <w:t>”</w:t>
      </w:r>
      <w:r w:rsidR="0095045F" w:rsidRPr="00644AD3">
        <w:rPr>
          <w:rFonts w:cs="Arial"/>
          <w:lang w:eastAsia="pl-PL"/>
        </w:rPr>
        <w:t xml:space="preserve">, co w </w:t>
      </w:r>
      <w:r w:rsidR="0095045F" w:rsidRPr="00925585">
        <w:rPr>
          <w:rFonts w:cs="Arial"/>
          <w:lang w:eastAsia="pl-PL"/>
        </w:rPr>
        <w:t>okresach szczytowej produkcji energii może być przyczyną niekorzystnych zjawisk w</w:t>
      </w:r>
      <w:r w:rsidR="0095045F">
        <w:rPr>
          <w:rFonts w:cs="Arial"/>
          <w:lang w:eastAsia="pl-PL"/>
        </w:rPr>
        <w:t xml:space="preserve"> jeszcze </w:t>
      </w:r>
      <w:r w:rsidR="0095045F" w:rsidRPr="00925585">
        <w:rPr>
          <w:rFonts w:cs="Arial"/>
          <w:lang w:eastAsia="pl-PL"/>
        </w:rPr>
        <w:t>niezmodernizowanej sieci dystrybucyjnej.</w:t>
      </w:r>
    </w:p>
    <w:p w14:paraId="65DCB0AE" w14:textId="77777777" w:rsidR="0095045F" w:rsidRPr="00644AD3" w:rsidRDefault="00264D0E" w:rsidP="008E5DE8">
      <w:pPr>
        <w:pStyle w:val="Bullety"/>
        <w:keepNext/>
        <w:numPr>
          <w:ilvl w:val="0"/>
          <w:numId w:val="0"/>
        </w:numPr>
        <w:ind w:left="851"/>
        <w:rPr>
          <w:rFonts w:cs="Arial"/>
          <w:lang w:eastAsia="pl-PL"/>
        </w:rPr>
      </w:pPr>
      <w:r>
        <w:rPr>
          <w:rFonts w:cs="Arial"/>
          <w:lang w:eastAsia="pl-PL"/>
        </w:rPr>
        <w:t xml:space="preserve">b) </w:t>
      </w:r>
      <w:r w:rsidR="0095045F" w:rsidRPr="00644AD3">
        <w:rPr>
          <w:rFonts w:cs="Arial"/>
          <w:lang w:eastAsia="pl-PL"/>
        </w:rPr>
        <w:t xml:space="preserve">Przejście na opust 1:1 upraszcza proces rozliczeń, ich analizę oraz zrozumienie samego systemu – dotychczas część energii była zużywana w ramach </w:t>
      </w:r>
      <w:proofErr w:type="spellStart"/>
      <w:r w:rsidR="0095045F" w:rsidRPr="00644AD3">
        <w:rPr>
          <w:rFonts w:cs="Arial"/>
          <w:lang w:eastAsia="pl-PL"/>
        </w:rPr>
        <w:t>autokonsumpcji</w:t>
      </w:r>
      <w:proofErr w:type="spellEnd"/>
      <w:r w:rsidR="0095045F" w:rsidRPr="00644AD3">
        <w:rPr>
          <w:rFonts w:cs="Arial"/>
          <w:lang w:eastAsia="pl-PL"/>
        </w:rPr>
        <w:t xml:space="preserve"> (jednoczesna produkcja i zużycie energii w stosunku 1:1), która co do zasady nie jest opomiarowana (proces </w:t>
      </w:r>
      <w:proofErr w:type="spellStart"/>
      <w:r w:rsidR="0095045F" w:rsidRPr="00644AD3">
        <w:rPr>
          <w:rFonts w:cs="Arial"/>
          <w:lang w:eastAsia="pl-PL"/>
        </w:rPr>
        <w:t>autokonsumpcji</w:t>
      </w:r>
      <w:proofErr w:type="spellEnd"/>
      <w:r w:rsidR="0095045F" w:rsidRPr="00644AD3">
        <w:rPr>
          <w:rFonts w:cs="Arial"/>
          <w:lang w:eastAsia="pl-PL"/>
        </w:rPr>
        <w:t xml:space="preserve"> jest realizowany za licznikiem), a część wprowadzana do sieci elektroenergetycznej i rozliczana z uwzględnieniem opustu 1:0,8 lub 1:0,7. Taka sytuacja utrudniała analizę bilansu energetycznego i jego prognozowanie, przy przejściu na opust 1:1 kwestie analityczne zostały uproszczone (w kontekście rozliczenia opłaty za energię elektryczną, z punktu widzenia prosumenta neutralne jest, czy energia wyprodukowana przez źródło zostanie zużyta w ramach </w:t>
      </w:r>
      <w:proofErr w:type="spellStart"/>
      <w:r w:rsidR="0095045F" w:rsidRPr="00644AD3">
        <w:rPr>
          <w:rFonts w:cs="Arial"/>
          <w:lang w:eastAsia="pl-PL"/>
        </w:rPr>
        <w:t>autokonsumpcji</w:t>
      </w:r>
      <w:proofErr w:type="spellEnd"/>
      <w:r w:rsidR="0095045F" w:rsidRPr="00644AD3">
        <w:rPr>
          <w:rFonts w:cs="Arial"/>
          <w:lang w:eastAsia="pl-PL"/>
        </w:rPr>
        <w:t>, czy zostanie zużyta po uprzednim wprowadzeniu do sieci).</w:t>
      </w:r>
    </w:p>
    <w:p w14:paraId="5E72EA76" w14:textId="69F6F03F" w:rsidR="0095045F" w:rsidRPr="00925585" w:rsidRDefault="00264D0E" w:rsidP="008E5DE8">
      <w:pPr>
        <w:pStyle w:val="Bullety"/>
        <w:keepNext/>
        <w:numPr>
          <w:ilvl w:val="0"/>
          <w:numId w:val="0"/>
        </w:numPr>
        <w:ind w:left="851"/>
        <w:rPr>
          <w:rFonts w:cs="Arial"/>
          <w:lang w:eastAsia="pl-PL"/>
        </w:rPr>
      </w:pPr>
      <w:bookmarkStart w:id="5" w:name="_Hlk57492657"/>
      <w:r>
        <w:rPr>
          <w:rFonts w:cs="Arial"/>
          <w:lang w:eastAsia="pl-PL"/>
        </w:rPr>
        <w:t xml:space="preserve">c) </w:t>
      </w:r>
      <w:r w:rsidR="0095045F" w:rsidRPr="00925585">
        <w:rPr>
          <w:rFonts w:cs="Arial"/>
          <w:lang w:eastAsia="pl-PL"/>
        </w:rPr>
        <w:t xml:space="preserve">Nie występuje dodatkowa korzyść po stronie spółek obrotu wynikająca z dysponowaniem energią elektryczną po rozliczeniu energii wprowadzonej przez prosumentów </w:t>
      </w:r>
      <w:r w:rsidR="0095045F" w:rsidRPr="00925585">
        <w:rPr>
          <w:rFonts w:cs="Arial"/>
          <w:lang w:eastAsia="pl-PL"/>
        </w:rPr>
        <w:lastRenderedPageBreak/>
        <w:t>z</w:t>
      </w:r>
      <w:r w:rsidR="0095045F">
        <w:rPr>
          <w:rFonts w:cs="Arial"/>
          <w:lang w:eastAsia="pl-PL"/>
        </w:rPr>
        <w:t> </w:t>
      </w:r>
      <w:r w:rsidR="0095045F" w:rsidRPr="00925585">
        <w:rPr>
          <w:rFonts w:cs="Arial"/>
          <w:lang w:eastAsia="pl-PL"/>
        </w:rPr>
        <w:t xml:space="preserve">uwzględnieniem opustu – kwestia szerzej opisana w ramach </w:t>
      </w:r>
      <w:r>
        <w:rPr>
          <w:rFonts w:cs="Arial"/>
          <w:lang w:eastAsia="pl-PL"/>
        </w:rPr>
        <w:t>„</w:t>
      </w:r>
      <w:r w:rsidR="0095045F" w:rsidRPr="00925585">
        <w:rPr>
          <w:rFonts w:cs="Arial"/>
          <w:lang w:eastAsia="pl-PL"/>
        </w:rPr>
        <w:t>opustu na opłacie dystrybucyjnej</w:t>
      </w:r>
      <w:r>
        <w:rPr>
          <w:rFonts w:cs="Arial"/>
          <w:lang w:eastAsia="pl-PL"/>
        </w:rPr>
        <w:t>”</w:t>
      </w:r>
      <w:r w:rsidR="0095045F" w:rsidRPr="00925585">
        <w:rPr>
          <w:rFonts w:cs="Arial"/>
          <w:lang w:eastAsia="pl-PL"/>
        </w:rPr>
        <w:t>.</w:t>
      </w:r>
    </w:p>
    <w:bookmarkEnd w:id="5"/>
    <w:p w14:paraId="7999963E" w14:textId="77777777" w:rsidR="0095045F" w:rsidRPr="00925585" w:rsidRDefault="00264D0E" w:rsidP="008E5DE8">
      <w:pPr>
        <w:pStyle w:val="StyleBulletyUnderline"/>
        <w:numPr>
          <w:ilvl w:val="0"/>
          <w:numId w:val="0"/>
        </w:numPr>
        <w:ind w:left="567"/>
        <w:rPr>
          <w:rFonts w:cs="Arial"/>
          <w:u w:val="none"/>
          <w:lang w:eastAsia="pl-PL"/>
        </w:rPr>
      </w:pPr>
      <w:r>
        <w:rPr>
          <w:rFonts w:cs="Arial"/>
          <w:u w:val="none"/>
          <w:lang w:eastAsia="pl-PL"/>
        </w:rPr>
        <w:t xml:space="preserve">2) </w:t>
      </w:r>
      <w:r w:rsidR="0095045F" w:rsidRPr="00925585">
        <w:rPr>
          <w:rFonts w:cs="Arial"/>
          <w:u w:val="none"/>
          <w:lang w:eastAsia="pl-PL"/>
        </w:rPr>
        <w:t>Opust na zmiennych opłatach dystrybucyjnych</w:t>
      </w:r>
    </w:p>
    <w:p w14:paraId="1425BF83" w14:textId="577136DA" w:rsidR="0095045F" w:rsidRPr="00925585" w:rsidRDefault="0095045F" w:rsidP="0095045F">
      <w:pPr>
        <w:pStyle w:val="Bullety"/>
        <w:numPr>
          <w:ilvl w:val="0"/>
          <w:numId w:val="0"/>
        </w:numPr>
        <w:ind w:left="567"/>
        <w:rPr>
          <w:rFonts w:cs="Arial"/>
        </w:rPr>
      </w:pPr>
      <w:r w:rsidRPr="00925585">
        <w:rPr>
          <w:rFonts w:cs="Arial"/>
        </w:rPr>
        <w:t xml:space="preserve">Z punktu widzenia prosumenta docelowy model przewiduje naliczenie pełnych opłat zmiennych dystrybucyjnych, z których był w obecnym systemie </w:t>
      </w:r>
      <w:r>
        <w:rPr>
          <w:rFonts w:cs="Arial"/>
        </w:rPr>
        <w:t>„</w:t>
      </w:r>
      <w:r w:rsidRPr="00925585">
        <w:rPr>
          <w:rFonts w:cs="Arial"/>
        </w:rPr>
        <w:t>zwolniony</w:t>
      </w:r>
      <w:r>
        <w:rPr>
          <w:rFonts w:cs="Arial"/>
        </w:rPr>
        <w:t xml:space="preserve">” </w:t>
      </w:r>
      <w:r w:rsidRPr="00925585">
        <w:rPr>
          <w:rFonts w:cs="Arial"/>
        </w:rPr>
        <w:t>(opłaty te były pokrywane za prosumenta przez spółki obrotu). Jest to dodatkowe obciążenie, które zostaje zrekompensowane korzystniejszym dla prosumenta rozliczeniem energii zmagazynowanej (przejście z opustu 1:0,8 lub 1:0,7 na 1:1). Analizy porównawcze opłacalności inwestycji w</w:t>
      </w:r>
      <w:r>
        <w:rPr>
          <w:rFonts w:cs="Arial"/>
        </w:rPr>
        <w:t> </w:t>
      </w:r>
      <w:r w:rsidRPr="00925585">
        <w:rPr>
          <w:rFonts w:cs="Arial"/>
        </w:rPr>
        <w:t xml:space="preserve">rozwiązania </w:t>
      </w:r>
      <w:proofErr w:type="spellStart"/>
      <w:r w:rsidRPr="00925585">
        <w:rPr>
          <w:rFonts w:cs="Arial"/>
        </w:rPr>
        <w:t>prosumenckie</w:t>
      </w:r>
      <w:proofErr w:type="spellEnd"/>
      <w:r w:rsidRPr="00925585">
        <w:rPr>
          <w:rFonts w:cs="Arial"/>
        </w:rPr>
        <w:t xml:space="preserve"> w</w:t>
      </w:r>
      <w:r>
        <w:rPr>
          <w:rFonts w:cs="Arial"/>
        </w:rPr>
        <w:t> </w:t>
      </w:r>
      <w:r w:rsidRPr="00925585">
        <w:rPr>
          <w:rFonts w:cs="Arial"/>
        </w:rPr>
        <w:t>obecnym i docelowym modelu  wskazują, że aby zapewnić zbliżony poziom opłacalności, w przypadku części prosumentów (prosumenci o</w:t>
      </w:r>
      <w:r>
        <w:rPr>
          <w:rFonts w:cs="Arial"/>
        </w:rPr>
        <w:t> </w:t>
      </w:r>
      <w:r w:rsidRPr="00925585">
        <w:rPr>
          <w:rFonts w:cs="Arial"/>
        </w:rPr>
        <w:t xml:space="preserve">instalacjach mniejszych od 10 kW, którzy w obecnym systemie korzystali z bardziej korzystnego opustu 1:0,8), należy im zapewnić dodatkową korzyść. Proponowanym rozwiązaniem jest wdrożenie rabatu na opłatach dystrybucyjnych w wysokości 15% naliczanego wyłączenie od energii pochodzącej ze źródła (zmagazynowanej w sieci elektroenergetycznej). </w:t>
      </w:r>
    </w:p>
    <w:p w14:paraId="0730C927" w14:textId="068C16C2" w:rsidR="0095045F" w:rsidRPr="00925585" w:rsidRDefault="0095045F" w:rsidP="0095045F">
      <w:pPr>
        <w:pStyle w:val="Bullety"/>
        <w:numPr>
          <w:ilvl w:val="0"/>
          <w:numId w:val="0"/>
        </w:numPr>
        <w:ind w:left="567"/>
        <w:rPr>
          <w:rFonts w:cs="Arial"/>
        </w:rPr>
      </w:pPr>
      <w:r w:rsidRPr="00925585">
        <w:rPr>
          <w:rFonts w:cs="Arial"/>
        </w:rPr>
        <w:t>Obecny system zakłada, że w ramach rozliczenia opustu na energii wprowadzanej przez prosumenta do sieci, spółki obrotu pokrywają za prosumenta zmienne opłaty dystrybucyjne – z</w:t>
      </w:r>
      <w:r>
        <w:rPr>
          <w:rFonts w:cs="Arial"/>
        </w:rPr>
        <w:t> </w:t>
      </w:r>
      <w:r w:rsidRPr="00925585">
        <w:rPr>
          <w:rFonts w:cs="Arial"/>
        </w:rPr>
        <w:t xml:space="preserve">perspektywy prosumenta jest on z nich zwolniony. </w:t>
      </w:r>
      <w:r>
        <w:rPr>
          <w:rFonts w:cs="Arial"/>
        </w:rPr>
        <w:t>W</w:t>
      </w:r>
      <w:r w:rsidRPr="00925585">
        <w:rPr>
          <w:rFonts w:cs="Arial"/>
        </w:rPr>
        <w:t>yniki finansowe realizowane przez spółki obrotu</w:t>
      </w:r>
      <w:r>
        <w:rPr>
          <w:rFonts w:cs="Arial"/>
        </w:rPr>
        <w:t xml:space="preserve"> </w:t>
      </w:r>
      <w:bookmarkStart w:id="6" w:name="_Hlk58495954"/>
      <w:r>
        <w:rPr>
          <w:rFonts w:cs="Arial"/>
        </w:rPr>
        <w:t>na obsłudze prosumenta</w:t>
      </w:r>
      <w:r w:rsidRPr="00925585">
        <w:rPr>
          <w:rFonts w:cs="Arial"/>
        </w:rPr>
        <w:t xml:space="preserve"> (</w:t>
      </w:r>
      <w:r>
        <w:rPr>
          <w:rFonts w:cs="Arial"/>
        </w:rPr>
        <w:t xml:space="preserve">praktyka funkcjonowania systemu po wdrożeniu wskazuje, że </w:t>
      </w:r>
      <w:r w:rsidRPr="00925585">
        <w:rPr>
          <w:rFonts w:cs="Arial"/>
        </w:rPr>
        <w:t>koszty rozliczenia z OSD są na ogół wyższe niż zysk ze sprzedaży nadwyżek energii, co prowadzi do sytuacji, w której sprzedawca może osiągać ujemną marżę</w:t>
      </w:r>
      <w:r>
        <w:rPr>
          <w:rFonts w:cs="Arial"/>
        </w:rPr>
        <w:t xml:space="preserve"> </w:t>
      </w:r>
      <w:r w:rsidR="00264D0E" w:rsidRPr="00925585">
        <w:rPr>
          <w:rFonts w:cs="Arial"/>
        </w:rPr>
        <w:t>–</w:t>
      </w:r>
      <w:r w:rsidR="00264D0E">
        <w:rPr>
          <w:rFonts w:cs="Arial"/>
        </w:rPr>
        <w:t xml:space="preserve"> </w:t>
      </w:r>
      <w:r>
        <w:rPr>
          <w:rFonts w:cs="Arial"/>
        </w:rPr>
        <w:t xml:space="preserve">szacunkowe analizy wskazują na występowanie </w:t>
      </w:r>
      <w:r w:rsidRPr="00925585">
        <w:rPr>
          <w:rFonts w:cs="Arial"/>
        </w:rPr>
        <w:t>strat</w:t>
      </w:r>
      <w:r>
        <w:rPr>
          <w:rFonts w:cs="Arial"/>
        </w:rPr>
        <w:t>y</w:t>
      </w:r>
      <w:r w:rsidRPr="00925585">
        <w:rPr>
          <w:rFonts w:cs="Arial"/>
        </w:rPr>
        <w:t xml:space="preserve"> na poziomie ok. 130 mln PLN w całym </w:t>
      </w:r>
      <w:r>
        <w:rPr>
          <w:rFonts w:cs="Arial"/>
        </w:rPr>
        <w:t>2020</w:t>
      </w:r>
      <w:r w:rsidR="00264D0E">
        <w:rPr>
          <w:rFonts w:cs="Arial"/>
        </w:rPr>
        <w:t xml:space="preserve"> r.</w:t>
      </w:r>
      <w:r>
        <w:rPr>
          <w:rFonts w:cs="Arial"/>
        </w:rPr>
        <w:t>.</w:t>
      </w:r>
      <w:bookmarkEnd w:id="6"/>
      <w:r>
        <w:rPr>
          <w:rFonts w:cs="Arial"/>
        </w:rPr>
        <w:t xml:space="preserve"> Obecny</w:t>
      </w:r>
      <w:r w:rsidRPr="00925585">
        <w:rPr>
          <w:rFonts w:cs="Arial"/>
        </w:rPr>
        <w:t xml:space="preserve"> system nie funkcjonuje poprawnie i prowadzi do </w:t>
      </w:r>
      <w:bookmarkStart w:id="7" w:name="_Hlk58496049"/>
      <w:r>
        <w:rPr>
          <w:rFonts w:cs="Arial"/>
        </w:rPr>
        <w:t>niekorzystnych zjawisk</w:t>
      </w:r>
      <w:r w:rsidRPr="00925585">
        <w:rPr>
          <w:rFonts w:cs="Arial"/>
        </w:rPr>
        <w:t>, któr</w:t>
      </w:r>
      <w:r>
        <w:rPr>
          <w:rFonts w:cs="Arial"/>
        </w:rPr>
        <w:t>e</w:t>
      </w:r>
      <w:r w:rsidRPr="00925585">
        <w:rPr>
          <w:rFonts w:cs="Arial"/>
        </w:rPr>
        <w:t xml:space="preserve"> narasta</w:t>
      </w:r>
      <w:r>
        <w:rPr>
          <w:rFonts w:cs="Arial"/>
        </w:rPr>
        <w:t>ją</w:t>
      </w:r>
      <w:r w:rsidRPr="00925585">
        <w:rPr>
          <w:rFonts w:cs="Arial"/>
        </w:rPr>
        <w:t xml:space="preserve"> </w:t>
      </w:r>
      <w:bookmarkEnd w:id="7"/>
      <w:r w:rsidRPr="00925585">
        <w:rPr>
          <w:rFonts w:cs="Arial"/>
        </w:rPr>
        <w:t xml:space="preserve">wraz z rozwojem energetyki </w:t>
      </w:r>
      <w:proofErr w:type="spellStart"/>
      <w:r w:rsidRPr="00925585">
        <w:rPr>
          <w:rFonts w:cs="Arial"/>
        </w:rPr>
        <w:t>prosumenckiej</w:t>
      </w:r>
      <w:proofErr w:type="spellEnd"/>
      <w:r w:rsidRPr="00925585">
        <w:rPr>
          <w:rFonts w:cs="Arial"/>
        </w:rPr>
        <w:t>. Docelowy model zakłada powrót do neutralności opłat dystrybucyjnych dla spółek obrotu</w:t>
      </w:r>
      <w:r>
        <w:rPr>
          <w:rFonts w:cs="Arial"/>
        </w:rPr>
        <w:t>, które</w:t>
      </w:r>
      <w:r w:rsidRPr="00925585">
        <w:rPr>
          <w:rFonts w:cs="Arial"/>
        </w:rPr>
        <w:t xml:space="preserve"> nie będą pokrywać za prosumentów opustu na zmiennych opłatach dystrybucyjnych oraz nie będą generować przychodu z tytułu rozliczenia opustu na energii wprowadzanej przez prosumentów do sieci. Pozwoli to na stopniową poprawę sytuacji spółek obrotu wraz z</w:t>
      </w:r>
      <w:r>
        <w:rPr>
          <w:rFonts w:cs="Arial"/>
        </w:rPr>
        <w:t> </w:t>
      </w:r>
      <w:r w:rsidRPr="00925585">
        <w:rPr>
          <w:rFonts w:cs="Arial"/>
        </w:rPr>
        <w:t xml:space="preserve">przechodzeniem prosumentów </w:t>
      </w:r>
      <w:r>
        <w:rPr>
          <w:rFonts w:cs="Arial"/>
        </w:rPr>
        <w:t>„</w:t>
      </w:r>
      <w:r w:rsidRPr="00925585">
        <w:rPr>
          <w:rFonts w:cs="Arial"/>
        </w:rPr>
        <w:t>starego portfela</w:t>
      </w:r>
      <w:r>
        <w:rPr>
          <w:rFonts w:cs="Arial"/>
        </w:rPr>
        <w:t>”</w:t>
      </w:r>
      <w:r w:rsidRPr="00925585">
        <w:rPr>
          <w:rFonts w:cs="Arial"/>
        </w:rPr>
        <w:t xml:space="preserve"> do docelowego modelu (jednocześnie spółki obrotu będą miały inicjatywę do wspierania tego przejścia).</w:t>
      </w:r>
    </w:p>
    <w:p w14:paraId="75A1985C" w14:textId="09C2B3E8" w:rsidR="0095045F" w:rsidRDefault="0095045F" w:rsidP="0095045F">
      <w:pPr>
        <w:pStyle w:val="Bullety"/>
        <w:numPr>
          <w:ilvl w:val="0"/>
          <w:numId w:val="0"/>
        </w:numPr>
        <w:ind w:left="567"/>
        <w:rPr>
          <w:rFonts w:cs="Arial"/>
        </w:rPr>
      </w:pPr>
      <w:r w:rsidRPr="00925585">
        <w:rPr>
          <w:rFonts w:cs="Arial"/>
        </w:rPr>
        <w:t>Z perspektywy spółek dystrybucyjnych, zmiana modelu rozliczania zmiennych opłat dystrybucyjnych przełoży się zasadniczo wyłącznie na różnicę wynikającą z</w:t>
      </w:r>
      <w:r w:rsidR="004A6B04">
        <w:rPr>
          <w:rFonts w:cs="Arial"/>
        </w:rPr>
        <w:t>e</w:t>
      </w:r>
      <w:r w:rsidRPr="00925585">
        <w:rPr>
          <w:rFonts w:cs="Arial"/>
        </w:rPr>
        <w:t xml:space="preserve"> wspomnianego powyżej wdrożenia 15% rabatu na opłatach zmiennych dystrybucyjnych dla</w:t>
      </w:r>
      <w:r w:rsidR="00A345C8">
        <w:rPr>
          <w:rFonts w:cs="Arial"/>
        </w:rPr>
        <w:t xml:space="preserve"> energii</w:t>
      </w:r>
      <w:r w:rsidRPr="00925585">
        <w:rPr>
          <w:rFonts w:cs="Arial"/>
        </w:rPr>
        <w:t xml:space="preserve"> </w:t>
      </w:r>
      <w:r w:rsidR="00C33594">
        <w:rPr>
          <w:rFonts w:cs="Arial"/>
        </w:rPr>
        <w:t>wprowadzanej do sieci oraz</w:t>
      </w:r>
      <w:r w:rsidRPr="00925585">
        <w:rPr>
          <w:rFonts w:cs="Arial"/>
        </w:rPr>
        <w:t xml:space="preserve"> zmagazynowanej przez osoby i podmioty niebędące przedsiębiorcami. Niższe płatności od tej grupy prosumentów przełożą się na obniżenie przychodu regulowanego realizowanego przez OSD. Zakładany jest mechanizm rozliczenia niedoboru przychodu regulowanego po złożeniu przez OSD odpowiedniego wniosku i rozliczenie wraz z innymi płatnościami Zarządcy Rozliczeń w ramach opłaty OZE. Zgodnie z przeprowadzonymi analizami, rozwiązanie to nie stanowi pomocy publicznej i nie jest wymagana jego notyfikacja Komisji Europejskiej (beneficjentami rozwiązania nie są przedsiębiorcy). </w:t>
      </w:r>
    </w:p>
    <w:p w14:paraId="57B99EED" w14:textId="5B73C998" w:rsidR="00A345C8" w:rsidRPr="00925585" w:rsidRDefault="00A345C8" w:rsidP="0095045F">
      <w:pPr>
        <w:pStyle w:val="Bullety"/>
        <w:numPr>
          <w:ilvl w:val="0"/>
          <w:numId w:val="0"/>
        </w:numPr>
        <w:ind w:left="567"/>
        <w:rPr>
          <w:rFonts w:cs="Arial"/>
          <w:lang w:eastAsia="pl-PL"/>
        </w:rPr>
      </w:pPr>
      <w:r>
        <w:rPr>
          <w:rFonts w:cs="Arial"/>
        </w:rPr>
        <w:t xml:space="preserve">Proponowany mechanizm </w:t>
      </w:r>
      <w:r w:rsidR="00C9556D">
        <w:rPr>
          <w:rFonts w:cs="Arial"/>
        </w:rPr>
        <w:t>będzie opierał się dodatkowo na rozliczeniu energii wprowadzanej do sieci</w:t>
      </w:r>
      <w:r w:rsidR="00805070">
        <w:rPr>
          <w:rFonts w:cs="Arial"/>
        </w:rPr>
        <w:t xml:space="preserve">, co umożliwi dodatkowo prosumentom sprzedaż nadwyżek takiej energii (co jest rozwiązaniem w pełni zgodnym z postanowieniami art. 15 dyrektywy </w:t>
      </w:r>
      <w:r w:rsidR="0092688D" w:rsidRPr="0092688D">
        <w:rPr>
          <w:rFonts w:cs="Arial"/>
        </w:rPr>
        <w:t>Parlamentu Europejskiego i Rady (UE) 2019/944 z dnia 5 czerwca 2019 r. w sprawie wspólnych zasad rynku wewnętrznego energii elektrycznej oraz zmieniającej dyrektywę 2012/27/UE</w:t>
      </w:r>
      <w:r w:rsidR="00846144">
        <w:rPr>
          <w:rFonts w:cs="Arial"/>
        </w:rPr>
        <w:t>)</w:t>
      </w:r>
      <w:r w:rsidR="00C77AA5">
        <w:rPr>
          <w:rFonts w:cs="Arial"/>
        </w:rPr>
        <w:t>(„dyrektywa rynkowa”)</w:t>
      </w:r>
      <w:r w:rsidR="00846144">
        <w:rPr>
          <w:rFonts w:cs="Arial"/>
        </w:rPr>
        <w:t xml:space="preserve"> oraz art. </w:t>
      </w:r>
      <w:r w:rsidR="004A287B">
        <w:rPr>
          <w:rFonts w:cs="Arial"/>
        </w:rPr>
        <w:t xml:space="preserve">21 </w:t>
      </w:r>
      <w:r w:rsidR="00846144">
        <w:rPr>
          <w:rFonts w:cs="Arial"/>
        </w:rPr>
        <w:t xml:space="preserve">dyrektywy RED II. Przepisy w/w aktów prawnych przewidują bowiem możliwość </w:t>
      </w:r>
      <w:r w:rsidR="0097016C">
        <w:rPr>
          <w:rFonts w:cs="Arial"/>
        </w:rPr>
        <w:t>odrębnego rozliczania energii wprowadzanej do sieci i pobieranej z sieci</w:t>
      </w:r>
      <w:r w:rsidR="00921970">
        <w:rPr>
          <w:rFonts w:cs="Arial"/>
        </w:rPr>
        <w:t xml:space="preserve">, a także możliwość </w:t>
      </w:r>
      <w:r w:rsidR="000319AB">
        <w:rPr>
          <w:rFonts w:cs="Arial"/>
        </w:rPr>
        <w:t xml:space="preserve">sprzedaży przez prosumentów nadwyżek energii elektrycznej. </w:t>
      </w:r>
      <w:r w:rsidR="004A287B">
        <w:rPr>
          <w:rFonts w:cs="Arial"/>
        </w:rPr>
        <w:t xml:space="preserve">W szczególności takie rozwiązanie umożliwia utrzymanie systemu opartego na „magazynowaniu” energii w sieci w kontekście </w:t>
      </w:r>
      <w:r w:rsidR="00C77AA5">
        <w:rPr>
          <w:rFonts w:cs="Arial"/>
        </w:rPr>
        <w:t>art. 15 ust. 4 w/w dyrektywy rynkowej.</w:t>
      </w:r>
    </w:p>
    <w:p w14:paraId="535EEE4B" w14:textId="77777777" w:rsidR="0095045F" w:rsidRPr="00925585" w:rsidRDefault="00264D0E" w:rsidP="008E5DE8">
      <w:pPr>
        <w:pStyle w:val="StyleBulletyUnderline"/>
        <w:numPr>
          <w:ilvl w:val="0"/>
          <w:numId w:val="0"/>
        </w:numPr>
        <w:ind w:left="567"/>
        <w:rPr>
          <w:rFonts w:cs="Arial"/>
          <w:u w:val="none"/>
          <w:lang w:eastAsia="pl-PL"/>
        </w:rPr>
      </w:pPr>
      <w:r>
        <w:rPr>
          <w:rFonts w:cs="Arial"/>
          <w:u w:val="none"/>
          <w:lang w:eastAsia="pl-PL"/>
        </w:rPr>
        <w:lastRenderedPageBreak/>
        <w:t xml:space="preserve">3) </w:t>
      </w:r>
      <w:r w:rsidR="0095045F" w:rsidRPr="00925585">
        <w:rPr>
          <w:rFonts w:cs="Arial"/>
          <w:u w:val="none"/>
          <w:lang w:eastAsia="pl-PL"/>
        </w:rPr>
        <w:t>Wymagana forma umowy</w:t>
      </w:r>
    </w:p>
    <w:p w14:paraId="7BE88A3C" w14:textId="77777777" w:rsidR="0095045F" w:rsidRPr="00925585" w:rsidRDefault="0095045F" w:rsidP="0095045F">
      <w:pPr>
        <w:pStyle w:val="Bullety"/>
        <w:numPr>
          <w:ilvl w:val="0"/>
          <w:numId w:val="0"/>
        </w:numPr>
        <w:ind w:left="540"/>
        <w:rPr>
          <w:rFonts w:cs="Arial"/>
        </w:rPr>
      </w:pPr>
      <w:r w:rsidRPr="00925585">
        <w:rPr>
          <w:rFonts w:cs="Arial"/>
        </w:rPr>
        <w:t xml:space="preserve">Konstrukcja obecnego modelu </w:t>
      </w:r>
      <w:proofErr w:type="spellStart"/>
      <w:r w:rsidRPr="00925585">
        <w:rPr>
          <w:rFonts w:cs="Arial"/>
        </w:rPr>
        <w:t>prosumenckiego</w:t>
      </w:r>
      <w:proofErr w:type="spellEnd"/>
      <w:r w:rsidRPr="00925585">
        <w:rPr>
          <w:rFonts w:cs="Arial"/>
        </w:rPr>
        <w:t xml:space="preserve"> sprawia, że prosumenci muszą korzystać z</w:t>
      </w:r>
      <w:r>
        <w:rPr>
          <w:rFonts w:cs="Arial"/>
        </w:rPr>
        <w:t> </w:t>
      </w:r>
      <w:r w:rsidRPr="00925585">
        <w:rPr>
          <w:rFonts w:cs="Arial"/>
        </w:rPr>
        <w:t>umów kompleksowych. Po zmianach modelu rozliczania stawek zmiennych dystrybucyjnych (likwidacja mechanizmu rozliczenia opłat dystrybucyjnych przez spółki obrotu), model docelowy zapewni możliwość korzystania zarówno z umowy kompleksowej</w:t>
      </w:r>
      <w:r>
        <w:rPr>
          <w:rFonts w:cs="Arial"/>
        </w:rPr>
        <w:t>,</w:t>
      </w:r>
      <w:r w:rsidRPr="00925585">
        <w:rPr>
          <w:rFonts w:cs="Arial"/>
        </w:rPr>
        <w:t xml:space="preserve"> jak i umów rozdzielonych.</w:t>
      </w:r>
    </w:p>
    <w:p w14:paraId="230C1B95" w14:textId="77777777" w:rsidR="0095045F" w:rsidRPr="00925585" w:rsidRDefault="00264D0E" w:rsidP="008E5DE8">
      <w:pPr>
        <w:pStyle w:val="StyleBulletyUnderline"/>
        <w:numPr>
          <w:ilvl w:val="0"/>
          <w:numId w:val="0"/>
        </w:numPr>
        <w:ind w:left="567"/>
        <w:rPr>
          <w:rFonts w:cs="Arial"/>
          <w:u w:val="none"/>
          <w:lang w:eastAsia="pl-PL"/>
        </w:rPr>
      </w:pPr>
      <w:r>
        <w:rPr>
          <w:rFonts w:cs="Arial"/>
          <w:u w:val="none"/>
          <w:lang w:eastAsia="pl-PL"/>
        </w:rPr>
        <w:t xml:space="preserve">4) </w:t>
      </w:r>
      <w:r w:rsidR="0095045F" w:rsidRPr="00925585">
        <w:rPr>
          <w:rFonts w:cs="Arial"/>
          <w:u w:val="none"/>
          <w:lang w:eastAsia="pl-PL"/>
        </w:rPr>
        <w:t xml:space="preserve">Obowiązek </w:t>
      </w:r>
      <w:r w:rsidR="0095045F">
        <w:rPr>
          <w:rFonts w:cs="Arial"/>
          <w:u w:val="none"/>
          <w:lang w:eastAsia="pl-PL"/>
        </w:rPr>
        <w:t>„</w:t>
      </w:r>
      <w:r w:rsidR="0095045F" w:rsidRPr="00925585">
        <w:rPr>
          <w:rFonts w:cs="Arial"/>
          <w:u w:val="none"/>
          <w:lang w:eastAsia="pl-PL"/>
        </w:rPr>
        <w:t>kolorowania</w:t>
      </w:r>
      <w:r w:rsidR="0095045F">
        <w:rPr>
          <w:rFonts w:cs="Arial"/>
          <w:u w:val="none"/>
          <w:lang w:eastAsia="pl-PL"/>
        </w:rPr>
        <w:t>”</w:t>
      </w:r>
      <w:r w:rsidR="0095045F" w:rsidRPr="00925585">
        <w:rPr>
          <w:rFonts w:cs="Arial"/>
          <w:u w:val="none"/>
          <w:lang w:eastAsia="pl-PL"/>
        </w:rPr>
        <w:t xml:space="preserve"> energii i naliczania akcyzy (dla energii wyprodukowanej przez źródło/ zmagazynowanej)</w:t>
      </w:r>
    </w:p>
    <w:p w14:paraId="228AD94E" w14:textId="46AD03D3" w:rsidR="0095045F" w:rsidRPr="00925585" w:rsidRDefault="0095045F" w:rsidP="0095045F">
      <w:pPr>
        <w:pStyle w:val="Bullety"/>
        <w:numPr>
          <w:ilvl w:val="0"/>
          <w:numId w:val="0"/>
        </w:numPr>
        <w:ind w:left="540"/>
        <w:rPr>
          <w:rFonts w:cs="Arial"/>
        </w:rPr>
      </w:pPr>
      <w:r w:rsidRPr="00925585">
        <w:rPr>
          <w:rFonts w:cs="Arial"/>
        </w:rPr>
        <w:t xml:space="preserve">Praktyka funkcjonowania obecnego modelu </w:t>
      </w:r>
      <w:proofErr w:type="spellStart"/>
      <w:r w:rsidRPr="00925585">
        <w:rPr>
          <w:rFonts w:cs="Arial"/>
        </w:rPr>
        <w:t>prosumenckiego</w:t>
      </w:r>
      <w:proofErr w:type="spellEnd"/>
      <w:r w:rsidRPr="00925585">
        <w:rPr>
          <w:rFonts w:cs="Arial"/>
        </w:rPr>
        <w:t xml:space="preserve"> wymaga pokrywania przez spółki obrotu dodatkowych opłat związanych z funkcjonowaniem systemu. W kontekście świadectw pochodzenia (tzw. </w:t>
      </w:r>
      <w:r>
        <w:rPr>
          <w:rFonts w:cs="Arial"/>
        </w:rPr>
        <w:t>„kolorów</w:t>
      </w:r>
      <w:r w:rsidR="004A6B04">
        <w:rPr>
          <w:rFonts w:cs="Arial"/>
        </w:rPr>
        <w:t>”</w:t>
      </w:r>
      <w:r>
        <w:rPr>
          <w:rFonts w:cs="Arial"/>
        </w:rPr>
        <w:t>)</w:t>
      </w:r>
      <w:r w:rsidR="004A6B04">
        <w:rPr>
          <w:rFonts w:cs="Arial"/>
        </w:rPr>
        <w:t>,</w:t>
      </w:r>
      <w:r w:rsidRPr="00925585">
        <w:rPr>
          <w:rFonts w:cs="Arial"/>
        </w:rPr>
        <w:t xml:space="preserve"> mimo że energia wprowadzana do sieci elektroenergetycznej przez prosumenta pochodzi ze źródeł odnawialnych, obowiązujące regulacje </w:t>
      </w:r>
      <w:r>
        <w:rPr>
          <w:rFonts w:cs="Arial"/>
        </w:rPr>
        <w:t>uniemożliwiają</w:t>
      </w:r>
      <w:r w:rsidRPr="00925585">
        <w:rPr>
          <w:rFonts w:cs="Arial"/>
        </w:rPr>
        <w:t xml:space="preserve"> wystawieni</w:t>
      </w:r>
      <w:r w:rsidR="004A6B04">
        <w:rPr>
          <w:rFonts w:cs="Arial"/>
        </w:rPr>
        <w:t>e</w:t>
      </w:r>
      <w:r w:rsidRPr="00925585">
        <w:rPr>
          <w:rFonts w:cs="Arial"/>
        </w:rPr>
        <w:t xml:space="preserve"> świadectw pochodzenia dla tej energii. Natomiast dla energii pobieranej w ramach rozliczenia energii wprowadzonej, konieczne jest udokumentowanie odpowiedniego </w:t>
      </w:r>
      <w:proofErr w:type="spellStart"/>
      <w:r w:rsidRPr="00925585">
        <w:rPr>
          <w:rFonts w:cs="Arial"/>
        </w:rPr>
        <w:t>miksu</w:t>
      </w:r>
      <w:proofErr w:type="spellEnd"/>
      <w:r w:rsidRPr="00925585">
        <w:rPr>
          <w:rFonts w:cs="Arial"/>
        </w:rPr>
        <w:t xml:space="preserve"> energetycznego. W rezultacie</w:t>
      </w:r>
      <w:r>
        <w:rPr>
          <w:rFonts w:cs="Arial"/>
        </w:rPr>
        <w:t xml:space="preserve"> „zielona”</w:t>
      </w:r>
      <w:r w:rsidRPr="00925585">
        <w:rPr>
          <w:rFonts w:cs="Arial"/>
        </w:rPr>
        <w:t xml:space="preserve"> energia produkowana przez instalację </w:t>
      </w:r>
      <w:proofErr w:type="spellStart"/>
      <w:r w:rsidRPr="00925585">
        <w:rPr>
          <w:rFonts w:cs="Arial"/>
        </w:rPr>
        <w:t>prosumencką</w:t>
      </w:r>
      <w:proofErr w:type="spellEnd"/>
      <w:r w:rsidRPr="00925585">
        <w:rPr>
          <w:rFonts w:cs="Arial"/>
        </w:rPr>
        <w:t xml:space="preserve"> musi być</w:t>
      </w:r>
      <w:r>
        <w:rPr>
          <w:rFonts w:cs="Arial"/>
        </w:rPr>
        <w:t xml:space="preserve"> „kolorowana”</w:t>
      </w:r>
      <w:r w:rsidRPr="00925585">
        <w:rPr>
          <w:rFonts w:cs="Arial"/>
        </w:rPr>
        <w:t>, co przekłada się na dodatkowy koszt generowany po stronie spółki obrotu.</w:t>
      </w:r>
    </w:p>
    <w:p w14:paraId="43BF4553" w14:textId="76789E06" w:rsidR="0095045F" w:rsidRPr="00925585" w:rsidRDefault="0095045F" w:rsidP="0095045F">
      <w:pPr>
        <w:pStyle w:val="Bullety"/>
        <w:numPr>
          <w:ilvl w:val="0"/>
          <w:numId w:val="0"/>
        </w:numPr>
        <w:ind w:left="540"/>
        <w:rPr>
          <w:rFonts w:cs="Arial"/>
        </w:rPr>
      </w:pPr>
      <w:r w:rsidRPr="00925585">
        <w:rPr>
          <w:rFonts w:cs="Arial"/>
        </w:rPr>
        <w:t xml:space="preserve">W kwestii akcyzy, ustawa </w:t>
      </w:r>
      <w:r w:rsidR="004A6B04">
        <w:rPr>
          <w:rFonts w:cs="Arial"/>
        </w:rPr>
        <w:t xml:space="preserve">o </w:t>
      </w:r>
      <w:r w:rsidRPr="00925585">
        <w:rPr>
          <w:rFonts w:cs="Arial"/>
        </w:rPr>
        <w:t xml:space="preserve">OZE zawiera </w:t>
      </w:r>
      <w:r w:rsidR="004A6B04">
        <w:rPr>
          <w:rFonts w:cs="Arial"/>
        </w:rPr>
        <w:t>przepisy</w:t>
      </w:r>
      <w:r w:rsidRPr="00925585">
        <w:rPr>
          <w:rFonts w:cs="Arial"/>
        </w:rPr>
        <w:t xml:space="preserve">, zgodnie z którymi energia produkowana przez prosumenta nie jest obłożona podatkiem akcyzowym. Jednakże zgodnie z interpretacjami służb skarbowych, rozliczenie energii zmagazynowanej jest traktowane jako zmiana właściciela energii, a w konsekwencji sprzedaż, która zgodnie z </w:t>
      </w:r>
      <w:r>
        <w:rPr>
          <w:rFonts w:cs="Arial"/>
        </w:rPr>
        <w:t>u</w:t>
      </w:r>
      <w:r w:rsidRPr="00925585">
        <w:rPr>
          <w:rFonts w:cs="Arial"/>
        </w:rPr>
        <w:t xml:space="preserve">stawą o </w:t>
      </w:r>
      <w:r>
        <w:rPr>
          <w:rFonts w:cs="Arial"/>
        </w:rPr>
        <w:t>p</w:t>
      </w:r>
      <w:r w:rsidRPr="00925585">
        <w:rPr>
          <w:rFonts w:cs="Arial"/>
        </w:rPr>
        <w:t xml:space="preserve">odatku </w:t>
      </w:r>
      <w:r>
        <w:rPr>
          <w:rFonts w:cs="Arial"/>
        </w:rPr>
        <w:t>a</w:t>
      </w:r>
      <w:r w:rsidRPr="00925585">
        <w:rPr>
          <w:rFonts w:cs="Arial"/>
        </w:rPr>
        <w:t>kcyzowym jest czynnością skutkującą obłożeniem akcyzą.</w:t>
      </w:r>
    </w:p>
    <w:p w14:paraId="1BD35FA4" w14:textId="77777777" w:rsidR="0095045F" w:rsidRPr="00925585" w:rsidRDefault="0095045F" w:rsidP="0095045F">
      <w:pPr>
        <w:pStyle w:val="Bullety"/>
        <w:numPr>
          <w:ilvl w:val="0"/>
          <w:numId w:val="0"/>
        </w:numPr>
        <w:ind w:left="540"/>
        <w:rPr>
          <w:rFonts w:cs="Arial"/>
        </w:rPr>
      </w:pPr>
      <w:r w:rsidRPr="00925585">
        <w:rPr>
          <w:rFonts w:cs="Arial"/>
        </w:rPr>
        <w:t xml:space="preserve">Zmiany regulacyjne w docelowym modelu </w:t>
      </w:r>
      <w:proofErr w:type="spellStart"/>
      <w:r w:rsidRPr="00925585">
        <w:rPr>
          <w:rFonts w:cs="Arial"/>
        </w:rPr>
        <w:t>prosumenckim</w:t>
      </w:r>
      <w:proofErr w:type="spellEnd"/>
      <w:r w:rsidRPr="00925585">
        <w:rPr>
          <w:rFonts w:cs="Arial"/>
        </w:rPr>
        <w:t xml:space="preserve"> mają na celu likwidację dodatkowych obciążeń kosztowych, które są niezgodne z istotą modelu </w:t>
      </w:r>
      <w:proofErr w:type="spellStart"/>
      <w:r w:rsidRPr="00925585">
        <w:rPr>
          <w:rFonts w:cs="Arial"/>
        </w:rPr>
        <w:t>prosumenckiego</w:t>
      </w:r>
      <w:proofErr w:type="spellEnd"/>
      <w:r w:rsidRPr="00925585">
        <w:rPr>
          <w:rFonts w:cs="Arial"/>
        </w:rPr>
        <w:t xml:space="preserve"> i poszczególnych źródeł kosztów.</w:t>
      </w:r>
    </w:p>
    <w:p w14:paraId="1708CBEE" w14:textId="77777777" w:rsidR="0095045F" w:rsidRPr="00925585" w:rsidRDefault="00264D0E" w:rsidP="008E5DE8">
      <w:pPr>
        <w:pStyle w:val="StyleBulletyUnderline"/>
        <w:numPr>
          <w:ilvl w:val="0"/>
          <w:numId w:val="0"/>
        </w:numPr>
        <w:ind w:left="567"/>
        <w:rPr>
          <w:rFonts w:cs="Arial"/>
          <w:u w:val="none"/>
          <w:lang w:eastAsia="pl-PL"/>
        </w:rPr>
      </w:pPr>
      <w:r>
        <w:rPr>
          <w:rFonts w:cs="Arial"/>
          <w:u w:val="none"/>
          <w:lang w:eastAsia="pl-PL"/>
        </w:rPr>
        <w:t xml:space="preserve">5) </w:t>
      </w:r>
      <w:r w:rsidR="0095045F" w:rsidRPr="00925585">
        <w:rPr>
          <w:rFonts w:cs="Arial"/>
          <w:u w:val="none"/>
          <w:lang w:eastAsia="pl-PL"/>
        </w:rPr>
        <w:t>Okres regulacji</w:t>
      </w:r>
    </w:p>
    <w:p w14:paraId="47842986" w14:textId="517FDD0F" w:rsidR="0095045F" w:rsidRDefault="0095045F" w:rsidP="0095045F">
      <w:pPr>
        <w:pStyle w:val="Bullety"/>
        <w:numPr>
          <w:ilvl w:val="0"/>
          <w:numId w:val="0"/>
        </w:numPr>
        <w:ind w:left="567"/>
        <w:rPr>
          <w:rFonts w:cs="Arial"/>
        </w:rPr>
      </w:pPr>
      <w:r w:rsidRPr="00925585">
        <w:rPr>
          <w:rFonts w:cs="Arial"/>
        </w:rPr>
        <w:t xml:space="preserve">W docelowym modelu przewidywane jest </w:t>
      </w:r>
      <w:proofErr w:type="spellStart"/>
      <w:r w:rsidRPr="00925585">
        <w:rPr>
          <w:rFonts w:cs="Arial"/>
        </w:rPr>
        <w:t>uspójnienie</w:t>
      </w:r>
      <w:proofErr w:type="spellEnd"/>
      <w:r w:rsidRPr="00925585">
        <w:rPr>
          <w:rFonts w:cs="Arial"/>
        </w:rPr>
        <w:t xml:space="preserve"> okresu wsparcia z przewidywanym czasem funkcjonowania instalacji przez zapewnienie wsparcia </w:t>
      </w:r>
      <w:proofErr w:type="spellStart"/>
      <w:r w:rsidRPr="00925585">
        <w:rPr>
          <w:rFonts w:cs="Arial"/>
        </w:rPr>
        <w:t>prosumenckiego</w:t>
      </w:r>
      <w:proofErr w:type="spellEnd"/>
      <w:r w:rsidRPr="00925585">
        <w:rPr>
          <w:rFonts w:cs="Arial"/>
        </w:rPr>
        <w:t xml:space="preserve"> przez okres 25 lat począwszy od daty pierwszego wprowadzania energii z danej instalacji </w:t>
      </w:r>
      <w:proofErr w:type="spellStart"/>
      <w:r w:rsidRPr="00925585">
        <w:rPr>
          <w:rFonts w:cs="Arial"/>
        </w:rPr>
        <w:t>prosumenckiej</w:t>
      </w:r>
      <w:proofErr w:type="spellEnd"/>
      <w:r w:rsidRPr="00925585">
        <w:rPr>
          <w:rFonts w:cs="Arial"/>
        </w:rPr>
        <w:t xml:space="preserve"> do sieci elektroenergetycznej, bez określenia granicznej daty (w obecnym modelu wsparcie obejmuje okres 15 lat, nie dłużej niż do czerwca 203</w:t>
      </w:r>
      <w:r>
        <w:rPr>
          <w:rFonts w:cs="Arial"/>
        </w:rPr>
        <w:t>9</w:t>
      </w:r>
      <w:r w:rsidRPr="00925585">
        <w:rPr>
          <w:rFonts w:cs="Arial"/>
        </w:rPr>
        <w:t xml:space="preserve"> r.).</w:t>
      </w:r>
    </w:p>
    <w:p w14:paraId="31505B9F" w14:textId="4FC6B50D" w:rsidR="00082157" w:rsidRPr="00740D81" w:rsidRDefault="00740D81" w:rsidP="00740D81">
      <w:pPr>
        <w:pStyle w:val="StyleBulletyUnderline"/>
        <w:numPr>
          <w:ilvl w:val="0"/>
          <w:numId w:val="0"/>
        </w:numPr>
        <w:ind w:left="540"/>
        <w:rPr>
          <w:rFonts w:cs="Arial"/>
          <w:u w:val="none"/>
        </w:rPr>
      </w:pPr>
      <w:r w:rsidRPr="00740D81">
        <w:rPr>
          <w:rFonts w:cs="Arial"/>
          <w:u w:val="none"/>
        </w:rPr>
        <w:t xml:space="preserve">6) </w:t>
      </w:r>
      <w:r w:rsidR="00082157" w:rsidRPr="00740D81">
        <w:rPr>
          <w:rFonts w:cs="Arial"/>
          <w:u w:val="none"/>
        </w:rPr>
        <w:t>Sprzedaż energii</w:t>
      </w:r>
    </w:p>
    <w:p w14:paraId="266F8E81" w14:textId="260E3105" w:rsidR="00082157" w:rsidRPr="00740D81" w:rsidRDefault="001D2532" w:rsidP="00740D81">
      <w:pPr>
        <w:pStyle w:val="StyleBulletyUnderline"/>
        <w:numPr>
          <w:ilvl w:val="0"/>
          <w:numId w:val="0"/>
        </w:numPr>
        <w:ind w:left="540"/>
        <w:rPr>
          <w:rFonts w:cs="Arial"/>
          <w:u w:val="none"/>
        </w:rPr>
      </w:pPr>
      <w:r w:rsidRPr="00740D81">
        <w:rPr>
          <w:rFonts w:cs="Arial"/>
          <w:u w:val="none"/>
        </w:rPr>
        <w:t xml:space="preserve">Projekt ustawy umożliwia także prosumentom uzgodnienie ze sprzedawcami, że będą sprzedawali na ich rzecz </w:t>
      </w:r>
      <w:r w:rsidR="00766748" w:rsidRPr="00740D81">
        <w:rPr>
          <w:rFonts w:cs="Arial"/>
          <w:u w:val="none"/>
        </w:rPr>
        <w:t xml:space="preserve">nadwyżki energii elektrycznej, co stanowi wyjścia naprzeciw postulatom formułowanym w ramach dyrektywy rynkowej oraz dyrektywy RED II. </w:t>
      </w:r>
      <w:r w:rsidR="00830521" w:rsidRPr="00740D81">
        <w:rPr>
          <w:rFonts w:cs="Arial"/>
          <w:u w:val="none"/>
        </w:rPr>
        <w:t xml:space="preserve">Sprzedaż taka powinna odbywać się na zasadach określonych w umowie kompleksowej lub umowie sprzedaży, a w razie </w:t>
      </w:r>
      <w:r w:rsidR="00A71017" w:rsidRPr="00740D81">
        <w:rPr>
          <w:rFonts w:cs="Arial"/>
          <w:u w:val="none"/>
        </w:rPr>
        <w:t xml:space="preserve">braku poczynienia takich uzgodnień, po upływie okresu 12 miesięcy energia taka pozostanie do dyspozycji sprzedawcy. </w:t>
      </w:r>
    </w:p>
    <w:p w14:paraId="3439DF22" w14:textId="77777777" w:rsidR="0095045F" w:rsidRPr="00925585" w:rsidRDefault="0095045F" w:rsidP="0095045F">
      <w:pPr>
        <w:pStyle w:val="Tekst"/>
      </w:pPr>
      <w:r w:rsidRPr="00925585">
        <w:t xml:space="preserve">W odniesieniu do nowych wariantów </w:t>
      </w:r>
      <w:proofErr w:type="spellStart"/>
      <w:r w:rsidRPr="00925585">
        <w:t>prosumenckich</w:t>
      </w:r>
      <w:proofErr w:type="spellEnd"/>
      <w:r w:rsidRPr="00925585">
        <w:t xml:space="preserve"> (prosument zbiorowy i prosument wirtualny), przyjęto założenie o możliwie pełnym </w:t>
      </w:r>
      <w:proofErr w:type="spellStart"/>
      <w:r w:rsidRPr="00925585">
        <w:t>uspójnieniu</w:t>
      </w:r>
      <w:proofErr w:type="spellEnd"/>
      <w:r w:rsidRPr="00925585">
        <w:t xml:space="preserve"> zasad ich funkcjonowania z docelowym modelem prosumenta klasycznego. Porównanie zasad funkcjonowania trzech modeli </w:t>
      </w:r>
      <w:proofErr w:type="spellStart"/>
      <w:r w:rsidRPr="00925585">
        <w:t>prosumenckich</w:t>
      </w:r>
      <w:proofErr w:type="spellEnd"/>
      <w:r w:rsidRPr="00925585">
        <w:t xml:space="preserve"> przedstawione zostało w poniższej tabeli.</w:t>
      </w:r>
    </w:p>
    <w:p w14:paraId="2B31F2F2" w14:textId="77777777" w:rsidR="0095045F" w:rsidRPr="00925585" w:rsidRDefault="0095045F" w:rsidP="0095045F">
      <w:pPr>
        <w:keepNext/>
        <w:spacing w:before="240"/>
        <w:jc w:val="both"/>
        <w:rPr>
          <w:rFonts w:ascii="Arial" w:hAnsi="Arial" w:cs="Arial"/>
          <w:b/>
          <w:bCs/>
          <w:sz w:val="20"/>
          <w:szCs w:val="20"/>
        </w:rPr>
      </w:pPr>
      <w:r w:rsidRPr="00925585">
        <w:rPr>
          <w:rFonts w:ascii="Arial" w:hAnsi="Arial" w:cs="Arial"/>
          <w:b/>
          <w:bCs/>
          <w:sz w:val="20"/>
          <w:szCs w:val="20"/>
        </w:rPr>
        <w:t xml:space="preserve">Porównanie zasad funkcjonowania docelowych modeli </w:t>
      </w:r>
      <w:proofErr w:type="spellStart"/>
      <w:r w:rsidRPr="00925585">
        <w:rPr>
          <w:rFonts w:ascii="Arial" w:hAnsi="Arial" w:cs="Arial"/>
          <w:b/>
          <w:bCs/>
          <w:sz w:val="20"/>
          <w:szCs w:val="20"/>
        </w:rPr>
        <w:t>prosumenckich</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113" w:type="dxa"/>
        </w:tblCellMar>
        <w:tblLook w:val="04A0" w:firstRow="1" w:lastRow="0" w:firstColumn="1" w:lastColumn="0" w:noHBand="0" w:noVBand="1"/>
      </w:tblPr>
      <w:tblGrid>
        <w:gridCol w:w="3353"/>
        <w:gridCol w:w="1903"/>
        <w:gridCol w:w="1903"/>
        <w:gridCol w:w="1903"/>
      </w:tblGrid>
      <w:tr w:rsidR="0095045F" w:rsidRPr="00925585" w14:paraId="26FE182D" w14:textId="77777777" w:rsidTr="006103B2">
        <w:trPr>
          <w:trHeight w:val="288"/>
          <w:tblHeader/>
        </w:trPr>
        <w:tc>
          <w:tcPr>
            <w:tcW w:w="18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41EE5A" w14:textId="77777777" w:rsidR="0095045F" w:rsidRPr="00925585" w:rsidRDefault="0095045F" w:rsidP="006103B2">
            <w:pPr>
              <w:spacing w:after="0"/>
              <w:ind w:left="57" w:right="57"/>
              <w:jc w:val="center"/>
              <w:rPr>
                <w:rFonts w:ascii="Arial" w:hAnsi="Arial" w:cs="Arial"/>
                <w:b/>
                <w:kern w:val="12"/>
                <w:sz w:val="18"/>
                <w:szCs w:val="18"/>
              </w:rPr>
            </w:pPr>
          </w:p>
        </w:tc>
        <w:tc>
          <w:tcPr>
            <w:tcW w:w="10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61D4A1" w14:textId="77777777" w:rsidR="0095045F" w:rsidRPr="00925585" w:rsidRDefault="0095045F" w:rsidP="006103B2">
            <w:pPr>
              <w:spacing w:after="0"/>
              <w:ind w:left="57" w:right="57"/>
              <w:jc w:val="center"/>
              <w:rPr>
                <w:rFonts w:ascii="Arial" w:hAnsi="Arial" w:cs="Arial"/>
                <w:b/>
                <w:kern w:val="12"/>
                <w:sz w:val="18"/>
                <w:szCs w:val="18"/>
              </w:rPr>
            </w:pPr>
            <w:r w:rsidRPr="00925585">
              <w:rPr>
                <w:rFonts w:ascii="Arial" w:hAnsi="Arial" w:cs="Arial"/>
                <w:b/>
                <w:kern w:val="12"/>
                <w:sz w:val="18"/>
                <w:szCs w:val="18"/>
              </w:rPr>
              <w:t>Prosument klasyczny</w:t>
            </w:r>
          </w:p>
        </w:tc>
        <w:tc>
          <w:tcPr>
            <w:tcW w:w="10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26E77A" w14:textId="77777777" w:rsidR="0095045F" w:rsidRPr="00925585" w:rsidRDefault="0095045F" w:rsidP="006103B2">
            <w:pPr>
              <w:spacing w:after="0"/>
              <w:ind w:left="57" w:right="57"/>
              <w:jc w:val="center"/>
              <w:rPr>
                <w:rFonts w:ascii="Arial" w:hAnsi="Arial" w:cs="Arial"/>
                <w:b/>
                <w:kern w:val="12"/>
                <w:sz w:val="18"/>
                <w:szCs w:val="18"/>
              </w:rPr>
            </w:pPr>
            <w:r w:rsidRPr="00925585">
              <w:rPr>
                <w:rFonts w:ascii="Arial" w:hAnsi="Arial" w:cs="Arial"/>
                <w:b/>
                <w:kern w:val="12"/>
                <w:sz w:val="18"/>
                <w:szCs w:val="18"/>
              </w:rPr>
              <w:t>Prosument zbiorowy</w:t>
            </w:r>
          </w:p>
        </w:tc>
        <w:tc>
          <w:tcPr>
            <w:tcW w:w="10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8AF5A3" w14:textId="77777777" w:rsidR="0095045F" w:rsidRPr="00925585" w:rsidRDefault="0095045F" w:rsidP="006103B2">
            <w:pPr>
              <w:spacing w:after="0"/>
              <w:ind w:left="57" w:right="57"/>
              <w:jc w:val="center"/>
              <w:rPr>
                <w:rFonts w:ascii="Arial" w:hAnsi="Arial" w:cs="Arial"/>
                <w:b/>
                <w:kern w:val="12"/>
                <w:sz w:val="18"/>
                <w:szCs w:val="18"/>
              </w:rPr>
            </w:pPr>
            <w:r w:rsidRPr="00925585">
              <w:rPr>
                <w:rFonts w:ascii="Arial" w:hAnsi="Arial" w:cs="Arial"/>
                <w:b/>
                <w:kern w:val="12"/>
                <w:sz w:val="18"/>
                <w:szCs w:val="18"/>
              </w:rPr>
              <w:t>Prosument wirtualny</w:t>
            </w:r>
          </w:p>
        </w:tc>
      </w:tr>
      <w:tr w:rsidR="0095045F" w:rsidRPr="00925585" w14:paraId="117D6275"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hideMark/>
          </w:tcPr>
          <w:p w14:paraId="7CF24565" w14:textId="77777777"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t>Opust na energii elektrycznej</w:t>
            </w:r>
          </w:p>
        </w:tc>
        <w:tc>
          <w:tcPr>
            <w:tcW w:w="3150" w:type="pct"/>
            <w:gridSpan w:val="3"/>
            <w:tcBorders>
              <w:top w:val="single" w:sz="4" w:space="0" w:color="auto"/>
              <w:left w:val="single" w:sz="4" w:space="0" w:color="auto"/>
              <w:bottom w:val="single" w:sz="4" w:space="0" w:color="auto"/>
              <w:right w:val="single" w:sz="4" w:space="0" w:color="auto"/>
            </w:tcBorders>
            <w:vAlign w:val="center"/>
            <w:hideMark/>
          </w:tcPr>
          <w:p w14:paraId="755D25BB" w14:textId="77777777" w:rsidR="0095045F" w:rsidRPr="00925585" w:rsidRDefault="0095045F" w:rsidP="006103B2">
            <w:pPr>
              <w:spacing w:after="0"/>
              <w:ind w:right="57"/>
              <w:jc w:val="center"/>
              <w:rPr>
                <w:rFonts w:ascii="Arial" w:hAnsi="Arial" w:cs="Arial"/>
                <w:lang w:eastAsia="pl-PL"/>
              </w:rPr>
            </w:pPr>
            <w:r w:rsidRPr="00925585">
              <w:rPr>
                <w:rFonts w:ascii="Arial" w:hAnsi="Arial" w:cs="Arial"/>
                <w:lang w:eastAsia="pl-PL"/>
              </w:rPr>
              <w:t>1:1</w:t>
            </w:r>
          </w:p>
        </w:tc>
      </w:tr>
      <w:tr w:rsidR="0095045F" w:rsidRPr="00925585" w14:paraId="7E75C5A1"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hideMark/>
          </w:tcPr>
          <w:p w14:paraId="1236EF29" w14:textId="77777777"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t>Opust na zmiennej opłacie dystrybucyjnej</w:t>
            </w:r>
          </w:p>
        </w:tc>
        <w:tc>
          <w:tcPr>
            <w:tcW w:w="2100" w:type="pct"/>
            <w:gridSpan w:val="2"/>
            <w:tcBorders>
              <w:top w:val="single" w:sz="4" w:space="0" w:color="auto"/>
              <w:left w:val="single" w:sz="4" w:space="0" w:color="auto"/>
              <w:bottom w:val="single" w:sz="4" w:space="0" w:color="auto"/>
              <w:right w:val="single" w:sz="4" w:space="0" w:color="auto"/>
            </w:tcBorders>
            <w:vAlign w:val="center"/>
            <w:hideMark/>
          </w:tcPr>
          <w:p w14:paraId="6081A466" w14:textId="77777777" w:rsidR="0095045F" w:rsidRPr="00925585" w:rsidRDefault="0095045F" w:rsidP="006103B2">
            <w:pPr>
              <w:spacing w:after="0"/>
              <w:ind w:right="57"/>
              <w:jc w:val="center"/>
              <w:rPr>
                <w:rFonts w:ascii="Arial" w:hAnsi="Arial" w:cs="Arial"/>
                <w:kern w:val="12"/>
                <w:szCs w:val="20"/>
              </w:rPr>
            </w:pPr>
            <w:r w:rsidRPr="00925585">
              <w:rPr>
                <w:rFonts w:ascii="Arial" w:hAnsi="Arial" w:cs="Arial"/>
                <w:kern w:val="12"/>
                <w:szCs w:val="20"/>
              </w:rPr>
              <w:t>Brak opustu</w:t>
            </w:r>
            <w:r w:rsidRPr="00925585">
              <w:rPr>
                <w:rFonts w:ascii="Arial" w:hAnsi="Arial" w:cs="Arial"/>
                <w:kern w:val="12"/>
                <w:szCs w:val="20"/>
              </w:rPr>
              <w:br/>
              <w:t>(rabat dla nie-przedsiębiorców)</w:t>
            </w:r>
          </w:p>
        </w:tc>
        <w:tc>
          <w:tcPr>
            <w:tcW w:w="1050" w:type="pct"/>
            <w:tcBorders>
              <w:top w:val="single" w:sz="4" w:space="0" w:color="auto"/>
              <w:left w:val="single" w:sz="4" w:space="0" w:color="auto"/>
              <w:bottom w:val="single" w:sz="4" w:space="0" w:color="auto"/>
              <w:right w:val="single" w:sz="4" w:space="0" w:color="auto"/>
            </w:tcBorders>
            <w:vAlign w:val="center"/>
          </w:tcPr>
          <w:p w14:paraId="688CD935" w14:textId="77777777" w:rsidR="0095045F" w:rsidRPr="00925585" w:rsidRDefault="0095045F" w:rsidP="006103B2">
            <w:pPr>
              <w:spacing w:after="0"/>
              <w:ind w:right="57"/>
              <w:jc w:val="center"/>
              <w:rPr>
                <w:rFonts w:ascii="Arial" w:hAnsi="Arial" w:cs="Arial"/>
                <w:kern w:val="12"/>
                <w:szCs w:val="20"/>
              </w:rPr>
            </w:pPr>
            <w:r w:rsidRPr="00925585">
              <w:rPr>
                <w:rFonts w:ascii="Arial" w:hAnsi="Arial" w:cs="Arial"/>
                <w:kern w:val="12"/>
                <w:szCs w:val="20"/>
              </w:rPr>
              <w:t>Brak opustu</w:t>
            </w:r>
            <w:r w:rsidRPr="00925585">
              <w:rPr>
                <w:rFonts w:ascii="Arial" w:hAnsi="Arial" w:cs="Arial"/>
                <w:kern w:val="12"/>
                <w:szCs w:val="20"/>
              </w:rPr>
              <w:br/>
              <w:t>(brak rabatu)</w:t>
            </w:r>
          </w:p>
        </w:tc>
      </w:tr>
      <w:tr w:rsidR="0095045F" w:rsidRPr="00925585" w14:paraId="6D900B8D"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tcPr>
          <w:p w14:paraId="072BA99A" w14:textId="77777777"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lastRenderedPageBreak/>
              <w:t xml:space="preserve">Korzyści z tytułu </w:t>
            </w:r>
            <w:proofErr w:type="spellStart"/>
            <w:r w:rsidRPr="00925585">
              <w:rPr>
                <w:rFonts w:ascii="Arial" w:hAnsi="Arial" w:cs="Arial"/>
                <w:kern w:val="12"/>
                <w:szCs w:val="20"/>
              </w:rPr>
              <w:t>autokonsumpcji</w:t>
            </w:r>
            <w:proofErr w:type="spellEnd"/>
          </w:p>
        </w:tc>
        <w:tc>
          <w:tcPr>
            <w:tcW w:w="1050" w:type="pct"/>
            <w:tcBorders>
              <w:top w:val="single" w:sz="4" w:space="0" w:color="auto"/>
              <w:left w:val="single" w:sz="4" w:space="0" w:color="auto"/>
              <w:bottom w:val="single" w:sz="4" w:space="0" w:color="auto"/>
              <w:right w:val="single" w:sz="4" w:space="0" w:color="auto"/>
            </w:tcBorders>
            <w:vAlign w:val="center"/>
          </w:tcPr>
          <w:p w14:paraId="31163304" w14:textId="77777777" w:rsidR="0095045F" w:rsidRPr="00925585" w:rsidRDefault="0095045F" w:rsidP="006103B2">
            <w:pPr>
              <w:spacing w:after="0"/>
              <w:ind w:right="57"/>
              <w:jc w:val="center"/>
              <w:rPr>
                <w:rFonts w:ascii="Arial" w:hAnsi="Arial" w:cs="Arial"/>
                <w:kern w:val="12"/>
                <w:szCs w:val="20"/>
              </w:rPr>
            </w:pPr>
            <w:r w:rsidRPr="00925585">
              <w:rPr>
                <w:rFonts w:ascii="Arial" w:hAnsi="Arial" w:cs="Arial"/>
                <w:kern w:val="12"/>
                <w:szCs w:val="20"/>
              </w:rPr>
              <w:t xml:space="preserve">Naturalna </w:t>
            </w:r>
            <w:proofErr w:type="spellStart"/>
            <w:r w:rsidRPr="00925585">
              <w:rPr>
                <w:rFonts w:ascii="Arial" w:hAnsi="Arial" w:cs="Arial"/>
                <w:kern w:val="12"/>
                <w:szCs w:val="20"/>
              </w:rPr>
              <w:t>autokonsumpcja</w:t>
            </w:r>
            <w:proofErr w:type="spellEnd"/>
          </w:p>
        </w:tc>
        <w:tc>
          <w:tcPr>
            <w:tcW w:w="1050" w:type="pct"/>
            <w:tcBorders>
              <w:top w:val="single" w:sz="4" w:space="0" w:color="auto"/>
              <w:left w:val="single" w:sz="4" w:space="0" w:color="auto"/>
              <w:bottom w:val="single" w:sz="4" w:space="0" w:color="auto"/>
              <w:right w:val="single" w:sz="4" w:space="0" w:color="auto"/>
            </w:tcBorders>
            <w:vAlign w:val="center"/>
          </w:tcPr>
          <w:p w14:paraId="3BAFF187" w14:textId="77777777" w:rsidR="0095045F" w:rsidRPr="00925585" w:rsidRDefault="0095045F" w:rsidP="006103B2">
            <w:pPr>
              <w:spacing w:after="0"/>
              <w:ind w:right="57"/>
              <w:jc w:val="center"/>
              <w:rPr>
                <w:rFonts w:ascii="Arial" w:hAnsi="Arial" w:cs="Arial"/>
                <w:kern w:val="12"/>
                <w:szCs w:val="20"/>
              </w:rPr>
            </w:pPr>
            <w:r>
              <w:rPr>
                <w:rFonts w:ascii="Arial" w:hAnsi="Arial" w:cs="Arial"/>
                <w:kern w:val="12"/>
                <w:szCs w:val="20"/>
              </w:rPr>
              <w:t>„</w:t>
            </w:r>
            <w:r w:rsidRPr="00925585">
              <w:rPr>
                <w:rFonts w:ascii="Arial" w:hAnsi="Arial" w:cs="Arial"/>
                <w:kern w:val="12"/>
                <w:szCs w:val="20"/>
              </w:rPr>
              <w:t xml:space="preserve">Wirtualna </w:t>
            </w:r>
            <w:proofErr w:type="spellStart"/>
            <w:r w:rsidRPr="00925585">
              <w:rPr>
                <w:rFonts w:ascii="Arial" w:hAnsi="Arial" w:cs="Arial"/>
                <w:kern w:val="12"/>
                <w:szCs w:val="20"/>
              </w:rPr>
              <w:t>autokonsumpcja</w:t>
            </w:r>
            <w:proofErr w:type="spellEnd"/>
            <w:r>
              <w:rPr>
                <w:rFonts w:ascii="Arial" w:hAnsi="Arial" w:cs="Arial"/>
                <w:kern w:val="12"/>
                <w:szCs w:val="20"/>
              </w:rPr>
              <w:t>”</w:t>
            </w:r>
            <w:r w:rsidRPr="00925585">
              <w:rPr>
                <w:rFonts w:ascii="Arial" w:hAnsi="Arial" w:cs="Arial"/>
                <w:kern w:val="12"/>
                <w:szCs w:val="20"/>
              </w:rPr>
              <w:t xml:space="preserve"> </w:t>
            </w:r>
          </w:p>
        </w:tc>
        <w:tc>
          <w:tcPr>
            <w:tcW w:w="1050" w:type="pct"/>
            <w:tcBorders>
              <w:top w:val="single" w:sz="4" w:space="0" w:color="auto"/>
              <w:left w:val="single" w:sz="4" w:space="0" w:color="auto"/>
              <w:bottom w:val="single" w:sz="4" w:space="0" w:color="auto"/>
              <w:right w:val="single" w:sz="4" w:space="0" w:color="auto"/>
            </w:tcBorders>
          </w:tcPr>
          <w:p w14:paraId="67D1900C" w14:textId="77777777" w:rsidR="0095045F" w:rsidRPr="00925585" w:rsidRDefault="0095045F" w:rsidP="006103B2">
            <w:pPr>
              <w:spacing w:after="0"/>
              <w:ind w:right="57"/>
              <w:jc w:val="center"/>
              <w:rPr>
                <w:rFonts w:ascii="Arial" w:hAnsi="Arial" w:cs="Arial"/>
                <w:kern w:val="12"/>
                <w:szCs w:val="20"/>
              </w:rPr>
            </w:pPr>
            <w:r w:rsidRPr="00925585">
              <w:rPr>
                <w:rFonts w:ascii="Arial" w:hAnsi="Arial" w:cs="Arial"/>
                <w:kern w:val="12"/>
                <w:szCs w:val="20"/>
              </w:rPr>
              <w:t xml:space="preserve">Brak </w:t>
            </w:r>
            <w:proofErr w:type="spellStart"/>
            <w:r w:rsidRPr="00925585">
              <w:rPr>
                <w:rFonts w:ascii="Arial" w:hAnsi="Arial" w:cs="Arial"/>
                <w:kern w:val="12"/>
                <w:szCs w:val="20"/>
              </w:rPr>
              <w:t>autokonsumpcji</w:t>
            </w:r>
            <w:proofErr w:type="spellEnd"/>
          </w:p>
        </w:tc>
      </w:tr>
      <w:tr w:rsidR="0095045F" w:rsidRPr="00925585" w14:paraId="6E560C41"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hideMark/>
          </w:tcPr>
          <w:p w14:paraId="4A180F57" w14:textId="77777777"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t>Wymagana forma umowy</w:t>
            </w:r>
          </w:p>
        </w:tc>
        <w:tc>
          <w:tcPr>
            <w:tcW w:w="3150" w:type="pct"/>
            <w:gridSpan w:val="3"/>
            <w:tcBorders>
              <w:top w:val="single" w:sz="4" w:space="0" w:color="auto"/>
              <w:left w:val="single" w:sz="4" w:space="0" w:color="auto"/>
              <w:bottom w:val="single" w:sz="4" w:space="0" w:color="auto"/>
              <w:right w:val="single" w:sz="4" w:space="0" w:color="auto"/>
            </w:tcBorders>
            <w:vAlign w:val="center"/>
            <w:hideMark/>
          </w:tcPr>
          <w:p w14:paraId="181164D5" w14:textId="77777777" w:rsidR="0095045F" w:rsidRPr="00925585" w:rsidRDefault="0095045F" w:rsidP="006103B2">
            <w:pPr>
              <w:spacing w:after="0"/>
              <w:ind w:right="57"/>
              <w:jc w:val="center"/>
              <w:rPr>
                <w:rFonts w:ascii="Arial" w:hAnsi="Arial" w:cs="Arial"/>
                <w:kern w:val="12"/>
                <w:szCs w:val="20"/>
              </w:rPr>
            </w:pPr>
            <w:r w:rsidRPr="00925585">
              <w:rPr>
                <w:rFonts w:ascii="Arial" w:hAnsi="Arial" w:cs="Arial"/>
                <w:kern w:val="12"/>
                <w:szCs w:val="20"/>
              </w:rPr>
              <w:t>Umowa kompleksowa lub umowy rozdzielone</w:t>
            </w:r>
          </w:p>
        </w:tc>
      </w:tr>
      <w:tr w:rsidR="0095045F" w:rsidRPr="00925585" w14:paraId="7028268F"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hideMark/>
          </w:tcPr>
          <w:p w14:paraId="76210163" w14:textId="03514067" w:rsidR="0095045F" w:rsidRPr="00925585" w:rsidRDefault="0095045F" w:rsidP="004A6B04">
            <w:pPr>
              <w:spacing w:after="0"/>
              <w:ind w:right="57"/>
              <w:rPr>
                <w:rFonts w:ascii="Arial" w:hAnsi="Arial" w:cs="Arial"/>
                <w:kern w:val="12"/>
                <w:szCs w:val="20"/>
              </w:rPr>
            </w:pPr>
            <w:r w:rsidRPr="00925585">
              <w:rPr>
                <w:rFonts w:ascii="Arial" w:hAnsi="Arial" w:cs="Arial"/>
                <w:kern w:val="12"/>
                <w:szCs w:val="20"/>
              </w:rPr>
              <w:t xml:space="preserve">Obowiązek </w:t>
            </w:r>
            <w:r w:rsidR="004A6B04">
              <w:rPr>
                <w:rFonts w:ascii="Arial" w:hAnsi="Arial" w:cs="Arial"/>
                <w:kern w:val="12"/>
                <w:szCs w:val="20"/>
              </w:rPr>
              <w:t>„</w:t>
            </w:r>
            <w:r w:rsidRPr="00925585">
              <w:rPr>
                <w:rFonts w:ascii="Arial" w:hAnsi="Arial" w:cs="Arial"/>
                <w:kern w:val="12"/>
                <w:szCs w:val="20"/>
              </w:rPr>
              <w:t>kolorowania</w:t>
            </w:r>
            <w:r w:rsidR="004A6B04">
              <w:rPr>
                <w:rFonts w:ascii="Arial" w:hAnsi="Arial" w:cs="Arial"/>
                <w:kern w:val="12"/>
                <w:szCs w:val="20"/>
              </w:rPr>
              <w:t>”</w:t>
            </w:r>
            <w:r w:rsidRPr="00925585">
              <w:rPr>
                <w:rFonts w:ascii="Arial" w:hAnsi="Arial" w:cs="Arial"/>
                <w:kern w:val="12"/>
                <w:szCs w:val="20"/>
              </w:rPr>
              <w:t xml:space="preserve"> energii i naliczania akcyzy (dla energii wyprodukowanej przez źródło/ zmagazynowanej)</w:t>
            </w:r>
          </w:p>
        </w:tc>
        <w:tc>
          <w:tcPr>
            <w:tcW w:w="3150" w:type="pct"/>
            <w:gridSpan w:val="3"/>
            <w:tcBorders>
              <w:top w:val="single" w:sz="4" w:space="0" w:color="auto"/>
              <w:left w:val="single" w:sz="4" w:space="0" w:color="auto"/>
              <w:bottom w:val="single" w:sz="4" w:space="0" w:color="auto"/>
              <w:right w:val="single" w:sz="4" w:space="0" w:color="auto"/>
            </w:tcBorders>
            <w:vAlign w:val="center"/>
            <w:hideMark/>
          </w:tcPr>
          <w:p w14:paraId="6B3F22D5" w14:textId="77777777" w:rsidR="0095045F" w:rsidRPr="00925585" w:rsidRDefault="0095045F" w:rsidP="006103B2">
            <w:pPr>
              <w:spacing w:after="0"/>
              <w:ind w:right="57"/>
              <w:jc w:val="center"/>
              <w:rPr>
                <w:rFonts w:ascii="Arial" w:hAnsi="Arial" w:cs="Arial"/>
                <w:kern w:val="12"/>
              </w:rPr>
            </w:pPr>
            <w:r w:rsidRPr="00925585">
              <w:rPr>
                <w:rFonts w:ascii="Arial" w:hAnsi="Arial" w:cs="Arial"/>
                <w:kern w:val="12"/>
              </w:rPr>
              <w:t xml:space="preserve">Zniesienie obowiązku </w:t>
            </w:r>
            <w:r>
              <w:rPr>
                <w:rFonts w:ascii="Arial" w:hAnsi="Arial" w:cs="Arial"/>
                <w:kern w:val="12"/>
              </w:rPr>
              <w:t>„</w:t>
            </w:r>
            <w:r w:rsidRPr="00925585">
              <w:rPr>
                <w:rFonts w:ascii="Arial" w:hAnsi="Arial" w:cs="Arial"/>
                <w:kern w:val="12"/>
              </w:rPr>
              <w:t>kolorowania</w:t>
            </w:r>
            <w:r>
              <w:rPr>
                <w:rFonts w:ascii="Arial" w:hAnsi="Arial" w:cs="Arial"/>
                <w:kern w:val="12"/>
              </w:rPr>
              <w:t>”</w:t>
            </w:r>
            <w:r w:rsidRPr="00925585">
              <w:rPr>
                <w:rFonts w:ascii="Arial" w:hAnsi="Arial" w:cs="Arial"/>
                <w:kern w:val="12"/>
              </w:rPr>
              <w:t xml:space="preserve"> energii i naliczania akcyzy</w:t>
            </w:r>
          </w:p>
        </w:tc>
      </w:tr>
      <w:tr w:rsidR="0095045F" w:rsidRPr="00925585" w14:paraId="5A90C053"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tcPr>
          <w:p w14:paraId="4F5C2C6A" w14:textId="4F5BC113"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t xml:space="preserve">Przypisanie instalacji </w:t>
            </w:r>
            <w:proofErr w:type="spellStart"/>
            <w:r w:rsidRPr="00925585">
              <w:rPr>
                <w:rFonts w:ascii="Arial" w:hAnsi="Arial" w:cs="Arial"/>
                <w:kern w:val="12"/>
                <w:szCs w:val="20"/>
              </w:rPr>
              <w:t>prosumenckiej</w:t>
            </w:r>
            <w:proofErr w:type="spellEnd"/>
            <w:r w:rsidRPr="00925585">
              <w:rPr>
                <w:rFonts w:ascii="Arial" w:hAnsi="Arial" w:cs="Arial"/>
                <w:kern w:val="12"/>
                <w:szCs w:val="20"/>
              </w:rPr>
              <w:t xml:space="preserve"> do</w:t>
            </w:r>
            <w:r w:rsidR="00131518">
              <w:rPr>
                <w:rFonts w:ascii="Arial" w:hAnsi="Arial" w:cs="Arial"/>
                <w:kern w:val="12"/>
                <w:szCs w:val="20"/>
              </w:rPr>
              <w:t xml:space="preserve"> punktu poboru energii</w:t>
            </w:r>
            <w:r w:rsidRPr="00925585">
              <w:rPr>
                <w:rFonts w:ascii="Arial" w:hAnsi="Arial" w:cs="Arial"/>
                <w:kern w:val="12"/>
                <w:szCs w:val="20"/>
              </w:rPr>
              <w:t xml:space="preserve"> </w:t>
            </w:r>
            <w:r w:rsidR="00131518">
              <w:rPr>
                <w:rFonts w:ascii="Arial" w:hAnsi="Arial" w:cs="Arial"/>
                <w:kern w:val="12"/>
                <w:szCs w:val="20"/>
              </w:rPr>
              <w:t>(</w:t>
            </w:r>
            <w:r w:rsidRPr="00925585">
              <w:rPr>
                <w:rFonts w:ascii="Arial" w:hAnsi="Arial" w:cs="Arial"/>
                <w:kern w:val="12"/>
                <w:szCs w:val="20"/>
              </w:rPr>
              <w:t>PPE</w:t>
            </w:r>
            <w:r w:rsidR="00131518">
              <w:rPr>
                <w:rFonts w:ascii="Arial" w:hAnsi="Arial" w:cs="Arial"/>
                <w:kern w:val="12"/>
                <w:szCs w:val="20"/>
              </w:rPr>
              <w:t>)</w:t>
            </w:r>
          </w:p>
        </w:tc>
        <w:tc>
          <w:tcPr>
            <w:tcW w:w="1050" w:type="pct"/>
            <w:tcBorders>
              <w:top w:val="single" w:sz="4" w:space="0" w:color="auto"/>
              <w:left w:val="single" w:sz="4" w:space="0" w:color="auto"/>
              <w:bottom w:val="single" w:sz="4" w:space="0" w:color="auto"/>
              <w:right w:val="single" w:sz="4" w:space="0" w:color="auto"/>
            </w:tcBorders>
            <w:vAlign w:val="center"/>
          </w:tcPr>
          <w:p w14:paraId="1E20D113" w14:textId="77777777" w:rsidR="0095045F" w:rsidRPr="00925585" w:rsidRDefault="0095045F" w:rsidP="006103B2">
            <w:pPr>
              <w:spacing w:after="0"/>
              <w:ind w:right="57"/>
              <w:contextualSpacing/>
              <w:jc w:val="center"/>
              <w:rPr>
                <w:rFonts w:ascii="Arial" w:hAnsi="Arial" w:cs="Arial"/>
                <w:kern w:val="12"/>
              </w:rPr>
            </w:pPr>
            <w:r w:rsidRPr="00925585">
              <w:rPr>
                <w:rFonts w:ascii="Arial" w:hAnsi="Arial" w:cs="Arial"/>
                <w:kern w:val="12"/>
              </w:rPr>
              <w:t>Stałe</w:t>
            </w:r>
          </w:p>
        </w:tc>
        <w:tc>
          <w:tcPr>
            <w:tcW w:w="1050" w:type="pct"/>
            <w:tcBorders>
              <w:top w:val="single" w:sz="4" w:space="0" w:color="auto"/>
              <w:left w:val="single" w:sz="4" w:space="0" w:color="auto"/>
              <w:bottom w:val="single" w:sz="4" w:space="0" w:color="auto"/>
              <w:right w:val="single" w:sz="4" w:space="0" w:color="auto"/>
            </w:tcBorders>
            <w:vAlign w:val="center"/>
          </w:tcPr>
          <w:p w14:paraId="6C019553" w14:textId="77777777" w:rsidR="0095045F" w:rsidRPr="00925585" w:rsidRDefault="0095045F" w:rsidP="006103B2">
            <w:pPr>
              <w:spacing w:after="0"/>
              <w:ind w:right="57"/>
              <w:contextualSpacing/>
              <w:jc w:val="center"/>
              <w:rPr>
                <w:rFonts w:ascii="Arial" w:hAnsi="Arial" w:cs="Arial"/>
                <w:kern w:val="12"/>
              </w:rPr>
            </w:pPr>
            <w:r w:rsidRPr="00925585">
              <w:rPr>
                <w:rFonts w:ascii="Arial" w:hAnsi="Arial" w:cs="Arial"/>
                <w:kern w:val="12"/>
              </w:rPr>
              <w:t>Możliwość zmian w ramach budynku</w:t>
            </w:r>
          </w:p>
        </w:tc>
        <w:tc>
          <w:tcPr>
            <w:tcW w:w="1050" w:type="pct"/>
            <w:tcBorders>
              <w:top w:val="single" w:sz="4" w:space="0" w:color="auto"/>
              <w:left w:val="single" w:sz="4" w:space="0" w:color="auto"/>
              <w:bottom w:val="single" w:sz="4" w:space="0" w:color="auto"/>
              <w:right w:val="single" w:sz="4" w:space="0" w:color="auto"/>
            </w:tcBorders>
          </w:tcPr>
          <w:p w14:paraId="13CA7FAD" w14:textId="77777777" w:rsidR="0095045F" w:rsidRPr="00925585" w:rsidRDefault="0095045F" w:rsidP="006103B2">
            <w:pPr>
              <w:spacing w:after="0"/>
              <w:ind w:right="57"/>
              <w:contextualSpacing/>
              <w:jc w:val="center"/>
              <w:rPr>
                <w:rFonts w:ascii="Arial" w:hAnsi="Arial" w:cs="Arial"/>
                <w:kern w:val="12"/>
              </w:rPr>
            </w:pPr>
            <w:r w:rsidRPr="00925585">
              <w:rPr>
                <w:rFonts w:ascii="Arial" w:hAnsi="Arial" w:cs="Arial"/>
                <w:kern w:val="12"/>
              </w:rPr>
              <w:t>Możliwość zmiany</w:t>
            </w:r>
          </w:p>
        </w:tc>
      </w:tr>
      <w:tr w:rsidR="0095045F" w:rsidRPr="00925585" w14:paraId="11165C30"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hideMark/>
          </w:tcPr>
          <w:p w14:paraId="7E2F1DFE" w14:textId="77777777"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t>Objęcie wsparciem inwestycyjnym</w:t>
            </w:r>
          </w:p>
        </w:tc>
        <w:tc>
          <w:tcPr>
            <w:tcW w:w="3150" w:type="pct"/>
            <w:gridSpan w:val="3"/>
            <w:tcBorders>
              <w:top w:val="single" w:sz="4" w:space="0" w:color="auto"/>
              <w:left w:val="single" w:sz="4" w:space="0" w:color="auto"/>
              <w:bottom w:val="single" w:sz="4" w:space="0" w:color="auto"/>
              <w:right w:val="single" w:sz="4" w:space="0" w:color="auto"/>
            </w:tcBorders>
            <w:vAlign w:val="center"/>
            <w:hideMark/>
          </w:tcPr>
          <w:p w14:paraId="709EA46A" w14:textId="77777777" w:rsidR="0095045F" w:rsidRPr="00925585" w:rsidRDefault="0095045F" w:rsidP="002A09DF">
            <w:pPr>
              <w:spacing w:after="0"/>
              <w:ind w:right="57"/>
              <w:contextualSpacing/>
              <w:jc w:val="center"/>
              <w:rPr>
                <w:rFonts w:ascii="Arial" w:hAnsi="Arial" w:cs="Arial"/>
                <w:kern w:val="12"/>
              </w:rPr>
            </w:pPr>
            <w:r>
              <w:rPr>
                <w:rFonts w:ascii="Arial" w:hAnsi="Arial" w:cs="Arial"/>
                <w:kern w:val="12"/>
              </w:rPr>
              <w:t xml:space="preserve">Indywidualne programy wsparcia inwestycyjnego </w:t>
            </w:r>
            <w:r w:rsidR="002A09DF">
              <w:rPr>
                <w:rFonts w:ascii="Arial" w:hAnsi="Arial" w:cs="Arial"/>
                <w:kern w:val="12"/>
              </w:rPr>
              <w:t>przeznaczone dla</w:t>
            </w:r>
            <w:r>
              <w:rPr>
                <w:rFonts w:ascii="Arial" w:hAnsi="Arial" w:cs="Arial"/>
                <w:kern w:val="12"/>
              </w:rPr>
              <w:t xml:space="preserve"> poszczególny</w:t>
            </w:r>
            <w:r w:rsidR="002A09DF">
              <w:rPr>
                <w:rFonts w:ascii="Arial" w:hAnsi="Arial" w:cs="Arial"/>
                <w:kern w:val="12"/>
              </w:rPr>
              <w:t>ch</w:t>
            </w:r>
            <w:r>
              <w:rPr>
                <w:rFonts w:ascii="Arial" w:hAnsi="Arial" w:cs="Arial"/>
                <w:kern w:val="12"/>
              </w:rPr>
              <w:t xml:space="preserve"> rodzaj</w:t>
            </w:r>
            <w:r w:rsidR="002A09DF">
              <w:rPr>
                <w:rFonts w:ascii="Arial" w:hAnsi="Arial" w:cs="Arial"/>
                <w:kern w:val="12"/>
              </w:rPr>
              <w:t>ów</w:t>
            </w:r>
            <w:r>
              <w:rPr>
                <w:rFonts w:ascii="Arial" w:hAnsi="Arial" w:cs="Arial"/>
                <w:kern w:val="12"/>
              </w:rPr>
              <w:t xml:space="preserve"> </w:t>
            </w:r>
            <w:proofErr w:type="spellStart"/>
            <w:r>
              <w:rPr>
                <w:rFonts w:ascii="Arial" w:hAnsi="Arial" w:cs="Arial"/>
                <w:kern w:val="12"/>
              </w:rPr>
              <w:t>prosumpcji</w:t>
            </w:r>
            <w:proofErr w:type="spellEnd"/>
            <w:r>
              <w:rPr>
                <w:rFonts w:ascii="Arial" w:hAnsi="Arial" w:cs="Arial"/>
                <w:kern w:val="12"/>
              </w:rPr>
              <w:t xml:space="preserve"> </w:t>
            </w:r>
          </w:p>
        </w:tc>
      </w:tr>
      <w:tr w:rsidR="0095045F" w:rsidRPr="00925585" w14:paraId="771D3F43" w14:textId="77777777" w:rsidTr="006103B2">
        <w:trPr>
          <w:trHeight w:val="288"/>
        </w:trPr>
        <w:tc>
          <w:tcPr>
            <w:tcW w:w="1850" w:type="pct"/>
            <w:tcBorders>
              <w:top w:val="single" w:sz="4" w:space="0" w:color="auto"/>
              <w:left w:val="single" w:sz="4" w:space="0" w:color="auto"/>
              <w:bottom w:val="single" w:sz="4" w:space="0" w:color="auto"/>
              <w:right w:val="single" w:sz="4" w:space="0" w:color="auto"/>
            </w:tcBorders>
            <w:vAlign w:val="center"/>
            <w:hideMark/>
          </w:tcPr>
          <w:p w14:paraId="21DB63A6" w14:textId="77777777" w:rsidR="0095045F" w:rsidRPr="00925585" w:rsidRDefault="0095045F" w:rsidP="006103B2">
            <w:pPr>
              <w:spacing w:after="0"/>
              <w:ind w:right="57"/>
              <w:rPr>
                <w:rFonts w:ascii="Arial" w:hAnsi="Arial" w:cs="Arial"/>
                <w:kern w:val="12"/>
                <w:szCs w:val="20"/>
              </w:rPr>
            </w:pPr>
            <w:r w:rsidRPr="00925585">
              <w:rPr>
                <w:rFonts w:ascii="Arial" w:hAnsi="Arial" w:cs="Arial"/>
                <w:kern w:val="12"/>
                <w:szCs w:val="20"/>
              </w:rPr>
              <w:t>Okres regulacji</w:t>
            </w:r>
          </w:p>
        </w:tc>
        <w:tc>
          <w:tcPr>
            <w:tcW w:w="3150" w:type="pct"/>
            <w:gridSpan w:val="3"/>
            <w:tcBorders>
              <w:top w:val="single" w:sz="4" w:space="0" w:color="auto"/>
              <w:left w:val="single" w:sz="4" w:space="0" w:color="auto"/>
              <w:bottom w:val="single" w:sz="4" w:space="0" w:color="auto"/>
              <w:right w:val="single" w:sz="4" w:space="0" w:color="auto"/>
            </w:tcBorders>
            <w:vAlign w:val="center"/>
          </w:tcPr>
          <w:p w14:paraId="788A9258" w14:textId="77777777" w:rsidR="0095045F" w:rsidRPr="00925585" w:rsidRDefault="0095045F" w:rsidP="006103B2">
            <w:pPr>
              <w:spacing w:after="0"/>
              <w:ind w:right="57"/>
              <w:contextualSpacing/>
              <w:jc w:val="center"/>
              <w:rPr>
                <w:rFonts w:ascii="Arial" w:hAnsi="Arial" w:cs="Arial"/>
                <w:kern w:val="12"/>
                <w:szCs w:val="20"/>
              </w:rPr>
            </w:pPr>
            <w:r w:rsidRPr="00925585">
              <w:rPr>
                <w:rFonts w:ascii="Arial" w:hAnsi="Arial" w:cs="Arial"/>
                <w:kern w:val="12"/>
                <w:szCs w:val="20"/>
              </w:rPr>
              <w:t>25 lat</w:t>
            </w:r>
          </w:p>
        </w:tc>
      </w:tr>
    </w:tbl>
    <w:p w14:paraId="3810F2F0" w14:textId="77777777" w:rsidR="0095045F" w:rsidRDefault="0095045F" w:rsidP="0095045F">
      <w:pPr>
        <w:pStyle w:val="Normal1"/>
        <w:rPr>
          <w:lang w:eastAsia="pl-PL"/>
        </w:rPr>
      </w:pPr>
    </w:p>
    <w:p w14:paraId="7D44B5EE" w14:textId="77777777" w:rsidR="0095045F" w:rsidRPr="00925585" w:rsidRDefault="0095045F" w:rsidP="0095045F">
      <w:pPr>
        <w:pStyle w:val="Normal1"/>
        <w:rPr>
          <w:lang w:eastAsia="pl-PL"/>
        </w:rPr>
      </w:pPr>
      <w:r w:rsidRPr="00925585">
        <w:rPr>
          <w:lang w:eastAsia="pl-PL"/>
        </w:rPr>
        <w:t>Kluczowe różnice w podejściu między poszczególnymi modelami obejmują:</w:t>
      </w:r>
    </w:p>
    <w:p w14:paraId="50045602" w14:textId="77777777" w:rsidR="0095045F" w:rsidRPr="00925585" w:rsidRDefault="0095045F" w:rsidP="0095045F">
      <w:pPr>
        <w:pStyle w:val="StyleBulletyUnderline"/>
        <w:numPr>
          <w:ilvl w:val="0"/>
          <w:numId w:val="6"/>
        </w:numPr>
        <w:ind w:left="567" w:hanging="283"/>
        <w:rPr>
          <w:rFonts w:cs="Arial"/>
          <w:u w:val="none"/>
          <w:lang w:eastAsia="pl-PL"/>
        </w:rPr>
      </w:pPr>
      <w:r w:rsidRPr="00925585">
        <w:rPr>
          <w:rFonts w:cs="Arial"/>
          <w:u w:val="none"/>
          <w:lang w:eastAsia="pl-PL"/>
        </w:rPr>
        <w:t xml:space="preserve">Korzyści z tytułu </w:t>
      </w:r>
      <w:proofErr w:type="spellStart"/>
      <w:r w:rsidRPr="00925585">
        <w:rPr>
          <w:rFonts w:cs="Arial"/>
          <w:u w:val="none"/>
          <w:lang w:eastAsia="pl-PL"/>
        </w:rPr>
        <w:t>autokonsumpcji</w:t>
      </w:r>
      <w:proofErr w:type="spellEnd"/>
    </w:p>
    <w:p w14:paraId="51646FF4" w14:textId="5F205C4C" w:rsidR="0095045F" w:rsidRPr="00925585" w:rsidRDefault="0095045F" w:rsidP="0095045F">
      <w:pPr>
        <w:pStyle w:val="Bullety"/>
        <w:numPr>
          <w:ilvl w:val="0"/>
          <w:numId w:val="0"/>
        </w:numPr>
        <w:ind w:left="567"/>
        <w:rPr>
          <w:rFonts w:cs="Arial"/>
        </w:rPr>
      </w:pPr>
      <w:r w:rsidRPr="00925585">
        <w:rPr>
          <w:rFonts w:cs="Arial"/>
        </w:rPr>
        <w:t>Ze względu na odmienny charakter poszczególnych wariantów docelowego modelu prosumenta (prosument klasyczny, prosument zbiorowy, prosument wirtualny)</w:t>
      </w:r>
      <w:r>
        <w:rPr>
          <w:rFonts w:cs="Arial"/>
        </w:rPr>
        <w:t>,</w:t>
      </w:r>
      <w:r w:rsidRPr="00925585">
        <w:rPr>
          <w:rFonts w:cs="Arial"/>
        </w:rPr>
        <w:t xml:space="preserve"> kwestie równoczesnej produkcji i zużycia energii elektrycznej </w:t>
      </w:r>
      <w:r w:rsidR="004A6B04" w:rsidRPr="00925585">
        <w:rPr>
          <w:rFonts w:cs="Arial"/>
        </w:rPr>
        <w:t xml:space="preserve">są </w:t>
      </w:r>
      <w:r w:rsidRPr="00925585">
        <w:rPr>
          <w:rFonts w:cs="Arial"/>
        </w:rPr>
        <w:t xml:space="preserve">traktowane w różny sposób. </w:t>
      </w:r>
    </w:p>
    <w:p w14:paraId="1527CCB1" w14:textId="0FD6229F" w:rsidR="0095045F" w:rsidRPr="00925585" w:rsidRDefault="0095045F" w:rsidP="0095045F">
      <w:pPr>
        <w:pStyle w:val="Bullety"/>
        <w:numPr>
          <w:ilvl w:val="0"/>
          <w:numId w:val="0"/>
        </w:numPr>
        <w:ind w:left="567"/>
        <w:rPr>
          <w:rFonts w:cs="Arial"/>
        </w:rPr>
      </w:pPr>
      <w:r w:rsidRPr="00925585">
        <w:rPr>
          <w:rFonts w:cs="Arial"/>
        </w:rPr>
        <w:t>W przypadku prosumenta klasycznego, gdzie zarówno instalacja OZE</w:t>
      </w:r>
      <w:r>
        <w:rPr>
          <w:rFonts w:cs="Arial"/>
        </w:rPr>
        <w:t>,</w:t>
      </w:r>
      <w:r w:rsidRPr="00925585">
        <w:rPr>
          <w:rFonts w:cs="Arial"/>
        </w:rPr>
        <w:t xml:space="preserve"> jak i zużycie energii elektrycznej </w:t>
      </w:r>
      <w:r w:rsidR="004A6B04" w:rsidRPr="00925585">
        <w:rPr>
          <w:rFonts w:cs="Arial"/>
        </w:rPr>
        <w:t xml:space="preserve">są </w:t>
      </w:r>
      <w:r w:rsidRPr="00925585">
        <w:rPr>
          <w:rFonts w:cs="Arial"/>
        </w:rPr>
        <w:t>zlokalizowane za miernikiem energii elektrycznej, jednoczesna produkcja i</w:t>
      </w:r>
      <w:r>
        <w:rPr>
          <w:rFonts w:cs="Arial"/>
        </w:rPr>
        <w:t> </w:t>
      </w:r>
      <w:r w:rsidRPr="00925585">
        <w:rPr>
          <w:rFonts w:cs="Arial"/>
        </w:rPr>
        <w:t xml:space="preserve">zużycie energii elektrycznej następuje bez przepływu tej energii przez miernik lub sieć dystrybucyjną (naturalna </w:t>
      </w:r>
      <w:proofErr w:type="spellStart"/>
      <w:r w:rsidRPr="00925585">
        <w:rPr>
          <w:rFonts w:cs="Arial"/>
        </w:rPr>
        <w:t>autokonsumpcja</w:t>
      </w:r>
      <w:proofErr w:type="spellEnd"/>
      <w:r w:rsidRPr="00925585">
        <w:rPr>
          <w:rFonts w:cs="Arial"/>
        </w:rPr>
        <w:t xml:space="preserve">). </w:t>
      </w:r>
      <w:proofErr w:type="spellStart"/>
      <w:r w:rsidRPr="00925585">
        <w:rPr>
          <w:rFonts w:cs="Arial"/>
        </w:rPr>
        <w:t>Autokonsumpcji</w:t>
      </w:r>
      <w:proofErr w:type="spellEnd"/>
      <w:r w:rsidRPr="00925585">
        <w:rPr>
          <w:rFonts w:cs="Arial"/>
        </w:rPr>
        <w:t xml:space="preserve"> naturalnej każdorazowo podlega ilość energii odpowiadając</w:t>
      </w:r>
      <w:r w:rsidR="004A6B04">
        <w:rPr>
          <w:rFonts w:cs="Arial"/>
        </w:rPr>
        <w:t>a</w:t>
      </w:r>
      <w:r w:rsidRPr="00925585">
        <w:rPr>
          <w:rFonts w:cs="Arial"/>
        </w:rPr>
        <w:t xml:space="preserve"> mniejszej z wartości: produkcji lub zużycia – w przypadku gdy produkcja jest większa od zużycia, nadwyżka energii elektrycznej pozostająca po zużyciu zostaje wprowadzona przez licznik energii do sieci elektroenergetycznej; w przypadku gdy zużycie jest większe od produkcji, niedobór energii zostaje pobrany przez licznik z sieci elektroenergetycznej. Energia zużyta w ramach </w:t>
      </w:r>
      <w:proofErr w:type="spellStart"/>
      <w:r w:rsidRPr="00925585">
        <w:rPr>
          <w:rFonts w:cs="Arial"/>
        </w:rPr>
        <w:t>autokonsumpcji</w:t>
      </w:r>
      <w:proofErr w:type="spellEnd"/>
      <w:r w:rsidRPr="00925585">
        <w:rPr>
          <w:rFonts w:cs="Arial"/>
        </w:rPr>
        <w:t>, jako niewidoczna dla licznika energii elektrycznej, nie jest uwzględniana przy rozliczeniu energii czynnej oraz opłat zmiennych dystrybucyjnych.</w:t>
      </w:r>
    </w:p>
    <w:p w14:paraId="32E46F1A" w14:textId="77777777" w:rsidR="0095045F" w:rsidRPr="00925585" w:rsidRDefault="0095045F" w:rsidP="0095045F">
      <w:pPr>
        <w:pStyle w:val="Bullety"/>
        <w:numPr>
          <w:ilvl w:val="0"/>
          <w:numId w:val="0"/>
        </w:numPr>
        <w:ind w:left="567"/>
        <w:rPr>
          <w:rFonts w:cs="Arial"/>
        </w:rPr>
      </w:pPr>
      <w:r w:rsidRPr="00925585">
        <w:rPr>
          <w:rFonts w:cs="Arial"/>
        </w:rPr>
        <w:t>W przypadku prosumenta zbiorowego</w:t>
      </w:r>
      <w:r>
        <w:rPr>
          <w:rFonts w:cs="Arial"/>
        </w:rPr>
        <w:t>,</w:t>
      </w:r>
      <w:r w:rsidRPr="00925585">
        <w:rPr>
          <w:rFonts w:cs="Arial"/>
          <w:b/>
          <w:bCs/>
        </w:rPr>
        <w:t xml:space="preserve"> </w:t>
      </w:r>
      <w:r w:rsidRPr="00925585">
        <w:rPr>
          <w:rFonts w:cs="Arial"/>
        </w:rPr>
        <w:t>źródło OZE oraz zużycie energii</w:t>
      </w:r>
      <w:r w:rsidR="004A6B04">
        <w:rPr>
          <w:rFonts w:cs="Arial"/>
        </w:rPr>
        <w:t>,</w:t>
      </w:r>
      <w:r w:rsidRPr="00925585">
        <w:rPr>
          <w:rFonts w:cs="Arial"/>
        </w:rPr>
        <w:t xml:space="preserve"> są opomiarowane osobno (każde ma osobny licznik energii), w związku z czym nie może wystąpić </w:t>
      </w:r>
      <w:proofErr w:type="spellStart"/>
      <w:r w:rsidRPr="00925585">
        <w:rPr>
          <w:rFonts w:cs="Arial"/>
        </w:rPr>
        <w:t>autokonsumpcja</w:t>
      </w:r>
      <w:proofErr w:type="spellEnd"/>
      <w:r w:rsidRPr="00925585">
        <w:rPr>
          <w:rFonts w:cs="Arial"/>
        </w:rPr>
        <w:t xml:space="preserve"> naturalna (za licznikiem) analogicznie do wariantu prosumenta klasycznego. Zarówno źródło OZE</w:t>
      </w:r>
      <w:r>
        <w:rPr>
          <w:rFonts w:cs="Arial"/>
        </w:rPr>
        <w:t>,</w:t>
      </w:r>
      <w:r w:rsidRPr="00925585">
        <w:rPr>
          <w:rFonts w:cs="Arial"/>
        </w:rPr>
        <w:t xml:space="preserve"> jak i lokal, w którym następuje zużycie energii</w:t>
      </w:r>
      <w:r w:rsidR="004A6B04">
        <w:rPr>
          <w:rFonts w:cs="Arial"/>
        </w:rPr>
        <w:t>,</w:t>
      </w:r>
      <w:r w:rsidRPr="00925585">
        <w:rPr>
          <w:rFonts w:cs="Arial"/>
        </w:rPr>
        <w:t xml:space="preserve"> są podłączone za punktem przyłączenia budynku wielolokalowego do sieci dystrybucyjnej, w związku z czym w przypadku jednoczesnej produkcji i zużycia energii następuje </w:t>
      </w:r>
      <w:r>
        <w:rPr>
          <w:rFonts w:cs="Arial"/>
        </w:rPr>
        <w:t>„</w:t>
      </w:r>
      <w:r w:rsidRPr="00925585">
        <w:rPr>
          <w:rFonts w:cs="Arial"/>
        </w:rPr>
        <w:t xml:space="preserve">wirtualna </w:t>
      </w:r>
      <w:proofErr w:type="spellStart"/>
      <w:r w:rsidRPr="00925585">
        <w:rPr>
          <w:rFonts w:cs="Arial"/>
        </w:rPr>
        <w:t>autokonsumpcja</w:t>
      </w:r>
      <w:proofErr w:type="spellEnd"/>
      <w:r>
        <w:rPr>
          <w:rFonts w:cs="Arial"/>
        </w:rPr>
        <w:t>”</w:t>
      </w:r>
      <w:r w:rsidRPr="00925585">
        <w:rPr>
          <w:rFonts w:cs="Arial"/>
        </w:rPr>
        <w:t xml:space="preserve">, gdzie energia podlegająca </w:t>
      </w:r>
      <w:proofErr w:type="spellStart"/>
      <w:r w:rsidRPr="00925585">
        <w:rPr>
          <w:rFonts w:cs="Arial"/>
        </w:rPr>
        <w:t>autokonsumpcji</w:t>
      </w:r>
      <w:proofErr w:type="spellEnd"/>
      <w:r w:rsidRPr="00925585">
        <w:rPr>
          <w:rFonts w:cs="Arial"/>
        </w:rPr>
        <w:t xml:space="preserve"> zostaje opomiarowana na dwóch licznikach energii (jako energia wprowadzana na liczniku źródła OZE oraz energia pobierana na liczniku danego lokalu), jednak nie przepływa ona przez sieć dystrybucyjną. W związku z tym zasadne jest traktowanie tej energii analogicznie do energii podlegającej naturalnej </w:t>
      </w:r>
      <w:proofErr w:type="spellStart"/>
      <w:r w:rsidRPr="00925585">
        <w:rPr>
          <w:rFonts w:cs="Arial"/>
        </w:rPr>
        <w:t>autokonsumpcji</w:t>
      </w:r>
      <w:proofErr w:type="spellEnd"/>
      <w:r w:rsidRPr="00925585">
        <w:rPr>
          <w:rFonts w:cs="Arial"/>
        </w:rPr>
        <w:t xml:space="preserve"> w wariancie prosumenta klasycznego, tj.</w:t>
      </w:r>
      <w:r>
        <w:rPr>
          <w:rFonts w:cs="Arial"/>
        </w:rPr>
        <w:t> </w:t>
      </w:r>
      <w:r w:rsidRPr="00925585">
        <w:rPr>
          <w:rFonts w:cs="Arial"/>
        </w:rPr>
        <w:t xml:space="preserve">wyłączenie jej z podstawy naliczenia opłat dystrybucyjnych. Wielkość energii podlegającej </w:t>
      </w:r>
      <w:r>
        <w:rPr>
          <w:rFonts w:cs="Arial"/>
        </w:rPr>
        <w:t>„</w:t>
      </w:r>
      <w:r w:rsidRPr="00925585">
        <w:rPr>
          <w:rFonts w:cs="Arial"/>
        </w:rPr>
        <w:t xml:space="preserve">wirtualnej </w:t>
      </w:r>
      <w:proofErr w:type="spellStart"/>
      <w:r w:rsidRPr="00925585">
        <w:rPr>
          <w:rFonts w:cs="Arial"/>
        </w:rPr>
        <w:t>autokonsumpcji</w:t>
      </w:r>
      <w:proofErr w:type="spellEnd"/>
      <w:r>
        <w:rPr>
          <w:rFonts w:cs="Arial"/>
        </w:rPr>
        <w:t>”</w:t>
      </w:r>
      <w:r w:rsidRPr="00925585">
        <w:rPr>
          <w:rFonts w:cs="Arial"/>
        </w:rPr>
        <w:t xml:space="preserve"> będzie wyliczana przez spółki dystrybucyjne w</w:t>
      </w:r>
      <w:r>
        <w:rPr>
          <w:rFonts w:cs="Arial"/>
        </w:rPr>
        <w:t> </w:t>
      </w:r>
      <w:r w:rsidRPr="00925585">
        <w:rPr>
          <w:rFonts w:cs="Arial"/>
        </w:rPr>
        <w:t>oparciu o dane pomiarowe jako mniejsza z wartości energii wprowadzonej przez źródło przypisana do danego lokalu oraz energii zużytej w danym lokalu w danej godzinie. Co do zasady źródło będzie opomiarowane licznikiem umożliwiającym rejestrację wielkości energii wprowadzanej do sieci w</w:t>
      </w:r>
      <w:r>
        <w:rPr>
          <w:rFonts w:cs="Arial"/>
        </w:rPr>
        <w:t> </w:t>
      </w:r>
      <w:r w:rsidRPr="00925585">
        <w:rPr>
          <w:rFonts w:cs="Arial"/>
        </w:rPr>
        <w:t xml:space="preserve">interwałach godzinowych. W przypadku poboru energii, dla prosumenta zbiorowego nie jest wymagana wymiana licznika na </w:t>
      </w:r>
      <w:r>
        <w:rPr>
          <w:rFonts w:cs="Arial"/>
        </w:rPr>
        <w:t>„</w:t>
      </w:r>
      <w:r w:rsidRPr="00925585">
        <w:rPr>
          <w:rFonts w:cs="Arial"/>
        </w:rPr>
        <w:t>inteligentny</w:t>
      </w:r>
      <w:r>
        <w:rPr>
          <w:rFonts w:cs="Arial"/>
        </w:rPr>
        <w:t>”</w:t>
      </w:r>
      <w:r w:rsidRPr="00925585">
        <w:rPr>
          <w:rFonts w:cs="Arial"/>
        </w:rPr>
        <w:t xml:space="preserve"> (w celu możliwie sprawnego wdrożenia </w:t>
      </w:r>
      <w:r w:rsidRPr="00925585">
        <w:rPr>
          <w:rFonts w:cs="Arial"/>
        </w:rPr>
        <w:lastRenderedPageBreak/>
        <w:t>rozwiązania) – jeśli zużycie będzie opomiarowane licznikiem tradycyjnym, dopuszczalna jest alokacja faktycznego zużycia energii w danym okresie na poszczególne godziny</w:t>
      </w:r>
      <w:r w:rsidR="00E5592F">
        <w:rPr>
          <w:rFonts w:cs="Arial"/>
        </w:rPr>
        <w:t>,</w:t>
      </w:r>
      <w:r w:rsidRPr="00925585">
        <w:rPr>
          <w:rFonts w:cs="Arial"/>
        </w:rPr>
        <w:t xml:space="preserve"> z</w:t>
      </w:r>
      <w:r>
        <w:rPr>
          <w:rFonts w:cs="Arial"/>
        </w:rPr>
        <w:t> </w:t>
      </w:r>
      <w:r w:rsidRPr="00925585">
        <w:rPr>
          <w:rFonts w:cs="Arial"/>
        </w:rPr>
        <w:t>wykorzystaniem wzorcowego profilu godzinowego operatora systemu dystrybucyjnego dla danej grupy taryfowej (profil taki znajduje się w Instrukcji Ruchu i</w:t>
      </w:r>
      <w:r>
        <w:rPr>
          <w:rFonts w:cs="Arial"/>
        </w:rPr>
        <w:t> </w:t>
      </w:r>
      <w:r w:rsidRPr="00925585">
        <w:rPr>
          <w:rFonts w:cs="Arial"/>
        </w:rPr>
        <w:t>Eksploatacji Sieci Dystrybucyjnej każdego z operatorów, która podlega zatwierdzeniu przez Prezesa U</w:t>
      </w:r>
      <w:r w:rsidR="00E5592F">
        <w:rPr>
          <w:rFonts w:cs="Arial"/>
        </w:rPr>
        <w:t xml:space="preserve">rzędu </w:t>
      </w:r>
      <w:r w:rsidRPr="00925585">
        <w:rPr>
          <w:rFonts w:cs="Arial"/>
        </w:rPr>
        <w:t>R</w:t>
      </w:r>
      <w:r w:rsidR="00E5592F">
        <w:rPr>
          <w:rFonts w:cs="Arial"/>
        </w:rPr>
        <w:t xml:space="preserve">egulacji </w:t>
      </w:r>
      <w:r w:rsidRPr="00925585">
        <w:rPr>
          <w:rFonts w:cs="Arial"/>
        </w:rPr>
        <w:t>E</w:t>
      </w:r>
      <w:r w:rsidR="00E5592F">
        <w:rPr>
          <w:rFonts w:cs="Arial"/>
        </w:rPr>
        <w:t>nergetyki</w:t>
      </w:r>
      <w:r w:rsidRPr="00925585">
        <w:rPr>
          <w:rFonts w:cs="Arial"/>
        </w:rPr>
        <w:t>).</w:t>
      </w:r>
    </w:p>
    <w:p w14:paraId="00871942" w14:textId="24FADD7E" w:rsidR="0095045F" w:rsidRPr="00925585" w:rsidRDefault="0095045F" w:rsidP="0095045F">
      <w:pPr>
        <w:pStyle w:val="Bullety"/>
        <w:numPr>
          <w:ilvl w:val="0"/>
          <w:numId w:val="0"/>
        </w:numPr>
        <w:ind w:left="567"/>
        <w:rPr>
          <w:rFonts w:cs="Arial"/>
          <w:b/>
          <w:bCs/>
        </w:rPr>
      </w:pPr>
      <w:r w:rsidRPr="00925585">
        <w:rPr>
          <w:rFonts w:cs="Arial"/>
        </w:rPr>
        <w:t>W przypadku prosumenta wirtualnego, gdzie źródło OZE może być dowolnie oddalone od punktu zużycia energii elektrycznej, nawet w przypadku jednoczesnego wprowadzania i poboru energii elektrycznej, musi ona przepłynąć przez sieć dystrybucyjną (i potencjalnie przesyłową), w</w:t>
      </w:r>
      <w:r>
        <w:rPr>
          <w:rFonts w:cs="Arial"/>
        </w:rPr>
        <w:t> </w:t>
      </w:r>
      <w:r w:rsidRPr="00925585">
        <w:rPr>
          <w:rFonts w:cs="Arial"/>
        </w:rPr>
        <w:t xml:space="preserve">związku z czym nie ma podstaw do traktowania tej energii analogicznie do </w:t>
      </w:r>
      <w:proofErr w:type="spellStart"/>
      <w:r w:rsidRPr="00925585">
        <w:rPr>
          <w:rFonts w:cs="Arial"/>
        </w:rPr>
        <w:t>autokonsumpcji</w:t>
      </w:r>
      <w:proofErr w:type="spellEnd"/>
      <w:r w:rsidRPr="00925585">
        <w:rPr>
          <w:rFonts w:cs="Arial"/>
        </w:rPr>
        <w:t xml:space="preserve"> naturalnej i wirtualnej w dwóch pozostałych wariantach prosumenta. W</w:t>
      </w:r>
      <w:r>
        <w:rPr>
          <w:rFonts w:cs="Arial"/>
        </w:rPr>
        <w:t> </w:t>
      </w:r>
      <w:r w:rsidRPr="00925585">
        <w:rPr>
          <w:rFonts w:cs="Arial"/>
        </w:rPr>
        <w:t>konsekwencji całość energii pobranej przez prosumenta jest podstawą naliczenia opłat dystrybucyjnych.</w:t>
      </w:r>
      <w:r>
        <w:rPr>
          <w:rFonts w:cs="Arial"/>
        </w:rPr>
        <w:t xml:space="preserve"> </w:t>
      </w:r>
    </w:p>
    <w:p w14:paraId="59E0A02A" w14:textId="470FF94C" w:rsidR="0095045F" w:rsidRPr="00925585" w:rsidRDefault="0095045F" w:rsidP="0095045F">
      <w:pPr>
        <w:pStyle w:val="StyleBulletyUnderline"/>
        <w:numPr>
          <w:ilvl w:val="0"/>
          <w:numId w:val="6"/>
        </w:numPr>
        <w:ind w:left="567" w:hanging="283"/>
        <w:rPr>
          <w:rFonts w:cs="Arial"/>
          <w:u w:val="none"/>
          <w:lang w:eastAsia="pl-PL"/>
        </w:rPr>
      </w:pPr>
      <w:r w:rsidRPr="00925585">
        <w:rPr>
          <w:rFonts w:cs="Arial"/>
          <w:u w:val="none"/>
          <w:lang w:eastAsia="pl-PL"/>
        </w:rPr>
        <w:t>Rabat na opłatach zmiennych dystrybucyjnych dla nie</w:t>
      </w:r>
      <w:r w:rsidR="00E5592F" w:rsidRPr="00B43B4E">
        <w:rPr>
          <w:rFonts w:cs="Arial"/>
          <w:u w:val="none"/>
        </w:rPr>
        <w:t>–</w:t>
      </w:r>
      <w:r w:rsidRPr="00925585">
        <w:rPr>
          <w:rFonts w:cs="Arial"/>
          <w:u w:val="none"/>
          <w:lang w:eastAsia="pl-PL"/>
        </w:rPr>
        <w:t>przedsiębiorców</w:t>
      </w:r>
    </w:p>
    <w:p w14:paraId="196D4507" w14:textId="6B6A9FA7" w:rsidR="0095045F" w:rsidRDefault="0095045F" w:rsidP="0095045F">
      <w:pPr>
        <w:pStyle w:val="Bullety"/>
        <w:numPr>
          <w:ilvl w:val="0"/>
          <w:numId w:val="0"/>
        </w:numPr>
        <w:ind w:left="540"/>
        <w:rPr>
          <w:rFonts w:cs="Arial"/>
        </w:rPr>
      </w:pPr>
      <w:r w:rsidRPr="00925585">
        <w:rPr>
          <w:rFonts w:cs="Arial"/>
        </w:rPr>
        <w:t>Analizy ekonomiki inwestycji prosumenta klasycznego, wskazywały na potrzebę zapewnienia prosumentom niebędącym przedsiębiorcami rabatu na zmiennych opłatach dystrybucyjnych w</w:t>
      </w:r>
      <w:r>
        <w:rPr>
          <w:rFonts w:cs="Arial"/>
        </w:rPr>
        <w:t> </w:t>
      </w:r>
      <w:r w:rsidRPr="00925585">
        <w:rPr>
          <w:rFonts w:cs="Arial"/>
        </w:rPr>
        <w:t>wysokości 15%, co pozwoli zapewnić porównywalną opłacalność w docelowym i obecnym modelu wsparcia. Analogicznie</w:t>
      </w:r>
      <w:r w:rsidR="00E5592F">
        <w:rPr>
          <w:rFonts w:cs="Arial"/>
        </w:rPr>
        <w:t>,</w:t>
      </w:r>
      <w:r w:rsidRPr="00925585">
        <w:rPr>
          <w:rFonts w:cs="Arial"/>
        </w:rPr>
        <w:t xml:space="preserve"> w przypadku wariantu prosumenta zbiorowego, zasadne jest zapewnienie nie-przedsiębiorcom 15% rabatu od opłat zmiennych dystrybucyjnych, co pozwoli zrealizować zbliżony poziom opłacalności inwestycji w instalację </w:t>
      </w:r>
      <w:proofErr w:type="spellStart"/>
      <w:r w:rsidRPr="00925585">
        <w:rPr>
          <w:rFonts w:cs="Arial"/>
        </w:rPr>
        <w:t>prosumencką</w:t>
      </w:r>
      <w:proofErr w:type="spellEnd"/>
      <w:r w:rsidRPr="00925585">
        <w:rPr>
          <w:rFonts w:cs="Arial"/>
        </w:rPr>
        <w:t xml:space="preserve">. </w:t>
      </w:r>
    </w:p>
    <w:p w14:paraId="0FFDCD5A" w14:textId="77777777" w:rsidR="0095045F" w:rsidRPr="00925585" w:rsidRDefault="0095045F" w:rsidP="0095045F">
      <w:pPr>
        <w:pStyle w:val="Bullety"/>
        <w:numPr>
          <w:ilvl w:val="0"/>
          <w:numId w:val="0"/>
        </w:numPr>
        <w:ind w:left="540"/>
        <w:rPr>
          <w:rFonts w:cs="Arial"/>
        </w:rPr>
      </w:pPr>
      <w:bookmarkStart w:id="8" w:name="_Hlk58496204"/>
      <w:r>
        <w:rPr>
          <w:rFonts w:cs="Arial"/>
        </w:rPr>
        <w:t>W przypadku prosumentów będących przedsiębiorcami, okresy zwrotu w dotychczasowym i docelowym modelu wsparcia są porównywalne bez dodatkowej zachęty w postaci rabatu od opłat zmiennych dystrybucyjnych, w konsekwencji dodatkowy rabat nie został uwzględniony w projekcie zmian.</w:t>
      </w:r>
    </w:p>
    <w:bookmarkEnd w:id="8"/>
    <w:p w14:paraId="16BBA4D4" w14:textId="77777777" w:rsidR="0095045F" w:rsidRPr="00925585" w:rsidRDefault="0095045F" w:rsidP="0095045F">
      <w:pPr>
        <w:pStyle w:val="Bullety"/>
        <w:numPr>
          <w:ilvl w:val="0"/>
          <w:numId w:val="0"/>
        </w:numPr>
        <w:ind w:left="540"/>
        <w:rPr>
          <w:rFonts w:cs="Arial"/>
          <w:lang w:eastAsia="pl-PL"/>
        </w:rPr>
      </w:pPr>
      <w:r w:rsidRPr="00925585">
        <w:rPr>
          <w:rFonts w:cs="Arial"/>
        </w:rPr>
        <w:t xml:space="preserve">W przypadku prosumenta wirtualnego, analiza ekonomiczna nie wskazuje na zasadność zapewnienia rabatu, gdyż ze względu na niższy próg wejścia (niższe nakłady inwestycyjne związane z nabyciem udziałów w produkcji dużej instalacji, która realizuje korzyści skali), poziom opłacalności inwestycji prosumenta wirtualnego bez rabatu na opłatach dystrybucyjnych jest zbliżony do opłacalności inwestycji pozostałych wariantów </w:t>
      </w:r>
      <w:proofErr w:type="spellStart"/>
      <w:r w:rsidRPr="00925585">
        <w:rPr>
          <w:rFonts w:cs="Arial"/>
        </w:rPr>
        <w:t>prosumenckich</w:t>
      </w:r>
      <w:proofErr w:type="spellEnd"/>
      <w:r w:rsidRPr="00925585">
        <w:rPr>
          <w:rFonts w:cs="Arial"/>
        </w:rPr>
        <w:t xml:space="preserve"> przy uwzględnieniu rabatu. </w:t>
      </w:r>
    </w:p>
    <w:p w14:paraId="37AF1628" w14:textId="77777777" w:rsidR="0095045F" w:rsidRPr="00925585" w:rsidRDefault="0095045F" w:rsidP="0095045F">
      <w:pPr>
        <w:pStyle w:val="StyleBulletyUnderline"/>
        <w:numPr>
          <w:ilvl w:val="0"/>
          <w:numId w:val="6"/>
        </w:numPr>
        <w:ind w:left="567" w:hanging="283"/>
        <w:rPr>
          <w:rFonts w:cs="Arial"/>
          <w:u w:val="none"/>
          <w:lang w:eastAsia="pl-PL"/>
        </w:rPr>
      </w:pPr>
      <w:r w:rsidRPr="00925585">
        <w:rPr>
          <w:rFonts w:cs="Arial"/>
          <w:u w:val="none"/>
          <w:lang w:eastAsia="pl-PL"/>
        </w:rPr>
        <w:t xml:space="preserve">Przypisanie instalacji </w:t>
      </w:r>
      <w:proofErr w:type="spellStart"/>
      <w:r w:rsidRPr="00925585">
        <w:rPr>
          <w:rFonts w:cs="Arial"/>
          <w:u w:val="none"/>
          <w:lang w:eastAsia="pl-PL"/>
        </w:rPr>
        <w:t>prosumenckiej</w:t>
      </w:r>
      <w:proofErr w:type="spellEnd"/>
      <w:r w:rsidRPr="00925585">
        <w:rPr>
          <w:rFonts w:cs="Arial"/>
          <w:u w:val="none"/>
          <w:lang w:eastAsia="pl-PL"/>
        </w:rPr>
        <w:t xml:space="preserve"> do punktu poboru energii</w:t>
      </w:r>
    </w:p>
    <w:p w14:paraId="52F1DEC3" w14:textId="77777777" w:rsidR="0095045F" w:rsidRPr="00925585" w:rsidRDefault="0095045F" w:rsidP="0095045F">
      <w:pPr>
        <w:pStyle w:val="Bullety"/>
        <w:numPr>
          <w:ilvl w:val="0"/>
          <w:numId w:val="0"/>
        </w:numPr>
        <w:ind w:left="567"/>
        <w:rPr>
          <w:rFonts w:cs="Arial"/>
        </w:rPr>
      </w:pPr>
      <w:r w:rsidRPr="00925585">
        <w:rPr>
          <w:rFonts w:cs="Arial"/>
        </w:rPr>
        <w:t>W przypadku prosumenta klasycznego, ze względu na sposób przyłączenia (zarówno instalacja</w:t>
      </w:r>
      <w:r w:rsidR="00E5592F">
        <w:rPr>
          <w:rFonts w:cs="Arial"/>
        </w:rPr>
        <w:t>,</w:t>
      </w:r>
      <w:r w:rsidRPr="00925585">
        <w:rPr>
          <w:rFonts w:cs="Arial"/>
        </w:rPr>
        <w:t xml:space="preserve"> jak i zużycie energii następuje za jednym licznikiem energii), instalacja jest jednoznacznie przypisana do danego punktu poboru energii i nie ma możliwości zmiany tego przypisania.</w:t>
      </w:r>
    </w:p>
    <w:p w14:paraId="23FBBDB3" w14:textId="747BAC0C" w:rsidR="0095045F" w:rsidRPr="00925585" w:rsidRDefault="0095045F" w:rsidP="0095045F">
      <w:pPr>
        <w:pStyle w:val="Bullety"/>
        <w:numPr>
          <w:ilvl w:val="0"/>
          <w:numId w:val="0"/>
        </w:numPr>
        <w:ind w:left="567"/>
        <w:rPr>
          <w:rFonts w:cs="Arial"/>
        </w:rPr>
      </w:pPr>
      <w:r w:rsidRPr="00925585">
        <w:rPr>
          <w:rFonts w:cs="Arial"/>
        </w:rPr>
        <w:t>Energia produkowana przez instalację w danym budynku wielolokalowym</w:t>
      </w:r>
      <w:r>
        <w:rPr>
          <w:rFonts w:cs="Arial"/>
        </w:rPr>
        <w:t>,</w:t>
      </w:r>
      <w:r w:rsidRPr="00925585">
        <w:rPr>
          <w:rFonts w:cs="Arial"/>
        </w:rPr>
        <w:t xml:space="preserve"> co do zasady</w:t>
      </w:r>
      <w:r>
        <w:rPr>
          <w:rFonts w:cs="Arial"/>
        </w:rPr>
        <w:t>,</w:t>
      </w:r>
      <w:r w:rsidRPr="00925585">
        <w:rPr>
          <w:rFonts w:cs="Arial"/>
        </w:rPr>
        <w:t xml:space="preserve"> będzie w</w:t>
      </w:r>
      <w:r>
        <w:rPr>
          <w:rFonts w:cs="Arial"/>
        </w:rPr>
        <w:t> </w:t>
      </w:r>
      <w:r w:rsidRPr="00925585">
        <w:rPr>
          <w:rFonts w:cs="Arial"/>
        </w:rPr>
        <w:t>pełni przypisana do prosumentów zbiorowych w danym budynku. W związku z tym istnieje pewna elastyczność w zakresie zmiany przypisania udziałów do danego punktu poboru energii realizowana przez zmianę/ przesunięcie w wielkościach udziałów przypisanych do poszczególnych prosumentów zbiorowych w ramach danego budynku wielolokalowego.</w:t>
      </w:r>
    </w:p>
    <w:p w14:paraId="0BA95439" w14:textId="77777777" w:rsidR="0095045F" w:rsidRPr="00925585" w:rsidRDefault="0095045F" w:rsidP="0095045F">
      <w:pPr>
        <w:pStyle w:val="Bullety"/>
        <w:numPr>
          <w:ilvl w:val="0"/>
          <w:numId w:val="0"/>
        </w:numPr>
        <w:ind w:left="567"/>
        <w:rPr>
          <w:rFonts w:cs="Arial"/>
        </w:rPr>
      </w:pPr>
      <w:r w:rsidRPr="00925585">
        <w:rPr>
          <w:rFonts w:cs="Arial"/>
        </w:rPr>
        <w:t>Najbardziej elastycznym wariantem w kwestii przypisania udziałów w instalacji OZE do punktu poboru energii jest wariant prosumenta wirtualnego. Jako że nie ma bezpośredniego powiązania instalacji OZE i punktu poboru energii, przypisanie energii produkowanej przez źródło jest realizowane wyłącznie w oparciu o przekazaną dyspozycję wskazującą określony PPE.</w:t>
      </w:r>
      <w:r>
        <w:rPr>
          <w:rFonts w:cs="Arial"/>
        </w:rPr>
        <w:t xml:space="preserve"> </w:t>
      </w:r>
      <w:r w:rsidRPr="00925585">
        <w:rPr>
          <w:rFonts w:cs="Arial"/>
        </w:rPr>
        <w:t>Dyspozycja wskazująca określony PPE może zostać zmieniona, co efektywnie zapewnia wysoką elastyczność i może przedstawiać dodatkową wartość dla prosumenta (np. przy zmianie miejsca zamieszkania prosument może nadal korzystać z posiadanych udziałów w oddalonej instalacji).</w:t>
      </w:r>
    </w:p>
    <w:p w14:paraId="7A10BA2A" w14:textId="77777777" w:rsidR="0095045F" w:rsidRPr="00925585" w:rsidRDefault="0095045F" w:rsidP="0095045F">
      <w:pPr>
        <w:pStyle w:val="StyleBulletyUnderline"/>
        <w:numPr>
          <w:ilvl w:val="0"/>
          <w:numId w:val="6"/>
        </w:numPr>
        <w:ind w:left="567" w:hanging="283"/>
        <w:rPr>
          <w:rFonts w:cs="Arial"/>
          <w:u w:val="none"/>
          <w:lang w:eastAsia="pl-PL"/>
        </w:rPr>
      </w:pPr>
      <w:r w:rsidRPr="00925585">
        <w:rPr>
          <w:rFonts w:cs="Arial"/>
          <w:u w:val="none"/>
          <w:lang w:eastAsia="pl-PL"/>
        </w:rPr>
        <w:t>Okres regulacji</w:t>
      </w:r>
    </w:p>
    <w:p w14:paraId="6EC2C495" w14:textId="77777777" w:rsidR="0095045F" w:rsidRDefault="0095045F" w:rsidP="00740D81">
      <w:pPr>
        <w:pStyle w:val="Bullety"/>
        <w:numPr>
          <w:ilvl w:val="0"/>
          <w:numId w:val="0"/>
        </w:numPr>
        <w:ind w:left="540"/>
      </w:pPr>
      <w:r>
        <w:t>W każdym z analizowanych wariantów, tj. w wariancie prosumenta klasycznego, prosumenta zbiorowego</w:t>
      </w:r>
      <w:r w:rsidR="00E5592F">
        <w:t>,</w:t>
      </w:r>
      <w:r>
        <w:t xml:space="preserve"> jak i prosumenta wirtualnego, okres wsparcia inwestycyjnego będzie wynosił 25 lat. </w:t>
      </w:r>
      <w:r>
        <w:lastRenderedPageBreak/>
        <w:t>Należy mieć jednak na uwadze fakt, że dla prosumenta wirtualnego kluczowe znaczenie będą miały warunki jego relacji z operatorem instalacji OZE, które będą determinowały m.in. okres faktycznego korzystania z instalacji, a w konsekwencji również okres korzystania ze wsparcia zapewnionego ustawą.</w:t>
      </w:r>
    </w:p>
    <w:p w14:paraId="301018C5" w14:textId="77777777" w:rsidR="0095045F" w:rsidRPr="00925585" w:rsidRDefault="0095045F" w:rsidP="0095045F">
      <w:pPr>
        <w:pStyle w:val="Normal1"/>
      </w:pPr>
      <w:r w:rsidRPr="00925585">
        <w:t>Projekt ma na celu stworzenie warunków do szerszej partycypacji społeczeństwa</w:t>
      </w:r>
      <w:r>
        <w:t xml:space="preserve"> w systemie </w:t>
      </w:r>
      <w:proofErr w:type="spellStart"/>
      <w:r>
        <w:t>prosumpcji</w:t>
      </w:r>
      <w:proofErr w:type="spellEnd"/>
      <w:r w:rsidRPr="00925585">
        <w:t xml:space="preserve">. Głównym </w:t>
      </w:r>
      <w:r>
        <w:t>efektem</w:t>
      </w:r>
      <w:r w:rsidRPr="00925585">
        <w:t xml:space="preserve"> niniejszego projektu jest promocja </w:t>
      </w:r>
      <w:r>
        <w:t xml:space="preserve">wykorzystania </w:t>
      </w:r>
      <w:r w:rsidRPr="00925585">
        <w:t>odnawialnych źródeł energii w form</w:t>
      </w:r>
      <w:r>
        <w:t>ul</w:t>
      </w:r>
      <w:r w:rsidRPr="00925585">
        <w:t>e rozproszonej i obywatelskiej</w:t>
      </w:r>
      <w:r>
        <w:t>,</w:t>
      </w:r>
      <w:r w:rsidRPr="00925585">
        <w:t xml:space="preserve"> co przyczyni się do osiągnięcia </w:t>
      </w:r>
      <w:r>
        <w:t xml:space="preserve">krajowego </w:t>
      </w:r>
      <w:r w:rsidRPr="00925585">
        <w:t xml:space="preserve">celu udziału energii ze źródeł odnawialnych w końcowym zużyciu energii brutto. Przedstawiane rozwiązania adresują zidentyfikowane problemy w funkcjonowaniu modelu </w:t>
      </w:r>
      <w:proofErr w:type="spellStart"/>
      <w:r w:rsidRPr="00925585">
        <w:t>prosumpcji</w:t>
      </w:r>
      <w:proofErr w:type="spellEnd"/>
      <w:r w:rsidRPr="00925585">
        <w:t xml:space="preserve"> oraz umożliwią korzystanie z</w:t>
      </w:r>
      <w:r w:rsidR="00E5592F">
        <w:t>e</w:t>
      </w:r>
      <w:r>
        <w:t> </w:t>
      </w:r>
      <w:r w:rsidRPr="00925585">
        <w:t xml:space="preserve">wsparcia energetyki </w:t>
      </w:r>
      <w:proofErr w:type="spellStart"/>
      <w:r w:rsidRPr="00925585">
        <w:t>prosumenckiej</w:t>
      </w:r>
      <w:proofErr w:type="spellEnd"/>
      <w:r w:rsidRPr="00925585">
        <w:t xml:space="preserve"> przez grupy odbiorców energii, które dotych</w:t>
      </w:r>
      <w:r>
        <w:t>czas nie miały takiej możliwości</w:t>
      </w:r>
      <w:r w:rsidRPr="00925585">
        <w:t xml:space="preserve">. Dodatkowo projekt ustawy doprecyzowuje regulacje, wobec których zidentyfikowane zostały wątpliwości interpretacyjne lub </w:t>
      </w:r>
      <w:r w:rsidR="00E5592F">
        <w:t xml:space="preserve">które </w:t>
      </w:r>
      <w:r w:rsidRPr="00925585">
        <w:t>są wdrażane w różny sposób przez uczestników rynku</w:t>
      </w:r>
      <w:r w:rsidR="00E5592F">
        <w:t>,</w:t>
      </w:r>
      <w:r w:rsidRPr="00925585">
        <w:t xml:space="preserve"> i</w:t>
      </w:r>
      <w:r>
        <w:t> </w:t>
      </w:r>
      <w:r w:rsidRPr="00925585">
        <w:t xml:space="preserve">wprowadza zmiany niezbędne do kompleksowego usprawnienia działania i promocji systemu </w:t>
      </w:r>
      <w:proofErr w:type="spellStart"/>
      <w:r w:rsidRPr="00925585">
        <w:t>prosumpcji</w:t>
      </w:r>
      <w:proofErr w:type="spellEnd"/>
      <w:r w:rsidRPr="00925585">
        <w:t xml:space="preserve"> w Polsce.</w:t>
      </w:r>
    </w:p>
    <w:p w14:paraId="74930558" w14:textId="77777777" w:rsidR="0095045F" w:rsidRPr="00925585" w:rsidRDefault="0095045F" w:rsidP="0095045F">
      <w:pPr>
        <w:pStyle w:val="Normal1"/>
      </w:pPr>
      <w:r>
        <w:t xml:space="preserve">Dodatkowo </w:t>
      </w:r>
      <w:r w:rsidRPr="00925585">
        <w:t xml:space="preserve">rozwój i </w:t>
      </w:r>
      <w:r>
        <w:t xml:space="preserve">szersze </w:t>
      </w:r>
      <w:r w:rsidRPr="00925585">
        <w:t xml:space="preserve">wykorzystanie energetyki </w:t>
      </w:r>
      <w:proofErr w:type="spellStart"/>
      <w:r w:rsidRPr="00925585">
        <w:t>prosumenckiej</w:t>
      </w:r>
      <w:proofErr w:type="spellEnd"/>
      <w:r w:rsidRPr="00925585">
        <w:t xml:space="preserve"> i rozproszonej, przyczynią się do </w:t>
      </w:r>
      <w:r w:rsidR="002A09DF">
        <w:t>osiągnięcia</w:t>
      </w:r>
      <w:r>
        <w:t xml:space="preserve"> szeregu </w:t>
      </w:r>
      <w:r w:rsidRPr="00925585">
        <w:t>innych</w:t>
      </w:r>
      <w:r>
        <w:t xml:space="preserve"> celów pobocznych, </w:t>
      </w:r>
      <w:r w:rsidRPr="00925585">
        <w:t>takich jak:</w:t>
      </w:r>
    </w:p>
    <w:p w14:paraId="4741019F" w14:textId="77777777" w:rsidR="0095045F" w:rsidRPr="00925585" w:rsidRDefault="0095045F" w:rsidP="0095045F">
      <w:pPr>
        <w:pStyle w:val="Normal1"/>
        <w:numPr>
          <w:ilvl w:val="0"/>
          <w:numId w:val="11"/>
        </w:numPr>
      </w:pPr>
      <w:r w:rsidRPr="00925585">
        <w:t xml:space="preserve">poprawa efektywności energetycznej, </w:t>
      </w:r>
    </w:p>
    <w:p w14:paraId="23E805F5" w14:textId="77777777" w:rsidR="0095045F" w:rsidRPr="00925585" w:rsidRDefault="0095045F" w:rsidP="0095045F">
      <w:pPr>
        <w:pStyle w:val="Normal1"/>
        <w:numPr>
          <w:ilvl w:val="0"/>
          <w:numId w:val="11"/>
        </w:numPr>
      </w:pPr>
      <w:r w:rsidRPr="00925585">
        <w:t xml:space="preserve">zmniejszenie emisyjności sektora energetycznego, </w:t>
      </w:r>
    </w:p>
    <w:p w14:paraId="17394FA3" w14:textId="77777777" w:rsidR="0095045F" w:rsidRPr="00925585" w:rsidRDefault="0095045F" w:rsidP="0095045F">
      <w:pPr>
        <w:pStyle w:val="Normal1"/>
        <w:numPr>
          <w:ilvl w:val="0"/>
          <w:numId w:val="11"/>
        </w:numPr>
      </w:pPr>
      <w:r w:rsidRPr="00925585">
        <w:t xml:space="preserve">poprawa lokalnego bezpieczeństwa energetycznego, </w:t>
      </w:r>
    </w:p>
    <w:p w14:paraId="0CB0EC92" w14:textId="77777777" w:rsidR="0095045F" w:rsidRPr="00925585" w:rsidRDefault="0095045F" w:rsidP="0095045F">
      <w:pPr>
        <w:pStyle w:val="Normal1"/>
        <w:numPr>
          <w:ilvl w:val="0"/>
          <w:numId w:val="11"/>
        </w:numPr>
      </w:pPr>
      <w:r>
        <w:t>walka ze zjawiskiem smogu,</w:t>
      </w:r>
    </w:p>
    <w:p w14:paraId="7A705408" w14:textId="77777777" w:rsidR="0095045F" w:rsidRPr="00925585" w:rsidRDefault="0095045F" w:rsidP="0095045F">
      <w:pPr>
        <w:pStyle w:val="Normal1"/>
        <w:numPr>
          <w:ilvl w:val="0"/>
          <w:numId w:val="12"/>
        </w:numPr>
      </w:pPr>
      <w:r w:rsidRPr="00925585">
        <w:t>zwiększenie efektów działań wspierających przedsięwzięcia niskoemisyjne,</w:t>
      </w:r>
    </w:p>
    <w:p w14:paraId="4254C38C" w14:textId="77777777" w:rsidR="0095045F" w:rsidRPr="00925585" w:rsidRDefault="0095045F" w:rsidP="0095045F">
      <w:pPr>
        <w:pStyle w:val="Normal1"/>
        <w:numPr>
          <w:ilvl w:val="0"/>
          <w:numId w:val="12"/>
        </w:numPr>
      </w:pPr>
      <w:r w:rsidRPr="00925585">
        <w:t>zwiększenie udziału energii ze źródeł odnawialnych w końcowym zużyciu energii brutto.</w:t>
      </w:r>
    </w:p>
    <w:p w14:paraId="56C6AA54" w14:textId="7B56654F" w:rsidR="00106600" w:rsidRDefault="0095045F" w:rsidP="0095045F">
      <w:pPr>
        <w:pStyle w:val="Normal1"/>
      </w:pPr>
      <w:r>
        <w:t>Proponowane zmiany nie wymagają finansowania ze źródeł publicznych. Zmniejszenie przychodów Operatorów Systemu Dystrybucyjnych z powodu wdrożenia rabatu w zakresie stawek opłat za usługi dystrybucji dla prosumenta energii odnawialnego i prosumenta zbiorowego energii odnawialnej pobierających energię elektryczną na potrzeby własne będzie pokrywane przez operatora rozliczeń energii odnawialnej w ramach istniejących instrumentów dot. opłaty OZE, więc będzie neutralne dla OSD.</w:t>
      </w:r>
    </w:p>
    <w:p w14:paraId="3E420803" w14:textId="29912BB2" w:rsidR="0095045F" w:rsidRDefault="0095045F" w:rsidP="008E5DE8">
      <w:pPr>
        <w:pStyle w:val="Normal1"/>
        <w:spacing w:after="0"/>
      </w:pPr>
      <w:r>
        <w:t xml:space="preserve">Projekt zmiany ustawy utrzymuje delegację ustawową do wydania przez ministra właściwego do spraw klimatu rozporządzenia, w ramach którego </w:t>
      </w:r>
      <w:r w:rsidR="006103B2">
        <w:t xml:space="preserve">zostanie </w:t>
      </w:r>
      <w:r>
        <w:t>określony:</w:t>
      </w:r>
    </w:p>
    <w:p w14:paraId="5AEC8FB2" w14:textId="65442952" w:rsidR="00FF7783" w:rsidRPr="008E5DE8" w:rsidRDefault="00FF7783" w:rsidP="008E5DE8">
      <w:pPr>
        <w:numPr>
          <w:ilvl w:val="0"/>
          <w:numId w:val="16"/>
        </w:numPr>
        <w:spacing w:after="0"/>
        <w:ind w:left="426"/>
        <w:jc w:val="both"/>
        <w:rPr>
          <w:rFonts w:ascii="Arial" w:eastAsia="Times New Roman" w:hAnsi="Arial" w:cs="Arial"/>
          <w:sz w:val="20"/>
          <w:szCs w:val="24"/>
        </w:rPr>
      </w:pPr>
      <w:r w:rsidRPr="008E5DE8">
        <w:rPr>
          <w:rFonts w:ascii="Arial" w:eastAsia="Times New Roman" w:hAnsi="Arial" w:cs="Arial"/>
          <w:sz w:val="20"/>
          <w:szCs w:val="24"/>
        </w:rPr>
        <w:t>szczegółowy zakres oraz sposób dokonywania rejestracji oraz bilansowania danych pomiarowych,</w:t>
      </w:r>
    </w:p>
    <w:p w14:paraId="3F798702" w14:textId="1FDC39A1" w:rsidR="00FF7783" w:rsidRDefault="00FF7783" w:rsidP="008E5DE8">
      <w:pPr>
        <w:pStyle w:val="Normal1"/>
        <w:numPr>
          <w:ilvl w:val="0"/>
          <w:numId w:val="16"/>
        </w:numPr>
        <w:spacing w:after="0"/>
        <w:ind w:left="426"/>
      </w:pPr>
      <w:r w:rsidRPr="008E5DE8">
        <w:t>szczegółowy sposób dokonywania rozliczeń, z uwzględnieniem cen i stawek opłat w poszczególnych grupach taryfowych stosowanych wobec prosumenta energii odnawialnej, prosumenta wirtualnego energii odnawialnej lub prosumenta zbiorowego energii odnawialnej</w:t>
      </w:r>
      <w:r>
        <w:t>.</w:t>
      </w:r>
    </w:p>
    <w:p w14:paraId="7AABE16C" w14:textId="7B3AF3C1" w:rsidR="0002000F" w:rsidRDefault="0002000F" w:rsidP="0095045F">
      <w:pPr>
        <w:pStyle w:val="Normal1"/>
        <w:spacing w:before="120"/>
      </w:pPr>
      <w:r>
        <w:t xml:space="preserve">Zgodnie z założeniami w/w rozporządzenie nie powinno regulować – tak jak ma to miejsce na gruncie aktualnej delegacji ustawowej </w:t>
      </w:r>
      <w:r w:rsidR="00EF772F">
        <w:t>–</w:t>
      </w:r>
      <w:r>
        <w:t xml:space="preserve"> </w:t>
      </w:r>
      <w:r w:rsidR="00EF772F" w:rsidRPr="00EF772F">
        <w:t>szczegółow</w:t>
      </w:r>
      <w:r w:rsidR="00EF772F">
        <w:t>ego</w:t>
      </w:r>
      <w:r w:rsidR="00EF772F" w:rsidRPr="00EF772F">
        <w:t xml:space="preserve"> zakres</w:t>
      </w:r>
      <w:r w:rsidR="00EF772F">
        <w:t>u</w:t>
      </w:r>
      <w:r w:rsidR="00EF772F" w:rsidRPr="00EF772F">
        <w:t xml:space="preserve"> oraz spos</w:t>
      </w:r>
      <w:r w:rsidR="00EF772F">
        <w:t>obu</w:t>
      </w:r>
      <w:r w:rsidR="00EF772F" w:rsidRPr="00EF772F">
        <w:t xml:space="preserve"> udostępnienia danych pomiarowych</w:t>
      </w:r>
      <w:r w:rsidR="00EF772F">
        <w:t xml:space="preserve"> </w:t>
      </w:r>
      <w:r w:rsidR="00EF772F" w:rsidRPr="00EF772F">
        <w:t>między przedsiębiorstwami energetycznymi oraz między przedsiębiorstwami energetycznymi a prosumentami energii odnawialne</w:t>
      </w:r>
      <w:r w:rsidR="00EF772F">
        <w:t>j. Zagadnienia te zostały bowiem przeniesione na poziom ustawy, a w konsekwencji nie ma konieczności dodatkowego regulowania tej kwestii na poziomie rozporządze</w:t>
      </w:r>
      <w:r w:rsidR="001F41F3">
        <w:t xml:space="preserve">nia. </w:t>
      </w:r>
      <w:r w:rsidR="001E3193">
        <w:t xml:space="preserve">Zakres przedmiotowy delegacji ustawowej oraz zagadnień, które powinny zostać uregulowane w rozporządzeniu, uległ więc ograniczeniu. </w:t>
      </w:r>
    </w:p>
    <w:p w14:paraId="1FA63078" w14:textId="68F37CC1" w:rsidR="00CB6069" w:rsidRDefault="00CB6069" w:rsidP="0095045F">
      <w:pPr>
        <w:pStyle w:val="Normal1"/>
        <w:spacing w:before="120"/>
      </w:pPr>
      <w:r>
        <w:t xml:space="preserve">Jednocześnie zakres </w:t>
      </w:r>
      <w:r w:rsidR="009F10A4">
        <w:t xml:space="preserve">przedmiotowy w/w delegacji ustawowej został rozszerzony o </w:t>
      </w:r>
      <w:r w:rsidR="007F6C05">
        <w:t>prosumentów zbiorowych energii odnawialnej oraz prosumentów wirtualnych energii odnawialnej, co wynika ze zmian wprowadzanych w ramach niniejszej ustawy.</w:t>
      </w:r>
    </w:p>
    <w:p w14:paraId="063A43C5" w14:textId="7574E038" w:rsidR="0095045F" w:rsidRDefault="0095045F" w:rsidP="0095045F">
      <w:pPr>
        <w:pStyle w:val="Normal1"/>
        <w:spacing w:before="120"/>
      </w:pPr>
      <w:r>
        <w:t>Zakres przedmiotowy ww</w:t>
      </w:r>
      <w:r w:rsidR="006103B2">
        <w:t>.</w:t>
      </w:r>
      <w:r>
        <w:t xml:space="preserve"> delegacji ustawowej w istocie swojej odpowiada zakresowi przedmiotowemu delegacji ustawowej aktualnie obowiązującej, przy czym </w:t>
      </w:r>
      <w:r w:rsidR="006103B2" w:rsidRPr="00925585">
        <w:t>–</w:t>
      </w:r>
      <w:r w:rsidR="006103B2">
        <w:t xml:space="preserve"> </w:t>
      </w:r>
      <w:r>
        <w:t xml:space="preserve">z uwagi na istotę procedowanej zmiany </w:t>
      </w:r>
      <w:r w:rsidR="006103B2" w:rsidRPr="00925585">
        <w:t>–</w:t>
      </w:r>
      <w:r>
        <w:lastRenderedPageBreak/>
        <w:t xml:space="preserve">został </w:t>
      </w:r>
      <w:r w:rsidR="006103B2">
        <w:t xml:space="preserve">on rozszerzony </w:t>
      </w:r>
      <w:r>
        <w:t>o prosumentów zbiorowych energii odnawialnej oraz prosumentów wirtualnych energii odnawialnej.</w:t>
      </w:r>
    </w:p>
    <w:p w14:paraId="37A99189" w14:textId="68AF4C6C" w:rsidR="007D2B42" w:rsidRDefault="0095045F" w:rsidP="0095045F">
      <w:pPr>
        <w:pStyle w:val="Normal1"/>
      </w:pPr>
      <w:r>
        <w:t xml:space="preserve">Zarówno mikro- jaki i mali oraz średni przedsiębiorcy skorzystają na wdrożeniu proponowanych rozwiązań, gdyż ułatwią one dostęp do energetyki </w:t>
      </w:r>
      <w:proofErr w:type="spellStart"/>
      <w:r>
        <w:t>prosumenckiej</w:t>
      </w:r>
      <w:proofErr w:type="spellEnd"/>
      <w:r>
        <w:t xml:space="preserve"> oraz pozwolą na lepsze dopasowanie do potrzeb poszczególnych przedsiębiorców (np. rozwiązania dot</w:t>
      </w:r>
      <w:r w:rsidR="006103B2">
        <w:t>yczące</w:t>
      </w:r>
      <w:r>
        <w:t xml:space="preserve"> prosumenta wirtualnego w sytuacji braku możliwości lokalizacji źródła OZE w miejscu działalności przedsiębiorcy). W efekcie przedsiębiorcy otrzymują potencjał realizacji dodatkowych oszczędności kosztowych i poprawy efektywności energetycznej, co przekłada się na wzrost ich konkurencyjności.</w:t>
      </w:r>
      <w:r w:rsidR="00740D81">
        <w:t xml:space="preserve"> </w:t>
      </w:r>
      <w:r>
        <w:t>Jednocześnie wejście w życie projektowanej ustawy nie będzie wiązało się ze wzrostem obowiązków administracyjnych.</w:t>
      </w:r>
    </w:p>
    <w:p w14:paraId="7B6905DB" w14:textId="39F551A5" w:rsidR="007D2B42" w:rsidRDefault="007D2B42" w:rsidP="0095045F">
      <w:pPr>
        <w:pStyle w:val="Normal1"/>
      </w:pPr>
      <w:r w:rsidRPr="007D2B42">
        <w:t>Ustawa będzie neutralna dla budżetu</w:t>
      </w:r>
      <w:r w:rsidR="007D0252">
        <w:t xml:space="preserve"> </w:t>
      </w:r>
      <w:r w:rsidR="007D0252" w:rsidRPr="00816248">
        <w:t>państwa i budżetów jednostek samorządu terytorialnego</w:t>
      </w:r>
      <w:r w:rsidRPr="007D2B42">
        <w:t>. Zaproponowany w ustawie rabat w wysokości 15% na stawki dystrybucyjne zmienne stosowane w rozliczeniach z prosumentami w gospodarstwach domowych będzie miał wpływ na spadek przychodów regulowanych operatorów systemów dystrybucyjnych. Zgodnie z ustawą powstała w ten sposób luka w przychodach będzie pokryta ze środków Zarządcy Rozliczeń z funduszu zasilanego ze środków pobieranych poprzez opłatę OZE, która to opłata jest również elementem systemu opłat pobieranych przez operatorów systemów dystrybucyjnych. W efekcie należy uznać ze zaproponowane rozwiązanie jest neutralne dla bud</w:t>
      </w:r>
      <w:r w:rsidR="007125D3">
        <w:t>ż</w:t>
      </w:r>
      <w:r w:rsidRPr="007D2B42">
        <w:t xml:space="preserve">etu i będzie finansowane w ramach systemu opłat za dystrybucję i </w:t>
      </w:r>
      <w:proofErr w:type="spellStart"/>
      <w:r w:rsidRPr="007D2B42">
        <w:t>przesył</w:t>
      </w:r>
      <w:proofErr w:type="spellEnd"/>
      <w:r w:rsidRPr="007D2B42">
        <w:t xml:space="preserve"> energii elektrycznej.</w:t>
      </w:r>
    </w:p>
    <w:p w14:paraId="4C07B095" w14:textId="77777777" w:rsidR="007D2B42" w:rsidRDefault="007D2B42" w:rsidP="0095045F">
      <w:pPr>
        <w:pStyle w:val="Normal1"/>
      </w:pPr>
    </w:p>
    <w:p w14:paraId="46F97CD1" w14:textId="77777777" w:rsidR="006103B2" w:rsidRPr="008E5DE8" w:rsidRDefault="006103B2" w:rsidP="00816248">
      <w:pPr>
        <w:pStyle w:val="Akapitzlist"/>
        <w:spacing w:after="0" w:line="240" w:lineRule="auto"/>
        <w:ind w:left="0" w:right="113"/>
        <w:jc w:val="both"/>
        <w:rPr>
          <w:rFonts w:ascii="Arial" w:eastAsia="Calibri" w:hAnsi="Arial" w:cs="Arial"/>
          <w:color w:val="000000" w:themeColor="text1"/>
          <w:sz w:val="20"/>
          <w:szCs w:val="20"/>
        </w:rPr>
      </w:pPr>
      <w:r w:rsidRPr="008E5DE8">
        <w:rPr>
          <w:rFonts w:ascii="Arial" w:eastAsia="Calibri" w:hAnsi="Arial" w:cs="Arial"/>
          <w:color w:val="000000" w:themeColor="text1"/>
          <w:sz w:val="20"/>
          <w:szCs w:val="20"/>
        </w:rPr>
        <w:t>Projekt ustawy nie zawiera norm krajowych, przepisów technicznych oraz przepisów dotyczących usług, w rozumieniu</w:t>
      </w:r>
      <w:r w:rsidRPr="008E5DE8">
        <w:rPr>
          <w:rFonts w:ascii="Arial" w:hAnsi="Arial" w:cs="Arial"/>
          <w:sz w:val="20"/>
          <w:szCs w:val="20"/>
        </w:rPr>
        <w:t xml:space="preserve">  </w:t>
      </w:r>
      <w:r w:rsidRPr="008E5DE8">
        <w:rPr>
          <w:rFonts w:ascii="Arial" w:eastAsia="Calibri" w:hAnsi="Arial" w:cs="Arial"/>
          <w:color w:val="000000" w:themeColor="text1"/>
          <w:sz w:val="20"/>
          <w:szCs w:val="20"/>
        </w:rPr>
        <w:t xml:space="preserve">przepisów rozporządzenia Rady Ministrów z dnia 23 grudnia 2002 r. w sprawie sposobu funkcjonowania krajowego systemu notyfikacji norm i aktów prawnych (Dz. U. poz. 2039, z </w:t>
      </w:r>
      <w:proofErr w:type="spellStart"/>
      <w:r w:rsidRPr="008E5DE8">
        <w:rPr>
          <w:rFonts w:ascii="Arial" w:eastAsia="Calibri" w:hAnsi="Arial" w:cs="Arial"/>
          <w:color w:val="000000" w:themeColor="text1"/>
          <w:sz w:val="20"/>
          <w:szCs w:val="20"/>
        </w:rPr>
        <w:t>późn</w:t>
      </w:r>
      <w:proofErr w:type="spellEnd"/>
      <w:r w:rsidRPr="008E5DE8">
        <w:rPr>
          <w:rFonts w:ascii="Arial" w:eastAsia="Calibri" w:hAnsi="Arial" w:cs="Arial"/>
          <w:color w:val="000000" w:themeColor="text1"/>
          <w:sz w:val="20"/>
          <w:szCs w:val="20"/>
        </w:rPr>
        <w:t>. zm.), w związku z tym nie będzie podlegał obowiązkowi notyfikacji.</w:t>
      </w:r>
    </w:p>
    <w:p w14:paraId="6C363211" w14:textId="77777777" w:rsidR="006103B2" w:rsidRDefault="006103B2" w:rsidP="0095045F">
      <w:pPr>
        <w:pStyle w:val="Normal1"/>
      </w:pPr>
    </w:p>
    <w:p w14:paraId="762BB5B3" w14:textId="44F4BBB9" w:rsidR="0095045F" w:rsidRPr="00D7370E" w:rsidRDefault="0095045F" w:rsidP="00816248">
      <w:pPr>
        <w:pStyle w:val="Normal1"/>
      </w:pPr>
      <w:r w:rsidRPr="00925585">
        <w:t>Projektowan</w:t>
      </w:r>
      <w:r w:rsidR="006103B2">
        <w:t>a</w:t>
      </w:r>
      <w:r w:rsidRPr="00925585">
        <w:t xml:space="preserve"> </w:t>
      </w:r>
      <w:r w:rsidR="006103B2">
        <w:t>ustawa</w:t>
      </w:r>
      <w:r w:rsidR="006103B2" w:rsidRPr="00925585">
        <w:t xml:space="preserve"> </w:t>
      </w:r>
      <w:r w:rsidR="002D748B">
        <w:t>jest zgodna</w:t>
      </w:r>
      <w:r w:rsidR="00556730">
        <w:t xml:space="preserve"> </w:t>
      </w:r>
      <w:r w:rsidRPr="00925585">
        <w:t>z prawem Unii Europejskiej.</w:t>
      </w:r>
    </w:p>
    <w:p w14:paraId="7AB762D5" w14:textId="77777777" w:rsidR="0095045F" w:rsidRDefault="0095045F" w:rsidP="00816248">
      <w:pPr>
        <w:pStyle w:val="Bullety"/>
        <w:numPr>
          <w:ilvl w:val="0"/>
          <w:numId w:val="0"/>
        </w:numPr>
        <w:rPr>
          <w:rFonts w:cs="Arial"/>
        </w:rPr>
      </w:pPr>
      <w:r w:rsidRPr="00C2185A">
        <w:rPr>
          <w:rFonts w:cs="Arial"/>
        </w:rPr>
        <w:t>Projekt nie był poddany konsultacjom społecznym, ale uwzględnia uwagi przekazane projektodawcy przez przedstawicieli zainteresowanych środowisk.</w:t>
      </w:r>
    </w:p>
    <w:p w14:paraId="7E3CB303" w14:textId="77777777" w:rsidR="006103B2" w:rsidRPr="008E5DE8" w:rsidRDefault="006103B2" w:rsidP="008E5DE8">
      <w:pPr>
        <w:spacing w:after="0" w:line="240" w:lineRule="auto"/>
        <w:ind w:left="113" w:right="113" w:firstLine="595"/>
        <w:jc w:val="both"/>
        <w:rPr>
          <w:rFonts w:ascii="Arial" w:eastAsia="Calibri" w:hAnsi="Arial" w:cs="Arial"/>
          <w:color w:val="000000" w:themeColor="text1"/>
          <w:sz w:val="20"/>
          <w:szCs w:val="20"/>
        </w:rPr>
      </w:pPr>
    </w:p>
    <w:p w14:paraId="79AC6D54" w14:textId="0C417A20" w:rsidR="006103B2" w:rsidRPr="008E5DE8" w:rsidRDefault="006103B2" w:rsidP="00816248">
      <w:pPr>
        <w:pStyle w:val="NIEARTTEKSTtekstnieartykuowanynppodstprawnarozplubpreambua"/>
        <w:spacing w:before="0" w:line="240" w:lineRule="auto"/>
        <w:ind w:firstLine="0"/>
        <w:rPr>
          <w:rFonts w:ascii="Arial" w:eastAsia="Calibri" w:hAnsi="Arial"/>
          <w:bCs w:val="0"/>
          <w:color w:val="000000" w:themeColor="text1"/>
          <w:sz w:val="20"/>
          <w:lang w:eastAsia="en-US"/>
        </w:rPr>
      </w:pPr>
      <w:r w:rsidRPr="008E5DE8">
        <w:rPr>
          <w:rFonts w:ascii="Arial" w:eastAsia="Calibri" w:hAnsi="Arial"/>
          <w:bCs w:val="0"/>
          <w:color w:val="000000" w:themeColor="text1"/>
          <w:sz w:val="20"/>
          <w:lang w:eastAsia="en-US"/>
        </w:rPr>
        <w:t>Projekt ustawy nie podlega obowiązkowi przedstawienia właściwym organom i instytucjom Unii Europejskiej, w tym Europejskiemu Bankowi Centralnemu.</w:t>
      </w:r>
      <w:r w:rsidR="00556730">
        <w:rPr>
          <w:rFonts w:ascii="Arial" w:eastAsia="Calibri" w:hAnsi="Arial"/>
          <w:bCs w:val="0"/>
          <w:color w:val="000000" w:themeColor="text1"/>
          <w:sz w:val="20"/>
          <w:lang w:eastAsia="en-US"/>
        </w:rPr>
        <w:t xml:space="preserve"> </w:t>
      </w:r>
    </w:p>
    <w:p w14:paraId="66EB1770" w14:textId="77777777" w:rsidR="004628C5" w:rsidRDefault="004628C5"/>
    <w:sectPr w:rsidR="004628C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579D8" w14:textId="77777777" w:rsidR="008C004C" w:rsidRDefault="008C004C" w:rsidP="0095045F">
      <w:pPr>
        <w:spacing w:after="0" w:line="240" w:lineRule="auto"/>
      </w:pPr>
      <w:r>
        <w:separator/>
      </w:r>
    </w:p>
  </w:endnote>
  <w:endnote w:type="continuationSeparator" w:id="0">
    <w:p w14:paraId="2035354B" w14:textId="77777777" w:rsidR="008C004C" w:rsidRDefault="008C004C" w:rsidP="00950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2099465"/>
      <w:docPartObj>
        <w:docPartGallery w:val="Page Numbers (Bottom of Page)"/>
        <w:docPartUnique/>
      </w:docPartObj>
    </w:sdtPr>
    <w:sdtEndPr/>
    <w:sdtContent>
      <w:p w14:paraId="3A61EE2E" w14:textId="1A2544DA" w:rsidR="006103B2" w:rsidRDefault="006103B2">
        <w:pPr>
          <w:pStyle w:val="Stopka"/>
          <w:jc w:val="center"/>
        </w:pPr>
        <w:r>
          <w:fldChar w:fldCharType="begin"/>
        </w:r>
        <w:r>
          <w:instrText>PAGE   \* MERGEFORMAT</w:instrText>
        </w:r>
        <w:r>
          <w:fldChar w:fldCharType="separate"/>
        </w:r>
        <w:r w:rsidR="008E5DE8">
          <w:rPr>
            <w:noProof/>
          </w:rPr>
          <w:t>13</w:t>
        </w:r>
        <w:r>
          <w:fldChar w:fldCharType="end"/>
        </w:r>
      </w:p>
    </w:sdtContent>
  </w:sdt>
  <w:p w14:paraId="59FB1FA5" w14:textId="77777777" w:rsidR="006103B2" w:rsidRDefault="006103B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79298" w14:textId="77777777" w:rsidR="008C004C" w:rsidRDefault="008C004C" w:rsidP="0095045F">
      <w:pPr>
        <w:spacing w:after="0" w:line="240" w:lineRule="auto"/>
      </w:pPr>
      <w:r>
        <w:separator/>
      </w:r>
    </w:p>
  </w:footnote>
  <w:footnote w:type="continuationSeparator" w:id="0">
    <w:p w14:paraId="0749393A" w14:textId="77777777" w:rsidR="008C004C" w:rsidRDefault="008C004C" w:rsidP="00950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310A"/>
    <w:multiLevelType w:val="hybridMultilevel"/>
    <w:tmpl w:val="F8464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60B11"/>
    <w:multiLevelType w:val="hybridMultilevel"/>
    <w:tmpl w:val="8DF68D1E"/>
    <w:lvl w:ilvl="0" w:tplc="8E6A1AF6">
      <w:start w:val="3"/>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 w15:restartNumberingAfterBreak="0">
    <w:nsid w:val="2E744869"/>
    <w:multiLevelType w:val="hybridMultilevel"/>
    <w:tmpl w:val="2D7A1BE2"/>
    <w:lvl w:ilvl="0" w:tplc="D7AEEF76">
      <w:start w:val="2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3876F44"/>
    <w:multiLevelType w:val="hybridMultilevel"/>
    <w:tmpl w:val="ABF0AFE4"/>
    <w:lvl w:ilvl="0" w:tplc="0409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89B45DF"/>
    <w:multiLevelType w:val="hybridMultilevel"/>
    <w:tmpl w:val="E5EC49FE"/>
    <w:lvl w:ilvl="0" w:tplc="7DF0DB7C">
      <w:start w:val="1"/>
      <w:numFmt w:val="bullet"/>
      <w:pStyle w:val="Bullety"/>
      <w:lvlText w:val="►"/>
      <w:lvlJc w:val="left"/>
      <w:pPr>
        <w:ind w:left="540" w:hanging="360"/>
      </w:pPr>
      <w:rPr>
        <w:rFonts w:ascii="Arial" w:hAnsi="Arial" w:hint="default"/>
        <w:color w:val="FFE600"/>
      </w:rPr>
    </w:lvl>
    <w:lvl w:ilvl="1" w:tplc="B504045E">
      <w:start w:val="1"/>
      <w:numFmt w:val="bullet"/>
      <w:lvlText w:val="­"/>
      <w:lvlJc w:val="left"/>
      <w:pPr>
        <w:ind w:left="1080" w:hanging="360"/>
      </w:pPr>
      <w:rPr>
        <w:rFonts w:ascii="Courier New" w:hAnsi="Courier New" w:hint="default"/>
      </w:rPr>
    </w:lvl>
    <w:lvl w:ilvl="2" w:tplc="0590D81A">
      <w:start w:val="1"/>
      <w:numFmt w:val="bullet"/>
      <w:lvlText w:val=""/>
      <w:lvlJc w:val="left"/>
      <w:pPr>
        <w:ind w:left="1800" w:hanging="360"/>
      </w:pPr>
      <w:rPr>
        <w:rFonts w:ascii="Wingdings" w:hAnsi="Wingdings" w:hint="default"/>
      </w:rPr>
    </w:lvl>
    <w:lvl w:ilvl="3" w:tplc="D802843C" w:tentative="1">
      <w:start w:val="1"/>
      <w:numFmt w:val="bullet"/>
      <w:lvlText w:val=""/>
      <w:lvlJc w:val="left"/>
      <w:pPr>
        <w:ind w:left="2520" w:hanging="360"/>
      </w:pPr>
      <w:rPr>
        <w:rFonts w:ascii="Symbol" w:hAnsi="Symbol" w:hint="default"/>
      </w:rPr>
    </w:lvl>
    <w:lvl w:ilvl="4" w:tplc="5528788C" w:tentative="1">
      <w:start w:val="1"/>
      <w:numFmt w:val="bullet"/>
      <w:lvlText w:val="o"/>
      <w:lvlJc w:val="left"/>
      <w:pPr>
        <w:ind w:left="3240" w:hanging="360"/>
      </w:pPr>
      <w:rPr>
        <w:rFonts w:ascii="Courier New" w:hAnsi="Courier New" w:cs="Courier New" w:hint="default"/>
      </w:rPr>
    </w:lvl>
    <w:lvl w:ilvl="5" w:tplc="FE6ABB54" w:tentative="1">
      <w:start w:val="1"/>
      <w:numFmt w:val="bullet"/>
      <w:lvlText w:val=""/>
      <w:lvlJc w:val="left"/>
      <w:pPr>
        <w:ind w:left="3960" w:hanging="360"/>
      </w:pPr>
      <w:rPr>
        <w:rFonts w:ascii="Wingdings" w:hAnsi="Wingdings" w:hint="default"/>
      </w:rPr>
    </w:lvl>
    <w:lvl w:ilvl="6" w:tplc="09A6649E" w:tentative="1">
      <w:start w:val="1"/>
      <w:numFmt w:val="bullet"/>
      <w:lvlText w:val=""/>
      <w:lvlJc w:val="left"/>
      <w:pPr>
        <w:ind w:left="4680" w:hanging="360"/>
      </w:pPr>
      <w:rPr>
        <w:rFonts w:ascii="Symbol" w:hAnsi="Symbol" w:hint="default"/>
      </w:rPr>
    </w:lvl>
    <w:lvl w:ilvl="7" w:tplc="6A78E500" w:tentative="1">
      <w:start w:val="1"/>
      <w:numFmt w:val="bullet"/>
      <w:lvlText w:val="o"/>
      <w:lvlJc w:val="left"/>
      <w:pPr>
        <w:ind w:left="5400" w:hanging="360"/>
      </w:pPr>
      <w:rPr>
        <w:rFonts w:ascii="Courier New" w:hAnsi="Courier New" w:cs="Courier New" w:hint="default"/>
      </w:rPr>
    </w:lvl>
    <w:lvl w:ilvl="8" w:tplc="CF72E8B0" w:tentative="1">
      <w:start w:val="1"/>
      <w:numFmt w:val="bullet"/>
      <w:lvlText w:val=""/>
      <w:lvlJc w:val="left"/>
      <w:pPr>
        <w:ind w:left="6120" w:hanging="360"/>
      </w:pPr>
      <w:rPr>
        <w:rFonts w:ascii="Wingdings" w:hAnsi="Wingdings" w:hint="default"/>
      </w:rPr>
    </w:lvl>
  </w:abstractNum>
  <w:abstractNum w:abstractNumId="5" w15:restartNumberingAfterBreak="0">
    <w:nsid w:val="39FE0844"/>
    <w:multiLevelType w:val="hybridMultilevel"/>
    <w:tmpl w:val="6E32F0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CED06DD"/>
    <w:multiLevelType w:val="hybridMultilevel"/>
    <w:tmpl w:val="2D86F2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EE57783"/>
    <w:multiLevelType w:val="hybridMultilevel"/>
    <w:tmpl w:val="2D86F2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6C62EDF"/>
    <w:multiLevelType w:val="hybridMultilevel"/>
    <w:tmpl w:val="545C9DAE"/>
    <w:lvl w:ilvl="0" w:tplc="B504045E">
      <w:start w:val="1"/>
      <w:numFmt w:val="bullet"/>
      <w:lvlText w:val="­"/>
      <w:lvlJc w:val="left"/>
      <w:pPr>
        <w:ind w:left="900" w:hanging="360"/>
      </w:pPr>
      <w:rPr>
        <w:rFonts w:ascii="Courier New" w:hAnsi="Courier New"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9" w15:restartNumberingAfterBreak="0">
    <w:nsid w:val="591B2488"/>
    <w:multiLevelType w:val="hybridMultilevel"/>
    <w:tmpl w:val="F182C9E8"/>
    <w:lvl w:ilvl="0" w:tplc="4F64067E">
      <w:start w:val="1"/>
      <w:numFmt w:val="decimal"/>
      <w:lvlText w:val="%1)"/>
      <w:lvlJc w:val="left"/>
      <w:pPr>
        <w:ind w:left="720" w:hanging="360"/>
      </w:pPr>
      <w:rPr>
        <w:rFonts w:ascii="Times New Roman" w:hAnsi="Times New Roman" w:cs="Times New Roman"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DCF2A13"/>
    <w:multiLevelType w:val="hybridMultilevel"/>
    <w:tmpl w:val="3A3A536A"/>
    <w:lvl w:ilvl="0" w:tplc="04150011">
      <w:start w:val="1"/>
      <w:numFmt w:val="decimal"/>
      <w:lvlText w:val="%1)"/>
      <w:lvlJc w:val="left"/>
      <w:pPr>
        <w:ind w:left="1263" w:hanging="360"/>
      </w:pPr>
      <w:rPr>
        <w:rFonts w:hint="default"/>
      </w:rPr>
    </w:lvl>
    <w:lvl w:ilvl="1" w:tplc="04150003" w:tentative="1">
      <w:start w:val="1"/>
      <w:numFmt w:val="bullet"/>
      <w:lvlText w:val="o"/>
      <w:lvlJc w:val="left"/>
      <w:pPr>
        <w:ind w:left="1983" w:hanging="360"/>
      </w:pPr>
      <w:rPr>
        <w:rFonts w:ascii="Courier New" w:hAnsi="Courier New" w:cs="Courier New" w:hint="default"/>
      </w:rPr>
    </w:lvl>
    <w:lvl w:ilvl="2" w:tplc="04150005" w:tentative="1">
      <w:start w:val="1"/>
      <w:numFmt w:val="bullet"/>
      <w:lvlText w:val=""/>
      <w:lvlJc w:val="left"/>
      <w:pPr>
        <w:ind w:left="2703" w:hanging="360"/>
      </w:pPr>
      <w:rPr>
        <w:rFonts w:ascii="Wingdings" w:hAnsi="Wingdings" w:hint="default"/>
      </w:rPr>
    </w:lvl>
    <w:lvl w:ilvl="3" w:tplc="04150001" w:tentative="1">
      <w:start w:val="1"/>
      <w:numFmt w:val="bullet"/>
      <w:lvlText w:val=""/>
      <w:lvlJc w:val="left"/>
      <w:pPr>
        <w:ind w:left="3423" w:hanging="360"/>
      </w:pPr>
      <w:rPr>
        <w:rFonts w:ascii="Symbol" w:hAnsi="Symbol" w:hint="default"/>
      </w:rPr>
    </w:lvl>
    <w:lvl w:ilvl="4" w:tplc="04150003" w:tentative="1">
      <w:start w:val="1"/>
      <w:numFmt w:val="bullet"/>
      <w:lvlText w:val="o"/>
      <w:lvlJc w:val="left"/>
      <w:pPr>
        <w:ind w:left="4143" w:hanging="360"/>
      </w:pPr>
      <w:rPr>
        <w:rFonts w:ascii="Courier New" w:hAnsi="Courier New" w:cs="Courier New" w:hint="default"/>
      </w:rPr>
    </w:lvl>
    <w:lvl w:ilvl="5" w:tplc="04150005" w:tentative="1">
      <w:start w:val="1"/>
      <w:numFmt w:val="bullet"/>
      <w:lvlText w:val=""/>
      <w:lvlJc w:val="left"/>
      <w:pPr>
        <w:ind w:left="4863" w:hanging="360"/>
      </w:pPr>
      <w:rPr>
        <w:rFonts w:ascii="Wingdings" w:hAnsi="Wingdings" w:hint="default"/>
      </w:rPr>
    </w:lvl>
    <w:lvl w:ilvl="6" w:tplc="04150001" w:tentative="1">
      <w:start w:val="1"/>
      <w:numFmt w:val="bullet"/>
      <w:lvlText w:val=""/>
      <w:lvlJc w:val="left"/>
      <w:pPr>
        <w:ind w:left="5583" w:hanging="360"/>
      </w:pPr>
      <w:rPr>
        <w:rFonts w:ascii="Symbol" w:hAnsi="Symbol" w:hint="default"/>
      </w:rPr>
    </w:lvl>
    <w:lvl w:ilvl="7" w:tplc="04150003" w:tentative="1">
      <w:start w:val="1"/>
      <w:numFmt w:val="bullet"/>
      <w:lvlText w:val="o"/>
      <w:lvlJc w:val="left"/>
      <w:pPr>
        <w:ind w:left="6303" w:hanging="360"/>
      </w:pPr>
      <w:rPr>
        <w:rFonts w:ascii="Courier New" w:hAnsi="Courier New" w:cs="Courier New" w:hint="default"/>
      </w:rPr>
    </w:lvl>
    <w:lvl w:ilvl="8" w:tplc="04150005" w:tentative="1">
      <w:start w:val="1"/>
      <w:numFmt w:val="bullet"/>
      <w:lvlText w:val=""/>
      <w:lvlJc w:val="left"/>
      <w:pPr>
        <w:ind w:left="7023" w:hanging="360"/>
      </w:pPr>
      <w:rPr>
        <w:rFonts w:ascii="Wingdings" w:hAnsi="Wingdings" w:hint="default"/>
      </w:rPr>
    </w:lvl>
  </w:abstractNum>
  <w:abstractNum w:abstractNumId="11" w15:restartNumberingAfterBreak="0">
    <w:nsid w:val="5F143A97"/>
    <w:multiLevelType w:val="hybridMultilevel"/>
    <w:tmpl w:val="AF9A3656"/>
    <w:lvl w:ilvl="0" w:tplc="04150011">
      <w:start w:val="1"/>
      <w:numFmt w:val="decimal"/>
      <w:lvlText w:val="%1)"/>
      <w:lvlJc w:val="left"/>
      <w:pPr>
        <w:ind w:left="900" w:hanging="360"/>
      </w:pPr>
      <w:rPr>
        <w:rFonts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12" w15:restartNumberingAfterBreak="0">
    <w:nsid w:val="69A51EB1"/>
    <w:multiLevelType w:val="hybridMultilevel"/>
    <w:tmpl w:val="0A4C5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BC35FFA"/>
    <w:multiLevelType w:val="hybridMultilevel"/>
    <w:tmpl w:val="8160A25A"/>
    <w:lvl w:ilvl="0" w:tplc="0409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D040195"/>
    <w:multiLevelType w:val="hybridMultilevel"/>
    <w:tmpl w:val="A29010E4"/>
    <w:lvl w:ilvl="0" w:tplc="1966DA22">
      <w:start w:val="1"/>
      <w:numFmt w:val="lowerLetter"/>
      <w:lvlText w:val="%1)"/>
      <w:lvlJc w:val="left"/>
      <w:pPr>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CC2943"/>
    <w:multiLevelType w:val="hybridMultilevel"/>
    <w:tmpl w:val="2D86F2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2"/>
  </w:num>
  <w:num w:numId="3">
    <w:abstractNumId w:val="10"/>
  </w:num>
  <w:num w:numId="4">
    <w:abstractNumId w:val="8"/>
  </w:num>
  <w:num w:numId="5">
    <w:abstractNumId w:val="11"/>
  </w:num>
  <w:num w:numId="6">
    <w:abstractNumId w:val="14"/>
  </w:num>
  <w:num w:numId="7">
    <w:abstractNumId w:val="15"/>
  </w:num>
  <w:num w:numId="8">
    <w:abstractNumId w:val="7"/>
  </w:num>
  <w:num w:numId="9">
    <w:abstractNumId w:val="6"/>
  </w:num>
  <w:num w:numId="10">
    <w:abstractNumId w:val="0"/>
  </w:num>
  <w:num w:numId="11">
    <w:abstractNumId w:val="3"/>
  </w:num>
  <w:num w:numId="12">
    <w:abstractNumId w:val="13"/>
  </w:num>
  <w:num w:numId="13">
    <w:abstractNumId w:val="1"/>
  </w:num>
  <w:num w:numId="14">
    <w:abstractNumId w:val="2"/>
  </w:num>
  <w:num w:numId="15">
    <w:abstractNumId w:val="9"/>
  </w:num>
  <w:num w:numId="16">
    <w:abstractNumId w:val="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45F"/>
    <w:rsid w:val="0000415C"/>
    <w:rsid w:val="0002000F"/>
    <w:rsid w:val="000208C6"/>
    <w:rsid w:val="000259DB"/>
    <w:rsid w:val="000319AB"/>
    <w:rsid w:val="00053A19"/>
    <w:rsid w:val="00082157"/>
    <w:rsid w:val="00106600"/>
    <w:rsid w:val="00131518"/>
    <w:rsid w:val="001A5231"/>
    <w:rsid w:val="001C3DC8"/>
    <w:rsid w:val="001D2532"/>
    <w:rsid w:val="001E3193"/>
    <w:rsid w:val="001F41F3"/>
    <w:rsid w:val="00231707"/>
    <w:rsid w:val="00264D0E"/>
    <w:rsid w:val="00267026"/>
    <w:rsid w:val="002A09DF"/>
    <w:rsid w:val="002D748B"/>
    <w:rsid w:val="002E2E84"/>
    <w:rsid w:val="003072F5"/>
    <w:rsid w:val="00331303"/>
    <w:rsid w:val="004157A0"/>
    <w:rsid w:val="004628C5"/>
    <w:rsid w:val="004848A5"/>
    <w:rsid w:val="004A0C98"/>
    <w:rsid w:val="004A124E"/>
    <w:rsid w:val="004A287B"/>
    <w:rsid w:val="004A6B04"/>
    <w:rsid w:val="0053199E"/>
    <w:rsid w:val="00546EA6"/>
    <w:rsid w:val="00556730"/>
    <w:rsid w:val="00593972"/>
    <w:rsid w:val="00605D09"/>
    <w:rsid w:val="006103B2"/>
    <w:rsid w:val="0062337F"/>
    <w:rsid w:val="006433BC"/>
    <w:rsid w:val="007125D3"/>
    <w:rsid w:val="0073105E"/>
    <w:rsid w:val="00740D81"/>
    <w:rsid w:val="00747D94"/>
    <w:rsid w:val="00766748"/>
    <w:rsid w:val="0077700A"/>
    <w:rsid w:val="00782791"/>
    <w:rsid w:val="007B167A"/>
    <w:rsid w:val="007D0252"/>
    <w:rsid w:val="007D2B42"/>
    <w:rsid w:val="007F6C05"/>
    <w:rsid w:val="00805070"/>
    <w:rsid w:val="00816248"/>
    <w:rsid w:val="00816B8E"/>
    <w:rsid w:val="00830521"/>
    <w:rsid w:val="00846144"/>
    <w:rsid w:val="00887556"/>
    <w:rsid w:val="008C004C"/>
    <w:rsid w:val="008E5DE8"/>
    <w:rsid w:val="0092090B"/>
    <w:rsid w:val="00921970"/>
    <w:rsid w:val="0092688D"/>
    <w:rsid w:val="0094151D"/>
    <w:rsid w:val="0095045F"/>
    <w:rsid w:val="0097016C"/>
    <w:rsid w:val="009D294C"/>
    <w:rsid w:val="009E327F"/>
    <w:rsid w:val="009F10A4"/>
    <w:rsid w:val="00A345C8"/>
    <w:rsid w:val="00A36208"/>
    <w:rsid w:val="00A71017"/>
    <w:rsid w:val="00AF0F25"/>
    <w:rsid w:val="00B3422F"/>
    <w:rsid w:val="00B43B4E"/>
    <w:rsid w:val="00B75A53"/>
    <w:rsid w:val="00BA0F97"/>
    <w:rsid w:val="00BA26C5"/>
    <w:rsid w:val="00BA328C"/>
    <w:rsid w:val="00BD57FF"/>
    <w:rsid w:val="00C33594"/>
    <w:rsid w:val="00C61E5E"/>
    <w:rsid w:val="00C77AA5"/>
    <w:rsid w:val="00C9556D"/>
    <w:rsid w:val="00CB6069"/>
    <w:rsid w:val="00D8402F"/>
    <w:rsid w:val="00E06A18"/>
    <w:rsid w:val="00E5592F"/>
    <w:rsid w:val="00E712C5"/>
    <w:rsid w:val="00ED364E"/>
    <w:rsid w:val="00EE0E92"/>
    <w:rsid w:val="00EF772F"/>
    <w:rsid w:val="00F869EC"/>
    <w:rsid w:val="00F96856"/>
    <w:rsid w:val="00FC59CE"/>
    <w:rsid w:val="00FE7F8A"/>
    <w:rsid w:val="00FF77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4F00"/>
  <w15:docId w15:val="{4E220171-BD38-4B57-A4ED-661BDA1C3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045F"/>
    <w:pPr>
      <w:spacing w:after="160" w:line="259" w:lineRule="auto"/>
    </w:pPr>
  </w:style>
  <w:style w:type="paragraph" w:styleId="Nagwek4">
    <w:name w:val="heading 4"/>
    <w:basedOn w:val="Normalny"/>
    <w:next w:val="Normal1"/>
    <w:link w:val="Nagwek4Znak"/>
    <w:qFormat/>
    <w:rsid w:val="0095045F"/>
    <w:pPr>
      <w:keepNext/>
      <w:spacing w:before="360" w:after="240" w:line="240" w:lineRule="auto"/>
      <w:outlineLvl w:val="3"/>
    </w:pPr>
    <w:rPr>
      <w:rFonts w:ascii="Arial" w:eastAsia="Times New Roman" w:hAnsi="Arial" w:cs="Arial"/>
      <w:b/>
      <w:bCs/>
      <w:sz w:val="20"/>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95045F"/>
    <w:rPr>
      <w:rFonts w:ascii="Arial" w:eastAsia="Times New Roman" w:hAnsi="Arial" w:cs="Arial"/>
      <w:b/>
      <w:bCs/>
      <w:sz w:val="20"/>
      <w:u w:val="single"/>
    </w:rPr>
  </w:style>
  <w:style w:type="paragraph" w:customStyle="1" w:styleId="Normal1">
    <w:name w:val="Normal1"/>
    <w:basedOn w:val="Normalny"/>
    <w:link w:val="NormalChar"/>
    <w:uiPriority w:val="99"/>
    <w:qFormat/>
    <w:rsid w:val="0095045F"/>
    <w:pPr>
      <w:spacing w:after="120" w:line="276" w:lineRule="auto"/>
      <w:jc w:val="both"/>
    </w:pPr>
    <w:rPr>
      <w:rFonts w:ascii="Arial" w:eastAsia="Times New Roman" w:hAnsi="Arial" w:cs="Arial"/>
      <w:sz w:val="20"/>
      <w:szCs w:val="24"/>
    </w:rPr>
  </w:style>
  <w:style w:type="character" w:customStyle="1" w:styleId="NormalChar">
    <w:name w:val="Normal Char"/>
    <w:basedOn w:val="Domylnaczcionkaakapitu"/>
    <w:link w:val="Normal1"/>
    <w:uiPriority w:val="99"/>
    <w:rsid w:val="0095045F"/>
    <w:rPr>
      <w:rFonts w:ascii="Arial" w:eastAsia="Times New Roman" w:hAnsi="Arial" w:cs="Arial"/>
      <w:sz w:val="20"/>
      <w:szCs w:val="24"/>
    </w:rPr>
  </w:style>
  <w:style w:type="paragraph" w:customStyle="1" w:styleId="Bullety">
    <w:name w:val="Bullety"/>
    <w:basedOn w:val="Normalny"/>
    <w:link w:val="BulletyChar"/>
    <w:qFormat/>
    <w:rsid w:val="0095045F"/>
    <w:pPr>
      <w:numPr>
        <w:numId w:val="1"/>
      </w:numPr>
      <w:spacing w:after="120" w:line="276" w:lineRule="auto"/>
      <w:jc w:val="both"/>
    </w:pPr>
    <w:rPr>
      <w:rFonts w:ascii="Arial" w:eastAsia="Times New Roman" w:hAnsi="Arial" w:cs="Times New Roman"/>
      <w:sz w:val="20"/>
      <w:szCs w:val="20"/>
    </w:rPr>
  </w:style>
  <w:style w:type="character" w:customStyle="1" w:styleId="BulletyChar">
    <w:name w:val="Bullety Char"/>
    <w:basedOn w:val="Domylnaczcionkaakapitu"/>
    <w:link w:val="Bullety"/>
    <w:rsid w:val="0095045F"/>
    <w:rPr>
      <w:rFonts w:ascii="Arial" w:eastAsia="Times New Roman" w:hAnsi="Arial" w:cs="Times New Roman"/>
      <w:sz w:val="20"/>
      <w:szCs w:val="20"/>
    </w:rPr>
  </w:style>
  <w:style w:type="paragraph" w:styleId="Tekstprzypisudolnego">
    <w:name w:val="footnote text"/>
    <w:aliases w:val="fn,FT,ft,SD Footnote Text,Footnote Text AG,Podrozdział,Tekst przypisu1,Tekst przypisu2,Tekst przypisu3,Przypis dolny,Footnote,Podrozdzia3,Tekst przypisu Znak Znak Znak Znak,Tekst przypisu Znak Znak Znak Znak Znak,Fußnote,Podrozdzi"/>
    <w:basedOn w:val="Normalny"/>
    <w:link w:val="TekstprzypisudolnegoZnak"/>
    <w:uiPriority w:val="99"/>
    <w:qFormat/>
    <w:rsid w:val="0095045F"/>
    <w:pPr>
      <w:spacing w:after="0" w:line="240" w:lineRule="auto"/>
      <w:jc w:val="both"/>
    </w:pPr>
    <w:rPr>
      <w:rFonts w:ascii="Arial" w:eastAsia="Times New Roman" w:hAnsi="Arial" w:cs="Times New Roman"/>
      <w:sz w:val="16"/>
      <w:szCs w:val="20"/>
    </w:rPr>
  </w:style>
  <w:style w:type="character" w:customStyle="1" w:styleId="TekstprzypisudolnegoZnak">
    <w:name w:val="Tekst przypisu dolnego Znak"/>
    <w:aliases w:val="fn Znak,FT Znak,ft Znak,SD Footnote Text Znak,Footnote Text AG Znak,Podrozdział Znak,Tekst przypisu1 Znak,Tekst przypisu2 Znak,Tekst przypisu3 Znak,Przypis dolny Znak,Footnote Znak,Podrozdzia3 Znak,Fußnote Znak,Podrozdzi Znak"/>
    <w:basedOn w:val="Domylnaczcionkaakapitu"/>
    <w:link w:val="Tekstprzypisudolnego"/>
    <w:uiPriority w:val="99"/>
    <w:rsid w:val="0095045F"/>
    <w:rPr>
      <w:rFonts w:ascii="Arial" w:eastAsia="Times New Roman" w:hAnsi="Arial" w:cs="Times New Roman"/>
      <w:sz w:val="16"/>
      <w:szCs w:val="20"/>
    </w:rPr>
  </w:style>
  <w:style w:type="character" w:styleId="Odwoanieprzypisudolnego">
    <w:name w:val="footnote reference"/>
    <w:aliases w:val="fr,FC,_Footnote Reference,_Footnote,_Footnote base Reference,_Footnote text,Footnote reference,tex,_Footnote Text,text,Footnote Reference Number,Odwołanie przypisu1,Odwołanie przypisu2,Bodyfootnotes,SUPERS,Footnote symbol"/>
    <w:basedOn w:val="Domylnaczcionkaakapitu"/>
    <w:uiPriority w:val="99"/>
    <w:rsid w:val="0095045F"/>
    <w:rPr>
      <w:vertAlign w:val="superscript"/>
    </w:rPr>
  </w:style>
  <w:style w:type="paragraph" w:customStyle="1" w:styleId="Tekst">
    <w:name w:val="Tekst"/>
    <w:basedOn w:val="Normal1"/>
    <w:rsid w:val="0095045F"/>
    <w:pPr>
      <w:spacing w:before="120"/>
    </w:pPr>
  </w:style>
  <w:style w:type="paragraph" w:customStyle="1" w:styleId="StyleBulletyUnderline">
    <w:name w:val="Style Bullety + Underline"/>
    <w:basedOn w:val="Bullety"/>
    <w:rsid w:val="0095045F"/>
    <w:pPr>
      <w:keepNext/>
    </w:pPr>
    <w:rPr>
      <w:u w:val="single"/>
    </w:rPr>
  </w:style>
  <w:style w:type="paragraph" w:customStyle="1" w:styleId="Tytu1">
    <w:name w:val="Tytuł1"/>
    <w:basedOn w:val="Tekst"/>
    <w:qFormat/>
    <w:rsid w:val="0095045F"/>
    <w:pPr>
      <w:keepNext/>
    </w:pPr>
    <w:rPr>
      <w:b/>
      <w:bCs/>
    </w:rPr>
  </w:style>
  <w:style w:type="paragraph" w:styleId="Stopka">
    <w:name w:val="footer"/>
    <w:basedOn w:val="Normalny"/>
    <w:link w:val="StopkaZnak"/>
    <w:uiPriority w:val="99"/>
    <w:unhideWhenUsed/>
    <w:rsid w:val="009504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5045F"/>
  </w:style>
  <w:style w:type="character" w:styleId="Odwoaniedokomentarza">
    <w:name w:val="annotation reference"/>
    <w:basedOn w:val="Domylnaczcionkaakapitu"/>
    <w:uiPriority w:val="99"/>
    <w:semiHidden/>
    <w:unhideWhenUsed/>
    <w:rsid w:val="0000415C"/>
    <w:rPr>
      <w:sz w:val="16"/>
      <w:szCs w:val="16"/>
    </w:rPr>
  </w:style>
  <w:style w:type="paragraph" w:styleId="Tekstkomentarza">
    <w:name w:val="annotation text"/>
    <w:basedOn w:val="Normalny"/>
    <w:link w:val="TekstkomentarzaZnak"/>
    <w:uiPriority w:val="99"/>
    <w:unhideWhenUsed/>
    <w:rsid w:val="0000415C"/>
    <w:pPr>
      <w:spacing w:line="240" w:lineRule="auto"/>
    </w:pPr>
    <w:rPr>
      <w:sz w:val="20"/>
      <w:szCs w:val="20"/>
    </w:rPr>
  </w:style>
  <w:style w:type="character" w:customStyle="1" w:styleId="TekstkomentarzaZnak">
    <w:name w:val="Tekst komentarza Znak"/>
    <w:basedOn w:val="Domylnaczcionkaakapitu"/>
    <w:link w:val="Tekstkomentarza"/>
    <w:uiPriority w:val="99"/>
    <w:rsid w:val="0000415C"/>
    <w:rPr>
      <w:sz w:val="20"/>
      <w:szCs w:val="20"/>
    </w:rPr>
  </w:style>
  <w:style w:type="paragraph" w:styleId="Tematkomentarza">
    <w:name w:val="annotation subject"/>
    <w:basedOn w:val="Tekstkomentarza"/>
    <w:next w:val="Tekstkomentarza"/>
    <w:link w:val="TematkomentarzaZnak"/>
    <w:uiPriority w:val="99"/>
    <w:semiHidden/>
    <w:unhideWhenUsed/>
    <w:rsid w:val="0000415C"/>
    <w:rPr>
      <w:b/>
      <w:bCs/>
    </w:rPr>
  </w:style>
  <w:style w:type="character" w:customStyle="1" w:styleId="TematkomentarzaZnak">
    <w:name w:val="Temat komentarza Znak"/>
    <w:basedOn w:val="TekstkomentarzaZnak"/>
    <w:link w:val="Tematkomentarza"/>
    <w:uiPriority w:val="99"/>
    <w:semiHidden/>
    <w:rsid w:val="0000415C"/>
    <w:rPr>
      <w:b/>
      <w:bCs/>
      <w:sz w:val="20"/>
      <w:szCs w:val="20"/>
    </w:rPr>
  </w:style>
  <w:style w:type="paragraph" w:styleId="Tekstdymka">
    <w:name w:val="Balloon Text"/>
    <w:basedOn w:val="Normalny"/>
    <w:link w:val="TekstdymkaZnak"/>
    <w:uiPriority w:val="99"/>
    <w:semiHidden/>
    <w:unhideWhenUsed/>
    <w:rsid w:val="000041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0415C"/>
    <w:rPr>
      <w:rFonts w:ascii="Tahoma" w:hAnsi="Tahoma" w:cs="Tahoma"/>
      <w:sz w:val="16"/>
      <w:szCs w:val="16"/>
    </w:rPr>
  </w:style>
  <w:style w:type="paragraph" w:styleId="Akapitzlist">
    <w:name w:val="List Paragraph"/>
    <w:basedOn w:val="Normalny"/>
    <w:uiPriority w:val="34"/>
    <w:qFormat/>
    <w:rsid w:val="00264D0E"/>
    <w:pPr>
      <w:ind w:left="720"/>
      <w:contextualSpacing/>
    </w:pPr>
  </w:style>
  <w:style w:type="paragraph" w:customStyle="1" w:styleId="NIEARTTEKSTtekstnieartykuowanynppodstprawnarozplubpreambua">
    <w:name w:val="NIEART_TEKST – tekst nieartykułowany (np. podst. prawna rozp. lub preambuła)"/>
    <w:basedOn w:val="Normalny"/>
    <w:next w:val="Normalny"/>
    <w:uiPriority w:val="7"/>
    <w:qFormat/>
    <w:rsid w:val="006103B2"/>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22250-FB6B-43D6-8E03-CC00F5591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14</Pages>
  <Words>6937</Words>
  <Characters>41627</Characters>
  <Application>Microsoft Office Word</Application>
  <DocSecurity>0</DocSecurity>
  <Lines>346</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revision>5</cp:revision>
  <dcterms:created xsi:type="dcterms:W3CDTF">2021-06-30T06:49:00Z</dcterms:created>
  <dcterms:modified xsi:type="dcterms:W3CDTF">2021-07-02T11:37:00Z</dcterms:modified>
</cp:coreProperties>
</file>